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bidi w:val="0"/>
        <w:ind w:left="0" w:leftChars="0" w:firstLine="0" w:firstLineChars="0"/>
        <w:jc w:val="center"/>
        <w:rPr>
          <w:rFonts w:hint="eastAsia" w:eastAsia="宋体"/>
          <w:b/>
          <w:bCs/>
          <w:color w:val="auto"/>
          <w:sz w:val="32"/>
          <w:szCs w:val="32"/>
          <w:lang w:eastAsia="zh-CN"/>
        </w:rPr>
      </w:pPr>
      <w:bookmarkStart w:id="0" w:name="_Toc67041025"/>
      <w:bookmarkStart w:id="1" w:name="_Toc13159"/>
      <w:bookmarkStart w:id="2" w:name="_Toc21704"/>
      <w:r>
        <w:rPr>
          <w:rFonts w:hint="eastAsia" w:eastAsia="宋体"/>
          <w:b/>
          <w:bCs/>
          <w:color w:val="auto"/>
          <w:sz w:val="32"/>
          <w:szCs w:val="32"/>
          <w:lang w:eastAsia="zh-CN"/>
        </w:rPr>
        <w:drawing>
          <wp:inline distT="0" distB="0" distL="114300" distR="114300">
            <wp:extent cx="5266690" cy="7607935"/>
            <wp:effectExtent l="0" t="0" r="6350" b="12065"/>
            <wp:docPr id="13" name="图片 13" descr="344e1ba9e53bd7c3a8b92c8d8c1d8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44e1ba9e53bd7c3a8b92c8d8c1d8ae"/>
                    <pic:cNvPicPr>
                      <a:picLocks noChangeAspect="1"/>
                    </pic:cNvPicPr>
                  </pic:nvPicPr>
                  <pic:blipFill>
                    <a:blip r:embed="rId24"/>
                    <a:stretch>
                      <a:fillRect/>
                    </a:stretch>
                  </pic:blipFill>
                  <pic:spPr>
                    <a:xfrm>
                      <a:off x="0" y="0"/>
                      <a:ext cx="5266690" cy="7607935"/>
                    </a:xfrm>
                    <a:prstGeom prst="rect">
                      <a:avLst/>
                    </a:prstGeom>
                  </pic:spPr>
                </pic:pic>
              </a:graphicData>
            </a:graphic>
          </wp:inline>
        </w:drawing>
      </w:r>
    </w:p>
    <w:p>
      <w:pPr>
        <w:bidi w:val="0"/>
        <w:ind w:left="0" w:leftChars="0" w:firstLine="0" w:firstLineChars="0"/>
        <w:rPr>
          <w:color w:val="auto"/>
        </w:rPr>
      </w:pPr>
    </w:p>
    <w:p>
      <w:pPr>
        <w:rPr>
          <w:color w:val="auto"/>
        </w:rPr>
        <w:sectPr>
          <w:headerReference r:id="rId5" w:type="default"/>
          <w:pgSz w:w="11910" w:h="16850"/>
          <w:pgMar w:top="1440" w:right="1800" w:bottom="1440" w:left="1800" w:header="884" w:footer="1033" w:gutter="0"/>
          <w:pgBorders>
            <w:top w:val="none" w:sz="0" w:space="0"/>
            <w:left w:val="none" w:sz="0" w:space="0"/>
            <w:bottom w:val="none" w:sz="0" w:space="0"/>
            <w:right w:val="none" w:sz="0" w:space="0"/>
          </w:pgBorders>
          <w:pgNumType w:fmt="decimal" w:start="1" w:chapStyle="1" w:chapSep="emDash"/>
          <w:cols w:space="720" w:num="1"/>
        </w:sectPr>
      </w:pPr>
    </w:p>
    <w:p>
      <w:pPr>
        <w:bidi w:val="0"/>
        <w:ind w:left="0" w:leftChars="0" w:firstLine="0" w:firstLineChars="0"/>
        <w:jc w:val="center"/>
        <w:rPr>
          <w:rFonts w:hint="eastAsia" w:eastAsia="宋体"/>
          <w:color w:val="auto"/>
          <w:lang w:eastAsia="zh-CN"/>
        </w:rPr>
        <w:sectPr>
          <w:headerReference r:id="rId6" w:type="default"/>
          <w:footerReference r:id="rId7" w:type="default"/>
          <w:pgSz w:w="11910" w:h="16850"/>
          <w:pgMar w:top="1440" w:right="1800" w:bottom="1440" w:left="1800" w:header="884" w:footer="1033" w:gutter="0"/>
          <w:pgBorders>
            <w:top w:val="none" w:sz="0" w:space="0"/>
            <w:left w:val="none" w:sz="0" w:space="0"/>
            <w:bottom w:val="none" w:sz="0" w:space="0"/>
            <w:right w:val="none" w:sz="0" w:space="0"/>
          </w:pgBorders>
          <w:pgNumType w:fmt="upperRoman" w:start="1" w:chapStyle="1" w:chapSep="emDash"/>
          <w:cols w:space="720" w:num="1"/>
        </w:sectPr>
      </w:pPr>
      <w:r>
        <w:rPr>
          <w:rFonts w:hint="eastAsia" w:eastAsia="宋体"/>
          <w:color w:val="auto"/>
          <w:lang w:eastAsia="zh-CN"/>
        </w:rPr>
        <w:drawing>
          <wp:inline distT="0" distB="0" distL="114300" distR="114300">
            <wp:extent cx="5270500" cy="8016240"/>
            <wp:effectExtent l="0" t="0" r="2540" b="0"/>
            <wp:docPr id="21" name="图片 21" descr="bcde92ccdabc8e9eea5bfce1d0b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bcde92ccdabc8e9eea5bfce1d0b2629"/>
                    <pic:cNvPicPr>
                      <a:picLocks noChangeAspect="1"/>
                    </pic:cNvPicPr>
                  </pic:nvPicPr>
                  <pic:blipFill>
                    <a:blip r:embed="rId25"/>
                    <a:stretch>
                      <a:fillRect/>
                    </a:stretch>
                  </pic:blipFill>
                  <pic:spPr>
                    <a:xfrm>
                      <a:off x="0" y="0"/>
                      <a:ext cx="5270500" cy="80162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b/>
          <w:bCs/>
          <w:sz w:val="28"/>
          <w:szCs w:val="28"/>
        </w:rPr>
      </w:pPr>
      <w:r>
        <w:rPr>
          <w:rFonts w:hint="eastAsia"/>
          <w:b/>
          <w:bCs/>
          <w:sz w:val="28"/>
          <w:szCs w:val="28"/>
        </w:rPr>
        <w:t>新乡化纤股份有限公司</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both"/>
        <w:textAlignment w:val="auto"/>
        <w:rPr>
          <w:rFonts w:hint="eastAsia"/>
          <w:b/>
          <w:bCs/>
          <w:sz w:val="28"/>
          <w:szCs w:val="28"/>
        </w:rPr>
      </w:pPr>
      <w:r>
        <w:rPr>
          <w:rFonts w:hint="eastAsia"/>
          <w:b/>
          <w:bCs/>
          <w:sz w:val="28"/>
          <w:szCs w:val="28"/>
        </w:rPr>
        <w:t>年产5000吨菌草生物质纤维产业化研发中试项目环境影响报告书</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b/>
          <w:bCs/>
          <w:sz w:val="28"/>
          <w:szCs w:val="28"/>
          <w:lang w:val="en-US" w:eastAsia="zh-CN"/>
        </w:rPr>
      </w:pPr>
      <w:r>
        <w:rPr>
          <w:rFonts w:hint="eastAsia"/>
          <w:b/>
          <w:bCs/>
          <w:sz w:val="28"/>
          <w:szCs w:val="28"/>
        </w:rPr>
        <w:t>专家技术</w:t>
      </w:r>
      <w:r>
        <w:rPr>
          <w:rFonts w:hint="eastAsia"/>
          <w:b/>
          <w:bCs/>
          <w:sz w:val="28"/>
          <w:szCs w:val="28"/>
          <w:lang w:val="en-US" w:eastAsia="zh-CN"/>
        </w:rPr>
        <w:t>复审</w:t>
      </w:r>
      <w:r>
        <w:rPr>
          <w:rFonts w:hint="eastAsia"/>
          <w:b/>
          <w:bCs/>
          <w:sz w:val="28"/>
          <w:szCs w:val="28"/>
        </w:rPr>
        <w:t>意见</w:t>
      </w:r>
      <w:r>
        <w:rPr>
          <w:rFonts w:hint="eastAsia"/>
          <w:b/>
          <w:bCs/>
          <w:sz w:val="28"/>
          <w:szCs w:val="28"/>
          <w:lang w:val="en-US" w:eastAsia="zh-CN"/>
        </w:rPr>
        <w:t>修改说明</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2725"/>
        <w:gridCol w:w="5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Align w:val="center"/>
          </w:tcPr>
          <w:p>
            <w:pPr>
              <w:pStyle w:val="182"/>
              <w:bidi w:val="0"/>
              <w:rPr>
                <w:rFonts w:hint="default"/>
                <w:lang w:val="en-US" w:eastAsia="zh-CN"/>
              </w:rPr>
            </w:pPr>
            <w:r>
              <w:rPr>
                <w:rFonts w:hint="eastAsia"/>
                <w:lang w:val="en-US" w:eastAsia="zh-CN"/>
              </w:rPr>
              <w:t>序号</w:t>
            </w:r>
          </w:p>
        </w:tc>
        <w:tc>
          <w:tcPr>
            <w:tcW w:w="1598" w:type="pct"/>
            <w:vAlign w:val="center"/>
          </w:tcPr>
          <w:p>
            <w:pPr>
              <w:pStyle w:val="182"/>
              <w:bidi w:val="0"/>
              <w:rPr>
                <w:rFonts w:hint="default"/>
                <w:lang w:val="en-US" w:eastAsia="zh-CN"/>
              </w:rPr>
            </w:pPr>
            <w:r>
              <w:rPr>
                <w:rFonts w:hint="eastAsia"/>
                <w:lang w:val="en-US" w:eastAsia="zh-CN"/>
              </w:rPr>
              <w:t>专家意见</w:t>
            </w:r>
          </w:p>
        </w:tc>
        <w:tc>
          <w:tcPr>
            <w:tcW w:w="2990" w:type="pct"/>
            <w:vAlign w:val="center"/>
          </w:tcPr>
          <w:p>
            <w:pPr>
              <w:pStyle w:val="182"/>
              <w:bidi w:val="0"/>
              <w:rPr>
                <w:rFonts w:hint="default"/>
                <w:lang w:val="en-US" w:eastAsia="zh-CN"/>
              </w:rPr>
            </w:pPr>
            <w:r>
              <w:rPr>
                <w:rFonts w:hint="eastAsia"/>
                <w:lang w:val="en-US" w:eastAsia="zh-CN"/>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Align w:val="center"/>
          </w:tcPr>
          <w:p>
            <w:pPr>
              <w:pStyle w:val="182"/>
              <w:bidi w:val="0"/>
              <w:rPr>
                <w:rFonts w:hint="default"/>
                <w:lang w:val="en-US" w:eastAsia="zh-CN"/>
              </w:rPr>
            </w:pPr>
            <w:r>
              <w:rPr>
                <w:rFonts w:hint="eastAsia"/>
                <w:lang w:val="en-US" w:eastAsia="zh-CN"/>
              </w:rPr>
              <w:t>1</w:t>
            </w:r>
          </w:p>
        </w:tc>
        <w:tc>
          <w:tcPr>
            <w:tcW w:w="1598" w:type="pct"/>
            <w:vAlign w:val="center"/>
          </w:tcPr>
          <w:p>
            <w:pPr>
              <w:pStyle w:val="182"/>
              <w:bidi w:val="0"/>
              <w:rPr>
                <w:rFonts w:hint="eastAsia"/>
                <w:lang w:val="en-US" w:eastAsia="zh-CN"/>
              </w:rPr>
            </w:pPr>
            <w:r>
              <w:rPr>
                <w:rFonts w:hint="eastAsia"/>
                <w:lang w:val="zh-CN" w:eastAsia="zh-CN"/>
              </w:rPr>
              <w:t>结合《国家新乡经济技术开发区总体规划(2021-2035)》及规划环评阶段性成果，完善项目可行性分析；细化环境敏感目标调查</w:t>
            </w:r>
          </w:p>
        </w:tc>
        <w:tc>
          <w:tcPr>
            <w:tcW w:w="2990" w:type="pct"/>
            <w:vAlign w:val="center"/>
          </w:tcPr>
          <w:p>
            <w:pPr>
              <w:pStyle w:val="182"/>
              <w:bidi w:val="0"/>
              <w:rPr>
                <w:rFonts w:hint="default"/>
                <w:lang w:val="en-US" w:eastAsia="zh-CN"/>
              </w:rPr>
            </w:pPr>
            <w:r>
              <w:rPr>
                <w:rFonts w:hint="eastAsia"/>
                <w:lang w:val="en-US" w:eastAsia="zh-CN"/>
              </w:rPr>
              <w:t>已</w:t>
            </w:r>
            <w:r>
              <w:rPr>
                <w:rFonts w:hint="eastAsia"/>
                <w:lang w:val="zh-CN" w:eastAsia="zh-CN"/>
              </w:rPr>
              <w:t>结合《国家新乡经济技术开发区总体规划(2021-2035)》及规划环评阶段性成果，完善项目可行性分析，</w:t>
            </w:r>
            <w:r>
              <w:rPr>
                <w:rFonts w:hint="eastAsia"/>
                <w:lang w:val="en-US" w:eastAsia="zh-CN"/>
              </w:rPr>
              <w:t>详见“2.10.4 《国家新乡经济技术开发区总体规划（2021-2035）》”（P39）；已细化</w:t>
            </w:r>
            <w:r>
              <w:rPr>
                <w:rFonts w:hint="eastAsia"/>
                <w:lang w:val="zh-CN" w:eastAsia="zh-CN"/>
              </w:rPr>
              <w:t>环境敏感目标调查，</w:t>
            </w:r>
            <w:r>
              <w:rPr>
                <w:rFonts w:hint="eastAsia"/>
                <w:lang w:val="en-US" w:eastAsia="zh-CN"/>
              </w:rPr>
              <w:t>详见“2.7环境保护目标”（P22）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Align w:val="center"/>
          </w:tcPr>
          <w:p>
            <w:pPr>
              <w:pStyle w:val="182"/>
              <w:bidi w:val="0"/>
              <w:rPr>
                <w:rFonts w:hint="default"/>
                <w:lang w:val="en-US" w:eastAsia="zh-CN"/>
              </w:rPr>
            </w:pPr>
            <w:r>
              <w:rPr>
                <w:rFonts w:hint="eastAsia"/>
                <w:lang w:val="en-US" w:eastAsia="zh-CN"/>
              </w:rPr>
              <w:t>2</w:t>
            </w:r>
          </w:p>
        </w:tc>
        <w:tc>
          <w:tcPr>
            <w:tcW w:w="1598" w:type="pct"/>
            <w:vAlign w:val="center"/>
          </w:tcPr>
          <w:p>
            <w:pPr>
              <w:pStyle w:val="182"/>
              <w:bidi w:val="0"/>
              <w:rPr>
                <w:rFonts w:hint="eastAsia"/>
                <w:lang w:val="en-US" w:eastAsia="zh-CN"/>
              </w:rPr>
            </w:pPr>
            <w:r>
              <w:rPr>
                <w:rFonts w:hint="eastAsia"/>
                <w:lang w:val="zh-CN" w:eastAsia="zh-CN"/>
              </w:rPr>
              <w:t>完善现有工程产排污情况及排污许可执行情况，补充现有工程废水、废气污染物在线监测数据，核实现有工程主要污染物排放量；结合现行环境管理要求，进一步梳理现有工程存在的环保问题并提出针对性的整改措施</w:t>
            </w:r>
          </w:p>
        </w:tc>
        <w:tc>
          <w:tcPr>
            <w:tcW w:w="2990" w:type="pct"/>
            <w:vAlign w:val="center"/>
          </w:tcPr>
          <w:p>
            <w:pPr>
              <w:pStyle w:val="182"/>
              <w:bidi w:val="0"/>
              <w:rPr>
                <w:rFonts w:hint="default"/>
                <w:lang w:val="en-US" w:eastAsia="zh-CN"/>
              </w:rPr>
            </w:pPr>
            <w:r>
              <w:rPr>
                <w:rFonts w:hint="eastAsia"/>
                <w:lang w:val="en-US" w:eastAsia="zh-CN"/>
              </w:rPr>
              <w:t>已</w:t>
            </w:r>
            <w:r>
              <w:rPr>
                <w:rFonts w:hint="eastAsia"/>
                <w:lang w:val="zh-CN" w:eastAsia="zh-CN"/>
              </w:rPr>
              <w:t>完善现有工程产排污情况及排污许可执行情况，补充现有工程废水、废气污染物在线监测数据，核实现有工程主要污染物排放量，</w:t>
            </w:r>
            <w:r>
              <w:rPr>
                <w:rFonts w:hint="eastAsia"/>
                <w:lang w:val="en-US" w:eastAsia="zh-CN"/>
              </w:rPr>
              <w:t>详见“表3.3-6 厂区污水处理站总排口污染物年排放量在线监测数据”（P91-92），“3.3.7已建工程三废排放情况”（P101-102）”；已结合现行环境管理要求，进一步梳理现有工程存在的环保问题并提出针对性的整改措施，详见“3.5现有工程存在的环保问题及整改措施”（P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Align w:val="center"/>
          </w:tcPr>
          <w:p>
            <w:pPr>
              <w:pStyle w:val="182"/>
              <w:bidi w:val="0"/>
              <w:rPr>
                <w:rFonts w:hint="default"/>
                <w:lang w:val="en-US" w:eastAsia="zh-CN"/>
              </w:rPr>
            </w:pPr>
            <w:r>
              <w:rPr>
                <w:rFonts w:hint="eastAsia"/>
                <w:lang w:val="en-US" w:eastAsia="zh-CN"/>
              </w:rPr>
              <w:t>3</w:t>
            </w:r>
          </w:p>
        </w:tc>
        <w:tc>
          <w:tcPr>
            <w:tcW w:w="1598" w:type="pct"/>
            <w:vAlign w:val="center"/>
          </w:tcPr>
          <w:p>
            <w:pPr>
              <w:pStyle w:val="182"/>
              <w:bidi w:val="0"/>
              <w:rPr>
                <w:rFonts w:hint="eastAsia"/>
                <w:lang w:val="en-US" w:eastAsia="zh-CN"/>
              </w:rPr>
            </w:pPr>
            <w:r>
              <w:rPr>
                <w:rFonts w:hint="eastAsia"/>
                <w:lang w:val="zh-CN" w:eastAsia="zh-CN"/>
              </w:rPr>
              <w:t>进一步完善本项目主辅工程与现有工程的利用关系及依托可行性分析；细化生产工艺流程及产污环节分析，核实原辅材料用量及菌草纤维含量，补充小试废水数据来源的有效性，细化洗浆漂白工段漂白效率等工艺参数，据此核实废水源强；结合工业化中试特点，细化中试方案，校核项目物料平衡、水平衡、蒸汽平衡，补充非正常工况情况介绍，明确项目的后续环境管理要求；从项目小试开展情况、原料、工艺设备、绩效分级等方面，细化项目清洁生产水平分析</w:t>
            </w:r>
          </w:p>
        </w:tc>
        <w:tc>
          <w:tcPr>
            <w:tcW w:w="2990" w:type="pct"/>
            <w:vAlign w:val="center"/>
          </w:tcPr>
          <w:p>
            <w:pPr>
              <w:pStyle w:val="182"/>
              <w:bidi w:val="0"/>
              <w:rPr>
                <w:rFonts w:hint="default"/>
                <w:lang w:val="en-US" w:eastAsia="zh-CN"/>
              </w:rPr>
            </w:pPr>
            <w:r>
              <w:rPr>
                <w:rFonts w:hint="eastAsia"/>
                <w:lang w:val="en-US" w:eastAsia="zh-CN"/>
              </w:rPr>
              <w:t>已完善本项目主辅工程与现有工程的利用关系，详见“3.7.2.1项目建设内容”（P120-121），蒸汽及水处理等公用工程依托详见“3.7.8公用工程，（2）排水，（4）供热”（P129-130）;已细化生产工艺流程及产污环节分析，详见“3.7.9工艺流程”（P130-131）；已核实原辅材料用量及菌草纤维含量，详见“表3.7-5          工程原辅材料及能源消耗一览表”（P123）；“表3.7-6         不同种菌草纤维素及木质素含量”（P124）;已补充小试废水数据来源的有效性，细化洗浆漂白工段漂白效率等工艺参数，据此核实废水源强，详见“3.6.13.2营运期污染因素分析，2）生产废水”（P147-148）；附件9 项目小试废水产排情况”；已</w:t>
            </w:r>
            <w:r>
              <w:rPr>
                <w:rFonts w:hint="eastAsia"/>
                <w:lang w:val="zh-CN" w:eastAsia="zh-CN"/>
              </w:rPr>
              <w:t>结合工业化中试特点，细化中试方案，</w:t>
            </w:r>
            <w:r>
              <w:rPr>
                <w:rFonts w:hint="eastAsia"/>
                <w:lang w:val="en-US" w:eastAsia="zh-CN"/>
              </w:rPr>
              <w:t>详见“3.7.2.2 项目建设方案”（P121）；已</w:t>
            </w:r>
            <w:r>
              <w:rPr>
                <w:rFonts w:hint="eastAsia"/>
                <w:lang w:val="zh-CN" w:eastAsia="zh-CN"/>
              </w:rPr>
              <w:t>校核项目物料平衡、水平衡、蒸汽平衡，</w:t>
            </w:r>
            <w:r>
              <w:rPr>
                <w:rFonts w:hint="eastAsia"/>
                <w:lang w:val="en-US" w:eastAsia="zh-CN"/>
              </w:rPr>
              <w:t>详见“表3.7-11  菌草制浆单元物料平衡表”（P135）“3.7.11水平衡和蒸汽平衡”（P135-138）；已</w:t>
            </w:r>
            <w:r>
              <w:rPr>
                <w:rFonts w:hint="eastAsia"/>
                <w:lang w:val="zh-CN" w:eastAsia="zh-CN"/>
              </w:rPr>
              <w:t>补充非正常工况情况介绍，明确项目的后续环境管理要求，</w:t>
            </w:r>
            <w:r>
              <w:rPr>
                <w:rFonts w:hint="eastAsia"/>
                <w:lang w:val="en-US" w:eastAsia="zh-CN"/>
              </w:rPr>
              <w:t>详见“3.7.14 中试试验非正常情况污染分析”（P157-158）</w:t>
            </w:r>
            <w:r>
              <w:rPr>
                <w:rFonts w:hint="eastAsia"/>
                <w:lang w:val="zh-CN" w:eastAsia="zh-CN"/>
              </w:rPr>
              <w:t>；</w:t>
            </w:r>
            <w:r>
              <w:rPr>
                <w:rFonts w:hint="eastAsia"/>
                <w:lang w:val="en-US" w:eastAsia="zh-CN"/>
              </w:rPr>
              <w:t>已根据</w:t>
            </w:r>
            <w:r>
              <w:rPr>
                <w:rFonts w:hint="eastAsia"/>
                <w:lang w:val="zh-CN" w:eastAsia="zh-CN"/>
              </w:rPr>
              <w:t>项目小试开展情况、原料、工艺设备、绩效分级等方面，细化项目清洁生产水平分析，</w:t>
            </w:r>
            <w:r>
              <w:rPr>
                <w:rFonts w:hint="eastAsia"/>
                <w:lang w:val="en-US" w:eastAsia="zh-CN"/>
              </w:rPr>
              <w:t>详见“3.8本项目清洁生产分析”（P158-165）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Align w:val="center"/>
          </w:tcPr>
          <w:p>
            <w:pPr>
              <w:pStyle w:val="182"/>
              <w:bidi w:val="0"/>
              <w:rPr>
                <w:rFonts w:hint="default"/>
                <w:lang w:val="en-US" w:eastAsia="zh-CN"/>
              </w:rPr>
            </w:pPr>
            <w:r>
              <w:rPr>
                <w:rFonts w:hint="eastAsia"/>
                <w:lang w:val="en-US" w:eastAsia="zh-CN"/>
              </w:rPr>
              <w:t>4</w:t>
            </w:r>
          </w:p>
        </w:tc>
        <w:tc>
          <w:tcPr>
            <w:tcW w:w="1598" w:type="pct"/>
            <w:vAlign w:val="center"/>
          </w:tcPr>
          <w:p>
            <w:pPr>
              <w:pStyle w:val="182"/>
              <w:bidi w:val="0"/>
              <w:rPr>
                <w:rFonts w:hint="eastAsia"/>
                <w:lang w:val="en-US" w:eastAsia="zh-CN"/>
              </w:rPr>
            </w:pPr>
            <w:r>
              <w:rPr>
                <w:rFonts w:hint="eastAsia"/>
                <w:lang w:val="zh-CN" w:eastAsia="zh-CN"/>
              </w:rPr>
              <w:t>结合现有工程污水处理站各工段去除效率，进一步论证本项目产生废水依托现有工程废水治理措施的可行性；核实高噪声设备源强，结合高噪声设备分布情况，完善噪声影响分析内容；核实固废类别及产生量，明确蒸发残留物及木质素性质及去向，强化危废间设置的环境管理要求；细化现有工程环境风险防范措施评价内容，明确依托现有工程环境风险防范措施的可行性，核实Q值计算结果</w:t>
            </w:r>
          </w:p>
        </w:tc>
        <w:tc>
          <w:tcPr>
            <w:tcW w:w="2990" w:type="pct"/>
            <w:vAlign w:val="center"/>
          </w:tcPr>
          <w:p>
            <w:pPr>
              <w:pStyle w:val="182"/>
              <w:bidi w:val="0"/>
              <w:rPr>
                <w:rFonts w:hint="default"/>
                <w:lang w:val="en-US" w:eastAsia="zh-CN"/>
              </w:rPr>
            </w:pPr>
            <w:r>
              <w:rPr>
                <w:rFonts w:hint="eastAsia"/>
                <w:lang w:val="en-US" w:eastAsia="zh-CN"/>
              </w:rPr>
              <w:t>已</w:t>
            </w:r>
            <w:r>
              <w:rPr>
                <w:rFonts w:hint="eastAsia"/>
                <w:lang w:val="zh-CN" w:eastAsia="zh-CN"/>
              </w:rPr>
              <w:t>结合现有工程污水处理站各工段去除效率，进一步论证本项目产生废水依托现有工程废水治理措施的可行性，</w:t>
            </w:r>
            <w:r>
              <w:rPr>
                <w:rFonts w:hint="eastAsia"/>
                <w:lang w:val="en-US" w:eastAsia="zh-CN"/>
              </w:rPr>
              <w:t>详见“表3.7-20 新乡化纤各污水处理单元处理效果统计”（P151-152）；“表3.7-21  工程废水处理效果及排放情况一览表”（P153）；已</w:t>
            </w:r>
            <w:r>
              <w:rPr>
                <w:rFonts w:hint="eastAsia"/>
                <w:lang w:val="zh-CN" w:eastAsia="zh-CN"/>
              </w:rPr>
              <w:t>核实高噪声设备源强，结合高噪声设备分布情况，完善噪声影响分析内容，</w:t>
            </w:r>
            <w:r>
              <w:rPr>
                <w:rFonts w:hint="eastAsia"/>
                <w:lang w:val="en-US" w:eastAsia="zh-CN"/>
              </w:rPr>
              <w:t>详见“5.5声环境影响预测，表5.5-1 年产5000吨菌草生物质纤维产业化研发中试项目噪声源强调查清单（室内声源），表5.5-2 年产5000吨菌草生物质纤维产业化研发中试项目噪声源强调查清单（室外声源）”（P236-242）；已</w:t>
            </w:r>
            <w:r>
              <w:rPr>
                <w:rFonts w:hint="eastAsia"/>
                <w:lang w:val="zh-CN" w:eastAsia="zh-CN"/>
              </w:rPr>
              <w:t>核实固废类别及产生量，</w:t>
            </w:r>
            <w:r>
              <w:rPr>
                <w:rFonts w:hint="eastAsia"/>
                <w:lang w:val="en-US" w:eastAsia="zh-CN"/>
              </w:rPr>
              <w:t>并</w:t>
            </w:r>
            <w:r>
              <w:rPr>
                <w:rFonts w:hint="eastAsia"/>
                <w:lang w:val="zh-CN" w:eastAsia="zh-CN"/>
              </w:rPr>
              <w:t>明确蒸发残留物及木质素性质及去向，</w:t>
            </w:r>
            <w:r>
              <w:rPr>
                <w:rFonts w:hint="eastAsia"/>
                <w:lang w:val="en-US" w:eastAsia="zh-CN"/>
              </w:rPr>
              <w:t>详见“四、固体废物”（P155-156）；已</w:t>
            </w:r>
            <w:r>
              <w:rPr>
                <w:rFonts w:hint="eastAsia"/>
                <w:lang w:val="zh-CN" w:eastAsia="zh-CN"/>
              </w:rPr>
              <w:t>强化危废间设置的环境管理要求，</w:t>
            </w:r>
            <w:r>
              <w:rPr>
                <w:rFonts w:hint="eastAsia"/>
                <w:lang w:val="en-US" w:eastAsia="zh-CN"/>
              </w:rPr>
              <w:t>详见</w:t>
            </w:r>
            <w:r>
              <w:rPr>
                <w:rFonts w:hint="eastAsia"/>
                <w:lang w:val="zh-CN" w:eastAsia="zh-CN"/>
              </w:rPr>
              <w:t>“6.2.4固体废物防治措施可行性分析”（</w:t>
            </w:r>
            <w:r>
              <w:rPr>
                <w:rFonts w:hint="eastAsia"/>
                <w:lang w:val="en-US" w:eastAsia="zh-CN"/>
              </w:rPr>
              <w:t>P280-281</w:t>
            </w:r>
            <w:r>
              <w:rPr>
                <w:rFonts w:hint="eastAsia"/>
                <w:lang w:val="zh-CN" w:eastAsia="zh-CN"/>
              </w:rPr>
              <w:t>）；</w:t>
            </w:r>
            <w:r>
              <w:rPr>
                <w:rFonts w:hint="eastAsia"/>
                <w:lang w:val="en-US" w:eastAsia="zh-CN"/>
              </w:rPr>
              <w:t>已</w:t>
            </w:r>
            <w:r>
              <w:rPr>
                <w:rFonts w:hint="eastAsia"/>
                <w:lang w:val="zh-CN" w:eastAsia="zh-CN"/>
              </w:rPr>
              <w:t>细化现有工程环境风险防范措施评价内容，明确依托现有工程环境风险防范措施的可行性，</w:t>
            </w:r>
            <w:r>
              <w:rPr>
                <w:rFonts w:hint="eastAsia"/>
                <w:lang w:val="en-US" w:eastAsia="zh-CN"/>
              </w:rPr>
              <w:t>详见“3.5 现有工程应急预案开展情况”（P115-118）“5.9环境风险影响分析评价”（P240）；</w:t>
            </w:r>
            <w:r>
              <w:rPr>
                <w:rFonts w:hint="eastAsia"/>
                <w:lang w:val="zh-CN" w:eastAsia="zh-CN"/>
              </w:rPr>
              <w:t>核实Q值计算结果，</w:t>
            </w:r>
            <w:r>
              <w:rPr>
                <w:rFonts w:hint="eastAsia"/>
                <w:lang w:val="en-US" w:eastAsia="zh-CN"/>
              </w:rPr>
              <w:t>已核实</w:t>
            </w:r>
            <w:r>
              <w:rPr>
                <w:rFonts w:hint="eastAsia"/>
                <w:lang w:val="zh-CN" w:eastAsia="zh-CN"/>
              </w:rPr>
              <w:t>Q值</w:t>
            </w:r>
            <w:r>
              <w:rPr>
                <w:rFonts w:hint="eastAsia"/>
                <w:lang w:val="en-US" w:eastAsia="zh-CN"/>
              </w:rPr>
              <w:t>，详见“5.9环境风险影响分析评价”（P245--260）；“5.10 风险预测与评价”（P260-263）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Align w:val="center"/>
          </w:tcPr>
          <w:p>
            <w:pPr>
              <w:pStyle w:val="182"/>
              <w:bidi w:val="0"/>
              <w:rPr>
                <w:rFonts w:hint="default"/>
                <w:lang w:val="en-US" w:eastAsia="zh-CN"/>
              </w:rPr>
            </w:pPr>
            <w:r>
              <w:rPr>
                <w:rFonts w:hint="eastAsia"/>
                <w:lang w:val="en-US" w:eastAsia="zh-CN"/>
              </w:rPr>
              <w:t>5</w:t>
            </w:r>
          </w:p>
        </w:tc>
        <w:tc>
          <w:tcPr>
            <w:tcW w:w="1598" w:type="pct"/>
            <w:vAlign w:val="center"/>
          </w:tcPr>
          <w:p>
            <w:pPr>
              <w:pStyle w:val="182"/>
              <w:bidi w:val="0"/>
              <w:rPr>
                <w:rFonts w:hint="eastAsia"/>
                <w:lang w:val="en-US" w:eastAsia="zh-CN"/>
              </w:rPr>
            </w:pPr>
            <w:r>
              <w:rPr>
                <w:rFonts w:hint="eastAsia"/>
                <w:lang w:val="zh-CN" w:eastAsia="zh-CN"/>
              </w:rPr>
              <w:t>完善环境空气质量现状评价；核实地下水评价等级及预测情景参数，据此完善地下水评价相关内容</w:t>
            </w:r>
          </w:p>
        </w:tc>
        <w:tc>
          <w:tcPr>
            <w:tcW w:w="2990" w:type="pct"/>
            <w:vAlign w:val="center"/>
          </w:tcPr>
          <w:p>
            <w:pPr>
              <w:pStyle w:val="182"/>
              <w:bidi w:val="0"/>
              <w:rPr>
                <w:rFonts w:hint="default"/>
                <w:lang w:val="en-US" w:eastAsia="zh-CN"/>
              </w:rPr>
            </w:pPr>
            <w:r>
              <w:rPr>
                <w:rFonts w:hint="eastAsia"/>
                <w:lang w:val="en-US" w:eastAsia="zh-CN"/>
              </w:rPr>
              <w:t>已补充</w:t>
            </w:r>
            <w:r>
              <w:rPr>
                <w:rFonts w:hint="eastAsia"/>
                <w:lang w:val="zh-CN" w:eastAsia="zh-CN"/>
              </w:rPr>
              <w:t>完善环境空气质量现状评价，</w:t>
            </w:r>
            <w:r>
              <w:rPr>
                <w:rFonts w:hint="eastAsia"/>
                <w:lang w:val="en-US" w:eastAsia="zh-CN"/>
              </w:rPr>
              <w:t>详见“4.2.2环境空气质量现状评价”（P176-180）；已核实地下水评价等级及预测情景参数，据此完善地下水评价相关内容，详见“2.5.3地下水环境评价等级”（P15），“5.4地下水环境影响评价”（P221，225-231）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Align w:val="center"/>
          </w:tcPr>
          <w:p>
            <w:pPr>
              <w:pStyle w:val="182"/>
              <w:bidi w:val="0"/>
              <w:rPr>
                <w:rFonts w:hint="default"/>
                <w:lang w:val="en-US" w:eastAsia="zh-CN"/>
              </w:rPr>
            </w:pPr>
            <w:r>
              <w:rPr>
                <w:rFonts w:hint="eastAsia"/>
                <w:lang w:val="en-US" w:eastAsia="zh-CN"/>
              </w:rPr>
              <w:t>6</w:t>
            </w:r>
          </w:p>
        </w:tc>
        <w:tc>
          <w:tcPr>
            <w:tcW w:w="1598" w:type="pct"/>
            <w:vAlign w:val="center"/>
          </w:tcPr>
          <w:p>
            <w:pPr>
              <w:pStyle w:val="182"/>
              <w:bidi w:val="0"/>
              <w:rPr>
                <w:rFonts w:hint="eastAsia"/>
                <w:lang w:val="en-US" w:eastAsia="zh-CN"/>
              </w:rPr>
            </w:pPr>
            <w:r>
              <w:rPr>
                <w:rFonts w:hint="eastAsia"/>
                <w:lang w:val="zh-CN" w:eastAsia="zh-CN"/>
              </w:rPr>
              <w:t>核实污染物产排“三笔帐”及总量控制指标，细化“三同时”环保验收一览表，完善环境经济损益分析、运营期环境监测与管理计划，完善附图附件。</w:t>
            </w:r>
          </w:p>
        </w:tc>
        <w:tc>
          <w:tcPr>
            <w:tcW w:w="2990" w:type="pct"/>
            <w:vAlign w:val="center"/>
          </w:tcPr>
          <w:p>
            <w:pPr>
              <w:pStyle w:val="182"/>
              <w:bidi w:val="0"/>
              <w:rPr>
                <w:rFonts w:hint="default"/>
                <w:lang w:val="en-US" w:eastAsia="zh-CN"/>
              </w:rPr>
            </w:pPr>
            <w:r>
              <w:rPr>
                <w:rFonts w:hint="eastAsia"/>
                <w:lang w:val="en-US" w:eastAsia="zh-CN"/>
              </w:rPr>
              <w:t>已</w:t>
            </w:r>
            <w:r>
              <w:rPr>
                <w:rFonts w:hint="eastAsia"/>
                <w:lang w:val="zh-CN" w:eastAsia="zh-CN"/>
              </w:rPr>
              <w:t>核实污染物产排“三笔帐”及总量控制指标，</w:t>
            </w:r>
            <w:r>
              <w:rPr>
                <w:rFonts w:hint="eastAsia"/>
                <w:lang w:val="en-US" w:eastAsia="zh-CN"/>
              </w:rPr>
              <w:t>详见“表3.7-31  项目建成后全厂主要污染物排放三笔账单位：t/a”（P157-158）；已细化“三同时”环保验收一览表，详见“表6.3-2 拟建工程环保竣工验收一览表”（P285）；已完善</w:t>
            </w:r>
            <w:r>
              <w:rPr>
                <w:rFonts w:hint="eastAsia"/>
                <w:lang w:val="zh-CN" w:eastAsia="zh-CN"/>
              </w:rPr>
              <w:t>环境经济损益分析，</w:t>
            </w:r>
            <w:r>
              <w:rPr>
                <w:rFonts w:hint="eastAsia"/>
                <w:lang w:val="en-US" w:eastAsia="zh-CN"/>
              </w:rPr>
              <w:t>详见“第七章  环境影响经济损益分析”（P291-294）；已完善</w:t>
            </w:r>
            <w:r>
              <w:rPr>
                <w:rFonts w:hint="eastAsia"/>
                <w:lang w:val="zh-CN" w:eastAsia="zh-CN"/>
              </w:rPr>
              <w:t>运营期环境监测与管理计划，</w:t>
            </w:r>
            <w:r>
              <w:rPr>
                <w:rFonts w:hint="eastAsia"/>
                <w:lang w:val="en-US" w:eastAsia="zh-CN"/>
              </w:rPr>
              <w:t>详见“8.2.4运行期监测计划”（P298-299），已</w:t>
            </w:r>
            <w:r>
              <w:rPr>
                <w:rFonts w:hint="eastAsia"/>
                <w:lang w:val="zh-CN" w:eastAsia="zh-CN"/>
              </w:rPr>
              <w:t>完善附图附件，</w:t>
            </w:r>
            <w:r>
              <w:rPr>
                <w:rFonts w:hint="eastAsia"/>
                <w:lang w:val="en-US" w:eastAsia="zh-CN"/>
              </w:rPr>
              <w:t>详见附图附件</w:t>
            </w:r>
            <w:r>
              <w:rPr>
                <w:rFonts w:hint="eastAsia"/>
                <w:lang w:val="zh-CN" w:eastAsia="zh-CN"/>
              </w:rPr>
              <w:t>。</w:t>
            </w:r>
          </w:p>
        </w:tc>
      </w:tr>
    </w:tbl>
    <w:p/>
    <w:p>
      <w:pPr>
        <w:pStyle w:val="20"/>
      </w:pPr>
    </w:p>
    <w:p>
      <w:pPr>
        <w:pStyle w:val="20"/>
      </w:pPr>
    </w:p>
    <w:p>
      <w:pPr>
        <w:pStyle w:val="20"/>
      </w:pPr>
    </w:p>
    <w:p>
      <w:pPr>
        <w:pStyle w:val="20"/>
        <w:sectPr>
          <w:pgSz w:w="11910" w:h="16850"/>
          <w:pgMar w:top="1440" w:right="1800" w:bottom="1440" w:left="1800" w:header="884" w:footer="1033" w:gutter="0"/>
          <w:pgBorders>
            <w:top w:val="none" w:sz="0" w:space="0"/>
            <w:left w:val="none" w:sz="0" w:space="0"/>
            <w:bottom w:val="none" w:sz="0" w:space="0"/>
            <w:right w:val="none" w:sz="0" w:space="0"/>
          </w:pgBorders>
          <w:pgNumType w:fmt="upperRoman" w:start="1" w:chapStyle="1" w:chapSep="emDash"/>
          <w:cols w:space="720" w:num="1"/>
        </w:sectPr>
      </w:pPr>
    </w:p>
    <w:p>
      <w:pPr>
        <w:pStyle w:val="2"/>
      </w:pPr>
    </w:p>
    <w:p>
      <w:pPr>
        <w:pStyle w:val="2"/>
        <w:ind w:left="0" w:leftChars="0" w:firstLine="0" w:firstLineChars="0"/>
        <w:jc w:val="center"/>
        <w:rPr>
          <w:color w:val="auto"/>
        </w:rPr>
      </w:pPr>
      <w:r>
        <w:rPr>
          <w:color w:val="auto"/>
        </w:rPr>
        <w:drawing>
          <wp:inline distT="0" distB="0" distL="114300" distR="114300">
            <wp:extent cx="5410200" cy="7439025"/>
            <wp:effectExtent l="0" t="0" r="0" b="952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6"/>
                    <a:stretch>
                      <a:fillRect/>
                    </a:stretch>
                  </pic:blipFill>
                  <pic:spPr>
                    <a:xfrm>
                      <a:off x="0" y="0"/>
                      <a:ext cx="5410200" cy="7439025"/>
                    </a:xfrm>
                    <a:prstGeom prst="rect">
                      <a:avLst/>
                    </a:prstGeom>
                    <a:noFill/>
                    <a:ln>
                      <a:noFill/>
                    </a:ln>
                  </pic:spPr>
                </pic:pic>
              </a:graphicData>
            </a:graphic>
          </wp:inline>
        </w:drawing>
      </w:r>
    </w:p>
    <w:p>
      <w:pPr>
        <w:pStyle w:val="182"/>
        <w:bidi w:val="0"/>
        <w:rPr>
          <w:color w:val="auto"/>
        </w:rPr>
      </w:pPr>
    </w:p>
    <w:p>
      <w:pPr>
        <w:pStyle w:val="182"/>
        <w:bidi w:val="0"/>
        <w:rPr>
          <w:color w:val="auto"/>
        </w:rPr>
        <w:sectPr>
          <w:pgSz w:w="11910" w:h="16850"/>
          <w:pgMar w:top="1440" w:right="1800" w:bottom="1440" w:left="1800" w:header="884" w:footer="1033" w:gutter="0"/>
          <w:pgBorders>
            <w:top w:val="none" w:sz="0" w:space="0"/>
            <w:left w:val="none" w:sz="0" w:space="0"/>
            <w:bottom w:val="none" w:sz="0" w:space="0"/>
            <w:right w:val="none" w:sz="0" w:space="0"/>
          </w:pgBorders>
          <w:pgNumType w:fmt="upperRoman" w:start="1" w:chapStyle="1" w:chapSep="emDash"/>
          <w:cols w:space="720" w:num="1"/>
        </w:sectPr>
      </w:pPr>
    </w:p>
    <w:p>
      <w:pPr>
        <w:bidi w:val="0"/>
        <w:ind w:firstLine="0" w:firstLineChars="0"/>
        <w:rPr>
          <w:color w:val="auto"/>
        </w:rPr>
        <w:sectPr>
          <w:pgSz w:w="11910" w:h="16838"/>
          <w:pgMar w:top="1440" w:right="1800" w:bottom="1440" w:left="1800" w:header="884" w:footer="1033" w:gutter="0"/>
          <w:pgBorders>
            <w:top w:val="none" w:sz="0" w:space="0"/>
            <w:left w:val="none" w:sz="0" w:space="0"/>
            <w:bottom w:val="none" w:sz="0" w:space="0"/>
            <w:right w:val="none" w:sz="0" w:space="0"/>
          </w:pgBorders>
          <w:pgNumType w:fmt="upperRoman" w:start="1" w:chapStyle="1" w:chapSep="emDash"/>
          <w:cols w:space="720" w:num="1"/>
        </w:sectPr>
      </w:pPr>
      <w:r>
        <w:rPr>
          <w:color w:val="auto"/>
        </w:rPr>
        <w:drawing>
          <wp:inline distT="0" distB="0" distL="114300" distR="114300">
            <wp:extent cx="5287645" cy="7528560"/>
            <wp:effectExtent l="0" t="0" r="635" b="0"/>
            <wp:docPr id="12" name="图片 12" descr="李文彦职工缴费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李文彦职工缴费_00"/>
                    <pic:cNvPicPr>
                      <a:picLocks noChangeAspect="1"/>
                    </pic:cNvPicPr>
                  </pic:nvPicPr>
                  <pic:blipFill>
                    <a:blip r:embed="rId27"/>
                    <a:srcRect t="72" b="3942"/>
                    <a:stretch>
                      <a:fillRect/>
                    </a:stretch>
                  </pic:blipFill>
                  <pic:spPr>
                    <a:xfrm>
                      <a:off x="0" y="0"/>
                      <a:ext cx="5287645" cy="75285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ascii="宋体" w:hAnsi="宋体"/>
          <w:color w:val="auto"/>
          <w:sz w:val="28"/>
          <w:szCs w:val="28"/>
        </w:rPr>
      </w:pPr>
      <w:r>
        <w:rPr>
          <w:rFonts w:ascii="宋体" w:hAnsi="宋体"/>
          <w:b/>
          <w:bCs/>
          <w:color w:val="auto"/>
          <w:sz w:val="28"/>
          <w:szCs w:val="28"/>
        </w:rPr>
        <w:t>目</w:t>
      </w:r>
      <w:r>
        <w:rPr>
          <w:rFonts w:hint="eastAsia" w:ascii="宋体" w:hAnsi="宋体"/>
          <w:b/>
          <w:bCs/>
          <w:color w:val="auto"/>
          <w:sz w:val="28"/>
          <w:szCs w:val="28"/>
          <w:lang w:val="en-US" w:eastAsia="zh-CN"/>
        </w:rPr>
        <w:t xml:space="preserve">  </w:t>
      </w:r>
      <w:r>
        <w:rPr>
          <w:rFonts w:ascii="宋体" w:hAnsi="宋体"/>
          <w:b/>
          <w:bCs/>
          <w:color w:val="auto"/>
          <w:sz w:val="28"/>
          <w:szCs w:val="28"/>
        </w:rPr>
        <w:t>录</w:t>
      </w:r>
    </w:p>
    <w:p>
      <w:pPr>
        <w:pStyle w:val="25"/>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rPr>
          <w:b/>
          <w:bCs/>
        </w:rPr>
      </w:pPr>
      <w:r>
        <w:rPr>
          <w:color w:val="auto"/>
          <w:sz w:val="21"/>
          <w:szCs w:val="21"/>
        </w:rPr>
        <w:fldChar w:fldCharType="begin"/>
      </w:r>
      <w:r>
        <w:rPr>
          <w:color w:val="auto"/>
          <w:sz w:val="21"/>
          <w:szCs w:val="21"/>
        </w:rPr>
        <w:instrText xml:space="preserve">TOC \o "1-2" \h \u </w:instrText>
      </w:r>
      <w:r>
        <w:rPr>
          <w:color w:val="auto"/>
          <w:sz w:val="21"/>
          <w:szCs w:val="21"/>
        </w:rPr>
        <w:fldChar w:fldCharType="separate"/>
      </w:r>
      <w:r>
        <w:rPr>
          <w:b/>
          <w:bCs/>
          <w:color w:val="auto"/>
          <w:szCs w:val="21"/>
        </w:rPr>
        <w:fldChar w:fldCharType="begin"/>
      </w:r>
      <w:r>
        <w:rPr>
          <w:b/>
          <w:bCs/>
          <w:szCs w:val="21"/>
        </w:rPr>
        <w:instrText xml:space="preserve"> HYPERLINK \l _Toc30295 </w:instrText>
      </w:r>
      <w:r>
        <w:rPr>
          <w:b/>
          <w:bCs/>
          <w:szCs w:val="21"/>
        </w:rPr>
        <w:fldChar w:fldCharType="separate"/>
      </w:r>
      <w:r>
        <w:rPr>
          <w:rFonts w:hint="eastAsia"/>
          <w:b/>
          <w:bCs/>
        </w:rPr>
        <w:t xml:space="preserve">第一章  </w:t>
      </w:r>
      <w:r>
        <w:rPr>
          <w:b/>
          <w:bCs/>
        </w:rPr>
        <w:t>概述</w:t>
      </w:r>
      <w:r>
        <w:rPr>
          <w:b/>
          <w:bCs/>
        </w:rPr>
        <w:tab/>
      </w:r>
      <w:r>
        <w:rPr>
          <w:b/>
          <w:bCs/>
        </w:rPr>
        <w:fldChar w:fldCharType="begin"/>
      </w:r>
      <w:r>
        <w:rPr>
          <w:b/>
          <w:bCs/>
        </w:rPr>
        <w:instrText xml:space="preserve"> PAGEREF _Toc30295 \h </w:instrText>
      </w:r>
      <w:r>
        <w:rPr>
          <w:b/>
          <w:bCs/>
        </w:rPr>
        <w:fldChar w:fldCharType="separate"/>
      </w:r>
      <w:r>
        <w:rPr>
          <w:b/>
          <w:bCs/>
        </w:rPr>
        <w:t>1</w:t>
      </w:r>
      <w:r>
        <w:rPr>
          <w:b/>
          <w:bCs/>
        </w:rPr>
        <w:fldChar w:fldCharType="end"/>
      </w:r>
      <w:r>
        <w:rPr>
          <w:b/>
          <w:bCs/>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_Toc29989 </w:instrText>
      </w:r>
      <w:r>
        <w:rPr>
          <w:szCs w:val="21"/>
        </w:rPr>
        <w:fldChar w:fldCharType="separate"/>
      </w:r>
      <w:r>
        <w:rPr>
          <w:rFonts w:hint="eastAsia"/>
        </w:rPr>
        <w:t>1.1</w:t>
      </w:r>
      <w:r>
        <w:rPr>
          <w:rFonts w:hint="eastAsia"/>
          <w:lang w:val="en-US" w:eastAsia="zh-CN"/>
        </w:rPr>
        <w:t xml:space="preserve"> </w:t>
      </w:r>
      <w:r>
        <w:t>项目由来</w:t>
      </w:r>
      <w:r>
        <w:tab/>
      </w:r>
      <w:r>
        <w:fldChar w:fldCharType="begin"/>
      </w:r>
      <w:r>
        <w:instrText xml:space="preserve"> PAGEREF _Toc29989 \h </w:instrText>
      </w:r>
      <w:r>
        <w:fldChar w:fldCharType="separate"/>
      </w:r>
      <w:r>
        <w:t>1</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_Toc26264 </w:instrText>
      </w:r>
      <w:r>
        <w:rPr>
          <w:szCs w:val="21"/>
        </w:rPr>
        <w:fldChar w:fldCharType="separate"/>
      </w:r>
      <w:r>
        <w:rPr>
          <w:rFonts w:hint="eastAsia"/>
        </w:rPr>
        <w:t>1.2</w:t>
      </w:r>
      <w:r>
        <w:rPr>
          <w:rFonts w:hint="eastAsia"/>
          <w:lang w:val="en-US" w:eastAsia="zh-CN"/>
        </w:rPr>
        <w:t xml:space="preserve"> </w:t>
      </w:r>
      <w:r>
        <w:rPr>
          <w:rFonts w:hint="eastAsia"/>
        </w:rPr>
        <w:t>建设项目特点</w:t>
      </w:r>
      <w:r>
        <w:tab/>
      </w:r>
      <w:r>
        <w:fldChar w:fldCharType="begin"/>
      </w:r>
      <w:r>
        <w:instrText xml:space="preserve"> PAGEREF _Toc26264 \h </w:instrText>
      </w:r>
      <w:r>
        <w:fldChar w:fldCharType="separate"/>
      </w:r>
      <w:r>
        <w:t>3</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_Toc29913 </w:instrText>
      </w:r>
      <w:r>
        <w:rPr>
          <w:szCs w:val="21"/>
        </w:rPr>
        <w:fldChar w:fldCharType="separate"/>
      </w:r>
      <w:r>
        <w:rPr>
          <w:rFonts w:hint="eastAsia"/>
        </w:rPr>
        <w:t>1.3</w:t>
      </w:r>
      <w:r>
        <w:rPr>
          <w:rFonts w:hint="eastAsia"/>
          <w:lang w:val="en-US" w:eastAsia="zh-CN"/>
        </w:rPr>
        <w:t xml:space="preserve"> </w:t>
      </w:r>
      <w:r>
        <w:rPr>
          <w:rFonts w:hint="eastAsia"/>
        </w:rPr>
        <w:t>环境特点</w:t>
      </w:r>
      <w:r>
        <w:tab/>
      </w:r>
      <w:r>
        <w:fldChar w:fldCharType="begin"/>
      </w:r>
      <w:r>
        <w:instrText xml:space="preserve"> PAGEREF _Toc29913 \h </w:instrText>
      </w:r>
      <w:r>
        <w:fldChar w:fldCharType="separate"/>
      </w:r>
      <w:r>
        <w:t>4</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_Toc23996 </w:instrText>
      </w:r>
      <w:r>
        <w:rPr>
          <w:szCs w:val="21"/>
        </w:rPr>
        <w:fldChar w:fldCharType="separate"/>
      </w:r>
      <w:r>
        <w:t>1.4</w:t>
      </w:r>
      <w:r>
        <w:rPr>
          <w:rFonts w:hint="eastAsia"/>
          <w:lang w:val="en-US" w:eastAsia="zh-CN"/>
        </w:rPr>
        <w:t xml:space="preserve"> </w:t>
      </w:r>
      <w:r>
        <w:t>工作过程</w:t>
      </w:r>
      <w:r>
        <w:tab/>
      </w:r>
      <w:r>
        <w:fldChar w:fldCharType="begin"/>
      </w:r>
      <w:r>
        <w:instrText xml:space="preserve"> PAGEREF _Toc23996 \h </w:instrText>
      </w:r>
      <w:r>
        <w:fldChar w:fldCharType="separate"/>
      </w:r>
      <w:r>
        <w:t>4</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_Toc30156 </w:instrText>
      </w:r>
      <w:r>
        <w:rPr>
          <w:szCs w:val="21"/>
        </w:rPr>
        <w:fldChar w:fldCharType="separate"/>
      </w:r>
      <w:r>
        <w:t>1.5</w:t>
      </w:r>
      <w:r>
        <w:rPr>
          <w:rFonts w:hint="eastAsia"/>
          <w:lang w:val="en-US" w:eastAsia="zh-CN"/>
        </w:rPr>
        <w:t xml:space="preserve"> </w:t>
      </w:r>
      <w:r>
        <w:t>项目关注的主要环境问题</w:t>
      </w:r>
      <w:r>
        <w:tab/>
      </w:r>
      <w:r>
        <w:fldChar w:fldCharType="begin"/>
      </w:r>
      <w:r>
        <w:instrText xml:space="preserve"> PAGEREF _Toc30156 \h </w:instrText>
      </w:r>
      <w:r>
        <w:fldChar w:fldCharType="separate"/>
      </w:r>
      <w:r>
        <w:t>6</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_Toc19553 </w:instrText>
      </w:r>
      <w:r>
        <w:rPr>
          <w:szCs w:val="21"/>
        </w:rPr>
        <w:fldChar w:fldCharType="separate"/>
      </w:r>
      <w:r>
        <w:t>1.6</w:t>
      </w:r>
      <w:r>
        <w:rPr>
          <w:rFonts w:hint="eastAsia"/>
          <w:lang w:val="en-US" w:eastAsia="zh-CN"/>
        </w:rPr>
        <w:t xml:space="preserve"> </w:t>
      </w:r>
      <w:r>
        <w:t>环境影响</w:t>
      </w:r>
      <w:r>
        <w:rPr>
          <w:rFonts w:hint="eastAsia"/>
        </w:rPr>
        <w:t>评价</w:t>
      </w:r>
      <w:r>
        <w:t>主要结论</w:t>
      </w:r>
      <w:r>
        <w:tab/>
      </w:r>
      <w:r>
        <w:fldChar w:fldCharType="begin"/>
      </w:r>
      <w:r>
        <w:instrText xml:space="preserve"> PAGEREF _Toc19553 \h </w:instrText>
      </w:r>
      <w:r>
        <w:fldChar w:fldCharType="separate"/>
      </w:r>
      <w:r>
        <w:t>6</w:t>
      </w:r>
      <w:r>
        <w:fldChar w:fldCharType="end"/>
      </w:r>
      <w:r>
        <w:rPr>
          <w:color w:val="auto"/>
          <w:szCs w:val="21"/>
        </w:rPr>
        <w:fldChar w:fldCharType="end"/>
      </w:r>
    </w:p>
    <w:p>
      <w:pPr>
        <w:pStyle w:val="25"/>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rPr>
          <w:b/>
          <w:bCs/>
        </w:rPr>
      </w:pPr>
      <w:r>
        <w:rPr>
          <w:b/>
          <w:bCs/>
          <w:color w:val="auto"/>
          <w:szCs w:val="21"/>
        </w:rPr>
        <w:fldChar w:fldCharType="begin"/>
      </w:r>
      <w:r>
        <w:rPr>
          <w:b/>
          <w:bCs/>
          <w:szCs w:val="21"/>
        </w:rPr>
        <w:instrText xml:space="preserve"> HYPERLINK \l _Toc26499 </w:instrText>
      </w:r>
      <w:r>
        <w:rPr>
          <w:b/>
          <w:bCs/>
          <w:szCs w:val="21"/>
        </w:rPr>
        <w:fldChar w:fldCharType="separate"/>
      </w:r>
      <w:r>
        <w:rPr>
          <w:rFonts w:hint="eastAsia"/>
          <w:b/>
          <w:bCs/>
        </w:rPr>
        <w:t xml:space="preserve">第二章  </w:t>
      </w:r>
      <w:r>
        <w:rPr>
          <w:b/>
          <w:bCs/>
        </w:rPr>
        <w:t>总则</w:t>
      </w:r>
      <w:r>
        <w:rPr>
          <w:b/>
          <w:bCs/>
        </w:rPr>
        <w:tab/>
      </w:r>
      <w:r>
        <w:rPr>
          <w:b/>
          <w:bCs/>
        </w:rPr>
        <w:fldChar w:fldCharType="begin"/>
      </w:r>
      <w:r>
        <w:rPr>
          <w:b/>
          <w:bCs/>
        </w:rPr>
        <w:instrText xml:space="preserve"> PAGEREF _Toc26499 \h </w:instrText>
      </w:r>
      <w:r>
        <w:rPr>
          <w:b/>
          <w:bCs/>
        </w:rPr>
        <w:fldChar w:fldCharType="separate"/>
      </w:r>
      <w:r>
        <w:rPr>
          <w:b/>
          <w:bCs/>
        </w:rPr>
        <w:t>7</w:t>
      </w:r>
      <w:r>
        <w:rPr>
          <w:b/>
          <w:bCs/>
        </w:rPr>
        <w:fldChar w:fldCharType="end"/>
      </w:r>
      <w:r>
        <w:rPr>
          <w:b/>
          <w:bCs/>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_Toc2028 </w:instrText>
      </w:r>
      <w:r>
        <w:rPr>
          <w:szCs w:val="21"/>
        </w:rPr>
        <w:fldChar w:fldCharType="separate"/>
      </w:r>
      <w:r>
        <w:t>2.1</w:t>
      </w:r>
      <w:r>
        <w:rPr>
          <w:rFonts w:hint="eastAsia"/>
          <w:lang w:val="en-US" w:eastAsia="zh-CN"/>
        </w:rPr>
        <w:t xml:space="preserve"> </w:t>
      </w:r>
      <w:r>
        <w:t>编制依据</w:t>
      </w:r>
      <w:r>
        <w:tab/>
      </w:r>
      <w:r>
        <w:fldChar w:fldCharType="begin"/>
      </w:r>
      <w:r>
        <w:instrText xml:space="preserve"> PAGEREF _Toc2028 \h </w:instrText>
      </w:r>
      <w:r>
        <w:fldChar w:fldCharType="separate"/>
      </w:r>
      <w:r>
        <w:t>7</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_Toc9720 </w:instrText>
      </w:r>
      <w:r>
        <w:rPr>
          <w:szCs w:val="21"/>
        </w:rPr>
        <w:fldChar w:fldCharType="separate"/>
      </w:r>
      <w:r>
        <w:rPr>
          <w:rFonts w:hint="eastAsia"/>
        </w:rPr>
        <w:t>2</w:t>
      </w:r>
      <w:r>
        <w:t>.2</w:t>
      </w:r>
      <w:r>
        <w:rPr>
          <w:rFonts w:hint="eastAsia"/>
          <w:lang w:val="en-US" w:eastAsia="zh-CN"/>
        </w:rPr>
        <w:t xml:space="preserve"> </w:t>
      </w:r>
      <w:r>
        <w:t>评价目的和原则</w:t>
      </w:r>
      <w:r>
        <w:tab/>
      </w:r>
      <w:r>
        <w:fldChar w:fldCharType="begin"/>
      </w:r>
      <w:r>
        <w:instrText xml:space="preserve"> PAGEREF _Toc9720 \h </w:instrText>
      </w:r>
      <w:r>
        <w:fldChar w:fldCharType="separate"/>
      </w:r>
      <w:r>
        <w:t>10</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_Toc4077 </w:instrText>
      </w:r>
      <w:r>
        <w:rPr>
          <w:szCs w:val="21"/>
        </w:rPr>
        <w:fldChar w:fldCharType="separate"/>
      </w:r>
      <w:r>
        <w:rPr>
          <w:rFonts w:hint="eastAsia"/>
        </w:rPr>
        <w:t>2.3</w:t>
      </w:r>
      <w:r>
        <w:rPr>
          <w:rFonts w:hint="eastAsia"/>
          <w:lang w:val="en-US" w:eastAsia="zh-CN"/>
        </w:rPr>
        <w:t xml:space="preserve"> </w:t>
      </w:r>
      <w:r>
        <w:t>环境影响因子识别与筛选</w:t>
      </w:r>
      <w:r>
        <w:tab/>
      </w:r>
      <w:r>
        <w:fldChar w:fldCharType="begin"/>
      </w:r>
      <w:r>
        <w:instrText xml:space="preserve"> PAGEREF _Toc4077 \h </w:instrText>
      </w:r>
      <w:r>
        <w:fldChar w:fldCharType="separate"/>
      </w:r>
      <w:r>
        <w:t>10</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_Toc32754 </w:instrText>
      </w:r>
      <w:r>
        <w:rPr>
          <w:szCs w:val="21"/>
        </w:rPr>
        <w:fldChar w:fldCharType="separate"/>
      </w:r>
      <w:r>
        <w:rPr>
          <w:lang w:eastAsia="zh-CN"/>
        </w:rPr>
        <w:t>2</w:t>
      </w:r>
      <w:r>
        <w:t>.4</w:t>
      </w:r>
      <w:r>
        <w:rPr>
          <w:rFonts w:hint="eastAsia"/>
          <w:lang w:val="en-US" w:eastAsia="zh-CN"/>
        </w:rPr>
        <w:t xml:space="preserve"> </w:t>
      </w:r>
      <w:r>
        <w:t>污染控制与环境保护目标</w:t>
      </w:r>
      <w:r>
        <w:tab/>
      </w:r>
      <w:r>
        <w:fldChar w:fldCharType="begin"/>
      </w:r>
      <w:r>
        <w:instrText xml:space="preserve"> PAGEREF _Toc32754 \h </w:instrText>
      </w:r>
      <w:r>
        <w:fldChar w:fldCharType="separate"/>
      </w:r>
      <w:r>
        <w:t>12</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_Toc30627 </w:instrText>
      </w:r>
      <w:r>
        <w:rPr>
          <w:szCs w:val="21"/>
        </w:rPr>
        <w:fldChar w:fldCharType="separate"/>
      </w:r>
      <w:r>
        <w:rPr>
          <w:rFonts w:hint="eastAsia"/>
        </w:rPr>
        <w:t>2.5</w:t>
      </w:r>
      <w:r>
        <w:rPr>
          <w:rFonts w:hint="eastAsia"/>
          <w:lang w:val="en-US" w:eastAsia="zh-CN"/>
        </w:rPr>
        <w:t xml:space="preserve"> </w:t>
      </w:r>
      <w:r>
        <w:t>评价</w:t>
      </w:r>
      <w:r>
        <w:rPr>
          <w:rFonts w:hint="eastAsia"/>
        </w:rPr>
        <w:t>工作</w:t>
      </w:r>
      <w:r>
        <w:t>等级</w:t>
      </w:r>
      <w:r>
        <w:tab/>
      </w:r>
      <w:r>
        <w:fldChar w:fldCharType="begin"/>
      </w:r>
      <w:r>
        <w:instrText xml:space="preserve"> PAGEREF _Toc30627 \h </w:instrText>
      </w:r>
      <w:r>
        <w:fldChar w:fldCharType="separate"/>
      </w:r>
      <w:r>
        <w:t>13</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_Toc1282 </w:instrText>
      </w:r>
      <w:r>
        <w:rPr>
          <w:szCs w:val="21"/>
        </w:rPr>
        <w:fldChar w:fldCharType="separate"/>
      </w:r>
      <w:r>
        <w:rPr>
          <w:rFonts w:hint="eastAsia" w:eastAsia="宋体"/>
          <w:bCs/>
          <w:lang w:eastAsia="zh-CN"/>
        </w:rPr>
        <w:t>2.6</w:t>
      </w:r>
      <w:r>
        <w:rPr>
          <w:rFonts w:hint="eastAsia"/>
          <w:bCs/>
          <w:lang w:val="en-US" w:eastAsia="zh-CN"/>
        </w:rPr>
        <w:t xml:space="preserve"> </w:t>
      </w:r>
      <w:r>
        <w:rPr>
          <w:rFonts w:hint="eastAsia" w:eastAsia="宋体"/>
          <w:bCs/>
          <w:lang w:eastAsia="zh-CN"/>
        </w:rPr>
        <w:t>评价范围</w:t>
      </w:r>
      <w:r>
        <w:tab/>
      </w:r>
      <w:r>
        <w:fldChar w:fldCharType="begin"/>
      </w:r>
      <w:r>
        <w:instrText xml:space="preserve"> PAGEREF _Toc1282 \h </w:instrText>
      </w:r>
      <w:r>
        <w:fldChar w:fldCharType="separate"/>
      </w:r>
      <w:r>
        <w:t>21</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_Toc23678 </w:instrText>
      </w:r>
      <w:r>
        <w:rPr>
          <w:szCs w:val="21"/>
        </w:rPr>
        <w:fldChar w:fldCharType="separate"/>
      </w:r>
      <w:r>
        <w:t>2.</w:t>
      </w:r>
      <w:r>
        <w:rPr>
          <w:rFonts w:hint="eastAsia"/>
          <w:lang w:val="en-US" w:eastAsia="zh-CN"/>
        </w:rPr>
        <w:t xml:space="preserve">7 </w:t>
      </w:r>
      <w:r>
        <w:t>环境保护目标</w:t>
      </w:r>
      <w:r>
        <w:tab/>
      </w:r>
      <w:r>
        <w:fldChar w:fldCharType="begin"/>
      </w:r>
      <w:r>
        <w:instrText xml:space="preserve"> PAGEREF _Toc23678 \h </w:instrText>
      </w:r>
      <w:r>
        <w:fldChar w:fldCharType="separate"/>
      </w:r>
      <w:r>
        <w:t>22</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_Toc114 </w:instrText>
      </w:r>
      <w:r>
        <w:rPr>
          <w:szCs w:val="21"/>
        </w:rPr>
        <w:fldChar w:fldCharType="separate"/>
      </w:r>
      <w:r>
        <w:t>2.</w:t>
      </w:r>
      <w:r>
        <w:rPr>
          <w:rFonts w:hint="eastAsia"/>
          <w:lang w:val="en-US" w:eastAsia="zh-CN"/>
        </w:rPr>
        <w:t xml:space="preserve">8 </w:t>
      </w:r>
      <w:r>
        <w:t>评价标准</w:t>
      </w:r>
      <w:r>
        <w:tab/>
      </w:r>
      <w:r>
        <w:fldChar w:fldCharType="begin"/>
      </w:r>
      <w:r>
        <w:instrText xml:space="preserve"> PAGEREF _Toc114 \h </w:instrText>
      </w:r>
      <w:r>
        <w:fldChar w:fldCharType="separate"/>
      </w:r>
      <w:r>
        <w:t>23</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_Toc22994 </w:instrText>
      </w:r>
      <w:r>
        <w:rPr>
          <w:szCs w:val="21"/>
        </w:rPr>
        <w:fldChar w:fldCharType="separate"/>
      </w:r>
      <w:r>
        <w:rPr>
          <w:rFonts w:hint="eastAsia" w:eastAsia="宋体"/>
          <w:bCs/>
          <w:lang w:eastAsia="zh-CN"/>
        </w:rPr>
        <w:t>2.9</w:t>
      </w:r>
      <w:r>
        <w:rPr>
          <w:rFonts w:hint="eastAsia"/>
          <w:bCs/>
          <w:lang w:val="en-US" w:eastAsia="zh-CN"/>
        </w:rPr>
        <w:t xml:space="preserve"> </w:t>
      </w:r>
      <w:r>
        <w:rPr>
          <w:rFonts w:hint="eastAsia" w:eastAsia="宋体"/>
          <w:bCs/>
          <w:lang w:eastAsia="zh-CN"/>
        </w:rPr>
        <w:t>环境功能区划</w:t>
      </w:r>
      <w:r>
        <w:tab/>
      </w:r>
      <w:r>
        <w:fldChar w:fldCharType="begin"/>
      </w:r>
      <w:r>
        <w:instrText xml:space="preserve"> PAGEREF _Toc22994 \h </w:instrText>
      </w:r>
      <w:r>
        <w:fldChar w:fldCharType="separate"/>
      </w:r>
      <w:r>
        <w:t>27</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_Toc28844 </w:instrText>
      </w:r>
      <w:r>
        <w:rPr>
          <w:szCs w:val="21"/>
        </w:rPr>
        <w:fldChar w:fldCharType="separate"/>
      </w:r>
      <w:r>
        <w:rPr>
          <w:rFonts w:hint="eastAsia"/>
        </w:rPr>
        <w:t>2</w:t>
      </w:r>
      <w:r>
        <w:t>.</w:t>
      </w:r>
      <w:r>
        <w:rPr>
          <w:rFonts w:hint="eastAsia"/>
          <w:lang w:val="en-US" w:eastAsia="zh-CN"/>
        </w:rPr>
        <w:t xml:space="preserve">10 </w:t>
      </w:r>
      <w:r>
        <w:rPr>
          <w:rFonts w:hint="eastAsia"/>
        </w:rPr>
        <w:t>与规划相符性分析</w:t>
      </w:r>
      <w:r>
        <w:tab/>
      </w:r>
      <w:r>
        <w:fldChar w:fldCharType="begin"/>
      </w:r>
      <w:r>
        <w:instrText xml:space="preserve"> PAGEREF _Toc28844 \h </w:instrText>
      </w:r>
      <w:r>
        <w:fldChar w:fldCharType="separate"/>
      </w:r>
      <w:r>
        <w:t>28</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_Toc11041 </w:instrText>
      </w:r>
      <w:r>
        <w:rPr>
          <w:szCs w:val="21"/>
        </w:rPr>
        <w:fldChar w:fldCharType="separate"/>
      </w:r>
      <w:r>
        <w:rPr>
          <w:rFonts w:hint="eastAsia"/>
        </w:rPr>
        <w:t>2.</w:t>
      </w:r>
      <w:r>
        <w:rPr>
          <w:rFonts w:hint="eastAsia"/>
          <w:lang w:val="en-US" w:eastAsia="zh-CN"/>
        </w:rPr>
        <w:t xml:space="preserve">11 </w:t>
      </w:r>
      <w:r>
        <w:rPr>
          <w:rFonts w:hint="eastAsia"/>
        </w:rPr>
        <w:t>政策相符性分析</w:t>
      </w:r>
      <w:r>
        <w:tab/>
      </w:r>
      <w:r>
        <w:fldChar w:fldCharType="begin"/>
      </w:r>
      <w:r>
        <w:instrText xml:space="preserve"> PAGEREF _Toc11041 \h </w:instrText>
      </w:r>
      <w:r>
        <w:fldChar w:fldCharType="separate"/>
      </w:r>
      <w:r>
        <w:t>44</w:t>
      </w:r>
      <w:r>
        <w:fldChar w:fldCharType="end"/>
      </w:r>
      <w:r>
        <w:rPr>
          <w:color w:val="auto"/>
          <w:szCs w:val="21"/>
        </w:rPr>
        <w:fldChar w:fldCharType="end"/>
      </w:r>
    </w:p>
    <w:p>
      <w:pPr>
        <w:pStyle w:val="25"/>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rPr>
          <w:b/>
          <w:bCs/>
        </w:rPr>
      </w:pPr>
      <w:r>
        <w:rPr>
          <w:b/>
          <w:bCs/>
          <w:color w:val="auto"/>
          <w:szCs w:val="21"/>
        </w:rPr>
        <w:fldChar w:fldCharType="begin"/>
      </w:r>
      <w:r>
        <w:rPr>
          <w:b/>
          <w:bCs/>
          <w:szCs w:val="21"/>
        </w:rPr>
        <w:instrText xml:space="preserve"> HYPERLINK \l _Toc1765 </w:instrText>
      </w:r>
      <w:r>
        <w:rPr>
          <w:b/>
          <w:bCs/>
          <w:szCs w:val="21"/>
        </w:rPr>
        <w:fldChar w:fldCharType="separate"/>
      </w:r>
      <w:r>
        <w:rPr>
          <w:rFonts w:hint="eastAsia"/>
          <w:b/>
          <w:bCs/>
        </w:rPr>
        <w:t>第三章  工程分析</w:t>
      </w:r>
      <w:r>
        <w:rPr>
          <w:b/>
          <w:bCs/>
        </w:rPr>
        <w:tab/>
      </w:r>
      <w:r>
        <w:rPr>
          <w:b/>
          <w:bCs/>
        </w:rPr>
        <w:fldChar w:fldCharType="begin"/>
      </w:r>
      <w:r>
        <w:rPr>
          <w:b/>
          <w:bCs/>
        </w:rPr>
        <w:instrText xml:space="preserve"> PAGEREF _Toc1765 \h </w:instrText>
      </w:r>
      <w:r>
        <w:rPr>
          <w:b/>
          <w:bCs/>
        </w:rPr>
        <w:fldChar w:fldCharType="separate"/>
      </w:r>
      <w:r>
        <w:rPr>
          <w:b/>
          <w:bCs/>
        </w:rPr>
        <w:t>70</w:t>
      </w:r>
      <w:r>
        <w:rPr>
          <w:b/>
          <w:bCs/>
        </w:rPr>
        <w:fldChar w:fldCharType="end"/>
      </w:r>
      <w:r>
        <w:rPr>
          <w:b/>
          <w:bCs/>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_Toc31134 </w:instrText>
      </w:r>
      <w:r>
        <w:rPr>
          <w:szCs w:val="21"/>
        </w:rPr>
        <w:fldChar w:fldCharType="separate"/>
      </w:r>
      <w:r>
        <w:rPr>
          <w:rFonts w:hint="eastAsia"/>
        </w:rPr>
        <w:t>3</w:t>
      </w:r>
      <w:r>
        <w:t>.1</w:t>
      </w:r>
      <w:r>
        <w:rPr>
          <w:rFonts w:hint="eastAsia"/>
          <w:lang w:val="en-US" w:eastAsia="zh-CN"/>
        </w:rPr>
        <w:t xml:space="preserve"> </w:t>
      </w:r>
      <w:r>
        <w:rPr>
          <w:rFonts w:hint="eastAsia"/>
        </w:rPr>
        <w:t>企业项目建设情况</w:t>
      </w:r>
      <w:r>
        <w:tab/>
      </w:r>
      <w:r>
        <w:fldChar w:fldCharType="begin"/>
      </w:r>
      <w:r>
        <w:instrText xml:space="preserve"> PAGEREF _Toc31134 \h </w:instrText>
      </w:r>
      <w:r>
        <w:fldChar w:fldCharType="separate"/>
      </w:r>
      <w:r>
        <w:t>70</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_Toc22800 </w:instrText>
      </w:r>
      <w:r>
        <w:rPr>
          <w:szCs w:val="21"/>
        </w:rPr>
        <w:fldChar w:fldCharType="separate"/>
      </w:r>
      <w:r>
        <w:rPr>
          <w:rFonts w:hint="eastAsia"/>
          <w:lang w:eastAsia="zh-CN"/>
        </w:rPr>
        <w:t>3.</w:t>
      </w:r>
      <w:r>
        <w:rPr>
          <w:lang w:eastAsia="zh-CN"/>
        </w:rPr>
        <w:t>2</w:t>
      </w:r>
      <w:r>
        <w:rPr>
          <w:rFonts w:hint="eastAsia"/>
          <w:lang w:val="en-US" w:eastAsia="zh-CN"/>
        </w:rPr>
        <w:t xml:space="preserve"> </w:t>
      </w:r>
      <w:r>
        <w:rPr>
          <w:rFonts w:hint="eastAsia"/>
          <w:lang w:eastAsia="zh-CN"/>
        </w:rPr>
        <w:t>工程分析思路与方法</w:t>
      </w:r>
      <w:r>
        <w:tab/>
      </w:r>
      <w:r>
        <w:fldChar w:fldCharType="begin"/>
      </w:r>
      <w:r>
        <w:instrText xml:space="preserve"> PAGEREF _Toc22800 \h </w:instrText>
      </w:r>
      <w:r>
        <w:fldChar w:fldCharType="separate"/>
      </w:r>
      <w:r>
        <w:t>72</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_Toc30424 </w:instrText>
      </w:r>
      <w:r>
        <w:rPr>
          <w:szCs w:val="21"/>
        </w:rPr>
        <w:fldChar w:fldCharType="separate"/>
      </w:r>
      <w:r>
        <w:t>3.</w:t>
      </w:r>
      <w:r>
        <w:rPr>
          <w:rFonts w:hint="eastAsia"/>
          <w:lang w:val="en-US" w:eastAsia="zh-CN"/>
        </w:rPr>
        <w:t>3 已建</w:t>
      </w:r>
      <w:r>
        <w:t>项目工程分析</w:t>
      </w:r>
      <w:r>
        <w:tab/>
      </w:r>
      <w:r>
        <w:fldChar w:fldCharType="begin"/>
      </w:r>
      <w:r>
        <w:instrText xml:space="preserve"> PAGEREF _Toc30424 \h </w:instrText>
      </w:r>
      <w:r>
        <w:fldChar w:fldCharType="separate"/>
      </w:r>
      <w:r>
        <w:t>73</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_Toc92 </w:instrText>
      </w:r>
      <w:r>
        <w:rPr>
          <w:szCs w:val="21"/>
        </w:rPr>
        <w:fldChar w:fldCharType="separate"/>
      </w:r>
      <w:r>
        <w:rPr>
          <w:rFonts w:hint="eastAsia"/>
          <w:lang w:val="en-US" w:eastAsia="zh-CN"/>
        </w:rPr>
        <w:t>3.4 在建工程工程分析</w:t>
      </w:r>
      <w:r>
        <w:tab/>
      </w:r>
      <w:r>
        <w:fldChar w:fldCharType="begin"/>
      </w:r>
      <w:r>
        <w:instrText xml:space="preserve"> PAGEREF _Toc92 \h </w:instrText>
      </w:r>
      <w:r>
        <w:fldChar w:fldCharType="separate"/>
      </w:r>
      <w:r>
        <w:t>109</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_Toc13740 </w:instrText>
      </w:r>
      <w:r>
        <w:rPr>
          <w:szCs w:val="21"/>
        </w:rPr>
        <w:fldChar w:fldCharType="separate"/>
      </w:r>
      <w:r>
        <w:rPr>
          <w:rFonts w:hint="eastAsia"/>
          <w:lang w:eastAsia="zh-CN"/>
        </w:rPr>
        <w:t>3.</w:t>
      </w:r>
      <w:r>
        <w:rPr>
          <w:lang w:eastAsia="zh-CN"/>
        </w:rPr>
        <w:t>5</w:t>
      </w:r>
      <w:r>
        <w:rPr>
          <w:rFonts w:hint="eastAsia"/>
          <w:lang w:val="en-US" w:eastAsia="zh-CN"/>
        </w:rPr>
        <w:t xml:space="preserve"> </w:t>
      </w:r>
      <w:r>
        <w:rPr>
          <w:rFonts w:hint="eastAsia"/>
          <w:lang w:eastAsia="zh-CN"/>
        </w:rPr>
        <w:t>已建工程及在建工程污染物排放量汇总</w:t>
      </w:r>
      <w:r>
        <w:tab/>
      </w:r>
      <w:r>
        <w:fldChar w:fldCharType="begin"/>
      </w:r>
      <w:r>
        <w:instrText xml:space="preserve"> PAGEREF _Toc13740 \h </w:instrText>
      </w:r>
      <w:r>
        <w:fldChar w:fldCharType="separate"/>
      </w:r>
      <w:r>
        <w:t>121</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_Toc28886 </w:instrText>
      </w:r>
      <w:r>
        <w:rPr>
          <w:szCs w:val="21"/>
        </w:rPr>
        <w:fldChar w:fldCharType="separate"/>
      </w:r>
      <w:r>
        <w:rPr>
          <w:rFonts w:hint="eastAsia"/>
          <w:lang w:val="en-US" w:eastAsia="zh-CN"/>
        </w:rPr>
        <w:t>3.6 现有工程应急预案开展情况</w:t>
      </w:r>
      <w:r>
        <w:tab/>
      </w:r>
      <w:r>
        <w:fldChar w:fldCharType="begin"/>
      </w:r>
      <w:r>
        <w:instrText xml:space="preserve"> PAGEREF _Toc28886 \h </w:instrText>
      </w:r>
      <w:r>
        <w:fldChar w:fldCharType="separate"/>
      </w:r>
      <w:r>
        <w:t>121</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_Toc31735 </w:instrText>
      </w:r>
      <w:r>
        <w:rPr>
          <w:szCs w:val="21"/>
        </w:rPr>
        <w:fldChar w:fldCharType="separate"/>
      </w:r>
      <w:r>
        <w:rPr>
          <w:rFonts w:hint="eastAsia"/>
        </w:rPr>
        <w:t>3</w:t>
      </w:r>
      <w:r>
        <w:rPr>
          <w:rFonts w:hint="eastAsia"/>
          <w:lang w:val="en-US" w:eastAsia="zh-CN"/>
        </w:rPr>
        <w:t xml:space="preserve">.7 </w:t>
      </w:r>
      <w:r>
        <w:rPr>
          <w:rFonts w:hint="eastAsia"/>
        </w:rPr>
        <w:t>现有工程存在的环保问题及整改措施</w:t>
      </w:r>
      <w:r>
        <w:tab/>
      </w:r>
      <w:r>
        <w:fldChar w:fldCharType="begin"/>
      </w:r>
      <w:r>
        <w:instrText xml:space="preserve"> PAGEREF _Toc31735 \h </w:instrText>
      </w:r>
      <w:r>
        <w:fldChar w:fldCharType="separate"/>
      </w:r>
      <w:r>
        <w:t>125</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_Toc31460 </w:instrText>
      </w:r>
      <w:r>
        <w:rPr>
          <w:szCs w:val="21"/>
        </w:rPr>
        <w:fldChar w:fldCharType="separate"/>
      </w:r>
      <w:r>
        <w:rPr>
          <w:rFonts w:hint="eastAsia"/>
        </w:rPr>
        <w:t>3.</w:t>
      </w:r>
      <w:r>
        <w:rPr>
          <w:rFonts w:hint="eastAsia"/>
          <w:lang w:val="en-US" w:eastAsia="zh-CN"/>
        </w:rPr>
        <w:t xml:space="preserve">8 </w:t>
      </w:r>
      <w:r>
        <w:rPr>
          <w:rFonts w:hint="eastAsia"/>
        </w:rPr>
        <w:t>本项目工程分析</w:t>
      </w:r>
      <w:r>
        <w:tab/>
      </w:r>
      <w:r>
        <w:fldChar w:fldCharType="begin"/>
      </w:r>
      <w:r>
        <w:instrText xml:space="preserve"> PAGEREF _Toc31460 \h </w:instrText>
      </w:r>
      <w:r>
        <w:fldChar w:fldCharType="separate"/>
      </w:r>
      <w:r>
        <w:t>126</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_Toc23196 </w:instrText>
      </w:r>
      <w:r>
        <w:rPr>
          <w:szCs w:val="21"/>
        </w:rPr>
        <w:fldChar w:fldCharType="separate"/>
      </w:r>
      <w:r>
        <w:rPr>
          <w:rFonts w:hint="eastAsia"/>
          <w:lang w:eastAsia="zh-CN"/>
        </w:rPr>
        <w:t>3.</w:t>
      </w:r>
      <w:r>
        <w:rPr>
          <w:rFonts w:hint="eastAsia"/>
          <w:lang w:val="en-US" w:eastAsia="zh-CN"/>
        </w:rPr>
        <w:t xml:space="preserve">9 </w:t>
      </w:r>
      <w:r>
        <w:rPr>
          <w:rFonts w:hint="eastAsia"/>
          <w:lang w:eastAsia="zh-CN"/>
        </w:rPr>
        <w:t>本项目清洁生产分析</w:t>
      </w:r>
      <w:r>
        <w:tab/>
      </w:r>
      <w:r>
        <w:fldChar w:fldCharType="begin"/>
      </w:r>
      <w:r>
        <w:instrText xml:space="preserve"> PAGEREF _Toc23196 \h </w:instrText>
      </w:r>
      <w:r>
        <w:fldChar w:fldCharType="separate"/>
      </w:r>
      <w:r>
        <w:t>170</w:t>
      </w:r>
      <w:r>
        <w:fldChar w:fldCharType="end"/>
      </w:r>
      <w:r>
        <w:rPr>
          <w:color w:val="auto"/>
          <w:szCs w:val="21"/>
        </w:rPr>
        <w:fldChar w:fldCharType="end"/>
      </w:r>
    </w:p>
    <w:p>
      <w:pPr>
        <w:pStyle w:val="25"/>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rPr>
          <w:b/>
          <w:bCs/>
        </w:rPr>
      </w:pPr>
      <w:r>
        <w:rPr>
          <w:b/>
          <w:bCs/>
          <w:color w:val="auto"/>
          <w:szCs w:val="21"/>
        </w:rPr>
        <w:fldChar w:fldCharType="begin"/>
      </w:r>
      <w:r>
        <w:rPr>
          <w:b/>
          <w:bCs/>
          <w:szCs w:val="21"/>
        </w:rPr>
        <w:instrText xml:space="preserve"> HYPERLINK \l _Toc11690 </w:instrText>
      </w:r>
      <w:r>
        <w:rPr>
          <w:b/>
          <w:bCs/>
          <w:szCs w:val="21"/>
        </w:rPr>
        <w:fldChar w:fldCharType="separate"/>
      </w:r>
      <w:r>
        <w:rPr>
          <w:b/>
          <w:bCs/>
        </w:rPr>
        <w:t>第</w:t>
      </w:r>
      <w:r>
        <w:rPr>
          <w:rFonts w:hint="eastAsia"/>
          <w:b/>
          <w:bCs/>
        </w:rPr>
        <w:t>四</w:t>
      </w:r>
      <w:r>
        <w:rPr>
          <w:b/>
          <w:bCs/>
        </w:rPr>
        <w:t>章  环境现状调查与评价</w:t>
      </w:r>
      <w:r>
        <w:rPr>
          <w:b/>
          <w:bCs/>
        </w:rPr>
        <w:tab/>
      </w:r>
      <w:r>
        <w:rPr>
          <w:b/>
          <w:bCs/>
        </w:rPr>
        <w:fldChar w:fldCharType="begin"/>
      </w:r>
      <w:r>
        <w:rPr>
          <w:b/>
          <w:bCs/>
        </w:rPr>
        <w:instrText xml:space="preserve"> PAGEREF _Toc11690 \h </w:instrText>
      </w:r>
      <w:r>
        <w:rPr>
          <w:b/>
          <w:bCs/>
        </w:rPr>
        <w:fldChar w:fldCharType="separate"/>
      </w:r>
      <w:r>
        <w:rPr>
          <w:b/>
          <w:bCs/>
        </w:rPr>
        <w:t>179</w:t>
      </w:r>
      <w:r>
        <w:rPr>
          <w:b/>
          <w:bCs/>
        </w:rPr>
        <w:fldChar w:fldCharType="end"/>
      </w:r>
      <w:r>
        <w:rPr>
          <w:b/>
          <w:bCs/>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_Toc1743 </w:instrText>
      </w:r>
      <w:r>
        <w:rPr>
          <w:szCs w:val="21"/>
        </w:rPr>
        <w:fldChar w:fldCharType="separate"/>
      </w:r>
      <w:r>
        <w:rPr>
          <w:rFonts w:hint="eastAsia"/>
        </w:rPr>
        <w:t>4</w:t>
      </w:r>
      <w:r>
        <w:t>.1</w:t>
      </w:r>
      <w:r>
        <w:rPr>
          <w:rFonts w:hint="eastAsia"/>
          <w:lang w:val="en-US" w:eastAsia="zh-CN"/>
        </w:rPr>
        <w:t xml:space="preserve"> </w:t>
      </w:r>
      <w:r>
        <w:rPr>
          <w:rFonts w:hint="eastAsia"/>
        </w:rPr>
        <w:t>自然</w:t>
      </w:r>
      <w:r>
        <w:t>环境概况</w:t>
      </w:r>
      <w:r>
        <w:tab/>
      </w:r>
      <w:r>
        <w:fldChar w:fldCharType="begin"/>
      </w:r>
      <w:r>
        <w:instrText xml:space="preserve"> PAGEREF _Toc1743 \h </w:instrText>
      </w:r>
      <w:r>
        <w:fldChar w:fldCharType="separate"/>
      </w:r>
      <w:r>
        <w:t>179</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_Toc18851 </w:instrText>
      </w:r>
      <w:r>
        <w:rPr>
          <w:szCs w:val="21"/>
        </w:rPr>
        <w:fldChar w:fldCharType="separate"/>
      </w:r>
      <w:r>
        <w:rPr>
          <w:rFonts w:hint="eastAsia"/>
        </w:rPr>
        <w:t>4</w:t>
      </w:r>
      <w:r>
        <w:t>.</w:t>
      </w:r>
      <w:r>
        <w:rPr>
          <w:rFonts w:hint="eastAsia"/>
        </w:rPr>
        <w:t>2</w:t>
      </w:r>
      <w:r>
        <w:rPr>
          <w:rFonts w:hint="eastAsia"/>
          <w:lang w:val="en-US" w:eastAsia="zh-CN"/>
        </w:rPr>
        <w:t xml:space="preserve"> </w:t>
      </w:r>
      <w:r>
        <w:rPr>
          <w:rFonts w:hint="eastAsia"/>
        </w:rPr>
        <w:t>环境质量现状监测与评价</w:t>
      </w:r>
      <w:r>
        <w:tab/>
      </w:r>
      <w:r>
        <w:fldChar w:fldCharType="begin"/>
      </w:r>
      <w:r>
        <w:instrText xml:space="preserve"> PAGEREF _Toc18851 \h </w:instrText>
      </w:r>
      <w:r>
        <w:fldChar w:fldCharType="separate"/>
      </w:r>
      <w:r>
        <w:t>186</w:t>
      </w:r>
      <w:r>
        <w:fldChar w:fldCharType="end"/>
      </w:r>
      <w:r>
        <w:rPr>
          <w:color w:val="auto"/>
          <w:szCs w:val="21"/>
        </w:rPr>
        <w:fldChar w:fldCharType="end"/>
      </w:r>
    </w:p>
    <w:p>
      <w:pPr>
        <w:pStyle w:val="25"/>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rPr>
          <w:b/>
          <w:bCs/>
        </w:rPr>
      </w:pPr>
      <w:r>
        <w:rPr>
          <w:b/>
          <w:bCs/>
          <w:color w:val="auto"/>
          <w:szCs w:val="21"/>
        </w:rPr>
        <w:fldChar w:fldCharType="begin"/>
      </w:r>
      <w:r>
        <w:rPr>
          <w:b/>
          <w:bCs/>
          <w:szCs w:val="21"/>
        </w:rPr>
        <w:instrText xml:space="preserve"> HYPERLINK \l _Toc1747 </w:instrText>
      </w:r>
      <w:r>
        <w:rPr>
          <w:b/>
          <w:bCs/>
          <w:szCs w:val="21"/>
        </w:rPr>
        <w:fldChar w:fldCharType="separate"/>
      </w:r>
      <w:r>
        <w:rPr>
          <w:rFonts w:hint="eastAsia"/>
          <w:b/>
          <w:bCs/>
        </w:rPr>
        <w:t xml:space="preserve">第五章 </w:t>
      </w:r>
      <w:r>
        <w:rPr>
          <w:b/>
          <w:bCs/>
        </w:rPr>
        <w:t>环境影响预测与评价</w:t>
      </w:r>
      <w:r>
        <w:rPr>
          <w:b/>
          <w:bCs/>
        </w:rPr>
        <w:tab/>
      </w:r>
      <w:r>
        <w:rPr>
          <w:b/>
          <w:bCs/>
        </w:rPr>
        <w:fldChar w:fldCharType="begin"/>
      </w:r>
      <w:r>
        <w:rPr>
          <w:b/>
          <w:bCs/>
        </w:rPr>
        <w:instrText xml:space="preserve"> PAGEREF _Toc1747 \h </w:instrText>
      </w:r>
      <w:r>
        <w:rPr>
          <w:b/>
          <w:bCs/>
        </w:rPr>
        <w:fldChar w:fldCharType="separate"/>
      </w:r>
      <w:r>
        <w:rPr>
          <w:b/>
          <w:bCs/>
        </w:rPr>
        <w:t>211</w:t>
      </w:r>
      <w:r>
        <w:rPr>
          <w:b/>
          <w:bCs/>
        </w:rPr>
        <w:fldChar w:fldCharType="end"/>
      </w:r>
      <w:r>
        <w:rPr>
          <w:b/>
          <w:bCs/>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_Toc11501 </w:instrText>
      </w:r>
      <w:r>
        <w:rPr>
          <w:szCs w:val="21"/>
        </w:rPr>
        <w:fldChar w:fldCharType="separate"/>
      </w:r>
      <w:r>
        <w:rPr>
          <w:rFonts w:hint="eastAsia"/>
          <w:lang w:eastAsia="zh-CN"/>
        </w:rPr>
        <w:t>5</w:t>
      </w:r>
      <w:r>
        <w:rPr>
          <w:lang w:eastAsia="zh-CN"/>
        </w:rPr>
        <w:t>.1</w:t>
      </w:r>
      <w:r>
        <w:rPr>
          <w:rFonts w:hint="eastAsia"/>
          <w:lang w:val="en-US" w:eastAsia="zh-CN"/>
        </w:rPr>
        <w:t xml:space="preserve"> </w:t>
      </w:r>
      <w:r>
        <w:rPr>
          <w:lang w:eastAsia="zh-CN"/>
        </w:rPr>
        <w:t>环境空气影响预测</w:t>
      </w:r>
      <w:r>
        <w:tab/>
      </w:r>
      <w:r>
        <w:fldChar w:fldCharType="begin"/>
      </w:r>
      <w:r>
        <w:instrText xml:space="preserve"> PAGEREF _Toc11501 \h </w:instrText>
      </w:r>
      <w:r>
        <w:fldChar w:fldCharType="separate"/>
      </w:r>
      <w:r>
        <w:t>211</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_Toc5514 </w:instrText>
      </w:r>
      <w:r>
        <w:rPr>
          <w:szCs w:val="21"/>
        </w:rPr>
        <w:fldChar w:fldCharType="separate"/>
      </w:r>
      <w:r>
        <w:rPr>
          <w:rFonts w:hint="eastAsia"/>
        </w:rPr>
        <w:t>5.</w:t>
      </w:r>
      <w:r>
        <w:rPr>
          <w:rFonts w:hint="eastAsia"/>
          <w:lang w:val="en-US" w:eastAsia="zh-CN"/>
        </w:rPr>
        <w:t xml:space="preserve">2 </w:t>
      </w:r>
      <w:r>
        <w:rPr>
          <w:rFonts w:hint="eastAsia"/>
        </w:rPr>
        <w:t>大气环境影响预测与评价</w:t>
      </w:r>
      <w:r>
        <w:tab/>
      </w:r>
      <w:r>
        <w:fldChar w:fldCharType="begin"/>
      </w:r>
      <w:r>
        <w:instrText xml:space="preserve"> PAGEREF _Toc5514 \h </w:instrText>
      </w:r>
      <w:r>
        <w:fldChar w:fldCharType="separate"/>
      </w:r>
      <w:r>
        <w:t>219</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_Toc12067 </w:instrText>
      </w:r>
      <w:r>
        <w:rPr>
          <w:szCs w:val="21"/>
        </w:rPr>
        <w:fldChar w:fldCharType="separate"/>
      </w:r>
      <w:r>
        <w:t>5.</w:t>
      </w:r>
      <w:r>
        <w:rPr>
          <w:rFonts w:hint="eastAsia"/>
          <w:lang w:val="en-US" w:eastAsia="zh-CN"/>
        </w:rPr>
        <w:t xml:space="preserve">3 </w:t>
      </w:r>
      <w:r>
        <w:t>地表水环境影响评价</w:t>
      </w:r>
      <w:r>
        <w:tab/>
      </w:r>
      <w:r>
        <w:fldChar w:fldCharType="begin"/>
      </w:r>
      <w:r>
        <w:instrText xml:space="preserve"> PAGEREF _Toc12067 \h </w:instrText>
      </w:r>
      <w:r>
        <w:fldChar w:fldCharType="separate"/>
      </w:r>
      <w:r>
        <w:t>223</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_Toc31614 </w:instrText>
      </w:r>
      <w:r>
        <w:rPr>
          <w:szCs w:val="21"/>
        </w:rPr>
        <w:fldChar w:fldCharType="separate"/>
      </w:r>
      <w:r>
        <w:rPr>
          <w:rFonts w:hint="eastAsia"/>
        </w:rPr>
        <w:t>5.</w:t>
      </w:r>
      <w:r>
        <w:rPr>
          <w:rFonts w:hint="eastAsia"/>
          <w:lang w:val="en-US" w:eastAsia="zh-CN"/>
        </w:rPr>
        <w:t xml:space="preserve">4 </w:t>
      </w:r>
      <w:r>
        <w:rPr>
          <w:rFonts w:hint="eastAsia"/>
        </w:rPr>
        <w:t>地下水环境影响评价</w:t>
      </w:r>
      <w:r>
        <w:tab/>
      </w:r>
      <w:r>
        <w:fldChar w:fldCharType="begin"/>
      </w:r>
      <w:r>
        <w:instrText xml:space="preserve"> PAGEREF _Toc31614 \h </w:instrText>
      </w:r>
      <w:r>
        <w:fldChar w:fldCharType="separate"/>
      </w:r>
      <w:r>
        <w:t>226</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_Toc20651 </w:instrText>
      </w:r>
      <w:r>
        <w:rPr>
          <w:szCs w:val="21"/>
        </w:rPr>
        <w:fldChar w:fldCharType="separate"/>
      </w:r>
      <w:r>
        <w:rPr>
          <w:rFonts w:hint="eastAsia"/>
        </w:rPr>
        <w:t>5.</w:t>
      </w:r>
      <w:r>
        <w:rPr>
          <w:rFonts w:hint="eastAsia"/>
          <w:lang w:val="en-US" w:eastAsia="zh-CN"/>
        </w:rPr>
        <w:t xml:space="preserve">5 </w:t>
      </w:r>
      <w:r>
        <w:t>声环境影响</w:t>
      </w:r>
      <w:r>
        <w:rPr>
          <w:rFonts w:hint="eastAsia"/>
          <w:lang w:val="en-US" w:eastAsia="zh-CN"/>
        </w:rPr>
        <w:t>预测</w:t>
      </w:r>
      <w:r>
        <w:tab/>
      </w:r>
      <w:r>
        <w:fldChar w:fldCharType="begin"/>
      </w:r>
      <w:r>
        <w:instrText xml:space="preserve"> PAGEREF _Toc20651 \h </w:instrText>
      </w:r>
      <w:r>
        <w:fldChar w:fldCharType="separate"/>
      </w:r>
      <w:r>
        <w:t>247</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_Toc20822 </w:instrText>
      </w:r>
      <w:r>
        <w:rPr>
          <w:szCs w:val="21"/>
        </w:rPr>
        <w:fldChar w:fldCharType="separate"/>
      </w:r>
      <w:r>
        <w:rPr>
          <w:rFonts w:hint="eastAsia"/>
        </w:rPr>
        <w:t>5.</w:t>
      </w:r>
      <w:r>
        <w:rPr>
          <w:rFonts w:hint="eastAsia"/>
          <w:lang w:val="en-US" w:eastAsia="zh-CN"/>
        </w:rPr>
        <w:t xml:space="preserve">6 </w:t>
      </w:r>
      <w:r>
        <w:t>固体废物环境影响分析</w:t>
      </w:r>
      <w:r>
        <w:tab/>
      </w:r>
      <w:r>
        <w:fldChar w:fldCharType="begin"/>
      </w:r>
      <w:r>
        <w:instrText xml:space="preserve"> PAGEREF _Toc20822 \h </w:instrText>
      </w:r>
      <w:r>
        <w:fldChar w:fldCharType="separate"/>
      </w:r>
      <w:r>
        <w:t>253</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_Toc493 </w:instrText>
      </w:r>
      <w:r>
        <w:rPr>
          <w:szCs w:val="21"/>
        </w:rPr>
        <w:fldChar w:fldCharType="separate"/>
      </w:r>
      <w:r>
        <w:rPr>
          <w:rFonts w:hint="eastAsia"/>
        </w:rPr>
        <w:t>5.</w:t>
      </w:r>
      <w:r>
        <w:rPr>
          <w:rFonts w:hint="eastAsia"/>
          <w:lang w:val="en-US" w:eastAsia="zh-CN"/>
        </w:rPr>
        <w:t xml:space="preserve">7 </w:t>
      </w:r>
      <w:r>
        <w:t>土壤环境影响分析</w:t>
      </w:r>
      <w:r>
        <w:tab/>
      </w:r>
      <w:r>
        <w:fldChar w:fldCharType="begin"/>
      </w:r>
      <w:r>
        <w:instrText xml:space="preserve"> PAGEREF _Toc493 \h </w:instrText>
      </w:r>
      <w:r>
        <w:fldChar w:fldCharType="separate"/>
      </w:r>
      <w:r>
        <w:t>255</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_Toc32467 </w:instrText>
      </w:r>
      <w:r>
        <w:rPr>
          <w:szCs w:val="21"/>
        </w:rPr>
        <w:fldChar w:fldCharType="separate"/>
      </w:r>
      <w:r>
        <w:rPr>
          <w:rFonts w:hint="eastAsia"/>
        </w:rPr>
        <w:t>5.</w:t>
      </w:r>
      <w:r>
        <w:rPr>
          <w:rFonts w:hint="eastAsia"/>
          <w:lang w:val="en-US" w:eastAsia="zh-CN"/>
        </w:rPr>
        <w:t xml:space="preserve">8 </w:t>
      </w:r>
      <w:r>
        <w:rPr>
          <w:rFonts w:hint="eastAsia"/>
        </w:rPr>
        <w:t>生态环境影响分析</w:t>
      </w:r>
      <w:r>
        <w:tab/>
      </w:r>
      <w:r>
        <w:fldChar w:fldCharType="begin"/>
      </w:r>
      <w:r>
        <w:instrText xml:space="preserve"> PAGEREF _Toc32467 \h </w:instrText>
      </w:r>
      <w:r>
        <w:fldChar w:fldCharType="separate"/>
      </w:r>
      <w:r>
        <w:t>256</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_Toc10446 </w:instrText>
      </w:r>
      <w:r>
        <w:rPr>
          <w:szCs w:val="21"/>
        </w:rPr>
        <w:fldChar w:fldCharType="separate"/>
      </w:r>
      <w:r>
        <w:t>5.</w:t>
      </w:r>
      <w:r>
        <w:rPr>
          <w:rFonts w:hint="eastAsia"/>
          <w:lang w:val="en-US" w:eastAsia="zh-CN"/>
        </w:rPr>
        <w:t xml:space="preserve">9 </w:t>
      </w:r>
      <w:r>
        <w:t>环境风险影响分析评价</w:t>
      </w:r>
      <w:r>
        <w:tab/>
      </w:r>
      <w:r>
        <w:fldChar w:fldCharType="begin"/>
      </w:r>
      <w:r>
        <w:instrText xml:space="preserve"> PAGEREF _Toc10446 \h </w:instrText>
      </w:r>
      <w:r>
        <w:fldChar w:fldCharType="separate"/>
      </w:r>
      <w:r>
        <w:t>256</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_Toc8902 </w:instrText>
      </w:r>
      <w:r>
        <w:rPr>
          <w:szCs w:val="21"/>
        </w:rPr>
        <w:fldChar w:fldCharType="separate"/>
      </w:r>
      <w:r>
        <w:rPr>
          <w:rFonts w:hint="eastAsia"/>
          <w:bCs w:val="0"/>
        </w:rPr>
        <w:t>5.</w:t>
      </w:r>
      <w:r>
        <w:rPr>
          <w:rFonts w:hint="eastAsia"/>
          <w:bCs w:val="0"/>
          <w:lang w:val="en-US" w:eastAsia="zh-CN"/>
        </w:rPr>
        <w:t>10</w:t>
      </w:r>
      <w:r>
        <w:rPr>
          <w:rFonts w:hint="eastAsia"/>
          <w:bCs w:val="0"/>
        </w:rPr>
        <w:t xml:space="preserve"> 风险预测与评价</w:t>
      </w:r>
      <w:r>
        <w:tab/>
      </w:r>
      <w:r>
        <w:fldChar w:fldCharType="begin"/>
      </w:r>
      <w:r>
        <w:instrText xml:space="preserve"> PAGEREF _Toc8902 \h </w:instrText>
      </w:r>
      <w:r>
        <w:fldChar w:fldCharType="separate"/>
      </w:r>
      <w:r>
        <w:t>270</w:t>
      </w:r>
      <w:r>
        <w:fldChar w:fldCharType="end"/>
      </w:r>
      <w:r>
        <w:rPr>
          <w:color w:val="auto"/>
          <w:szCs w:val="21"/>
        </w:rPr>
        <w:fldChar w:fldCharType="end"/>
      </w:r>
    </w:p>
    <w:p>
      <w:pPr>
        <w:pStyle w:val="25"/>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rPr>
          <w:b/>
          <w:bCs/>
        </w:rPr>
      </w:pPr>
      <w:r>
        <w:rPr>
          <w:b/>
          <w:bCs/>
          <w:color w:val="auto"/>
          <w:szCs w:val="21"/>
        </w:rPr>
        <w:fldChar w:fldCharType="begin"/>
      </w:r>
      <w:r>
        <w:rPr>
          <w:b/>
          <w:bCs/>
          <w:szCs w:val="21"/>
        </w:rPr>
        <w:instrText xml:space="preserve"> HYPERLINK \l _Toc32602 </w:instrText>
      </w:r>
      <w:r>
        <w:rPr>
          <w:b/>
          <w:bCs/>
          <w:szCs w:val="21"/>
        </w:rPr>
        <w:fldChar w:fldCharType="separate"/>
      </w:r>
      <w:r>
        <w:rPr>
          <w:rFonts w:hint="eastAsia"/>
          <w:b/>
          <w:bCs/>
        </w:rPr>
        <w:t xml:space="preserve">第六章  </w:t>
      </w:r>
      <w:r>
        <w:rPr>
          <w:b/>
          <w:bCs/>
        </w:rPr>
        <w:t>环境保护措施及其可行性分析</w:t>
      </w:r>
      <w:r>
        <w:rPr>
          <w:b/>
          <w:bCs/>
        </w:rPr>
        <w:tab/>
      </w:r>
      <w:r>
        <w:rPr>
          <w:b/>
          <w:bCs/>
        </w:rPr>
        <w:fldChar w:fldCharType="begin"/>
      </w:r>
      <w:r>
        <w:rPr>
          <w:b/>
          <w:bCs/>
        </w:rPr>
        <w:instrText xml:space="preserve"> PAGEREF _Toc32602 \h </w:instrText>
      </w:r>
      <w:r>
        <w:rPr>
          <w:b/>
          <w:bCs/>
        </w:rPr>
        <w:fldChar w:fldCharType="separate"/>
      </w:r>
      <w:r>
        <w:rPr>
          <w:b/>
          <w:bCs/>
        </w:rPr>
        <w:t>282</w:t>
      </w:r>
      <w:r>
        <w:rPr>
          <w:b/>
          <w:bCs/>
        </w:rPr>
        <w:fldChar w:fldCharType="end"/>
      </w:r>
      <w:r>
        <w:rPr>
          <w:b/>
          <w:bCs/>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_Toc13210 </w:instrText>
      </w:r>
      <w:r>
        <w:rPr>
          <w:szCs w:val="21"/>
        </w:rPr>
        <w:fldChar w:fldCharType="separate"/>
      </w:r>
      <w:r>
        <w:rPr>
          <w:rFonts w:hint="eastAsia"/>
        </w:rPr>
        <w:t>6.1</w:t>
      </w:r>
      <w:r>
        <w:rPr>
          <w:rFonts w:hint="eastAsia"/>
          <w:lang w:val="en-US" w:eastAsia="zh-CN"/>
        </w:rPr>
        <w:t xml:space="preserve"> </w:t>
      </w:r>
      <w:r>
        <w:rPr>
          <w:rFonts w:hint="eastAsia"/>
        </w:rPr>
        <w:t>施工期治理措施分析</w:t>
      </w:r>
      <w:r>
        <w:tab/>
      </w:r>
      <w:r>
        <w:fldChar w:fldCharType="begin"/>
      </w:r>
      <w:r>
        <w:instrText xml:space="preserve"> PAGEREF _Toc13210 \h </w:instrText>
      </w:r>
      <w:r>
        <w:fldChar w:fldCharType="separate"/>
      </w:r>
      <w:r>
        <w:t>282</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_Toc31889 </w:instrText>
      </w:r>
      <w:r>
        <w:rPr>
          <w:szCs w:val="21"/>
        </w:rPr>
        <w:fldChar w:fldCharType="separate"/>
      </w:r>
      <w:r>
        <w:t>6.2</w:t>
      </w:r>
      <w:r>
        <w:rPr>
          <w:rFonts w:hint="eastAsia"/>
          <w:lang w:val="en-US" w:eastAsia="zh-CN"/>
        </w:rPr>
        <w:t xml:space="preserve"> </w:t>
      </w:r>
      <w:r>
        <w:rPr>
          <w:rFonts w:hint="eastAsia"/>
        </w:rPr>
        <w:t>运营期污染防治措施分析</w:t>
      </w:r>
      <w:r>
        <w:tab/>
      </w:r>
      <w:r>
        <w:fldChar w:fldCharType="begin"/>
      </w:r>
      <w:r>
        <w:instrText xml:space="preserve"> PAGEREF _Toc31889 \h </w:instrText>
      </w:r>
      <w:r>
        <w:fldChar w:fldCharType="separate"/>
      </w:r>
      <w:r>
        <w:t>285</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_Toc25972 </w:instrText>
      </w:r>
      <w:r>
        <w:rPr>
          <w:szCs w:val="21"/>
        </w:rPr>
        <w:fldChar w:fldCharType="separate"/>
      </w:r>
      <w:r>
        <w:rPr>
          <w:rFonts w:hint="eastAsia"/>
        </w:rPr>
        <w:t>6.3</w:t>
      </w:r>
      <w:r>
        <w:rPr>
          <w:rFonts w:hint="eastAsia"/>
          <w:lang w:val="en-US" w:eastAsia="zh-CN"/>
        </w:rPr>
        <w:t xml:space="preserve"> </w:t>
      </w:r>
      <w:r>
        <w:rPr>
          <w:rFonts w:hint="eastAsia"/>
        </w:rPr>
        <w:t>工程污染防治措施汇总</w:t>
      </w:r>
      <w:r>
        <w:tab/>
      </w:r>
      <w:r>
        <w:fldChar w:fldCharType="begin"/>
      </w:r>
      <w:r>
        <w:instrText xml:space="preserve"> PAGEREF _Toc25972 \h </w:instrText>
      </w:r>
      <w:r>
        <w:fldChar w:fldCharType="separate"/>
      </w:r>
      <w:r>
        <w:t>295</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_Toc16550 </w:instrText>
      </w:r>
      <w:r>
        <w:rPr>
          <w:szCs w:val="21"/>
        </w:rPr>
        <w:fldChar w:fldCharType="separate"/>
      </w:r>
      <w:r>
        <w:rPr>
          <w:rFonts w:hint="eastAsia"/>
        </w:rPr>
        <w:t>6.</w:t>
      </w:r>
      <w:r>
        <w:t>4</w:t>
      </w:r>
      <w:r>
        <w:rPr>
          <w:rFonts w:hint="eastAsia"/>
          <w:lang w:val="en-US" w:eastAsia="zh-CN"/>
        </w:rPr>
        <w:t xml:space="preserve"> </w:t>
      </w:r>
      <w:r>
        <w:rPr>
          <w:rFonts w:hint="eastAsia"/>
        </w:rPr>
        <w:t>厂址选择可行性</w:t>
      </w:r>
      <w:r>
        <w:tab/>
      </w:r>
      <w:r>
        <w:fldChar w:fldCharType="begin"/>
      </w:r>
      <w:r>
        <w:instrText xml:space="preserve"> PAGEREF _Toc16550 \h </w:instrText>
      </w:r>
      <w:r>
        <w:fldChar w:fldCharType="separate"/>
      </w:r>
      <w:r>
        <w:t>297</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_Toc2541 </w:instrText>
      </w:r>
      <w:r>
        <w:rPr>
          <w:szCs w:val="21"/>
        </w:rPr>
        <w:fldChar w:fldCharType="separate"/>
      </w:r>
      <w:r>
        <w:rPr>
          <w:rFonts w:hint="eastAsia"/>
        </w:rPr>
        <w:t>6.</w:t>
      </w:r>
      <w:r>
        <w:t>5</w:t>
      </w:r>
      <w:r>
        <w:rPr>
          <w:rFonts w:hint="eastAsia"/>
          <w:lang w:val="en-US" w:eastAsia="zh-CN"/>
        </w:rPr>
        <w:t xml:space="preserve"> </w:t>
      </w:r>
      <w:r>
        <w:rPr>
          <w:rFonts w:hint="eastAsia"/>
        </w:rPr>
        <w:t>总量控制分析</w:t>
      </w:r>
      <w:r>
        <w:tab/>
      </w:r>
      <w:r>
        <w:fldChar w:fldCharType="begin"/>
      </w:r>
      <w:r>
        <w:instrText xml:space="preserve"> PAGEREF _Toc2541 \h </w:instrText>
      </w:r>
      <w:r>
        <w:fldChar w:fldCharType="separate"/>
      </w:r>
      <w:r>
        <w:t>299</w:t>
      </w:r>
      <w:r>
        <w:fldChar w:fldCharType="end"/>
      </w:r>
      <w:r>
        <w:rPr>
          <w:color w:val="auto"/>
          <w:szCs w:val="21"/>
        </w:rPr>
        <w:fldChar w:fldCharType="end"/>
      </w:r>
    </w:p>
    <w:p>
      <w:pPr>
        <w:pStyle w:val="25"/>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rPr>
          <w:b/>
          <w:bCs/>
        </w:rPr>
      </w:pPr>
      <w:r>
        <w:rPr>
          <w:b/>
          <w:bCs/>
          <w:color w:val="auto"/>
          <w:szCs w:val="21"/>
        </w:rPr>
        <w:fldChar w:fldCharType="begin"/>
      </w:r>
      <w:r>
        <w:rPr>
          <w:b/>
          <w:bCs/>
          <w:szCs w:val="21"/>
        </w:rPr>
        <w:instrText xml:space="preserve"> HYPERLINK \l _Toc2103 </w:instrText>
      </w:r>
      <w:r>
        <w:rPr>
          <w:b/>
          <w:bCs/>
          <w:szCs w:val="21"/>
        </w:rPr>
        <w:fldChar w:fldCharType="separate"/>
      </w:r>
      <w:r>
        <w:rPr>
          <w:rFonts w:hint="eastAsia"/>
          <w:b/>
          <w:bCs/>
        </w:rPr>
        <w:t xml:space="preserve">第七章  </w:t>
      </w:r>
      <w:r>
        <w:rPr>
          <w:b/>
          <w:bCs/>
        </w:rPr>
        <w:t>环境影响经济损益分析</w:t>
      </w:r>
      <w:r>
        <w:rPr>
          <w:b/>
          <w:bCs/>
        </w:rPr>
        <w:tab/>
      </w:r>
      <w:r>
        <w:rPr>
          <w:b/>
          <w:bCs/>
        </w:rPr>
        <w:fldChar w:fldCharType="begin"/>
      </w:r>
      <w:r>
        <w:rPr>
          <w:b/>
          <w:bCs/>
        </w:rPr>
        <w:instrText xml:space="preserve"> PAGEREF _Toc2103 \h </w:instrText>
      </w:r>
      <w:r>
        <w:rPr>
          <w:b/>
          <w:bCs/>
        </w:rPr>
        <w:fldChar w:fldCharType="separate"/>
      </w:r>
      <w:r>
        <w:rPr>
          <w:b/>
          <w:bCs/>
        </w:rPr>
        <w:t>302</w:t>
      </w:r>
      <w:r>
        <w:rPr>
          <w:b/>
          <w:bCs/>
        </w:rPr>
        <w:fldChar w:fldCharType="end"/>
      </w:r>
      <w:r>
        <w:rPr>
          <w:b/>
          <w:bCs/>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_Toc32492 </w:instrText>
      </w:r>
      <w:r>
        <w:rPr>
          <w:szCs w:val="21"/>
        </w:rPr>
        <w:fldChar w:fldCharType="separate"/>
      </w:r>
      <w:r>
        <w:rPr>
          <w:rFonts w:hint="eastAsia"/>
        </w:rPr>
        <w:t>7.1</w:t>
      </w:r>
      <w:r>
        <w:rPr>
          <w:rFonts w:hint="eastAsia"/>
          <w:lang w:val="en-US" w:eastAsia="zh-CN"/>
        </w:rPr>
        <w:t xml:space="preserve"> </w:t>
      </w:r>
      <w:r>
        <w:rPr>
          <w:rFonts w:hint="eastAsia"/>
        </w:rPr>
        <w:t>社会效益分析</w:t>
      </w:r>
      <w:r>
        <w:tab/>
      </w:r>
      <w:r>
        <w:fldChar w:fldCharType="begin"/>
      </w:r>
      <w:r>
        <w:instrText xml:space="preserve"> PAGEREF _Toc32492 \h </w:instrText>
      </w:r>
      <w:r>
        <w:fldChar w:fldCharType="separate"/>
      </w:r>
      <w:r>
        <w:t>302</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_Toc1606 </w:instrText>
      </w:r>
      <w:r>
        <w:rPr>
          <w:szCs w:val="21"/>
        </w:rPr>
        <w:fldChar w:fldCharType="separate"/>
      </w:r>
      <w:r>
        <w:rPr>
          <w:rFonts w:hint="eastAsia"/>
        </w:rPr>
        <w:t>7.2</w:t>
      </w:r>
      <w:r>
        <w:rPr>
          <w:rFonts w:hint="eastAsia"/>
          <w:lang w:val="en-US" w:eastAsia="zh-CN"/>
        </w:rPr>
        <w:t xml:space="preserve"> </w:t>
      </w:r>
      <w:r>
        <w:rPr>
          <w:rFonts w:hint="eastAsia"/>
        </w:rPr>
        <w:t>经济效益分析</w:t>
      </w:r>
      <w:r>
        <w:tab/>
      </w:r>
      <w:r>
        <w:fldChar w:fldCharType="begin"/>
      </w:r>
      <w:r>
        <w:instrText xml:space="preserve"> PAGEREF _Toc1606 \h </w:instrText>
      </w:r>
      <w:r>
        <w:fldChar w:fldCharType="separate"/>
      </w:r>
      <w:r>
        <w:t>302</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_Toc11580 </w:instrText>
      </w:r>
      <w:r>
        <w:rPr>
          <w:szCs w:val="21"/>
        </w:rPr>
        <w:fldChar w:fldCharType="separate"/>
      </w:r>
      <w:r>
        <w:rPr>
          <w:rFonts w:hint="eastAsia"/>
        </w:rPr>
        <w:t>7.3</w:t>
      </w:r>
      <w:r>
        <w:rPr>
          <w:rFonts w:hint="eastAsia"/>
          <w:lang w:val="en-US" w:eastAsia="zh-CN"/>
        </w:rPr>
        <w:t xml:space="preserve"> </w:t>
      </w:r>
      <w:r>
        <w:rPr>
          <w:rFonts w:hint="eastAsia"/>
        </w:rPr>
        <w:t>环境损益分析</w:t>
      </w:r>
      <w:r>
        <w:tab/>
      </w:r>
      <w:r>
        <w:fldChar w:fldCharType="begin"/>
      </w:r>
      <w:r>
        <w:instrText xml:space="preserve"> PAGEREF _Toc11580 \h </w:instrText>
      </w:r>
      <w:r>
        <w:fldChar w:fldCharType="separate"/>
      </w:r>
      <w:r>
        <w:t>303</w:t>
      </w:r>
      <w:r>
        <w:fldChar w:fldCharType="end"/>
      </w:r>
      <w:r>
        <w:rPr>
          <w:color w:val="auto"/>
          <w:szCs w:val="21"/>
        </w:rPr>
        <w:fldChar w:fldCharType="end"/>
      </w:r>
    </w:p>
    <w:p>
      <w:pPr>
        <w:pStyle w:val="25"/>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rPr>
          <w:b/>
          <w:bCs/>
        </w:rPr>
      </w:pPr>
      <w:r>
        <w:rPr>
          <w:b/>
          <w:bCs/>
          <w:color w:val="auto"/>
          <w:szCs w:val="21"/>
        </w:rPr>
        <w:fldChar w:fldCharType="begin"/>
      </w:r>
      <w:r>
        <w:rPr>
          <w:b/>
          <w:bCs/>
          <w:szCs w:val="21"/>
        </w:rPr>
        <w:instrText xml:space="preserve"> HYPERLINK \l _Toc17148 </w:instrText>
      </w:r>
      <w:r>
        <w:rPr>
          <w:b/>
          <w:bCs/>
          <w:szCs w:val="21"/>
        </w:rPr>
        <w:fldChar w:fldCharType="separate"/>
      </w:r>
      <w:r>
        <w:rPr>
          <w:rFonts w:hint="eastAsia"/>
          <w:b/>
          <w:bCs/>
        </w:rPr>
        <w:t xml:space="preserve">第八章  </w:t>
      </w:r>
      <w:r>
        <w:rPr>
          <w:b/>
          <w:bCs/>
        </w:rPr>
        <w:t>环境管理</w:t>
      </w:r>
      <w:r>
        <w:rPr>
          <w:rFonts w:hint="eastAsia"/>
          <w:b/>
          <w:bCs/>
        </w:rPr>
        <w:t>与</w:t>
      </w:r>
      <w:r>
        <w:rPr>
          <w:b/>
          <w:bCs/>
        </w:rPr>
        <w:t>监测计划</w:t>
      </w:r>
      <w:r>
        <w:rPr>
          <w:b/>
          <w:bCs/>
        </w:rPr>
        <w:tab/>
      </w:r>
      <w:r>
        <w:rPr>
          <w:b/>
          <w:bCs/>
        </w:rPr>
        <w:fldChar w:fldCharType="begin"/>
      </w:r>
      <w:r>
        <w:rPr>
          <w:b/>
          <w:bCs/>
        </w:rPr>
        <w:instrText xml:space="preserve"> PAGEREF _Toc17148 \h </w:instrText>
      </w:r>
      <w:r>
        <w:rPr>
          <w:b/>
          <w:bCs/>
        </w:rPr>
        <w:fldChar w:fldCharType="separate"/>
      </w:r>
      <w:r>
        <w:rPr>
          <w:b/>
          <w:bCs/>
        </w:rPr>
        <w:t>306</w:t>
      </w:r>
      <w:r>
        <w:rPr>
          <w:b/>
          <w:bCs/>
        </w:rPr>
        <w:fldChar w:fldCharType="end"/>
      </w:r>
      <w:r>
        <w:rPr>
          <w:b/>
          <w:bCs/>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_Toc23749 </w:instrText>
      </w:r>
      <w:r>
        <w:rPr>
          <w:szCs w:val="21"/>
        </w:rPr>
        <w:fldChar w:fldCharType="separate"/>
      </w:r>
      <w:r>
        <w:rPr>
          <w:rFonts w:hint="eastAsia"/>
        </w:rPr>
        <w:t>8.1</w:t>
      </w:r>
      <w:r>
        <w:rPr>
          <w:rFonts w:hint="eastAsia"/>
          <w:lang w:val="en-US" w:eastAsia="zh-CN"/>
        </w:rPr>
        <w:t xml:space="preserve"> </w:t>
      </w:r>
      <w:r>
        <w:rPr>
          <w:rFonts w:hint="eastAsia"/>
        </w:rPr>
        <w:t>环境管理</w:t>
      </w:r>
      <w:r>
        <w:tab/>
      </w:r>
      <w:r>
        <w:fldChar w:fldCharType="begin"/>
      </w:r>
      <w:r>
        <w:instrText xml:space="preserve"> PAGEREF _Toc23749 \h </w:instrText>
      </w:r>
      <w:r>
        <w:fldChar w:fldCharType="separate"/>
      </w:r>
      <w:r>
        <w:t>306</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_Toc19835 </w:instrText>
      </w:r>
      <w:r>
        <w:rPr>
          <w:szCs w:val="21"/>
        </w:rPr>
        <w:fldChar w:fldCharType="separate"/>
      </w:r>
      <w:r>
        <w:rPr>
          <w:rFonts w:hint="eastAsia"/>
        </w:rPr>
        <w:t>8</w:t>
      </w:r>
      <w:r>
        <w:t>.2</w:t>
      </w:r>
      <w:r>
        <w:rPr>
          <w:rFonts w:hint="eastAsia"/>
          <w:lang w:val="en-US" w:eastAsia="zh-CN"/>
        </w:rPr>
        <w:t xml:space="preserve"> </w:t>
      </w:r>
      <w:r>
        <w:rPr>
          <w:rFonts w:hint="eastAsia"/>
        </w:rPr>
        <w:t>环境监测计划</w:t>
      </w:r>
      <w:r>
        <w:tab/>
      </w:r>
      <w:r>
        <w:fldChar w:fldCharType="begin"/>
      </w:r>
      <w:r>
        <w:instrText xml:space="preserve"> PAGEREF _Toc19835 \h </w:instrText>
      </w:r>
      <w:r>
        <w:fldChar w:fldCharType="separate"/>
      </w:r>
      <w:r>
        <w:t>308</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_Toc5012 </w:instrText>
      </w:r>
      <w:r>
        <w:rPr>
          <w:szCs w:val="21"/>
        </w:rPr>
        <w:fldChar w:fldCharType="separate"/>
      </w:r>
      <w:r>
        <w:t>8.3</w:t>
      </w:r>
      <w:r>
        <w:rPr>
          <w:rFonts w:hint="eastAsia"/>
          <w:lang w:val="en-US" w:eastAsia="zh-CN"/>
        </w:rPr>
        <w:t xml:space="preserve"> </w:t>
      </w:r>
      <w:r>
        <w:rPr>
          <w:rFonts w:hint="eastAsia"/>
        </w:rPr>
        <w:t>信息公开内容</w:t>
      </w:r>
      <w:r>
        <w:tab/>
      </w:r>
      <w:r>
        <w:fldChar w:fldCharType="begin"/>
      </w:r>
      <w:r>
        <w:instrText xml:space="preserve"> PAGEREF _Toc5012 \h </w:instrText>
      </w:r>
      <w:r>
        <w:fldChar w:fldCharType="separate"/>
      </w:r>
      <w:r>
        <w:t>310</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_Toc16716 </w:instrText>
      </w:r>
      <w:r>
        <w:rPr>
          <w:szCs w:val="21"/>
        </w:rPr>
        <w:fldChar w:fldCharType="separate"/>
      </w:r>
      <w:r>
        <w:rPr>
          <w:rFonts w:hint="eastAsia"/>
        </w:rPr>
        <w:t>8.4</w:t>
      </w:r>
      <w:r>
        <w:rPr>
          <w:rFonts w:hint="eastAsia"/>
          <w:lang w:val="en-US" w:eastAsia="zh-CN"/>
        </w:rPr>
        <w:t xml:space="preserve"> </w:t>
      </w:r>
      <w:r>
        <w:t>排污口标志管理</w:t>
      </w:r>
      <w:r>
        <w:tab/>
      </w:r>
      <w:r>
        <w:fldChar w:fldCharType="begin"/>
      </w:r>
      <w:r>
        <w:instrText xml:space="preserve"> PAGEREF _Toc16716 \h </w:instrText>
      </w:r>
      <w:r>
        <w:fldChar w:fldCharType="separate"/>
      </w:r>
      <w:r>
        <w:t>312</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_Toc7697 </w:instrText>
      </w:r>
      <w:r>
        <w:rPr>
          <w:szCs w:val="21"/>
        </w:rPr>
        <w:fldChar w:fldCharType="separate"/>
      </w:r>
      <w:r>
        <w:rPr>
          <w:rFonts w:hint="eastAsia"/>
          <w:lang w:val="en-US" w:eastAsia="zh-CN"/>
        </w:rPr>
        <w:t xml:space="preserve">8.5 </w:t>
      </w:r>
      <w:r>
        <w:rPr>
          <w:rFonts w:hint="eastAsia"/>
        </w:rPr>
        <w:t>“三同时”竣工验收内容</w:t>
      </w:r>
      <w:r>
        <w:tab/>
      </w:r>
      <w:r>
        <w:fldChar w:fldCharType="begin"/>
      </w:r>
      <w:r>
        <w:instrText xml:space="preserve"> PAGEREF _Toc7697 \h </w:instrText>
      </w:r>
      <w:r>
        <w:fldChar w:fldCharType="separate"/>
      </w:r>
      <w:r>
        <w:t>313</w:t>
      </w:r>
      <w:r>
        <w:fldChar w:fldCharType="end"/>
      </w:r>
      <w:r>
        <w:rPr>
          <w:color w:val="auto"/>
          <w:szCs w:val="21"/>
        </w:rPr>
        <w:fldChar w:fldCharType="end"/>
      </w:r>
    </w:p>
    <w:p>
      <w:pPr>
        <w:pStyle w:val="25"/>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rPr>
          <w:b/>
          <w:bCs/>
        </w:rPr>
      </w:pPr>
      <w:r>
        <w:rPr>
          <w:b/>
          <w:bCs/>
          <w:color w:val="auto"/>
          <w:szCs w:val="21"/>
        </w:rPr>
        <w:fldChar w:fldCharType="begin"/>
      </w:r>
      <w:r>
        <w:rPr>
          <w:b/>
          <w:bCs/>
          <w:szCs w:val="21"/>
        </w:rPr>
        <w:instrText xml:space="preserve"> HYPERLINK \l _Toc25640 </w:instrText>
      </w:r>
      <w:r>
        <w:rPr>
          <w:b/>
          <w:bCs/>
          <w:szCs w:val="21"/>
        </w:rPr>
        <w:fldChar w:fldCharType="separate"/>
      </w:r>
      <w:r>
        <w:rPr>
          <w:b/>
          <w:bCs/>
        </w:rPr>
        <w:t>第</w:t>
      </w:r>
      <w:r>
        <w:rPr>
          <w:rFonts w:hint="eastAsia"/>
          <w:b/>
          <w:bCs/>
        </w:rPr>
        <w:t>九</w:t>
      </w:r>
      <w:r>
        <w:rPr>
          <w:b/>
          <w:bCs/>
        </w:rPr>
        <w:t>章  评价结论与建议</w:t>
      </w:r>
      <w:r>
        <w:rPr>
          <w:b/>
          <w:bCs/>
        </w:rPr>
        <w:tab/>
      </w:r>
      <w:r>
        <w:rPr>
          <w:b/>
          <w:bCs/>
        </w:rPr>
        <w:fldChar w:fldCharType="begin"/>
      </w:r>
      <w:r>
        <w:rPr>
          <w:b/>
          <w:bCs/>
        </w:rPr>
        <w:instrText xml:space="preserve"> PAGEREF _Toc25640 \h </w:instrText>
      </w:r>
      <w:r>
        <w:rPr>
          <w:b/>
          <w:bCs/>
        </w:rPr>
        <w:fldChar w:fldCharType="separate"/>
      </w:r>
      <w:r>
        <w:rPr>
          <w:b/>
          <w:bCs/>
        </w:rPr>
        <w:t>315</w:t>
      </w:r>
      <w:r>
        <w:rPr>
          <w:b/>
          <w:bCs/>
        </w:rPr>
        <w:fldChar w:fldCharType="end"/>
      </w:r>
      <w:r>
        <w:rPr>
          <w:b/>
          <w:bCs/>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_Toc4640 </w:instrText>
      </w:r>
      <w:r>
        <w:rPr>
          <w:szCs w:val="21"/>
        </w:rPr>
        <w:fldChar w:fldCharType="separate"/>
      </w:r>
      <w:r>
        <w:t>9.1</w:t>
      </w:r>
      <w:r>
        <w:rPr>
          <w:rFonts w:hint="eastAsia"/>
          <w:lang w:val="en-US" w:eastAsia="zh-CN"/>
        </w:rPr>
        <w:t xml:space="preserve"> </w:t>
      </w:r>
      <w:r>
        <w:t>评价结论</w:t>
      </w:r>
      <w:r>
        <w:tab/>
      </w:r>
      <w:r>
        <w:fldChar w:fldCharType="begin"/>
      </w:r>
      <w:r>
        <w:instrText xml:space="preserve"> PAGEREF _Toc4640 \h </w:instrText>
      </w:r>
      <w:r>
        <w:fldChar w:fldCharType="separate"/>
      </w:r>
      <w:r>
        <w:t>315</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_Toc1843 </w:instrText>
      </w:r>
      <w:r>
        <w:rPr>
          <w:szCs w:val="21"/>
        </w:rPr>
        <w:fldChar w:fldCharType="separate"/>
      </w:r>
      <w:r>
        <w:t>9.</w:t>
      </w:r>
      <w:r>
        <w:rPr>
          <w:rFonts w:hint="eastAsia"/>
          <w:lang w:val="en-US" w:eastAsia="zh-CN"/>
        </w:rPr>
        <w:t xml:space="preserve">2 </w:t>
      </w:r>
      <w:r>
        <w:t>总结论</w:t>
      </w:r>
      <w:r>
        <w:tab/>
      </w:r>
      <w:r>
        <w:fldChar w:fldCharType="begin"/>
      </w:r>
      <w:r>
        <w:instrText xml:space="preserve"> PAGEREF _Toc1843 \h </w:instrText>
      </w:r>
      <w:r>
        <w:fldChar w:fldCharType="separate"/>
      </w:r>
      <w:r>
        <w:t>319</w:t>
      </w:r>
      <w:r>
        <w:fldChar w:fldCharType="end"/>
      </w:r>
      <w:r>
        <w:rPr>
          <w:color w:val="auto"/>
          <w:szCs w:val="21"/>
        </w:rPr>
        <w:fldChar w:fldCharType="end"/>
      </w:r>
    </w:p>
    <w:p>
      <w:pPr>
        <w:pStyle w:val="26"/>
        <w:keepNext w:val="0"/>
        <w:keepLines w:val="0"/>
        <w:pageBreakBefore w:val="0"/>
        <w:widowControl w:val="0"/>
        <w:tabs>
          <w:tab w:val="right" w:leader="dot" w:pos="8310"/>
        </w:tabs>
        <w:kinsoku/>
        <w:wordWrap/>
        <w:overflowPunct/>
        <w:topLinePunct w:val="0"/>
        <w:autoSpaceDE/>
        <w:autoSpaceDN/>
        <w:bidi w:val="0"/>
        <w:adjustRightInd w:val="0"/>
        <w:snapToGrid w:val="0"/>
        <w:ind w:firstLine="0" w:firstLineChars="0"/>
        <w:textAlignment w:val="auto"/>
      </w:pPr>
      <w:r>
        <w:rPr>
          <w:color w:val="auto"/>
          <w:szCs w:val="21"/>
        </w:rPr>
        <w:fldChar w:fldCharType="begin"/>
      </w:r>
      <w:r>
        <w:rPr>
          <w:szCs w:val="21"/>
        </w:rPr>
        <w:instrText xml:space="preserve"> HYPERLINK \l _Toc27640 </w:instrText>
      </w:r>
      <w:r>
        <w:rPr>
          <w:szCs w:val="21"/>
        </w:rPr>
        <w:fldChar w:fldCharType="separate"/>
      </w:r>
      <w:r>
        <w:t>9.</w:t>
      </w:r>
      <w:r>
        <w:rPr>
          <w:rFonts w:hint="eastAsia"/>
          <w:lang w:val="en-US" w:eastAsia="zh-CN"/>
        </w:rPr>
        <w:t xml:space="preserve">3 </w:t>
      </w:r>
      <w:r>
        <w:t>建议</w:t>
      </w:r>
      <w:r>
        <w:tab/>
      </w:r>
      <w:r>
        <w:fldChar w:fldCharType="begin"/>
      </w:r>
      <w:r>
        <w:instrText xml:space="preserve"> PAGEREF _Toc27640 \h </w:instrText>
      </w:r>
      <w:r>
        <w:fldChar w:fldCharType="separate"/>
      </w:r>
      <w:r>
        <w:t>320</w:t>
      </w:r>
      <w:r>
        <w:fldChar w:fldCharType="end"/>
      </w:r>
      <w:r>
        <w:rPr>
          <w:color w:val="auto"/>
          <w:szCs w:val="21"/>
        </w:rPr>
        <w:fldChar w:fldCharType="end"/>
      </w:r>
    </w:p>
    <w:p>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olor w:val="auto"/>
        </w:rPr>
      </w:pPr>
      <w:r>
        <w:rPr>
          <w:color w:val="auto"/>
          <w:szCs w:val="21"/>
        </w:rPr>
        <w:fldChar w:fldCharType="end"/>
      </w:r>
    </w:p>
    <w:p>
      <w:pPr>
        <w:bidi w:val="0"/>
        <w:jc w:val="center"/>
        <w:rPr>
          <w:rFonts w:hint="eastAsia"/>
          <w:b/>
          <w:bCs/>
          <w:color w:val="auto"/>
        </w:rPr>
      </w:pPr>
      <w:r>
        <w:rPr>
          <w:rFonts w:hint="eastAsia"/>
          <w:b/>
          <w:bCs/>
          <w:color w:val="auto"/>
        </w:rPr>
        <w:t>附  图</w:t>
      </w:r>
    </w:p>
    <w:p>
      <w:pPr>
        <w:bidi w:val="0"/>
        <w:rPr>
          <w:rFonts w:hint="eastAsia"/>
          <w:color w:val="auto"/>
        </w:rPr>
      </w:pPr>
      <w:r>
        <w:rPr>
          <w:rFonts w:hint="eastAsia"/>
          <w:color w:val="auto"/>
        </w:rPr>
        <w:t>附图1  项目地理位置图</w:t>
      </w:r>
    </w:p>
    <w:p>
      <w:pPr>
        <w:bidi w:val="0"/>
        <w:rPr>
          <w:rFonts w:hint="eastAsia"/>
          <w:color w:val="auto"/>
        </w:rPr>
      </w:pPr>
      <w:r>
        <w:rPr>
          <w:rFonts w:hint="eastAsia"/>
          <w:color w:val="auto"/>
        </w:rPr>
        <w:t>附图2  项目周边环境敏感点示意图</w:t>
      </w:r>
    </w:p>
    <w:p>
      <w:pPr>
        <w:bidi w:val="0"/>
        <w:rPr>
          <w:rFonts w:hint="eastAsia"/>
          <w:color w:val="auto"/>
        </w:rPr>
      </w:pPr>
      <w:r>
        <w:rPr>
          <w:rFonts w:hint="eastAsia"/>
          <w:color w:val="auto"/>
        </w:rPr>
        <w:t>附图3  厂区平面布置图</w:t>
      </w:r>
    </w:p>
    <w:p>
      <w:pPr>
        <w:bidi w:val="0"/>
        <w:rPr>
          <w:rFonts w:hint="eastAsia"/>
          <w:color w:val="auto"/>
        </w:rPr>
      </w:pPr>
      <w:r>
        <w:rPr>
          <w:rFonts w:hint="eastAsia"/>
          <w:color w:val="auto"/>
        </w:rPr>
        <w:t>附图4  项目平面布置图</w:t>
      </w:r>
    </w:p>
    <w:p>
      <w:pPr>
        <w:bidi w:val="0"/>
        <w:rPr>
          <w:rFonts w:hint="eastAsia"/>
          <w:color w:val="auto"/>
        </w:rPr>
      </w:pPr>
      <w:r>
        <w:rPr>
          <w:rFonts w:hint="eastAsia"/>
          <w:color w:val="auto"/>
        </w:rPr>
        <w:t>附图5  小店镇总体规划图及项目地理位置图</w:t>
      </w:r>
    </w:p>
    <w:p>
      <w:pPr>
        <w:bidi w:val="0"/>
        <w:rPr>
          <w:rFonts w:hint="eastAsia"/>
          <w:color w:val="auto"/>
        </w:rPr>
      </w:pPr>
      <w:r>
        <w:rPr>
          <w:rFonts w:hint="eastAsia"/>
          <w:color w:val="auto"/>
        </w:rPr>
        <w:t>附图6 集聚区产业布局规划图</w:t>
      </w:r>
    </w:p>
    <w:p>
      <w:pPr>
        <w:bidi w:val="0"/>
        <w:rPr>
          <w:rFonts w:hint="eastAsia"/>
          <w:color w:val="auto"/>
        </w:rPr>
      </w:pPr>
      <w:r>
        <w:rPr>
          <w:rFonts w:hint="eastAsia"/>
          <w:color w:val="auto"/>
        </w:rPr>
        <w:t>附图7 国家新乡经济技术开发区噪声功能区划图</w:t>
      </w:r>
    </w:p>
    <w:p>
      <w:pPr>
        <w:bidi w:val="0"/>
        <w:rPr>
          <w:rFonts w:hint="eastAsia"/>
          <w:color w:val="auto"/>
        </w:rPr>
      </w:pPr>
      <w:r>
        <w:rPr>
          <w:rFonts w:hint="eastAsia"/>
          <w:color w:val="auto"/>
        </w:rPr>
        <w:t>附图8 本项目现状</w:t>
      </w:r>
    </w:p>
    <w:p>
      <w:pPr>
        <w:bidi w:val="0"/>
        <w:jc w:val="center"/>
        <w:rPr>
          <w:rFonts w:hint="eastAsia"/>
          <w:b/>
          <w:bCs/>
          <w:color w:val="auto"/>
        </w:rPr>
      </w:pPr>
      <w:r>
        <w:rPr>
          <w:rFonts w:hint="eastAsia"/>
          <w:b/>
          <w:bCs/>
          <w:color w:val="auto"/>
        </w:rPr>
        <w:t>附</w:t>
      </w:r>
      <w:r>
        <w:rPr>
          <w:rFonts w:hint="eastAsia"/>
          <w:b/>
          <w:bCs/>
          <w:color w:val="auto"/>
          <w:lang w:val="en-US" w:eastAsia="zh-CN"/>
        </w:rPr>
        <w:t xml:space="preserve">  </w:t>
      </w:r>
      <w:r>
        <w:rPr>
          <w:rFonts w:hint="eastAsia"/>
          <w:b/>
          <w:bCs/>
          <w:color w:val="auto"/>
        </w:rPr>
        <w:t>件</w:t>
      </w:r>
    </w:p>
    <w:p>
      <w:pPr>
        <w:bidi w:val="0"/>
        <w:rPr>
          <w:rFonts w:hint="eastAsia"/>
          <w:color w:val="auto"/>
        </w:rPr>
      </w:pPr>
      <w:r>
        <w:rPr>
          <w:rFonts w:hint="eastAsia"/>
          <w:color w:val="auto"/>
        </w:rPr>
        <w:t>附件1  委托书</w:t>
      </w:r>
    </w:p>
    <w:p>
      <w:pPr>
        <w:bidi w:val="0"/>
        <w:rPr>
          <w:rFonts w:hint="eastAsia"/>
          <w:color w:val="auto"/>
        </w:rPr>
      </w:pPr>
      <w:r>
        <w:rPr>
          <w:rFonts w:hint="eastAsia"/>
          <w:color w:val="auto"/>
        </w:rPr>
        <w:t>附件2  备案证明</w:t>
      </w:r>
    </w:p>
    <w:p>
      <w:pPr>
        <w:bidi w:val="0"/>
        <w:rPr>
          <w:rFonts w:hint="eastAsia"/>
          <w:color w:val="auto"/>
        </w:rPr>
      </w:pPr>
      <w:r>
        <w:rPr>
          <w:rFonts w:hint="eastAsia"/>
          <w:color w:val="auto"/>
        </w:rPr>
        <w:t>附件4 企业2022年11月检测报告</w:t>
      </w:r>
    </w:p>
    <w:p>
      <w:pPr>
        <w:bidi w:val="0"/>
        <w:rPr>
          <w:rFonts w:hint="eastAsia"/>
          <w:color w:val="auto"/>
        </w:rPr>
      </w:pPr>
      <w:r>
        <w:rPr>
          <w:rFonts w:hint="eastAsia"/>
          <w:color w:val="auto"/>
        </w:rPr>
        <w:t>附件5  项目建设现状检测报告</w:t>
      </w:r>
    </w:p>
    <w:p>
      <w:pPr>
        <w:bidi w:val="0"/>
        <w:rPr>
          <w:rFonts w:hint="eastAsia"/>
          <w:color w:val="auto"/>
        </w:rPr>
      </w:pPr>
      <w:r>
        <w:rPr>
          <w:rFonts w:hint="eastAsia"/>
          <w:color w:val="auto"/>
        </w:rPr>
        <w:t>附件6 包气带及地下水检测</w:t>
      </w:r>
    </w:p>
    <w:p>
      <w:pPr>
        <w:bidi w:val="0"/>
        <w:rPr>
          <w:rFonts w:hint="eastAsia"/>
          <w:color w:val="auto"/>
        </w:rPr>
      </w:pPr>
      <w:r>
        <w:rPr>
          <w:rFonts w:hint="eastAsia"/>
          <w:color w:val="auto"/>
        </w:rPr>
        <w:t>附件7 防渗分区</w:t>
      </w:r>
    </w:p>
    <w:p>
      <w:pPr>
        <w:bidi w:val="0"/>
        <w:rPr>
          <w:rFonts w:hint="eastAsia"/>
          <w:color w:val="auto"/>
        </w:rPr>
      </w:pPr>
      <w:r>
        <w:rPr>
          <w:rFonts w:hint="eastAsia"/>
          <w:color w:val="auto"/>
        </w:rPr>
        <w:t>附件8 排污许可证</w:t>
      </w:r>
    </w:p>
    <w:p>
      <w:pPr>
        <w:bidi w:val="0"/>
        <w:rPr>
          <w:rFonts w:hint="eastAsia"/>
          <w:color w:val="auto"/>
        </w:rPr>
      </w:pPr>
      <w:r>
        <w:rPr>
          <w:rFonts w:hint="eastAsia"/>
          <w:color w:val="auto"/>
        </w:rPr>
        <w:t>附件9 项目小试废水产排情况</w:t>
      </w:r>
    </w:p>
    <w:p>
      <w:pPr>
        <w:bidi w:val="0"/>
        <w:rPr>
          <w:rFonts w:hint="eastAsia"/>
          <w:color w:val="auto"/>
        </w:rPr>
      </w:pPr>
      <w:r>
        <w:rPr>
          <w:rFonts w:hint="eastAsia"/>
          <w:color w:val="auto"/>
        </w:rPr>
        <w:t>附件10 厂区其余项目环评批复</w:t>
      </w:r>
    </w:p>
    <w:p>
      <w:pPr>
        <w:bidi w:val="0"/>
        <w:ind w:firstLine="960" w:firstLineChars="400"/>
        <w:rPr>
          <w:rFonts w:hint="eastAsia"/>
          <w:color w:val="auto"/>
        </w:rPr>
      </w:pPr>
      <w:r>
        <w:rPr>
          <w:rFonts w:hint="eastAsia"/>
          <w:color w:val="auto"/>
        </w:rPr>
        <w:t>批复1</w:t>
      </w:r>
    </w:p>
    <w:p>
      <w:pPr>
        <w:bidi w:val="0"/>
        <w:ind w:firstLine="960" w:firstLineChars="400"/>
        <w:rPr>
          <w:rFonts w:hint="eastAsia"/>
          <w:color w:val="auto"/>
        </w:rPr>
      </w:pPr>
      <w:r>
        <w:rPr>
          <w:rFonts w:hint="eastAsia"/>
          <w:color w:val="auto"/>
        </w:rPr>
        <w:t>批复2</w:t>
      </w:r>
    </w:p>
    <w:p>
      <w:pPr>
        <w:bidi w:val="0"/>
        <w:ind w:firstLine="960" w:firstLineChars="400"/>
        <w:rPr>
          <w:rFonts w:hint="eastAsia"/>
          <w:color w:val="auto"/>
        </w:rPr>
      </w:pPr>
      <w:r>
        <w:rPr>
          <w:rFonts w:hint="eastAsia"/>
          <w:color w:val="auto"/>
        </w:rPr>
        <w:t>批复3</w:t>
      </w:r>
    </w:p>
    <w:p>
      <w:pPr>
        <w:bidi w:val="0"/>
        <w:ind w:firstLine="960" w:firstLineChars="400"/>
        <w:rPr>
          <w:rFonts w:hint="eastAsia"/>
          <w:color w:val="auto"/>
        </w:rPr>
      </w:pPr>
      <w:r>
        <w:rPr>
          <w:rFonts w:hint="eastAsia"/>
          <w:color w:val="auto"/>
        </w:rPr>
        <w:t>批复4</w:t>
      </w:r>
    </w:p>
    <w:p>
      <w:pPr>
        <w:bidi w:val="0"/>
        <w:ind w:firstLine="960" w:firstLineChars="400"/>
        <w:rPr>
          <w:rFonts w:hint="eastAsia"/>
          <w:color w:val="auto"/>
        </w:rPr>
      </w:pPr>
      <w:r>
        <w:rPr>
          <w:rFonts w:hint="eastAsia"/>
          <w:color w:val="auto"/>
        </w:rPr>
        <w:t>批复5</w:t>
      </w:r>
    </w:p>
    <w:p>
      <w:pPr>
        <w:bidi w:val="0"/>
        <w:ind w:firstLine="960" w:firstLineChars="400"/>
        <w:rPr>
          <w:rFonts w:hint="eastAsia"/>
          <w:color w:val="auto"/>
        </w:rPr>
      </w:pPr>
      <w:r>
        <w:rPr>
          <w:rFonts w:hint="eastAsia"/>
          <w:color w:val="auto"/>
        </w:rPr>
        <w:t>批复6</w:t>
      </w:r>
    </w:p>
    <w:p>
      <w:pPr>
        <w:bidi w:val="0"/>
        <w:ind w:firstLine="960" w:firstLineChars="400"/>
        <w:rPr>
          <w:rFonts w:hint="eastAsia"/>
          <w:color w:val="auto"/>
        </w:rPr>
      </w:pPr>
      <w:r>
        <w:rPr>
          <w:rFonts w:hint="eastAsia"/>
          <w:color w:val="auto"/>
        </w:rPr>
        <w:t>批复7</w:t>
      </w:r>
    </w:p>
    <w:p>
      <w:pPr>
        <w:bidi w:val="0"/>
        <w:ind w:firstLine="960" w:firstLineChars="400"/>
        <w:rPr>
          <w:rFonts w:hint="eastAsia"/>
          <w:color w:val="auto"/>
        </w:rPr>
      </w:pPr>
      <w:r>
        <w:rPr>
          <w:rFonts w:hint="eastAsia"/>
          <w:color w:val="auto"/>
        </w:rPr>
        <w:t>批复8</w:t>
      </w:r>
    </w:p>
    <w:p>
      <w:pPr>
        <w:bidi w:val="0"/>
        <w:rPr>
          <w:rFonts w:hint="eastAsia"/>
          <w:color w:val="auto"/>
        </w:rPr>
      </w:pPr>
      <w:r>
        <w:rPr>
          <w:rFonts w:hint="eastAsia"/>
          <w:color w:val="auto"/>
        </w:rPr>
        <w:t>附件11 危险废物处理处置协议</w:t>
      </w:r>
    </w:p>
    <w:p>
      <w:pPr>
        <w:bidi w:val="0"/>
        <w:ind w:firstLine="960" w:firstLineChars="400"/>
        <w:rPr>
          <w:rFonts w:hint="eastAsia"/>
          <w:color w:val="auto"/>
        </w:rPr>
      </w:pPr>
      <w:r>
        <w:rPr>
          <w:rFonts w:hint="eastAsia"/>
          <w:color w:val="auto"/>
        </w:rPr>
        <w:t>危废处置协议1</w:t>
      </w:r>
    </w:p>
    <w:p>
      <w:pPr>
        <w:bidi w:val="0"/>
        <w:ind w:firstLine="960" w:firstLineChars="400"/>
        <w:rPr>
          <w:rFonts w:hint="eastAsia"/>
          <w:color w:val="auto"/>
        </w:rPr>
      </w:pPr>
      <w:r>
        <w:rPr>
          <w:rFonts w:hint="eastAsia"/>
          <w:color w:val="auto"/>
        </w:rPr>
        <w:t>危废处置协议2</w:t>
      </w:r>
    </w:p>
    <w:p>
      <w:pPr>
        <w:bidi w:val="0"/>
        <w:ind w:firstLine="960" w:firstLineChars="400"/>
        <w:rPr>
          <w:rFonts w:hint="eastAsia"/>
          <w:color w:val="auto"/>
        </w:rPr>
      </w:pPr>
      <w:r>
        <w:rPr>
          <w:rFonts w:hint="eastAsia"/>
          <w:color w:val="auto"/>
        </w:rPr>
        <w:t>危废处置附件3</w:t>
      </w:r>
    </w:p>
    <w:p>
      <w:pPr>
        <w:bidi w:val="0"/>
        <w:ind w:firstLine="960" w:firstLineChars="400"/>
        <w:rPr>
          <w:rFonts w:hint="eastAsia"/>
          <w:color w:val="auto"/>
        </w:rPr>
      </w:pPr>
      <w:r>
        <w:rPr>
          <w:rFonts w:hint="eastAsia"/>
          <w:color w:val="auto"/>
        </w:rPr>
        <w:t>危废处置协议4</w:t>
      </w:r>
    </w:p>
    <w:p>
      <w:pPr>
        <w:bidi w:val="0"/>
        <w:rPr>
          <w:rFonts w:hint="eastAsia"/>
          <w:color w:val="auto"/>
        </w:rPr>
      </w:pPr>
      <w:r>
        <w:rPr>
          <w:rFonts w:hint="eastAsia"/>
          <w:color w:val="auto"/>
        </w:rPr>
        <w:t>附件12 污泥处置协议</w:t>
      </w:r>
    </w:p>
    <w:p>
      <w:pPr>
        <w:bidi w:val="0"/>
        <w:rPr>
          <w:rFonts w:hint="eastAsia"/>
          <w:color w:val="auto"/>
        </w:rPr>
      </w:pPr>
      <w:r>
        <w:rPr>
          <w:rFonts w:hint="eastAsia"/>
          <w:color w:val="auto"/>
        </w:rPr>
        <w:t>附件13 发明专利</w:t>
      </w:r>
    </w:p>
    <w:p>
      <w:pPr>
        <w:bidi w:val="0"/>
        <w:rPr>
          <w:rFonts w:hint="eastAsia"/>
          <w:color w:val="auto"/>
        </w:rPr>
      </w:pPr>
      <w:r>
        <w:rPr>
          <w:rFonts w:hint="eastAsia"/>
          <w:color w:val="auto"/>
        </w:rPr>
        <w:t>附件14 小试产品抗菌性检测报告</w:t>
      </w:r>
    </w:p>
    <w:p>
      <w:pPr>
        <w:bidi w:val="0"/>
        <w:rPr>
          <w:rFonts w:hint="eastAsia"/>
          <w:color w:val="auto"/>
        </w:rPr>
      </w:pPr>
    </w:p>
    <w:p>
      <w:pPr>
        <w:keepNext w:val="0"/>
        <w:keepLines w:val="0"/>
        <w:pageBreakBefore w:val="0"/>
        <w:widowControl w:val="0"/>
        <w:tabs>
          <w:tab w:val="left" w:pos="1741"/>
        </w:tabs>
        <w:kinsoku/>
        <w:wordWrap/>
        <w:overflowPunct/>
        <w:topLinePunct w:val="0"/>
        <w:autoSpaceDE/>
        <w:autoSpaceDN/>
        <w:bidi w:val="0"/>
        <w:adjustRightInd w:val="0"/>
        <w:snapToGrid w:val="0"/>
        <w:ind w:firstLine="0" w:firstLineChars="0"/>
        <w:jc w:val="left"/>
        <w:textAlignment w:val="auto"/>
        <w:rPr>
          <w:color w:val="auto"/>
          <w:sz w:val="44"/>
          <w:szCs w:val="44"/>
        </w:rPr>
        <w:sectPr>
          <w:headerReference r:id="rId8" w:type="default"/>
          <w:pgSz w:w="11910" w:h="16850"/>
          <w:pgMar w:top="1440" w:right="1800" w:bottom="1440" w:left="1800" w:header="884" w:footer="1033" w:gutter="0"/>
          <w:pgBorders>
            <w:top w:val="none" w:sz="0" w:space="0"/>
            <w:left w:val="none" w:sz="0" w:space="0"/>
            <w:bottom w:val="none" w:sz="0" w:space="0"/>
            <w:right w:val="none" w:sz="0" w:space="0"/>
          </w:pgBorders>
          <w:pgNumType w:fmt="upperRoman" w:chapStyle="1" w:chapSep="emDash"/>
          <w:cols w:space="720" w:num="1"/>
        </w:sectPr>
      </w:pPr>
      <w:bookmarkStart w:id="3" w:name="_Toc21206"/>
      <w:bookmarkStart w:id="4" w:name="_Toc1488"/>
    </w:p>
    <w:bookmarkEnd w:id="0"/>
    <w:bookmarkEnd w:id="3"/>
    <w:bookmarkEnd w:id="4"/>
    <w:p>
      <w:pPr>
        <w:pStyle w:val="6"/>
        <w:bidi w:val="0"/>
        <w:rPr>
          <w:color w:val="auto"/>
        </w:rPr>
      </w:pPr>
      <w:bookmarkStart w:id="5" w:name="_Toc30295"/>
      <w:bookmarkStart w:id="6" w:name="_Toc429318380"/>
      <w:bookmarkStart w:id="7" w:name="_Toc67041027"/>
      <w:bookmarkStart w:id="8" w:name="_Toc428287158"/>
      <w:bookmarkStart w:id="9" w:name="_Toc428286764"/>
      <w:r>
        <w:rPr>
          <w:rFonts w:hint="eastAsia"/>
          <w:color w:val="auto"/>
        </w:rPr>
        <w:t xml:space="preserve">第一章  </w:t>
      </w:r>
      <w:r>
        <w:rPr>
          <w:color w:val="auto"/>
        </w:rPr>
        <w:t>概述</w:t>
      </w:r>
      <w:bookmarkEnd w:id="5"/>
    </w:p>
    <w:p>
      <w:pPr>
        <w:pStyle w:val="7"/>
        <w:bidi w:val="0"/>
        <w:rPr>
          <w:color w:val="auto"/>
        </w:rPr>
      </w:pPr>
      <w:bookmarkStart w:id="10" w:name="_Toc29989"/>
      <w:bookmarkStart w:id="11" w:name="_Toc429318377"/>
      <w:bookmarkStart w:id="12" w:name="_Toc174155849"/>
      <w:bookmarkStart w:id="13" w:name="_Toc67041026"/>
      <w:bookmarkStart w:id="14" w:name="_Toc15758"/>
      <w:bookmarkStart w:id="15" w:name="_Toc428287148"/>
      <w:bookmarkStart w:id="16" w:name="_Toc23581"/>
      <w:bookmarkStart w:id="17" w:name="_Toc428286754"/>
      <w:r>
        <w:rPr>
          <w:rFonts w:hint="eastAsia"/>
          <w:color w:val="auto"/>
        </w:rPr>
        <w:t>1.1</w:t>
      </w:r>
      <w:r>
        <w:rPr>
          <w:rFonts w:hint="eastAsia"/>
          <w:color w:val="auto"/>
          <w:lang w:val="en-US" w:eastAsia="zh-CN"/>
        </w:rPr>
        <w:t xml:space="preserve"> </w:t>
      </w:r>
      <w:r>
        <w:rPr>
          <w:color w:val="auto"/>
        </w:rPr>
        <w:t>项目由来</w:t>
      </w:r>
      <w:bookmarkEnd w:id="10"/>
      <w:bookmarkEnd w:id="11"/>
      <w:bookmarkEnd w:id="12"/>
      <w:bookmarkEnd w:id="13"/>
      <w:bookmarkEnd w:id="14"/>
      <w:bookmarkEnd w:id="15"/>
      <w:bookmarkEnd w:id="16"/>
      <w:bookmarkEnd w:id="17"/>
    </w:p>
    <w:p>
      <w:pPr>
        <w:bidi w:val="0"/>
        <w:rPr>
          <w:color w:val="auto"/>
        </w:rPr>
      </w:pPr>
      <w:r>
        <w:rPr>
          <w:rFonts w:hint="eastAsia"/>
          <w:color w:val="auto"/>
        </w:rPr>
        <w:t>新乡化纤股份有限公司是新乡白鹭投资集团有限公司的核心子公司，于1999年8月发行A股股票并成功在深圳交易所上市。该公司是我国生产化纤纺织原料的大型一类企业，主导产品“白鹭”牌再生纤维素长丝、氨纶纤维两大系列上千个品种，是全国520家重点企业和河南省100家重点企业之一。</w:t>
      </w:r>
    </w:p>
    <w:p>
      <w:pPr>
        <w:bidi w:val="0"/>
        <w:rPr>
          <w:color w:val="auto"/>
        </w:rPr>
      </w:pPr>
      <w:r>
        <w:rPr>
          <w:rFonts w:hint="eastAsia"/>
          <w:color w:val="auto"/>
        </w:rPr>
        <w:t>公司的前身是国营新乡化学纤维厂，始建于1960年，1965年建成投产，建厂初期规模年产粘胶人造长丝2000吨和粘胶短纤维3400吨。目前该公司在新乡市有两个厂区，老厂区位于新乡市凤泉区，新厂区位于新乡经济技术开发区。公司经过六十多年的发展，尤其是</w:t>
      </w:r>
      <w:r>
        <w:rPr>
          <w:rFonts w:hint="eastAsia"/>
          <w:color w:val="auto"/>
          <w:lang w:eastAsia="zh-CN"/>
        </w:rPr>
        <w:t>近二十年</w:t>
      </w:r>
      <w:r>
        <w:rPr>
          <w:rFonts w:hint="eastAsia"/>
          <w:color w:val="auto"/>
        </w:rPr>
        <w:t>在新厂区的滚动发展，企业规模得以快速壮大。截至2022年8月，公司化学纤维年生产能力达到23万吨，其中再生纤维素长丝7万吨，氨纶纤维16万吨。公司目前拥有全球最大的纤维素长丝连续纺生产线和当今世界最先进的氨纶纤维连续聚合干法纺丝生产线。主导产品纤维素长丝生产能力居世界同行业第一；氨纶纤维是目前国内单体产能最大、生产技术和装备最先进的生产企业，总产能位居全国第三。</w:t>
      </w:r>
    </w:p>
    <w:p>
      <w:pPr>
        <w:bidi w:val="0"/>
        <w:rPr>
          <w:color w:val="auto"/>
        </w:rPr>
      </w:pPr>
      <w:r>
        <w:rPr>
          <w:rFonts w:hint="eastAsia"/>
          <w:color w:val="auto"/>
        </w:rPr>
        <w:t>我国化纤工业已经进入转型升级的关键时期，绿色发展既是我国纺织化纤大国必须树立的新形象，也成为企业必须遵循的发展方向。化纤工业作为新材料产业的重要组成部分，发展生物基化学纤维实现纤维新材料高端化发展的重要方向，也是绿色制造体系的重要一环。新乡化纤股份有限公司是我国生产化纤纺织原料的大型一类企业，近年来更是致力于绿色产品的开发，目前是新乡经开区打造绿色纤维（纺织服装）专业园区的支柱企业，主导产品“白鹭”牌再生纤维素长丝被评为“中国名牌产品”，是“中国化纤行业绿色制造优秀企业”，在绿色发展上取得了初步成绩。纤维素长丝作为公司的主导产品生产能力居世界同行业第一，其主要原材料浆粕（纤维素）受国内棉浆长期短缺，目前国内进口木浆已占70%以上。为了解决浆粕长期对外依存问题，使用菌草生产浆粕（纤维素）进而生产制成新型纤维素纤维即菌草纤维素纤维，自主研发采用先进的制浆技术和黑液发离菌草木质素技术，使用菌草等天然材料替代生产制造生物基再生纤维，并于2022年3月-2022年8月进行了小试研究。小试研究采用自主研发采用先进的制浆技术和黑液治理及污水综合处理技术，实现了从菌䓍→纤维素（俗称浆粕）→纤维素纤维（长丝）的工艺流程，并生产出了小批量菌䓍纤维素长丝产品。研究表明，菌草纤维素浆粕的反应性能优于棉浆，与木浆相当；菌草纤维素纤维产品的强度值、伸长值、染色均匀性与用木浆或棉浆粕做成的纤维素纤维产品相当；并且菌草纤维素纤维产品还具有较好的抗菌性，其中对金黄色葡萄球菌和大肠杆菌的抑菌率均大于99%（标准值≥70%），对</w:t>
      </w:r>
      <w:r>
        <w:rPr>
          <w:rFonts w:hint="eastAsia"/>
          <w:color w:val="auto"/>
          <w:lang w:eastAsia="zh-CN"/>
        </w:rPr>
        <w:t>白念珠菌</w:t>
      </w:r>
      <w:r>
        <w:rPr>
          <w:rFonts w:hint="eastAsia"/>
          <w:color w:val="auto"/>
        </w:rPr>
        <w:t>的抑菌率＞60%（标准值≥70%）。</w:t>
      </w:r>
    </w:p>
    <w:p>
      <w:pPr>
        <w:rPr>
          <w:color w:val="auto"/>
        </w:rPr>
      </w:pPr>
      <w:r>
        <w:rPr>
          <w:rFonts w:hint="eastAsia"/>
          <w:b/>
          <w:bCs/>
          <w:color w:val="auto"/>
          <w:u w:val="single"/>
        </w:rPr>
        <w:t>为了进一步验证技术的可行性并优化生产环节和工艺参数，建设单位提出了年产5000吨菌草生物质纤维产业化研发中试项目。</w:t>
      </w:r>
      <w:bookmarkStart w:id="18" w:name="_Hlk120922117"/>
      <w:r>
        <w:rPr>
          <w:rFonts w:hint="eastAsia"/>
          <w:color w:val="auto"/>
        </w:rPr>
        <w:t>项目技术先进，项目具有战略前瞻性，一是开发了纤维素纤维的新原料，实现了以草代木，能够摆脱我国长期依赖进口木浆现状，减少</w:t>
      </w:r>
      <w:r>
        <w:rPr>
          <w:rFonts w:hint="eastAsia"/>
          <w:color w:val="auto"/>
          <w:lang w:val="en-US" w:eastAsia="zh-CN"/>
        </w:rPr>
        <w:t>资源</w:t>
      </w:r>
      <w:r>
        <w:rPr>
          <w:rFonts w:hint="eastAsia"/>
          <w:color w:val="auto"/>
        </w:rPr>
        <w:t>威胁；二是开发了高抗菌性纤维素长丝等新的功能性纤维素产品；三是利用副产品菌草木质素</w:t>
      </w:r>
      <w:r>
        <w:rPr>
          <w:rFonts w:hint="eastAsia"/>
          <w:color w:val="auto"/>
          <w:lang w:val="en-US" w:eastAsia="zh-CN"/>
        </w:rPr>
        <w:t>混合物（木质素、多糖、盐类等）</w:t>
      </w:r>
      <w:r>
        <w:rPr>
          <w:rFonts w:hint="eastAsia"/>
          <w:color w:val="auto"/>
        </w:rPr>
        <w:t>开发MDI（二苯基甲烷二异氰酸酯）产品，用于生产纤维素氨纶纤维，摆脱氨纶纤维生产对石化产品的依赖。项目建设实现了从原料到工艺到废水处理的绿色环保，在技术和产品上也实现了新突破，具有较好的环境和经济效益。</w:t>
      </w:r>
    </w:p>
    <w:bookmarkEnd w:id="18"/>
    <w:p>
      <w:pPr>
        <w:bidi w:val="0"/>
        <w:rPr>
          <w:color w:val="auto"/>
        </w:rPr>
      </w:pPr>
      <w:r>
        <w:rPr>
          <w:rFonts w:hint="eastAsia"/>
          <w:color w:val="auto"/>
        </w:rPr>
        <w:t>本项目选址位于新乡化纤股份有限公司新厂区内（新乡市新乡工业产业集聚区新长北路南侧），由于新、老两个厂区距离较远，且排污许可证均单独持有（老厂区排污许可证编号914100001700014285001P，新厂区排污许可证编号914100001700014285002P），因此本次评价仅针对新厂区进行评价，老厂区情况不再进行评价。</w:t>
      </w:r>
    </w:p>
    <w:p>
      <w:pPr>
        <w:bidi w:val="0"/>
        <w:rPr>
          <w:color w:val="auto"/>
        </w:rPr>
      </w:pPr>
      <w:r>
        <w:rPr>
          <w:color w:val="auto"/>
        </w:rPr>
        <w:t>根据《建设项目环境影响评价分类管理名录（2021年版）》，本项目属于“</w:t>
      </w:r>
      <w:r>
        <w:rPr>
          <w:rFonts w:hint="eastAsia"/>
          <w:color w:val="auto"/>
        </w:rPr>
        <w:t>二十五、化学纤维制造业28”中的</w:t>
      </w:r>
      <w:r>
        <w:rPr>
          <w:rFonts w:hint="eastAsia"/>
          <w:color w:val="auto"/>
          <w:lang w:val="en-US" w:eastAsia="zh-CN"/>
        </w:rPr>
        <w:t>第51条</w:t>
      </w:r>
      <w:r>
        <w:rPr>
          <w:rFonts w:hint="eastAsia"/>
          <w:color w:val="auto"/>
        </w:rPr>
        <w:t>“生物基材料制造283”，且不属于单纯纺丝制造，需编制环境影响报告书。</w:t>
      </w:r>
      <w:r>
        <w:rPr>
          <w:rFonts w:hint="eastAsia"/>
          <w:color w:val="auto"/>
          <w:lang w:val="en-US" w:eastAsia="zh-CN"/>
        </w:rPr>
        <w:t>因此</w:t>
      </w:r>
      <w:r>
        <w:rPr>
          <w:rFonts w:hint="eastAsia"/>
          <w:color w:val="auto"/>
        </w:rPr>
        <w:t>，新乡化纤股份有限公司委托中环慧博（北京）国际工程技术咨询有限公司承担该项目的环评工作。接受委托后，我公司立即组成项目环评小组，通过对项目场址及评价区现场踏勘，资料收集和研读，结合环境质量现状监测，按照相关法律法规和导则要求，编制完成《新乡化纤股份有限公司年产5000吨菌草生物质纤维产业化研发中试项目环境影响报告书》。</w:t>
      </w:r>
    </w:p>
    <w:p>
      <w:pPr>
        <w:pStyle w:val="7"/>
        <w:bidi w:val="0"/>
        <w:rPr>
          <w:color w:val="auto"/>
        </w:rPr>
      </w:pPr>
      <w:bookmarkStart w:id="19" w:name="_Toc20317"/>
      <w:bookmarkStart w:id="20" w:name="_Toc7481"/>
      <w:bookmarkStart w:id="21" w:name="_Toc26264"/>
      <w:r>
        <w:rPr>
          <w:rFonts w:hint="eastAsia"/>
          <w:color w:val="auto"/>
        </w:rPr>
        <w:t>1.2</w:t>
      </w:r>
      <w:bookmarkEnd w:id="19"/>
      <w:bookmarkEnd w:id="20"/>
      <w:r>
        <w:rPr>
          <w:rFonts w:hint="eastAsia"/>
          <w:color w:val="auto"/>
          <w:lang w:val="en-US" w:eastAsia="zh-CN"/>
        </w:rPr>
        <w:t xml:space="preserve"> </w:t>
      </w:r>
      <w:r>
        <w:rPr>
          <w:rFonts w:hint="eastAsia"/>
          <w:color w:val="auto"/>
        </w:rPr>
        <w:t>建设项目特点</w:t>
      </w:r>
      <w:bookmarkEnd w:id="21"/>
    </w:p>
    <w:p>
      <w:pPr>
        <w:bidi w:val="0"/>
        <w:rPr>
          <w:rFonts w:hint="default" w:eastAsia="宋体"/>
          <w:color w:val="auto"/>
          <w:lang w:val="en-US" w:eastAsia="zh-CN"/>
        </w:rPr>
      </w:pPr>
      <w:r>
        <w:rPr>
          <w:b/>
          <w:bCs/>
          <w:color w:val="auto"/>
          <w:u w:val="single"/>
        </w:rPr>
        <w:t>（1）本次工程为</w:t>
      </w:r>
      <w:r>
        <w:rPr>
          <w:rFonts w:hint="eastAsia"/>
          <w:b/>
          <w:bCs/>
          <w:color w:val="auto"/>
          <w:u w:val="single"/>
        </w:rPr>
        <w:t>产业化研发中试项目，工程主要以菌草为原料，在小试基础上扩大规模，以获取切实可行的实验参数，为将来的生产打下基础</w:t>
      </w:r>
      <w:r>
        <w:rPr>
          <w:rFonts w:hint="eastAsia"/>
          <w:b/>
          <w:bCs/>
          <w:color w:val="auto"/>
          <w:u w:val="single"/>
          <w:lang w:eastAsia="zh-CN"/>
        </w:rPr>
        <w:t>。</w:t>
      </w:r>
      <w:r>
        <w:rPr>
          <w:rFonts w:hint="eastAsia"/>
          <w:color w:val="auto"/>
        </w:rPr>
        <w:t>菌草中纤维素、木质素为主要成分，本项目采用的工艺是将菌草经除杂、蒸煮、漂白、抄浆后，得到菌草纤维素（浆粕），处理过程中产生的黑液经蒸发、干燥生产木质素</w:t>
      </w:r>
      <w:r>
        <w:rPr>
          <w:rFonts w:hint="eastAsia"/>
          <w:color w:val="auto"/>
          <w:lang w:val="en-US" w:eastAsia="zh-CN"/>
        </w:rPr>
        <w:t>混合物</w:t>
      </w:r>
      <w:r>
        <w:rPr>
          <w:rFonts w:hint="eastAsia"/>
          <w:color w:val="auto"/>
        </w:rPr>
        <w:t>。</w:t>
      </w:r>
      <w:r>
        <w:rPr>
          <w:rFonts w:hint="eastAsia"/>
          <w:color w:val="auto"/>
          <w:lang w:val="en-US" w:eastAsia="zh-CN"/>
        </w:rPr>
        <w:t>生产的</w:t>
      </w:r>
      <w:r>
        <w:rPr>
          <w:rFonts w:hint="eastAsia"/>
          <w:color w:val="auto"/>
        </w:rPr>
        <w:t>菌草纤维素（浆粕）</w:t>
      </w:r>
      <w:r>
        <w:rPr>
          <w:rFonts w:hint="eastAsia"/>
          <w:color w:val="auto"/>
          <w:lang w:val="en-US" w:eastAsia="zh-CN"/>
        </w:rPr>
        <w:t>作为原料，替代原生产系统部分原料</w:t>
      </w:r>
      <w:r>
        <w:rPr>
          <w:rFonts w:hint="eastAsia"/>
          <w:color w:val="auto"/>
        </w:rPr>
        <w:t>再经黄化、纺丝加工得到菌草纤维</w:t>
      </w:r>
      <w:r>
        <w:rPr>
          <w:rFonts w:hint="eastAsia"/>
          <w:color w:val="auto"/>
          <w:lang w:eastAsia="zh-CN"/>
        </w:rPr>
        <w:t>，</w:t>
      </w:r>
      <w:r>
        <w:rPr>
          <w:rFonts w:hint="eastAsia"/>
          <w:color w:val="auto"/>
        </w:rPr>
        <w:t>木质素</w:t>
      </w:r>
      <w:r>
        <w:rPr>
          <w:rFonts w:hint="eastAsia"/>
          <w:color w:val="auto"/>
          <w:lang w:val="en-US" w:eastAsia="zh-CN"/>
        </w:rPr>
        <w:t>混合物提取后进行资源化试验，符合相关利用要求的综合利用，无法综合利用的作为一般固废处理处置。</w:t>
      </w:r>
    </w:p>
    <w:p>
      <w:pPr>
        <w:bidi w:val="0"/>
        <w:rPr>
          <w:b/>
          <w:bCs/>
          <w:color w:val="auto"/>
          <w:u w:val="single"/>
        </w:rPr>
      </w:pPr>
      <w:r>
        <w:rPr>
          <w:rFonts w:hint="eastAsia"/>
          <w:b/>
          <w:bCs/>
          <w:color w:val="auto"/>
          <w:u w:val="single"/>
        </w:rPr>
        <w:t>（2）本项目废气主要是蒸煮工序产生的废气</w:t>
      </w:r>
      <w:r>
        <w:rPr>
          <w:rFonts w:hint="eastAsia"/>
          <w:b/>
          <w:bCs/>
          <w:color w:val="auto"/>
          <w:u w:val="single"/>
          <w:lang w:eastAsia="zh-CN"/>
        </w:rPr>
        <w:t>、</w:t>
      </w:r>
      <w:r>
        <w:rPr>
          <w:rFonts w:hint="eastAsia"/>
          <w:b/>
          <w:bCs/>
          <w:color w:val="auto"/>
          <w:u w:val="single"/>
        </w:rPr>
        <w:t>原料堆放过程中产生的扬尘</w:t>
      </w:r>
      <w:r>
        <w:rPr>
          <w:rFonts w:hint="eastAsia"/>
          <w:b/>
          <w:bCs/>
          <w:color w:val="auto"/>
          <w:u w:val="single"/>
          <w:lang w:eastAsia="zh-CN"/>
        </w:rPr>
        <w:t>、</w:t>
      </w:r>
      <w:r>
        <w:rPr>
          <w:rFonts w:hint="eastAsia"/>
          <w:b/>
          <w:bCs/>
          <w:color w:val="auto"/>
          <w:u w:val="single"/>
        </w:rPr>
        <w:t>木质素</w:t>
      </w:r>
      <w:r>
        <w:rPr>
          <w:rFonts w:hint="eastAsia"/>
          <w:b/>
          <w:bCs/>
          <w:color w:val="auto"/>
          <w:u w:val="single"/>
          <w:lang w:val="en-US" w:eastAsia="zh-CN"/>
        </w:rPr>
        <w:t>混合物收集、分装</w:t>
      </w:r>
      <w:r>
        <w:rPr>
          <w:rFonts w:hint="eastAsia"/>
          <w:b/>
          <w:bCs/>
          <w:color w:val="auto"/>
          <w:u w:val="single"/>
        </w:rPr>
        <w:t>过程中产生的无组织颗粒物</w:t>
      </w:r>
      <w:r>
        <w:rPr>
          <w:rFonts w:hint="eastAsia"/>
          <w:b/>
          <w:bCs/>
          <w:color w:val="auto"/>
          <w:u w:val="single"/>
          <w:lang w:eastAsia="zh-CN"/>
        </w:rPr>
        <w:t>、</w:t>
      </w:r>
      <w:r>
        <w:rPr>
          <w:rFonts w:hint="eastAsia"/>
          <w:b/>
          <w:bCs/>
          <w:color w:val="auto"/>
          <w:u w:val="single"/>
        </w:rPr>
        <w:t>木质素</w:t>
      </w:r>
      <w:r>
        <w:rPr>
          <w:rFonts w:hint="eastAsia"/>
          <w:b/>
          <w:bCs/>
          <w:color w:val="auto"/>
          <w:u w:val="single"/>
          <w:lang w:val="en-US" w:eastAsia="zh-CN"/>
        </w:rPr>
        <w:t>混合物</w:t>
      </w:r>
      <w:r>
        <w:rPr>
          <w:rFonts w:hint="eastAsia"/>
          <w:b/>
          <w:bCs/>
          <w:color w:val="auto"/>
          <w:u w:val="single"/>
        </w:rPr>
        <w:t>干燥过程中产生的有组织颗粒物。蒸煮废气通过在设备顶部配套的管道风机抽至五效蒸发器进行余热回收利用；</w:t>
      </w:r>
      <w:r>
        <w:rPr>
          <w:rFonts w:hint="eastAsia"/>
          <w:b/>
          <w:bCs/>
          <w:color w:val="auto"/>
          <w:u w:val="single"/>
          <w:lang w:val="en-US" w:eastAsia="zh-CN"/>
        </w:rPr>
        <w:t>有组织颗粒物</w:t>
      </w:r>
      <w:r>
        <w:rPr>
          <w:rFonts w:hint="eastAsia"/>
          <w:b/>
          <w:bCs/>
          <w:color w:val="auto"/>
          <w:u w:val="single"/>
        </w:rPr>
        <w:t>经处理后</w:t>
      </w:r>
      <w:r>
        <w:rPr>
          <w:rFonts w:hint="eastAsia"/>
          <w:b/>
          <w:bCs/>
          <w:color w:val="auto"/>
          <w:u w:val="single"/>
          <w:lang w:val="en-US" w:eastAsia="zh-CN"/>
        </w:rPr>
        <w:t>满足</w:t>
      </w:r>
      <w:r>
        <w:rPr>
          <w:rFonts w:hint="eastAsia"/>
          <w:b/>
          <w:bCs/>
          <w:color w:val="auto"/>
          <w:u w:val="single"/>
          <w:lang w:eastAsia="zh-CN"/>
        </w:rPr>
        <w:t>《</w:t>
      </w:r>
      <w:r>
        <w:rPr>
          <w:rFonts w:hint="eastAsia"/>
          <w:b/>
          <w:bCs/>
          <w:color w:val="auto"/>
          <w:u w:val="single"/>
        </w:rPr>
        <w:t>大气污染物综合排放标准》（GB16297-1996）表2有组织排放监控浓度限值</w:t>
      </w:r>
      <w:r>
        <w:rPr>
          <w:rFonts w:hint="eastAsia"/>
          <w:b/>
          <w:bCs/>
          <w:color w:val="auto"/>
          <w:u w:val="single"/>
          <w:lang w:eastAsia="zh-CN"/>
        </w:rPr>
        <w:t>，</w:t>
      </w:r>
      <w:r>
        <w:rPr>
          <w:rFonts w:hint="eastAsia"/>
          <w:b/>
          <w:bCs/>
          <w:color w:val="auto"/>
          <w:u w:val="single"/>
          <w:lang w:val="en-US" w:eastAsia="zh-CN"/>
        </w:rPr>
        <w:t>同时满足</w:t>
      </w:r>
      <w:r>
        <w:rPr>
          <w:rFonts w:hint="eastAsia"/>
          <w:b/>
          <w:bCs/>
          <w:color w:val="auto"/>
          <w:u w:val="single"/>
          <w:lang w:eastAsia="zh-CN"/>
        </w:rPr>
        <w:t>《新乡市生态环境局关于进一步规范工业企业颗粒物排放限值的通知》</w:t>
      </w:r>
      <w:r>
        <w:rPr>
          <w:rFonts w:hint="eastAsia"/>
          <w:b/>
          <w:bCs/>
          <w:color w:val="auto"/>
          <w:u w:val="single"/>
          <w:lang w:val="en-US" w:eastAsia="zh-CN"/>
        </w:rPr>
        <w:t>的相关要求</w:t>
      </w:r>
      <w:r>
        <w:rPr>
          <w:rFonts w:hint="eastAsia"/>
          <w:b/>
          <w:bCs/>
          <w:color w:val="auto"/>
          <w:u w:val="single"/>
          <w:lang w:eastAsia="zh-CN"/>
        </w:rPr>
        <w:t>，</w:t>
      </w:r>
      <w:r>
        <w:rPr>
          <w:rFonts w:hint="eastAsia"/>
          <w:b/>
          <w:bCs/>
          <w:color w:val="auto"/>
          <w:u w:val="single"/>
        </w:rPr>
        <w:t>无组织排放的颗粒物满足《大气污染物综合排放标准》（GB16297-1996）表2无组织排放监控浓度限值的要求。</w:t>
      </w:r>
    </w:p>
    <w:p>
      <w:pPr>
        <w:bidi w:val="0"/>
        <w:rPr>
          <w:color w:val="auto"/>
        </w:rPr>
      </w:pPr>
      <w:r>
        <w:rPr>
          <w:rFonts w:hint="eastAsia"/>
          <w:color w:val="auto"/>
        </w:rPr>
        <w:t>（3）生产废水主要是水洗、漂白</w:t>
      </w:r>
      <w:r>
        <w:rPr>
          <w:rFonts w:hint="eastAsia"/>
          <w:color w:val="auto"/>
          <w:lang w:val="en-US" w:eastAsia="zh-CN"/>
        </w:rPr>
        <w:t>以及水力除杂</w:t>
      </w:r>
      <w:r>
        <w:rPr>
          <w:rFonts w:hint="eastAsia"/>
          <w:color w:val="auto"/>
        </w:rPr>
        <w:t>工序产生的废水，生产废水和生活污水经收集后排入新乡化纤现有污水处理站处理后同厂区其他处理后的废水外排进入</w:t>
      </w:r>
      <w:r>
        <w:rPr>
          <w:rFonts w:hint="eastAsia"/>
          <w:color w:val="auto"/>
          <w:lang w:val="en-US" w:eastAsia="zh-CN"/>
        </w:rPr>
        <w:t>市政污水</w:t>
      </w:r>
      <w:r>
        <w:rPr>
          <w:rFonts w:hint="eastAsia"/>
          <w:color w:val="auto"/>
        </w:rPr>
        <w:t>管网，</w:t>
      </w:r>
      <w:r>
        <w:rPr>
          <w:rFonts w:hint="eastAsia"/>
          <w:color w:val="auto"/>
          <w:lang w:val="en-US" w:eastAsia="zh-CN"/>
        </w:rPr>
        <w:t>最终</w:t>
      </w:r>
      <w:r>
        <w:rPr>
          <w:rFonts w:hint="eastAsia"/>
          <w:color w:val="auto"/>
        </w:rPr>
        <w:t>排入小店污水处理厂进一步处理达标后排放大沙河。</w:t>
      </w:r>
    </w:p>
    <w:p>
      <w:pPr>
        <w:bidi w:val="0"/>
        <w:rPr>
          <w:rFonts w:hint="eastAsia"/>
          <w:color w:val="auto"/>
          <w:lang w:eastAsia="zh-CN"/>
        </w:rPr>
      </w:pPr>
      <w:r>
        <w:rPr>
          <w:rFonts w:hint="eastAsia"/>
          <w:color w:val="auto"/>
        </w:rPr>
        <w:t>（4）本项目</w:t>
      </w:r>
      <w:r>
        <w:rPr>
          <w:color w:val="auto"/>
        </w:rPr>
        <w:t>高噪声设备</w:t>
      </w:r>
      <w:r>
        <w:rPr>
          <w:rFonts w:hint="eastAsia"/>
          <w:color w:val="auto"/>
        </w:rPr>
        <w:t>多位于室内，</w:t>
      </w:r>
      <w:r>
        <w:rPr>
          <w:color w:val="auto"/>
        </w:rPr>
        <w:t>经采取隔声、减振</w:t>
      </w:r>
      <w:r>
        <w:rPr>
          <w:rFonts w:hint="eastAsia"/>
          <w:color w:val="auto"/>
          <w:lang w:eastAsia="zh-CN"/>
        </w:rPr>
        <w:t>、</w:t>
      </w:r>
      <w:r>
        <w:rPr>
          <w:rFonts w:hint="eastAsia"/>
          <w:color w:val="auto"/>
          <w:lang w:val="en-US" w:eastAsia="zh-CN"/>
        </w:rPr>
        <w:t>距离衰减</w:t>
      </w:r>
      <w:r>
        <w:rPr>
          <w:color w:val="auto"/>
        </w:rPr>
        <w:t>等措施后，各厂界噪声预测值均可达标</w:t>
      </w:r>
      <w:r>
        <w:rPr>
          <w:rFonts w:hint="eastAsia"/>
          <w:color w:val="auto"/>
        </w:rPr>
        <w:t>，对周边环境影响较小</w:t>
      </w:r>
      <w:r>
        <w:rPr>
          <w:rFonts w:hint="eastAsia"/>
          <w:color w:val="auto"/>
          <w:lang w:eastAsia="zh-CN"/>
        </w:rPr>
        <w:t>。</w:t>
      </w:r>
    </w:p>
    <w:p>
      <w:pPr>
        <w:bidi w:val="0"/>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color w:val="auto"/>
        </w:rPr>
        <w:t>固废能合理处置，不外排，不会对环境造成二次污染。本工程各项污染防治措施成熟可靠，工程污染排放满足国家相关排放标准。</w:t>
      </w:r>
    </w:p>
    <w:p>
      <w:pPr>
        <w:bidi w:val="0"/>
        <w:rPr>
          <w:color w:val="auto"/>
        </w:rPr>
      </w:pPr>
      <w:r>
        <w:rPr>
          <w:color w:val="auto"/>
        </w:rPr>
        <w:t>（</w:t>
      </w:r>
      <w:r>
        <w:rPr>
          <w:rFonts w:hint="eastAsia"/>
          <w:color w:val="auto"/>
          <w:lang w:val="en-US" w:eastAsia="zh-CN"/>
        </w:rPr>
        <w:t>6</w:t>
      </w:r>
      <w:r>
        <w:rPr>
          <w:color w:val="auto"/>
        </w:rPr>
        <w:t>）项目周围多为企业工厂、道路等，无自然保护区、风景名胜区等环境敏感目标。</w:t>
      </w:r>
      <w:r>
        <w:rPr>
          <w:rFonts w:hint="eastAsia"/>
          <w:color w:val="auto"/>
        </w:rPr>
        <w:t>本项目占地范围不涉及太行堤遗址的</w:t>
      </w:r>
      <w:r>
        <w:rPr>
          <w:rFonts w:hint="eastAsia"/>
          <w:color w:val="auto"/>
          <w:lang w:val="en-US" w:eastAsia="zh-CN"/>
        </w:rPr>
        <w:t>保</w:t>
      </w:r>
      <w:r>
        <w:rPr>
          <w:rFonts w:hint="eastAsia"/>
          <w:color w:val="auto"/>
        </w:rPr>
        <w:t>护范围和建设控制地带，本项目的建设不会破坏现存的太行堤。</w:t>
      </w:r>
    </w:p>
    <w:p>
      <w:pPr>
        <w:pStyle w:val="7"/>
        <w:bidi w:val="0"/>
        <w:rPr>
          <w:color w:val="auto"/>
        </w:rPr>
      </w:pPr>
      <w:bookmarkStart w:id="22" w:name="_Toc5748"/>
      <w:bookmarkStart w:id="23" w:name="_Toc14505"/>
      <w:bookmarkStart w:id="24" w:name="_Toc29913"/>
      <w:r>
        <w:rPr>
          <w:rFonts w:hint="eastAsia"/>
          <w:color w:val="auto"/>
        </w:rPr>
        <w:t>1.3</w:t>
      </w:r>
      <w:bookmarkEnd w:id="22"/>
      <w:bookmarkEnd w:id="23"/>
      <w:r>
        <w:rPr>
          <w:rFonts w:hint="eastAsia"/>
          <w:color w:val="auto"/>
          <w:lang w:val="en-US" w:eastAsia="zh-CN"/>
        </w:rPr>
        <w:t xml:space="preserve"> </w:t>
      </w:r>
      <w:r>
        <w:rPr>
          <w:rFonts w:hint="eastAsia"/>
          <w:color w:val="auto"/>
        </w:rPr>
        <w:t>环境特点</w:t>
      </w:r>
      <w:bookmarkEnd w:id="24"/>
    </w:p>
    <w:p>
      <w:pPr>
        <w:bidi w:val="0"/>
        <w:rPr>
          <w:color w:val="auto"/>
        </w:rPr>
      </w:pPr>
      <w:r>
        <w:rPr>
          <w:rFonts w:hint="eastAsia"/>
          <w:color w:val="auto"/>
        </w:rPr>
        <w:t>（1）项目拟建地点位于新乡经济技术开发区新长北线南侧，根据《新乡经济技术开发区发展规划（2009-2020）》用地规划图，本项目用地属于工业用地，符合新乡经济技术开发区总体发展规划和土地性质规划。</w:t>
      </w:r>
    </w:p>
    <w:p>
      <w:pPr>
        <w:bidi w:val="0"/>
        <w:rPr>
          <w:color w:val="auto"/>
        </w:rPr>
      </w:pPr>
      <w:r>
        <w:rPr>
          <w:rFonts w:hint="eastAsia"/>
          <w:color w:val="auto"/>
        </w:rPr>
        <w:t>（2）本项目所在区域根据大气功能划分原则划分为二类功能区。本项目所在区域不属于二氧化硫和酸雨控制区。根据环境质量</w:t>
      </w:r>
      <w:r>
        <w:rPr>
          <w:rFonts w:hint="eastAsia"/>
          <w:color w:val="auto"/>
          <w:lang w:val="en-US" w:eastAsia="zh-CN"/>
        </w:rPr>
        <w:t>调查</w:t>
      </w:r>
      <w:r>
        <w:rPr>
          <w:rFonts w:hint="eastAsia"/>
          <w:color w:val="auto"/>
        </w:rPr>
        <w:t>结果，区域环境空气SO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和CO的监测浓度能满足相关环境质量标准要求，PM</w:t>
      </w:r>
      <w:r>
        <w:rPr>
          <w:rFonts w:hint="eastAsia"/>
          <w:color w:val="auto"/>
          <w:vertAlign w:val="subscript"/>
        </w:rPr>
        <w:t>10</w:t>
      </w:r>
      <w:r>
        <w:rPr>
          <w:rFonts w:hint="eastAsia"/>
          <w:color w:val="auto"/>
          <w:lang w:eastAsia="zh-CN"/>
        </w:rPr>
        <w:t>、</w:t>
      </w:r>
      <w:r>
        <w:rPr>
          <w:rFonts w:hint="eastAsia"/>
          <w:color w:val="auto"/>
        </w:rPr>
        <w:t>PM</w:t>
      </w:r>
      <w:r>
        <w:rPr>
          <w:rFonts w:hint="eastAsia"/>
          <w:color w:val="auto"/>
          <w:vertAlign w:val="subscript"/>
        </w:rPr>
        <w:t>2.5</w:t>
      </w:r>
      <w:r>
        <w:rPr>
          <w:rFonts w:hint="eastAsia"/>
          <w:color w:val="auto"/>
          <w:vertAlign w:val="baseline"/>
          <w:lang w:val="en-US" w:eastAsia="zh-CN"/>
        </w:rPr>
        <w:t>和O</w:t>
      </w:r>
      <w:r>
        <w:rPr>
          <w:rFonts w:hint="eastAsia"/>
          <w:color w:val="auto"/>
          <w:vertAlign w:val="subscript"/>
          <w:lang w:val="en-US" w:eastAsia="zh-CN"/>
        </w:rPr>
        <w:t>3</w:t>
      </w:r>
      <w:r>
        <w:rPr>
          <w:rFonts w:hint="eastAsia"/>
          <w:color w:val="auto"/>
        </w:rPr>
        <w:t>的监测浓度不能满足相关环境质量标准要求，本项目所在区域属于不达标区域。</w:t>
      </w:r>
    </w:p>
    <w:p>
      <w:pPr>
        <w:bidi w:val="0"/>
        <w:rPr>
          <w:color w:val="auto"/>
        </w:rPr>
      </w:pPr>
      <w:r>
        <w:rPr>
          <w:rFonts w:hint="eastAsia"/>
          <w:color w:val="auto"/>
        </w:rPr>
        <w:t>（3）项目所在区域地表水体主要为东三干渠、南分干渠和东大沙河，均属于黄河水系，其中大沙河规划功能区划为</w:t>
      </w:r>
      <w:r>
        <w:rPr>
          <w:color w:val="auto"/>
        </w:rPr>
        <w:t>Ⅳ</w:t>
      </w:r>
      <w:r>
        <w:rPr>
          <w:rFonts w:hint="eastAsia"/>
          <w:color w:val="auto"/>
        </w:rPr>
        <w:t>类水环境功能区。</w:t>
      </w:r>
    </w:p>
    <w:p>
      <w:pPr>
        <w:pStyle w:val="7"/>
        <w:bidi w:val="0"/>
        <w:rPr>
          <w:color w:val="auto"/>
        </w:rPr>
      </w:pPr>
      <w:bookmarkStart w:id="25" w:name="_Toc511139702"/>
      <w:bookmarkStart w:id="26" w:name="_Toc23996"/>
      <w:bookmarkStart w:id="27" w:name="_Toc89284759"/>
      <w:r>
        <w:rPr>
          <w:color w:val="auto"/>
        </w:rPr>
        <w:t>1.</w:t>
      </w:r>
      <w:bookmarkEnd w:id="25"/>
      <w:r>
        <w:rPr>
          <w:color w:val="auto"/>
        </w:rPr>
        <w:t>4</w:t>
      </w:r>
      <w:r>
        <w:rPr>
          <w:rFonts w:hint="eastAsia"/>
          <w:color w:val="auto"/>
          <w:lang w:val="en-US" w:eastAsia="zh-CN"/>
        </w:rPr>
        <w:t xml:space="preserve"> </w:t>
      </w:r>
      <w:r>
        <w:rPr>
          <w:color w:val="auto"/>
        </w:rPr>
        <w:t>工作过程</w:t>
      </w:r>
      <w:bookmarkEnd w:id="26"/>
      <w:bookmarkEnd w:id="27"/>
    </w:p>
    <w:p>
      <w:pPr>
        <w:bidi w:val="0"/>
        <w:rPr>
          <w:rFonts w:hint="eastAsia"/>
          <w:color w:val="auto"/>
        </w:rPr>
      </w:pPr>
      <w:r>
        <w:rPr>
          <w:rFonts w:hint="eastAsia"/>
          <w:color w:val="auto"/>
        </w:rPr>
        <w:t>2022年10月</w:t>
      </w:r>
      <w:r>
        <w:rPr>
          <w:rFonts w:hint="eastAsia"/>
          <w:color w:val="auto"/>
          <w:lang w:eastAsia="zh-CN"/>
        </w:rPr>
        <w:t>，</w:t>
      </w:r>
      <w:r>
        <w:rPr>
          <w:rFonts w:hint="eastAsia"/>
          <w:color w:val="auto"/>
        </w:rPr>
        <w:t>建设单位委托中环慧博（北京）国际工程技术咨询有限公司负责本项目环境影响评价工作</w:t>
      </w:r>
      <w:r>
        <w:rPr>
          <w:rFonts w:hint="eastAsia"/>
          <w:color w:val="auto"/>
          <w:lang w:eastAsia="zh-CN"/>
        </w:rPr>
        <w:t>，项目启动，</w:t>
      </w:r>
      <w:r>
        <w:rPr>
          <w:color w:val="auto"/>
        </w:rPr>
        <w:t>委托书见附件</w:t>
      </w:r>
      <w:r>
        <w:rPr>
          <w:rFonts w:hint="eastAsia"/>
          <w:color w:val="auto"/>
          <w:lang w:val="en-US" w:eastAsia="zh-CN"/>
        </w:rPr>
        <w:t>1</w:t>
      </w:r>
      <w:r>
        <w:rPr>
          <w:rFonts w:hint="eastAsia"/>
          <w:color w:val="auto"/>
          <w:lang w:eastAsia="zh-CN"/>
        </w:rPr>
        <w:t>。</w:t>
      </w:r>
      <w:r>
        <w:rPr>
          <w:rFonts w:hint="eastAsia"/>
          <w:color w:val="auto"/>
        </w:rPr>
        <w:t>在多次实地踏勘、调研和收集分析资料的基础上，开展了该项目环境影响评价工作，评价工作中对厂址区域环境空气质量现状、地表水质量现状、地下水质量现状、土壤、噪声进行了调查和监测，对工程污染因素、污染防治措施、环境风险等进行了分析，编制完成了《新乡化纤股份有限公司年产5000吨菌草生物质纤维产业化研发中试项目环境影响报告书》，同时建设单位按照《环境影响评价公众参与办法》的相关程序和要求，组织开展了公众参与相关工作</w:t>
      </w:r>
      <w:r>
        <w:rPr>
          <w:rFonts w:hint="eastAsia"/>
          <w:color w:val="auto"/>
          <w:lang w:eastAsia="zh-CN"/>
        </w:rPr>
        <w:t>，</w:t>
      </w:r>
      <w:r>
        <w:rPr>
          <w:rFonts w:hint="eastAsia"/>
          <w:color w:val="auto"/>
          <w:lang w:val="en-US" w:eastAsia="zh-CN"/>
        </w:rPr>
        <w:t>根据建设单位反馈</w:t>
      </w:r>
      <w:r>
        <w:rPr>
          <w:color w:val="auto"/>
        </w:rPr>
        <w:t>，</w:t>
      </w:r>
      <w:r>
        <w:rPr>
          <w:rFonts w:hint="eastAsia"/>
          <w:color w:val="auto"/>
        </w:rPr>
        <w:t>公示期间没有收到关于本项目建设有关的意见和建议。</w:t>
      </w:r>
    </w:p>
    <w:p>
      <w:pPr>
        <w:bidi w:val="0"/>
        <w:rPr>
          <w:rFonts w:hint="eastAsia"/>
          <w:color w:val="auto"/>
        </w:rPr>
      </w:pPr>
      <w:r>
        <w:rPr>
          <w:rFonts w:hint="eastAsia"/>
          <w:color w:val="auto"/>
        </w:rPr>
        <w:t>按照《</w:t>
      </w:r>
      <w:r>
        <w:rPr>
          <w:rFonts w:hint="eastAsia"/>
          <w:color w:val="auto"/>
          <w:lang w:eastAsia="zh-CN"/>
        </w:rPr>
        <w:t>建设项目环境影响评价技术导则 总纲</w:t>
      </w:r>
      <w:r>
        <w:rPr>
          <w:rFonts w:hint="eastAsia"/>
          <w:color w:val="auto"/>
        </w:rPr>
        <w:t>》（HJ2.1-2016）要求，环境影响评价工作流程一般分为三个阶段，即调查分析和工作方案制定阶段、分析论证和预测评价阶段、环境影响报告书编制阶段，具体流程详见评价工作示意图。</w:t>
      </w:r>
    </w:p>
    <w:p>
      <w:pPr>
        <w:pStyle w:val="2"/>
        <w:ind w:left="0" w:leftChars="0" w:firstLine="0" w:firstLineChars="0"/>
        <w:jc w:val="center"/>
        <w:rPr>
          <w:color w:val="auto"/>
        </w:rPr>
      </w:pPr>
      <w:r>
        <w:rPr>
          <w:color w:val="auto"/>
        </w:rPr>
        <w:drawing>
          <wp:inline distT="0" distB="0" distL="114300" distR="114300">
            <wp:extent cx="5457825" cy="8048625"/>
            <wp:effectExtent l="0" t="0" r="9525" b="9525"/>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28"/>
                    <a:stretch>
                      <a:fillRect/>
                    </a:stretch>
                  </pic:blipFill>
                  <pic:spPr>
                    <a:xfrm>
                      <a:off x="0" y="0"/>
                      <a:ext cx="5457825" cy="8048625"/>
                    </a:xfrm>
                    <a:prstGeom prst="rect">
                      <a:avLst/>
                    </a:prstGeom>
                    <a:noFill/>
                    <a:ln>
                      <a:noFill/>
                    </a:ln>
                  </pic:spPr>
                </pic:pic>
              </a:graphicData>
            </a:graphic>
          </wp:inline>
        </w:drawing>
      </w:r>
    </w:p>
    <w:p>
      <w:pPr>
        <w:pStyle w:val="181"/>
        <w:ind w:firstLine="0" w:firstLineChars="0"/>
        <w:jc w:val="center"/>
        <w:rPr>
          <w:rFonts w:hint="default" w:eastAsia="宋体"/>
          <w:color w:val="auto"/>
          <w:lang w:val="en-US" w:eastAsia="zh-CN"/>
        </w:rPr>
      </w:pPr>
      <w:r>
        <w:rPr>
          <w:rFonts w:hint="eastAsia"/>
          <w:color w:val="auto"/>
          <w:lang w:val="en-US" w:eastAsia="zh-CN"/>
        </w:rPr>
        <w:t xml:space="preserve">图1.4-1 </w:t>
      </w:r>
      <w:r>
        <w:rPr>
          <w:rFonts w:hint="eastAsia"/>
          <w:color w:val="auto"/>
        </w:rPr>
        <w:t>评价工作程序示意图</w:t>
      </w:r>
    </w:p>
    <w:p>
      <w:pPr>
        <w:pStyle w:val="2"/>
        <w:ind w:left="0" w:leftChars="0" w:firstLine="0" w:firstLineChars="0"/>
        <w:jc w:val="both"/>
        <w:rPr>
          <w:color w:val="auto"/>
        </w:rPr>
      </w:pPr>
    </w:p>
    <w:p>
      <w:pPr>
        <w:pStyle w:val="7"/>
        <w:bidi w:val="0"/>
        <w:rPr>
          <w:color w:val="auto"/>
        </w:rPr>
      </w:pPr>
      <w:bookmarkStart w:id="28" w:name="_Toc30156"/>
      <w:r>
        <w:rPr>
          <w:color w:val="auto"/>
        </w:rPr>
        <w:t>1.5</w:t>
      </w:r>
      <w:r>
        <w:rPr>
          <w:rFonts w:hint="eastAsia"/>
          <w:color w:val="auto"/>
          <w:lang w:val="en-US" w:eastAsia="zh-CN"/>
        </w:rPr>
        <w:t xml:space="preserve"> </w:t>
      </w:r>
      <w:r>
        <w:rPr>
          <w:color w:val="auto"/>
        </w:rPr>
        <w:t>项目关注的主要环境问题</w:t>
      </w:r>
      <w:bookmarkEnd w:id="28"/>
    </w:p>
    <w:p>
      <w:pPr>
        <w:bidi w:val="0"/>
        <w:rPr>
          <w:color w:val="auto"/>
        </w:rPr>
      </w:pPr>
      <w:r>
        <w:rPr>
          <w:color w:val="auto"/>
        </w:rPr>
        <w:t>项目区域环境空气、地表水、地下水以及区域声环境质量现状能否满足相应的标准限值要求；项目环境影响的可接受程度以及污染防治措施是否可行，主要包括：</w:t>
      </w:r>
    </w:p>
    <w:p>
      <w:pPr>
        <w:numPr>
          <w:ilvl w:val="0"/>
          <w:numId w:val="4"/>
        </w:numPr>
        <w:bidi w:val="0"/>
        <w:rPr>
          <w:color w:val="auto"/>
        </w:rPr>
      </w:pPr>
      <w:r>
        <w:rPr>
          <w:color w:val="auto"/>
        </w:rPr>
        <w:t>项目产生的废气污染物产生情况和治理措施，确保项目废气排放达到国家、地方规定的排放标准；</w:t>
      </w:r>
    </w:p>
    <w:p>
      <w:pPr>
        <w:numPr>
          <w:ilvl w:val="0"/>
          <w:numId w:val="4"/>
        </w:numPr>
        <w:bidi w:val="0"/>
        <w:rPr>
          <w:color w:val="auto"/>
        </w:rPr>
      </w:pPr>
      <w:r>
        <w:rPr>
          <w:color w:val="auto"/>
        </w:rPr>
        <w:t>项目废水处理措施的可行性，确保废水处理后达标排放；</w:t>
      </w:r>
    </w:p>
    <w:p>
      <w:pPr>
        <w:numPr>
          <w:ilvl w:val="0"/>
          <w:numId w:val="4"/>
        </w:numPr>
        <w:bidi w:val="0"/>
        <w:rPr>
          <w:color w:val="auto"/>
        </w:rPr>
      </w:pPr>
      <w:r>
        <w:rPr>
          <w:color w:val="auto"/>
        </w:rPr>
        <w:t>设备运营过程中噪声对周边环境的影响；</w:t>
      </w:r>
    </w:p>
    <w:p>
      <w:pPr>
        <w:numPr>
          <w:ilvl w:val="0"/>
          <w:numId w:val="4"/>
        </w:numPr>
        <w:bidi w:val="0"/>
        <w:rPr>
          <w:color w:val="auto"/>
        </w:rPr>
      </w:pPr>
      <w:r>
        <w:rPr>
          <w:color w:val="auto"/>
        </w:rPr>
        <w:t>运营期各类固废的处理方式，固废是否全部合理处置；</w:t>
      </w:r>
    </w:p>
    <w:p>
      <w:pPr>
        <w:numPr>
          <w:ilvl w:val="0"/>
          <w:numId w:val="4"/>
        </w:numPr>
        <w:bidi w:val="0"/>
        <w:rPr>
          <w:color w:val="auto"/>
        </w:rPr>
      </w:pPr>
      <w:r>
        <w:rPr>
          <w:color w:val="auto"/>
        </w:rPr>
        <w:t>项目运营过程中存在环境风险能否控制在可接受的范围内；</w:t>
      </w:r>
    </w:p>
    <w:p>
      <w:pPr>
        <w:numPr>
          <w:ilvl w:val="0"/>
          <w:numId w:val="4"/>
        </w:numPr>
        <w:bidi w:val="0"/>
        <w:rPr>
          <w:color w:val="auto"/>
        </w:rPr>
      </w:pPr>
      <w:r>
        <w:rPr>
          <w:color w:val="auto"/>
        </w:rPr>
        <w:t>项目营运期对区域环境和敏感目标的影响。</w:t>
      </w:r>
    </w:p>
    <w:p>
      <w:pPr>
        <w:pStyle w:val="7"/>
        <w:bidi w:val="0"/>
        <w:rPr>
          <w:color w:val="auto"/>
        </w:rPr>
      </w:pPr>
      <w:bookmarkStart w:id="29" w:name="_Toc19553"/>
      <w:r>
        <w:rPr>
          <w:color w:val="auto"/>
        </w:rPr>
        <w:t>1.6环境影响</w:t>
      </w:r>
      <w:r>
        <w:rPr>
          <w:rFonts w:hint="eastAsia"/>
          <w:color w:val="auto"/>
        </w:rPr>
        <w:t>评价</w:t>
      </w:r>
      <w:r>
        <w:rPr>
          <w:color w:val="auto"/>
        </w:rPr>
        <w:t>主要结论</w:t>
      </w:r>
      <w:bookmarkEnd w:id="29"/>
    </w:p>
    <w:p>
      <w:pPr>
        <w:rPr>
          <w:color w:val="auto"/>
        </w:rPr>
        <w:sectPr>
          <w:footerReference r:id="rId9" w:type="default"/>
          <w:pgSz w:w="11910" w:h="16850"/>
          <w:pgMar w:top="1440" w:right="1800" w:bottom="1440" w:left="1800" w:header="884" w:footer="1033" w:gutter="0"/>
          <w:pgBorders>
            <w:top w:val="none" w:sz="0" w:space="0"/>
            <w:left w:val="none" w:sz="0" w:space="0"/>
            <w:bottom w:val="none" w:sz="0" w:space="0"/>
            <w:right w:val="none" w:sz="0" w:space="0"/>
          </w:pgBorders>
          <w:pgNumType w:fmt="decimal" w:start="1" w:chapSep="emDash"/>
          <w:cols w:space="720" w:num="1"/>
        </w:sectPr>
      </w:pPr>
      <w:r>
        <w:rPr>
          <w:rFonts w:hint="eastAsia"/>
          <w:color w:val="auto"/>
        </w:rPr>
        <w:t>新乡化纤股份有限公司年产5000吨菌草生物质纤维产业化研发中试项目属于《产业结构调整指导目录（2019年本）》中的鼓励类，符合国家产业政策；项目用地为工业用地，符合园区总体发展规划要求；根据环境影响预测结果：在保证评价要求和工程设计的防治措施正常运行的条件下，本项目对周围大气环境、地表水环境、地下水环境以及声环境的影响可接受；工程环境风险可接受；工程完成后，各项污染防治措施可行，全厂废水、废气、噪声污染物能够做到达标排放，固废采取了有效的处置措施；公众参与调查结果表明，公众对项目的建设无反对意见。从环保角度而言，该项目建设可行。</w:t>
      </w:r>
    </w:p>
    <w:bookmarkEnd w:id="6"/>
    <w:bookmarkEnd w:id="7"/>
    <w:bookmarkEnd w:id="8"/>
    <w:bookmarkEnd w:id="9"/>
    <w:p>
      <w:pPr>
        <w:pStyle w:val="6"/>
        <w:bidi w:val="0"/>
        <w:rPr>
          <w:color w:val="auto"/>
        </w:rPr>
      </w:pPr>
      <w:bookmarkStart w:id="30" w:name="_Toc18408"/>
      <w:bookmarkStart w:id="31" w:name="_Toc67041034"/>
      <w:bookmarkStart w:id="32" w:name="_Toc3463"/>
      <w:bookmarkStart w:id="33" w:name="_Toc26499"/>
      <w:r>
        <w:rPr>
          <w:rFonts w:hint="eastAsia"/>
          <w:color w:val="auto"/>
        </w:rPr>
        <w:t xml:space="preserve">第二章  </w:t>
      </w:r>
      <w:r>
        <w:rPr>
          <w:color w:val="auto"/>
        </w:rPr>
        <w:t>总则</w:t>
      </w:r>
      <w:bookmarkEnd w:id="30"/>
      <w:bookmarkEnd w:id="31"/>
      <w:bookmarkEnd w:id="32"/>
      <w:bookmarkEnd w:id="33"/>
    </w:p>
    <w:p>
      <w:pPr>
        <w:pStyle w:val="7"/>
        <w:bidi w:val="0"/>
        <w:rPr>
          <w:color w:val="auto"/>
        </w:rPr>
      </w:pPr>
      <w:bookmarkStart w:id="34" w:name="_Toc12895"/>
      <w:bookmarkStart w:id="35" w:name="_Toc2028"/>
      <w:bookmarkStart w:id="36" w:name="_Toc13942"/>
      <w:bookmarkStart w:id="37" w:name="_Toc67041035"/>
      <w:r>
        <w:rPr>
          <w:color w:val="auto"/>
        </w:rPr>
        <w:t>2.1编制依据</w:t>
      </w:r>
      <w:bookmarkEnd w:id="34"/>
      <w:bookmarkEnd w:id="35"/>
      <w:bookmarkEnd w:id="36"/>
      <w:bookmarkStart w:id="38" w:name="_Toc6733"/>
      <w:bookmarkStart w:id="39" w:name="_Toc160"/>
      <w:bookmarkStart w:id="40" w:name="_Toc15351"/>
      <w:bookmarkStart w:id="41" w:name="_Toc1533"/>
      <w:bookmarkStart w:id="42" w:name="_Toc21559"/>
      <w:bookmarkStart w:id="43" w:name="_Toc29331"/>
      <w:bookmarkStart w:id="44" w:name="_Toc15122"/>
      <w:bookmarkStart w:id="45" w:name="_Toc2589"/>
      <w:bookmarkStart w:id="46" w:name="_Toc27374"/>
      <w:bookmarkStart w:id="47" w:name="_Toc15202"/>
    </w:p>
    <w:p>
      <w:pPr>
        <w:pStyle w:val="9"/>
        <w:bidi w:val="0"/>
        <w:rPr>
          <w:color w:val="auto"/>
        </w:rPr>
      </w:pPr>
      <w:r>
        <w:rPr>
          <w:rFonts w:hint="eastAsia"/>
          <w:color w:val="auto"/>
        </w:rPr>
        <w:t>2</w:t>
      </w:r>
      <w:r>
        <w:rPr>
          <w:color w:val="auto"/>
        </w:rPr>
        <w:t>.1.1法律、法规及政策</w:t>
      </w:r>
      <w:bookmarkEnd w:id="38"/>
      <w:bookmarkEnd w:id="39"/>
      <w:bookmarkEnd w:id="40"/>
      <w:bookmarkEnd w:id="41"/>
      <w:bookmarkEnd w:id="42"/>
      <w:bookmarkEnd w:id="43"/>
      <w:bookmarkEnd w:id="44"/>
      <w:bookmarkEnd w:id="45"/>
      <w:bookmarkEnd w:id="46"/>
      <w:bookmarkEnd w:id="47"/>
    </w:p>
    <w:bookmarkEnd w:id="37"/>
    <w:p>
      <w:pPr>
        <w:numPr>
          <w:ilvl w:val="0"/>
          <w:numId w:val="5"/>
        </w:numPr>
        <w:bidi w:val="0"/>
        <w:rPr>
          <w:color w:val="auto"/>
        </w:rPr>
      </w:pPr>
      <w:r>
        <w:rPr>
          <w:color w:val="auto"/>
        </w:rPr>
        <w:t>《中华人民共和国环境保护法》（2015年1月1日起实施）；</w:t>
      </w:r>
    </w:p>
    <w:p>
      <w:pPr>
        <w:numPr>
          <w:ilvl w:val="0"/>
          <w:numId w:val="5"/>
        </w:numPr>
        <w:bidi w:val="0"/>
        <w:rPr>
          <w:color w:val="auto"/>
        </w:rPr>
      </w:pPr>
      <w:r>
        <w:rPr>
          <w:color w:val="auto"/>
        </w:rPr>
        <w:t>《中华人民共和国环境影响评价法》（2018年12月29日实施）；</w:t>
      </w:r>
    </w:p>
    <w:p>
      <w:pPr>
        <w:numPr>
          <w:ilvl w:val="0"/>
          <w:numId w:val="5"/>
        </w:numPr>
        <w:bidi w:val="0"/>
        <w:rPr>
          <w:color w:val="auto"/>
        </w:rPr>
      </w:pPr>
      <w:r>
        <w:rPr>
          <w:color w:val="auto"/>
        </w:rPr>
        <w:t>《中华人民共和国大气污染防治法》（2018年10月26日修订）；</w:t>
      </w:r>
    </w:p>
    <w:p>
      <w:pPr>
        <w:numPr>
          <w:ilvl w:val="0"/>
          <w:numId w:val="5"/>
        </w:numPr>
        <w:bidi w:val="0"/>
        <w:rPr>
          <w:color w:val="auto"/>
        </w:rPr>
      </w:pPr>
      <w:r>
        <w:rPr>
          <w:color w:val="auto"/>
        </w:rPr>
        <w:t>《中华人民共和国水污染防治法》</w:t>
      </w:r>
      <w:r>
        <w:rPr>
          <w:rFonts w:hint="eastAsia"/>
          <w:color w:val="auto"/>
          <w:lang w:eastAsia="zh-CN"/>
        </w:rPr>
        <w:t>（</w:t>
      </w:r>
      <w:r>
        <w:rPr>
          <w:color w:val="auto"/>
        </w:rPr>
        <w:t>2017年6月27日修订</w:t>
      </w:r>
      <w:r>
        <w:rPr>
          <w:rFonts w:hint="eastAsia"/>
          <w:color w:val="auto"/>
          <w:lang w:eastAsia="zh-CN"/>
        </w:rPr>
        <w:t>）</w:t>
      </w:r>
      <w:r>
        <w:rPr>
          <w:color w:val="auto"/>
        </w:rPr>
        <w:t>；</w:t>
      </w:r>
    </w:p>
    <w:p>
      <w:pPr>
        <w:numPr>
          <w:ilvl w:val="0"/>
          <w:numId w:val="5"/>
        </w:numPr>
        <w:bidi w:val="0"/>
        <w:rPr>
          <w:color w:val="auto"/>
        </w:rPr>
      </w:pPr>
      <w:r>
        <w:rPr>
          <w:color w:val="auto"/>
        </w:rPr>
        <w:t>《中华人民共和国噪声污染防治法》</w:t>
      </w:r>
      <w:r>
        <w:rPr>
          <w:rFonts w:hint="eastAsia"/>
          <w:color w:val="auto"/>
          <w:lang w:eastAsia="zh-CN"/>
        </w:rPr>
        <w:t>（</w:t>
      </w:r>
      <w:r>
        <w:rPr>
          <w:rFonts w:hint="eastAsia"/>
          <w:color w:val="auto"/>
        </w:rPr>
        <w:t>2022年6月5日实施</w:t>
      </w:r>
      <w:r>
        <w:rPr>
          <w:rFonts w:hint="eastAsia"/>
          <w:color w:val="auto"/>
          <w:lang w:eastAsia="zh-CN"/>
        </w:rPr>
        <w:t>）</w:t>
      </w:r>
      <w:r>
        <w:rPr>
          <w:color w:val="auto"/>
        </w:rPr>
        <w:t>；</w:t>
      </w:r>
    </w:p>
    <w:p>
      <w:pPr>
        <w:numPr>
          <w:ilvl w:val="0"/>
          <w:numId w:val="5"/>
        </w:numPr>
        <w:bidi w:val="0"/>
        <w:rPr>
          <w:color w:val="auto"/>
        </w:rPr>
      </w:pPr>
      <w:r>
        <w:rPr>
          <w:color w:val="auto"/>
        </w:rPr>
        <w:t>《中华人民共和国固体废物污染环境防治法》</w:t>
      </w:r>
      <w:r>
        <w:rPr>
          <w:rFonts w:hint="eastAsia"/>
          <w:color w:val="auto"/>
          <w:lang w:eastAsia="zh-CN"/>
        </w:rPr>
        <w:t>（</w:t>
      </w:r>
      <w:r>
        <w:rPr>
          <w:color w:val="auto"/>
        </w:rPr>
        <w:t>2020年4月29日修订</w:t>
      </w:r>
      <w:r>
        <w:rPr>
          <w:rFonts w:hint="eastAsia"/>
          <w:color w:val="auto"/>
          <w:lang w:eastAsia="zh-CN"/>
        </w:rPr>
        <w:t>）</w:t>
      </w:r>
      <w:r>
        <w:rPr>
          <w:color w:val="auto"/>
        </w:rPr>
        <w:t>；</w:t>
      </w:r>
    </w:p>
    <w:p>
      <w:pPr>
        <w:numPr>
          <w:ilvl w:val="0"/>
          <w:numId w:val="5"/>
        </w:numPr>
        <w:bidi w:val="0"/>
        <w:rPr>
          <w:color w:val="auto"/>
        </w:rPr>
      </w:pPr>
      <w:r>
        <w:rPr>
          <w:color w:val="auto"/>
        </w:rPr>
        <w:t>《中华人民共和国土壤污染环境防治法》</w:t>
      </w:r>
      <w:r>
        <w:rPr>
          <w:rFonts w:hint="eastAsia"/>
          <w:color w:val="auto"/>
          <w:lang w:eastAsia="zh-CN"/>
        </w:rPr>
        <w:t>（</w:t>
      </w:r>
      <w:r>
        <w:rPr>
          <w:color w:val="auto"/>
        </w:rPr>
        <w:t>2019年1月1日修订</w:t>
      </w:r>
      <w:r>
        <w:rPr>
          <w:rFonts w:hint="eastAsia"/>
          <w:color w:val="auto"/>
          <w:lang w:eastAsia="zh-CN"/>
        </w:rPr>
        <w:t>）</w:t>
      </w:r>
      <w:r>
        <w:rPr>
          <w:color w:val="auto"/>
        </w:rPr>
        <w:t>；</w:t>
      </w:r>
    </w:p>
    <w:p>
      <w:pPr>
        <w:numPr>
          <w:ilvl w:val="0"/>
          <w:numId w:val="5"/>
        </w:numPr>
        <w:bidi w:val="0"/>
        <w:rPr>
          <w:color w:val="auto"/>
        </w:rPr>
      </w:pPr>
      <w:r>
        <w:rPr>
          <w:color w:val="auto"/>
        </w:rPr>
        <w:t>《中华人民共和国清洁生产促进法》</w:t>
      </w:r>
      <w:r>
        <w:rPr>
          <w:rFonts w:hint="eastAsia"/>
          <w:color w:val="auto"/>
          <w:lang w:eastAsia="zh-CN"/>
        </w:rPr>
        <w:t>（</w:t>
      </w:r>
      <w:r>
        <w:rPr>
          <w:color w:val="auto"/>
        </w:rPr>
        <w:t>2012年2月29日</w:t>
      </w:r>
      <w:r>
        <w:rPr>
          <w:rFonts w:hint="eastAsia"/>
          <w:color w:val="auto"/>
          <w:lang w:eastAsia="zh-CN"/>
        </w:rPr>
        <w:t>）</w:t>
      </w:r>
      <w:r>
        <w:rPr>
          <w:color w:val="auto"/>
        </w:rPr>
        <w:t>；</w:t>
      </w:r>
    </w:p>
    <w:p>
      <w:pPr>
        <w:numPr>
          <w:ilvl w:val="0"/>
          <w:numId w:val="5"/>
        </w:numPr>
        <w:bidi w:val="0"/>
        <w:rPr>
          <w:color w:val="auto"/>
        </w:rPr>
      </w:pPr>
      <w:r>
        <w:rPr>
          <w:rFonts w:hint="eastAsia"/>
          <w:color w:val="auto"/>
        </w:rPr>
        <w:t>《中华人民共和国水法》（2016年修正，自2016年9月1日起施行）；</w:t>
      </w:r>
    </w:p>
    <w:p>
      <w:pPr>
        <w:numPr>
          <w:ilvl w:val="0"/>
          <w:numId w:val="5"/>
        </w:numPr>
        <w:bidi w:val="0"/>
        <w:rPr>
          <w:color w:val="auto"/>
        </w:rPr>
      </w:pPr>
      <w:r>
        <w:rPr>
          <w:color w:val="auto"/>
        </w:rPr>
        <w:t>《中华人民共和国循环经济促进法》</w:t>
      </w:r>
      <w:r>
        <w:rPr>
          <w:rFonts w:hint="eastAsia"/>
          <w:color w:val="auto"/>
          <w:lang w:eastAsia="zh-CN"/>
        </w:rPr>
        <w:t>（</w:t>
      </w:r>
      <w:r>
        <w:rPr>
          <w:color w:val="auto"/>
        </w:rPr>
        <w:t>2018年10月26日实施</w:t>
      </w:r>
      <w:r>
        <w:rPr>
          <w:rFonts w:hint="eastAsia"/>
          <w:color w:val="auto"/>
          <w:lang w:eastAsia="zh-CN"/>
        </w:rPr>
        <w:t>）</w:t>
      </w:r>
      <w:r>
        <w:rPr>
          <w:color w:val="auto"/>
        </w:rPr>
        <w:t>；</w:t>
      </w:r>
    </w:p>
    <w:p>
      <w:pPr>
        <w:numPr>
          <w:ilvl w:val="0"/>
          <w:numId w:val="5"/>
        </w:numPr>
        <w:bidi w:val="0"/>
        <w:rPr>
          <w:color w:val="auto"/>
        </w:rPr>
      </w:pPr>
      <w:r>
        <w:rPr>
          <w:color w:val="auto"/>
        </w:rPr>
        <w:t>《建设项目环境保护管理条例》</w:t>
      </w:r>
      <w:r>
        <w:rPr>
          <w:rFonts w:hint="eastAsia"/>
          <w:color w:val="auto"/>
          <w:lang w:eastAsia="zh-CN"/>
        </w:rPr>
        <w:t>（</w:t>
      </w:r>
      <w:r>
        <w:rPr>
          <w:color w:val="auto"/>
        </w:rPr>
        <w:t>2017年7月16日修订</w:t>
      </w:r>
      <w:r>
        <w:rPr>
          <w:rFonts w:hint="eastAsia"/>
          <w:color w:val="auto"/>
          <w:lang w:eastAsia="zh-CN"/>
        </w:rPr>
        <w:t>）</w:t>
      </w:r>
      <w:r>
        <w:rPr>
          <w:color w:val="auto"/>
        </w:rPr>
        <w:t>；</w:t>
      </w:r>
    </w:p>
    <w:p>
      <w:pPr>
        <w:numPr>
          <w:ilvl w:val="0"/>
          <w:numId w:val="5"/>
        </w:numPr>
        <w:bidi w:val="0"/>
        <w:rPr>
          <w:color w:val="auto"/>
        </w:rPr>
      </w:pPr>
      <w:r>
        <w:rPr>
          <w:color w:val="auto"/>
        </w:rPr>
        <w:t>《产业结构调整指导目录》（发展和改革委员会令第29号）；</w:t>
      </w:r>
    </w:p>
    <w:p>
      <w:pPr>
        <w:numPr>
          <w:ilvl w:val="0"/>
          <w:numId w:val="5"/>
        </w:numPr>
        <w:bidi w:val="0"/>
        <w:rPr>
          <w:color w:val="auto"/>
        </w:rPr>
      </w:pPr>
      <w:r>
        <w:rPr>
          <w:color w:val="auto"/>
        </w:rPr>
        <w:t>《国务院关于印发大气污染防治行动计划的通知》（国发〔2013〕37号，2013年9月10日）；</w:t>
      </w:r>
    </w:p>
    <w:p>
      <w:pPr>
        <w:numPr>
          <w:ilvl w:val="0"/>
          <w:numId w:val="5"/>
        </w:numPr>
        <w:bidi w:val="0"/>
        <w:rPr>
          <w:color w:val="auto"/>
        </w:rPr>
      </w:pPr>
      <w:r>
        <w:rPr>
          <w:color w:val="auto"/>
        </w:rPr>
        <w:t>《关于落实大气污染防治行动计划严格环境影响评价准入的通知》（环办〔2014〕30号，2014年3月25日）；</w:t>
      </w:r>
    </w:p>
    <w:p>
      <w:pPr>
        <w:numPr>
          <w:ilvl w:val="0"/>
          <w:numId w:val="5"/>
        </w:numPr>
        <w:bidi w:val="0"/>
        <w:rPr>
          <w:color w:val="auto"/>
        </w:rPr>
      </w:pPr>
      <w:r>
        <w:rPr>
          <w:color w:val="auto"/>
        </w:rPr>
        <w:t>《国务院关于印发水污染防治行动计划的通知》（国发〔2015〕17号）2015年4月16日；</w:t>
      </w:r>
    </w:p>
    <w:p>
      <w:pPr>
        <w:numPr>
          <w:ilvl w:val="0"/>
          <w:numId w:val="5"/>
        </w:numPr>
        <w:bidi w:val="0"/>
        <w:rPr>
          <w:color w:val="auto"/>
        </w:rPr>
      </w:pPr>
      <w:r>
        <w:rPr>
          <w:color w:val="auto"/>
        </w:rPr>
        <w:t>《国务院关于印发土壤污染防治行动计划的通知》（国发〔2016〕31号）</w:t>
      </w:r>
      <w:r>
        <w:rPr>
          <w:rFonts w:hint="eastAsia"/>
          <w:color w:val="auto"/>
        </w:rPr>
        <w:t>；</w:t>
      </w:r>
    </w:p>
    <w:p>
      <w:pPr>
        <w:numPr>
          <w:ilvl w:val="0"/>
          <w:numId w:val="5"/>
        </w:numPr>
        <w:bidi w:val="0"/>
        <w:rPr>
          <w:color w:val="auto"/>
        </w:rPr>
      </w:pPr>
      <w:r>
        <w:rPr>
          <w:rFonts w:hint="eastAsia"/>
          <w:color w:val="auto"/>
        </w:rPr>
        <w:t>《国务院办公厅关于印发控制污染物排放许可制实施方案的通知》（国办发</w:t>
      </w:r>
      <w:r>
        <w:rPr>
          <w:color w:val="auto"/>
        </w:rPr>
        <w:t>〔2016〕</w:t>
      </w:r>
      <w:r>
        <w:rPr>
          <w:rFonts w:hint="eastAsia"/>
          <w:color w:val="auto"/>
        </w:rPr>
        <w:t>81号）；</w:t>
      </w:r>
    </w:p>
    <w:p>
      <w:pPr>
        <w:numPr>
          <w:ilvl w:val="0"/>
          <w:numId w:val="5"/>
        </w:numPr>
        <w:bidi w:val="0"/>
        <w:rPr>
          <w:color w:val="auto"/>
        </w:rPr>
      </w:pPr>
      <w:r>
        <w:rPr>
          <w:rFonts w:hint="eastAsia"/>
          <w:color w:val="auto"/>
        </w:rPr>
        <w:t>《“十四五”土壤、地下水和农村生态环境保护规划》（环土壤</w:t>
      </w:r>
      <w:r>
        <w:rPr>
          <w:color w:val="auto"/>
        </w:rPr>
        <w:t>〔2021〕120</w:t>
      </w:r>
      <w:r>
        <w:rPr>
          <w:rFonts w:hint="eastAsia"/>
          <w:color w:val="auto"/>
        </w:rPr>
        <w:t>号）；</w:t>
      </w:r>
    </w:p>
    <w:p>
      <w:pPr>
        <w:numPr>
          <w:ilvl w:val="0"/>
          <w:numId w:val="5"/>
        </w:numPr>
        <w:bidi w:val="0"/>
        <w:rPr>
          <w:color w:val="auto"/>
        </w:rPr>
      </w:pPr>
      <w:r>
        <w:rPr>
          <w:rFonts w:hint="eastAsia"/>
          <w:color w:val="auto"/>
        </w:rPr>
        <w:t>《环境影响评价公众参与办法》（生态环境部令第4号）</w:t>
      </w:r>
      <w:r>
        <w:rPr>
          <w:color w:val="auto"/>
        </w:rPr>
        <w:t>；</w:t>
      </w:r>
    </w:p>
    <w:p>
      <w:pPr>
        <w:numPr>
          <w:ilvl w:val="0"/>
          <w:numId w:val="5"/>
        </w:numPr>
        <w:bidi w:val="0"/>
        <w:rPr>
          <w:color w:val="auto"/>
        </w:rPr>
      </w:pPr>
      <w:r>
        <w:rPr>
          <w:color w:val="auto"/>
        </w:rPr>
        <w:t>《建设项目环境影响评价分类管理名录（2021年版）》（部令第16号）</w:t>
      </w:r>
      <w:r>
        <w:rPr>
          <w:rFonts w:hint="eastAsia"/>
          <w:color w:val="auto"/>
          <w:lang w:eastAsia="zh-CN"/>
        </w:rPr>
        <w:t>；</w:t>
      </w:r>
    </w:p>
    <w:p>
      <w:pPr>
        <w:numPr>
          <w:ilvl w:val="0"/>
          <w:numId w:val="5"/>
        </w:numPr>
        <w:bidi w:val="0"/>
        <w:rPr>
          <w:color w:val="auto"/>
        </w:rPr>
      </w:pPr>
      <w:r>
        <w:rPr>
          <w:rFonts w:hint="eastAsia"/>
          <w:color w:val="auto"/>
        </w:rPr>
        <w:t>《关于进一步加强环境影响评价管理防范环境风险的通知》（环发</w:t>
      </w:r>
      <w:r>
        <w:rPr>
          <w:color w:val="auto"/>
        </w:rPr>
        <w:t>〔201</w:t>
      </w:r>
      <w:r>
        <w:rPr>
          <w:rFonts w:hint="eastAsia"/>
          <w:color w:val="auto"/>
          <w:lang w:val="en-US" w:eastAsia="zh-CN"/>
        </w:rPr>
        <w:t>2</w:t>
      </w:r>
      <w:r>
        <w:rPr>
          <w:color w:val="auto"/>
        </w:rPr>
        <w:t>〕</w:t>
      </w:r>
      <w:r>
        <w:rPr>
          <w:rFonts w:hint="eastAsia"/>
          <w:color w:val="auto"/>
        </w:rPr>
        <w:t>77号）；</w:t>
      </w:r>
    </w:p>
    <w:p>
      <w:pPr>
        <w:numPr>
          <w:ilvl w:val="0"/>
          <w:numId w:val="5"/>
        </w:numPr>
        <w:bidi w:val="0"/>
        <w:rPr>
          <w:color w:val="auto"/>
        </w:rPr>
      </w:pPr>
      <w:r>
        <w:rPr>
          <w:rFonts w:hint="eastAsia"/>
          <w:color w:val="auto"/>
        </w:rPr>
        <w:t>《关于切实加强风险防范严格环境影响评价管理的通知》（环发</w:t>
      </w:r>
      <w:r>
        <w:rPr>
          <w:color w:val="auto"/>
        </w:rPr>
        <w:t>〔201</w:t>
      </w:r>
      <w:r>
        <w:rPr>
          <w:rFonts w:hint="eastAsia"/>
          <w:color w:val="auto"/>
          <w:lang w:val="en-US" w:eastAsia="zh-CN"/>
        </w:rPr>
        <w:t>2</w:t>
      </w:r>
      <w:r>
        <w:rPr>
          <w:color w:val="auto"/>
        </w:rPr>
        <w:t>〕</w:t>
      </w:r>
      <w:r>
        <w:rPr>
          <w:rFonts w:hint="eastAsia"/>
          <w:color w:val="auto"/>
        </w:rPr>
        <w:t>98号文）；</w:t>
      </w:r>
    </w:p>
    <w:p>
      <w:pPr>
        <w:numPr>
          <w:ilvl w:val="0"/>
          <w:numId w:val="5"/>
        </w:numPr>
        <w:bidi w:val="0"/>
        <w:rPr>
          <w:color w:val="auto"/>
        </w:rPr>
      </w:pPr>
      <w:r>
        <w:rPr>
          <w:rFonts w:hint="eastAsia"/>
          <w:color w:val="auto"/>
        </w:rPr>
        <w:t>关于印发《“十四五”环境影响评价与排污许可工作实施方案》的通知（环环评〔2022〕26号）；</w:t>
      </w:r>
    </w:p>
    <w:p>
      <w:pPr>
        <w:numPr>
          <w:ilvl w:val="0"/>
          <w:numId w:val="5"/>
        </w:numPr>
        <w:bidi w:val="0"/>
        <w:rPr>
          <w:color w:val="auto"/>
        </w:rPr>
      </w:pPr>
      <w:r>
        <w:rPr>
          <w:rFonts w:hint="eastAsia"/>
          <w:color w:val="auto"/>
        </w:rPr>
        <w:t>《关于以改善环境质量为核心加强环境影响评价管理的通知》（环环评〔20</w:t>
      </w:r>
      <w:r>
        <w:rPr>
          <w:rFonts w:hint="eastAsia"/>
          <w:color w:val="auto"/>
          <w:lang w:val="en-US" w:eastAsia="zh-CN"/>
        </w:rPr>
        <w:t>16</w:t>
      </w:r>
      <w:r>
        <w:rPr>
          <w:rFonts w:hint="eastAsia"/>
          <w:color w:val="auto"/>
        </w:rPr>
        <w:t>〕150号）；</w:t>
      </w:r>
    </w:p>
    <w:p>
      <w:pPr>
        <w:numPr>
          <w:ilvl w:val="0"/>
          <w:numId w:val="5"/>
        </w:numPr>
        <w:bidi w:val="0"/>
        <w:rPr>
          <w:color w:val="auto"/>
        </w:rPr>
      </w:pPr>
      <w:r>
        <w:rPr>
          <w:rFonts w:hint="eastAsia"/>
          <w:color w:val="auto"/>
        </w:rPr>
        <w:t>《关于做好环境影响评价制度与排污许可制衔接相关工作的通知》（环办环评〔20</w:t>
      </w:r>
      <w:r>
        <w:rPr>
          <w:rFonts w:hint="eastAsia"/>
          <w:color w:val="auto"/>
          <w:lang w:val="en-US" w:eastAsia="zh-CN"/>
        </w:rPr>
        <w:t>17</w:t>
      </w:r>
      <w:r>
        <w:rPr>
          <w:rFonts w:hint="eastAsia"/>
          <w:color w:val="auto"/>
        </w:rPr>
        <w:t>〕84号）；</w:t>
      </w:r>
    </w:p>
    <w:p>
      <w:pPr>
        <w:numPr>
          <w:ilvl w:val="0"/>
          <w:numId w:val="5"/>
        </w:numPr>
        <w:bidi w:val="0"/>
        <w:rPr>
          <w:color w:val="auto"/>
        </w:rPr>
      </w:pPr>
      <w:r>
        <w:rPr>
          <w:rFonts w:hint="eastAsia"/>
          <w:color w:val="auto"/>
        </w:rPr>
        <w:t>《排污许可管理办法（试行）》</w:t>
      </w:r>
      <w:r>
        <w:rPr>
          <w:rFonts w:hint="eastAsia"/>
          <w:color w:val="auto"/>
          <w:lang w:eastAsia="zh-CN"/>
        </w:rPr>
        <w:t>（</w:t>
      </w:r>
      <w:r>
        <w:rPr>
          <w:rFonts w:hint="eastAsia"/>
          <w:color w:val="auto"/>
        </w:rPr>
        <w:t>2018年1月10日</w:t>
      </w:r>
      <w:r>
        <w:rPr>
          <w:rFonts w:hint="eastAsia"/>
          <w:color w:val="auto"/>
          <w:lang w:eastAsia="zh-CN"/>
        </w:rPr>
        <w:t>）。</w:t>
      </w:r>
    </w:p>
    <w:p>
      <w:pPr>
        <w:pStyle w:val="9"/>
        <w:bidi w:val="0"/>
        <w:rPr>
          <w:color w:val="auto"/>
        </w:rPr>
      </w:pPr>
      <w:bookmarkStart w:id="48" w:name="_TOC_250256"/>
      <w:bookmarkEnd w:id="48"/>
      <w:bookmarkStart w:id="49" w:name="_Toc20358"/>
      <w:bookmarkStart w:id="50" w:name="_Toc7168"/>
      <w:bookmarkStart w:id="51" w:name="_Toc5172"/>
      <w:bookmarkStart w:id="52" w:name="_Toc7439"/>
      <w:bookmarkStart w:id="53" w:name="_Toc5201"/>
      <w:bookmarkStart w:id="54" w:name="_Toc24827"/>
      <w:bookmarkStart w:id="55" w:name="_Toc7522"/>
      <w:bookmarkStart w:id="56" w:name="_Toc28746"/>
      <w:bookmarkStart w:id="57" w:name="_Toc12300"/>
      <w:bookmarkStart w:id="58" w:name="_Toc1940"/>
      <w:r>
        <w:rPr>
          <w:rFonts w:hint="eastAsia"/>
          <w:color w:val="auto"/>
        </w:rPr>
        <w:t>2</w:t>
      </w:r>
      <w:r>
        <w:rPr>
          <w:color w:val="auto"/>
        </w:rPr>
        <w:t>.1.2地方性环保法规、文件</w:t>
      </w:r>
      <w:bookmarkEnd w:id="49"/>
      <w:bookmarkEnd w:id="50"/>
      <w:bookmarkEnd w:id="51"/>
      <w:bookmarkEnd w:id="52"/>
      <w:bookmarkEnd w:id="53"/>
      <w:bookmarkEnd w:id="54"/>
      <w:bookmarkEnd w:id="55"/>
      <w:bookmarkEnd w:id="56"/>
      <w:bookmarkEnd w:id="57"/>
      <w:bookmarkEnd w:id="58"/>
    </w:p>
    <w:p>
      <w:pPr>
        <w:numPr>
          <w:ilvl w:val="0"/>
          <w:numId w:val="6"/>
        </w:numPr>
        <w:bidi w:val="0"/>
        <w:rPr>
          <w:color w:val="auto"/>
        </w:rPr>
      </w:pPr>
      <w:bookmarkStart w:id="59" w:name="_TOC_250255"/>
      <w:bookmarkEnd w:id="59"/>
      <w:bookmarkStart w:id="60" w:name="_Toc5386"/>
      <w:r>
        <w:rPr>
          <w:color w:val="auto"/>
        </w:rPr>
        <w:t>《河南省建设项目环境保护条例》（2016</w:t>
      </w:r>
      <w:r>
        <w:rPr>
          <w:rFonts w:hint="eastAsia"/>
          <w:color w:val="auto"/>
        </w:rPr>
        <w:t>年4月</w:t>
      </w:r>
      <w:r>
        <w:rPr>
          <w:color w:val="auto"/>
        </w:rPr>
        <w:t>）；</w:t>
      </w:r>
      <w:bookmarkEnd w:id="60"/>
    </w:p>
    <w:p>
      <w:pPr>
        <w:numPr>
          <w:ilvl w:val="0"/>
          <w:numId w:val="6"/>
        </w:numPr>
        <w:bidi w:val="0"/>
        <w:rPr>
          <w:color w:val="auto"/>
        </w:rPr>
      </w:pPr>
      <w:bookmarkStart w:id="61" w:name="_Toc4522"/>
      <w:r>
        <w:rPr>
          <w:color w:val="auto"/>
        </w:rPr>
        <w:t>《河南省大气污染防治条例》（2018年3月1日实施）；</w:t>
      </w:r>
      <w:bookmarkEnd w:id="61"/>
    </w:p>
    <w:p>
      <w:pPr>
        <w:numPr>
          <w:ilvl w:val="0"/>
          <w:numId w:val="6"/>
        </w:numPr>
        <w:bidi w:val="0"/>
        <w:rPr>
          <w:color w:val="auto"/>
        </w:rPr>
      </w:pPr>
      <w:bookmarkStart w:id="62" w:name="_Toc15020"/>
      <w:bookmarkStart w:id="63" w:name="_Toc24369"/>
      <w:r>
        <w:rPr>
          <w:color w:val="auto"/>
        </w:rPr>
        <w:t>《河南省固体废物污染环境防治条例》（2012年1月1日）；</w:t>
      </w:r>
      <w:bookmarkEnd w:id="62"/>
    </w:p>
    <w:p>
      <w:pPr>
        <w:numPr>
          <w:ilvl w:val="0"/>
          <w:numId w:val="6"/>
        </w:numPr>
        <w:bidi w:val="0"/>
        <w:rPr>
          <w:color w:val="auto"/>
        </w:rPr>
      </w:pPr>
      <w:r>
        <w:rPr>
          <w:color w:val="auto"/>
        </w:rPr>
        <w:t>《河南省环境保护厅关于加强环评管理防范环境风险的通知》（豫环文</w:t>
      </w:r>
      <w:r>
        <w:rPr>
          <w:rFonts w:hint="eastAsia"/>
          <w:color w:val="auto"/>
        </w:rPr>
        <w:t>〔20</w:t>
      </w:r>
      <w:r>
        <w:rPr>
          <w:rFonts w:hint="eastAsia"/>
          <w:color w:val="auto"/>
          <w:lang w:val="en-US" w:eastAsia="zh-CN"/>
        </w:rPr>
        <w:t>12</w:t>
      </w:r>
      <w:r>
        <w:rPr>
          <w:rFonts w:hint="eastAsia"/>
          <w:color w:val="auto"/>
        </w:rPr>
        <w:t>〕</w:t>
      </w:r>
      <w:r>
        <w:rPr>
          <w:color w:val="auto"/>
        </w:rPr>
        <w:t>159号）；</w:t>
      </w:r>
      <w:bookmarkEnd w:id="63"/>
    </w:p>
    <w:p>
      <w:pPr>
        <w:numPr>
          <w:ilvl w:val="0"/>
          <w:numId w:val="6"/>
        </w:numPr>
        <w:bidi w:val="0"/>
        <w:rPr>
          <w:color w:val="auto"/>
        </w:rPr>
      </w:pPr>
      <w:r>
        <w:rPr>
          <w:rFonts w:hint="eastAsia"/>
          <w:color w:val="auto"/>
        </w:rPr>
        <w:t>《河南省人民政府关于印发河南省县级集中式饮用水源保护区划的通知》（豫政办〔20</w:t>
      </w:r>
      <w:r>
        <w:rPr>
          <w:rFonts w:hint="eastAsia"/>
          <w:color w:val="auto"/>
          <w:lang w:val="en-US" w:eastAsia="zh-CN"/>
        </w:rPr>
        <w:t>13</w:t>
      </w:r>
      <w:r>
        <w:rPr>
          <w:rFonts w:hint="eastAsia"/>
          <w:color w:val="auto"/>
        </w:rPr>
        <w:t>〕107号）；</w:t>
      </w:r>
    </w:p>
    <w:p>
      <w:pPr>
        <w:numPr>
          <w:ilvl w:val="0"/>
          <w:numId w:val="6"/>
        </w:numPr>
        <w:bidi w:val="0"/>
        <w:rPr>
          <w:color w:val="auto"/>
        </w:rPr>
      </w:pPr>
      <w:r>
        <w:rPr>
          <w:color w:val="auto"/>
        </w:rPr>
        <w:t>《河南省人民政府办公厅关于印发河南省乡镇集中式饮用水水源保护区划的通知》（豫政办〔2016〕23号）；</w:t>
      </w:r>
    </w:p>
    <w:p>
      <w:pPr>
        <w:numPr>
          <w:ilvl w:val="0"/>
          <w:numId w:val="6"/>
        </w:numPr>
        <w:bidi w:val="0"/>
        <w:rPr>
          <w:color w:val="auto"/>
        </w:rPr>
      </w:pPr>
      <w:r>
        <w:rPr>
          <w:color w:val="auto"/>
        </w:rPr>
        <w:t>《河南省环境保护厅关于加强建设单位环评信息公开工作的公告》（2016年第7号）</w:t>
      </w:r>
      <w:r>
        <w:rPr>
          <w:rFonts w:hint="eastAsia"/>
          <w:color w:val="auto"/>
          <w:lang w:eastAsia="zh-CN"/>
        </w:rPr>
        <w:t>；</w:t>
      </w:r>
    </w:p>
    <w:p>
      <w:pPr>
        <w:numPr>
          <w:ilvl w:val="0"/>
          <w:numId w:val="6"/>
        </w:numPr>
        <w:bidi w:val="0"/>
        <w:rPr>
          <w:color w:val="auto"/>
        </w:rPr>
      </w:pPr>
      <w:r>
        <w:rPr>
          <w:color w:val="auto"/>
        </w:rPr>
        <w:t>《河南省人民政府关于印发河南省“十四五”生态环境保护和生态经济发展规划的通知》（豫政〔2021〕44号）</w:t>
      </w:r>
      <w:r>
        <w:rPr>
          <w:rFonts w:hint="eastAsia"/>
          <w:color w:val="auto"/>
          <w:lang w:eastAsia="zh-CN"/>
        </w:rPr>
        <w:t>；</w:t>
      </w:r>
    </w:p>
    <w:p>
      <w:pPr>
        <w:numPr>
          <w:ilvl w:val="0"/>
          <w:numId w:val="6"/>
        </w:numPr>
        <w:bidi w:val="0"/>
        <w:rPr>
          <w:color w:val="auto"/>
        </w:rPr>
      </w:pPr>
      <w:r>
        <w:rPr>
          <w:rFonts w:hint="eastAsia"/>
          <w:color w:val="auto"/>
        </w:rPr>
        <w:t>《河南省主体功能区规划》（豫政〔2014〕12号）；</w:t>
      </w:r>
    </w:p>
    <w:p>
      <w:pPr>
        <w:numPr>
          <w:ilvl w:val="0"/>
          <w:numId w:val="6"/>
        </w:numPr>
        <w:bidi w:val="0"/>
        <w:rPr>
          <w:color w:val="auto"/>
        </w:rPr>
      </w:pPr>
      <w:r>
        <w:rPr>
          <w:rFonts w:hint="eastAsia"/>
          <w:color w:val="auto"/>
        </w:rPr>
        <w:t>国家新乡经济技术开发区总体规划（2021-2035）；</w:t>
      </w:r>
    </w:p>
    <w:p>
      <w:pPr>
        <w:numPr>
          <w:ilvl w:val="0"/>
          <w:numId w:val="6"/>
        </w:numPr>
        <w:bidi w:val="0"/>
        <w:rPr>
          <w:color w:val="auto"/>
        </w:rPr>
      </w:pPr>
      <w:bookmarkStart w:id="64" w:name="_Toc16334"/>
      <w:r>
        <w:rPr>
          <w:color w:val="auto"/>
        </w:rPr>
        <w:t>《关于印发河南省2022年大气、水、土壤污染防治攻坚战及农业农村污染治理攻坚战实施方案的通知》（豫环委办〔2022〕9号）；</w:t>
      </w:r>
      <w:bookmarkEnd w:id="64"/>
    </w:p>
    <w:p>
      <w:pPr>
        <w:numPr>
          <w:ilvl w:val="0"/>
          <w:numId w:val="6"/>
        </w:numPr>
        <w:bidi w:val="0"/>
        <w:rPr>
          <w:color w:val="auto"/>
        </w:rPr>
      </w:pPr>
      <w:r>
        <w:rPr>
          <w:color w:val="auto"/>
        </w:rPr>
        <w:t>《关于印发</w:t>
      </w:r>
      <w:r>
        <w:rPr>
          <w:rFonts w:hint="eastAsia"/>
          <w:color w:val="auto"/>
        </w:rPr>
        <w:t>新乡市</w:t>
      </w:r>
      <w:r>
        <w:rPr>
          <w:color w:val="auto"/>
        </w:rPr>
        <w:t>2022年大气、水、土壤污染防治攻坚战及农业农村污染治理攻坚战实施方案的通知》（</w:t>
      </w:r>
      <w:r>
        <w:rPr>
          <w:rFonts w:hint="eastAsia"/>
          <w:color w:val="auto"/>
        </w:rPr>
        <w:t>新</w:t>
      </w:r>
      <w:r>
        <w:rPr>
          <w:color w:val="auto"/>
        </w:rPr>
        <w:t>环</w:t>
      </w:r>
      <w:r>
        <w:rPr>
          <w:rFonts w:hint="eastAsia"/>
          <w:color w:val="auto"/>
        </w:rPr>
        <w:t>攻坚</w:t>
      </w:r>
      <w:r>
        <w:rPr>
          <w:color w:val="auto"/>
        </w:rPr>
        <w:t>办〔2022〕</w:t>
      </w:r>
      <w:r>
        <w:rPr>
          <w:rFonts w:hint="eastAsia"/>
          <w:color w:val="auto"/>
        </w:rPr>
        <w:t>60</w:t>
      </w:r>
      <w:r>
        <w:rPr>
          <w:color w:val="auto"/>
        </w:rPr>
        <w:t>号）</w:t>
      </w:r>
      <w:r>
        <w:rPr>
          <w:rFonts w:hint="eastAsia"/>
          <w:color w:val="auto"/>
        </w:rPr>
        <w:t>；</w:t>
      </w:r>
    </w:p>
    <w:p>
      <w:pPr>
        <w:numPr>
          <w:ilvl w:val="0"/>
          <w:numId w:val="6"/>
        </w:numPr>
        <w:bidi w:val="0"/>
        <w:rPr>
          <w:color w:val="auto"/>
        </w:rPr>
      </w:pPr>
      <w:r>
        <w:rPr>
          <w:color w:val="auto"/>
        </w:rPr>
        <w:t>河南省生态环境厅关于发布《河南省生态环境分区管控总体要求（试行）》的函（豫环函〔2021〕171号）</w:t>
      </w:r>
      <w:r>
        <w:rPr>
          <w:rFonts w:hint="eastAsia"/>
          <w:color w:val="auto"/>
        </w:rPr>
        <w:t>；</w:t>
      </w:r>
    </w:p>
    <w:p>
      <w:pPr>
        <w:numPr>
          <w:ilvl w:val="0"/>
          <w:numId w:val="6"/>
        </w:numPr>
        <w:bidi w:val="0"/>
        <w:rPr>
          <w:color w:val="auto"/>
        </w:rPr>
      </w:pPr>
      <w:r>
        <w:rPr>
          <w:color w:val="auto"/>
        </w:rPr>
        <w:t>新乡市生态环境局关于发布《新乡市</w:t>
      </w:r>
      <w:r>
        <w:rPr>
          <w:rFonts w:hint="eastAsia"/>
          <w:color w:val="auto"/>
        </w:rPr>
        <w:t>“</w:t>
      </w:r>
      <w:r>
        <w:rPr>
          <w:color w:val="auto"/>
        </w:rPr>
        <w:t>三线一单</w:t>
      </w:r>
      <w:r>
        <w:rPr>
          <w:rFonts w:hint="eastAsia"/>
          <w:color w:val="auto"/>
        </w:rPr>
        <w:t>”</w:t>
      </w:r>
      <w:r>
        <w:rPr>
          <w:color w:val="auto"/>
        </w:rPr>
        <w:t>生态环境准入清单（试行）》的函（新环函〔2021〕20号）</w:t>
      </w:r>
      <w:r>
        <w:rPr>
          <w:rFonts w:hint="eastAsia"/>
          <w:color w:val="auto"/>
        </w:rPr>
        <w:t>；</w:t>
      </w:r>
    </w:p>
    <w:p>
      <w:pPr>
        <w:numPr>
          <w:ilvl w:val="0"/>
          <w:numId w:val="6"/>
        </w:numPr>
        <w:bidi w:val="0"/>
        <w:rPr>
          <w:color w:val="auto"/>
        </w:rPr>
      </w:pPr>
      <w:bookmarkStart w:id="65" w:name="_Toc26294"/>
      <w:r>
        <w:rPr>
          <w:color w:val="auto"/>
        </w:rPr>
        <w:t>《河南省生态环境厅关于印发河南省工业大气污染防治6个专项方案的通知》（豫环文</w:t>
      </w:r>
      <w:r>
        <w:rPr>
          <w:rFonts w:hint="eastAsia"/>
          <w:color w:val="auto"/>
        </w:rPr>
        <w:t>〔20</w:t>
      </w:r>
      <w:r>
        <w:rPr>
          <w:rFonts w:hint="eastAsia"/>
          <w:color w:val="auto"/>
          <w:lang w:val="en-US" w:eastAsia="zh-CN"/>
        </w:rPr>
        <w:t>19</w:t>
      </w:r>
      <w:r>
        <w:rPr>
          <w:rFonts w:hint="eastAsia"/>
          <w:color w:val="auto"/>
        </w:rPr>
        <w:t>〕</w:t>
      </w:r>
      <w:r>
        <w:rPr>
          <w:color w:val="auto"/>
        </w:rPr>
        <w:t>84号）</w:t>
      </w:r>
      <w:bookmarkEnd w:id="65"/>
      <w:r>
        <w:rPr>
          <w:rFonts w:hint="eastAsia"/>
          <w:color w:val="auto"/>
        </w:rPr>
        <w:t>。</w:t>
      </w:r>
    </w:p>
    <w:p>
      <w:pPr>
        <w:pStyle w:val="9"/>
        <w:bidi w:val="0"/>
        <w:rPr>
          <w:color w:val="auto"/>
        </w:rPr>
      </w:pPr>
      <w:r>
        <w:rPr>
          <w:rFonts w:hint="eastAsia"/>
          <w:color w:val="auto"/>
        </w:rPr>
        <w:t>2</w:t>
      </w:r>
      <w:r>
        <w:rPr>
          <w:color w:val="auto"/>
        </w:rPr>
        <w:t>.1.</w:t>
      </w:r>
      <w:r>
        <w:rPr>
          <w:rFonts w:hint="eastAsia"/>
          <w:color w:val="auto"/>
        </w:rPr>
        <w:t>3评价技术导则及规范</w:t>
      </w:r>
    </w:p>
    <w:p>
      <w:pPr>
        <w:bidi w:val="0"/>
        <w:rPr>
          <w:color w:val="auto"/>
        </w:rPr>
      </w:pPr>
      <w:r>
        <w:rPr>
          <w:color w:val="auto"/>
        </w:rPr>
        <w:t>（1）《</w:t>
      </w:r>
      <w:r>
        <w:rPr>
          <w:rFonts w:hint="eastAsia"/>
          <w:color w:val="auto"/>
          <w:lang w:eastAsia="zh-CN"/>
        </w:rPr>
        <w:t>建设项目环境影响评价技术导则 总纲</w:t>
      </w:r>
      <w:r>
        <w:rPr>
          <w:color w:val="auto"/>
        </w:rPr>
        <w:t>》(HJ 2.1-2016)；</w:t>
      </w:r>
    </w:p>
    <w:p>
      <w:pPr>
        <w:bidi w:val="0"/>
        <w:rPr>
          <w:color w:val="auto"/>
        </w:rPr>
      </w:pPr>
      <w:r>
        <w:rPr>
          <w:color w:val="auto"/>
        </w:rPr>
        <w:t>（2）《环境影响评价技术导则</w:t>
      </w:r>
      <w:r>
        <w:rPr>
          <w:rFonts w:hint="eastAsia"/>
          <w:color w:val="auto"/>
          <w:lang w:val="en-US" w:eastAsia="zh-CN"/>
        </w:rPr>
        <w:t xml:space="preserve"> </w:t>
      </w:r>
      <w:r>
        <w:rPr>
          <w:color w:val="auto"/>
        </w:rPr>
        <w:t>大气环境》（HJ 2.2-2018）；</w:t>
      </w:r>
    </w:p>
    <w:p>
      <w:pPr>
        <w:bidi w:val="0"/>
        <w:rPr>
          <w:color w:val="auto"/>
        </w:rPr>
      </w:pPr>
      <w:r>
        <w:rPr>
          <w:color w:val="auto"/>
        </w:rPr>
        <w:t>（3）《环境影响评价技术导则</w:t>
      </w:r>
      <w:r>
        <w:rPr>
          <w:rFonts w:hint="eastAsia"/>
          <w:color w:val="auto"/>
          <w:lang w:val="en-US" w:eastAsia="zh-CN"/>
        </w:rPr>
        <w:t xml:space="preserve"> </w:t>
      </w:r>
      <w:r>
        <w:rPr>
          <w:color w:val="auto"/>
        </w:rPr>
        <w:t>地表水环境》（HJ 2.3-2018）；</w:t>
      </w:r>
    </w:p>
    <w:p>
      <w:pPr>
        <w:bidi w:val="0"/>
        <w:rPr>
          <w:color w:val="auto"/>
        </w:rPr>
      </w:pPr>
      <w:r>
        <w:rPr>
          <w:color w:val="auto"/>
        </w:rPr>
        <w:t>（4）《环境影响评价技术导则</w:t>
      </w:r>
      <w:r>
        <w:rPr>
          <w:rFonts w:hint="eastAsia"/>
          <w:color w:val="auto"/>
          <w:lang w:val="en-US" w:eastAsia="zh-CN"/>
        </w:rPr>
        <w:t xml:space="preserve"> </w:t>
      </w:r>
      <w:r>
        <w:rPr>
          <w:color w:val="auto"/>
        </w:rPr>
        <w:t>地下水环境》（HJ 610-2016）；</w:t>
      </w:r>
    </w:p>
    <w:p>
      <w:pPr>
        <w:bidi w:val="0"/>
        <w:rPr>
          <w:color w:val="auto"/>
        </w:rPr>
      </w:pPr>
      <w:r>
        <w:rPr>
          <w:color w:val="auto"/>
        </w:rPr>
        <w:t>（5）《环境影响评价技术导则</w:t>
      </w:r>
      <w:r>
        <w:rPr>
          <w:rFonts w:hint="eastAsia"/>
          <w:color w:val="auto"/>
          <w:lang w:val="en-US" w:eastAsia="zh-CN"/>
        </w:rPr>
        <w:t xml:space="preserve"> </w:t>
      </w:r>
      <w:r>
        <w:rPr>
          <w:color w:val="auto"/>
        </w:rPr>
        <w:t>声环境》(HJ 2.4-20</w:t>
      </w:r>
      <w:r>
        <w:rPr>
          <w:rFonts w:hint="eastAsia"/>
          <w:color w:val="auto"/>
        </w:rPr>
        <w:t>21</w:t>
      </w:r>
      <w:r>
        <w:rPr>
          <w:color w:val="auto"/>
        </w:rPr>
        <w:t>)；</w:t>
      </w:r>
    </w:p>
    <w:p>
      <w:pPr>
        <w:bidi w:val="0"/>
        <w:rPr>
          <w:color w:val="auto"/>
        </w:rPr>
      </w:pPr>
      <w:r>
        <w:rPr>
          <w:color w:val="auto"/>
        </w:rPr>
        <w:t>（6）《环境影响评价技术导则</w:t>
      </w:r>
      <w:r>
        <w:rPr>
          <w:rFonts w:hint="eastAsia"/>
          <w:color w:val="auto"/>
          <w:lang w:val="en-US" w:eastAsia="zh-CN"/>
        </w:rPr>
        <w:t xml:space="preserve"> </w:t>
      </w:r>
      <w:r>
        <w:rPr>
          <w:color w:val="auto"/>
        </w:rPr>
        <w:t>土壤环境（试行）》（HJ964-2018）；</w:t>
      </w:r>
    </w:p>
    <w:p>
      <w:pPr>
        <w:bidi w:val="0"/>
        <w:rPr>
          <w:color w:val="auto"/>
        </w:rPr>
      </w:pPr>
      <w:r>
        <w:rPr>
          <w:rFonts w:hint="eastAsia"/>
          <w:color w:val="auto"/>
        </w:rPr>
        <w:t>（7）《环境影响评价技术导则</w:t>
      </w:r>
      <w:r>
        <w:rPr>
          <w:rFonts w:hint="eastAsia"/>
          <w:color w:val="auto"/>
          <w:lang w:val="en-US" w:eastAsia="zh-CN"/>
        </w:rPr>
        <w:t xml:space="preserve"> </w:t>
      </w:r>
      <w:r>
        <w:rPr>
          <w:rFonts w:hint="eastAsia"/>
          <w:color w:val="auto"/>
        </w:rPr>
        <w:t>生态影响》（HJ19-20</w:t>
      </w:r>
      <w:r>
        <w:rPr>
          <w:color w:val="auto"/>
        </w:rPr>
        <w:t>22</w:t>
      </w:r>
      <w:r>
        <w:rPr>
          <w:rFonts w:hint="eastAsia"/>
          <w:color w:val="auto"/>
        </w:rPr>
        <w:t>）；</w:t>
      </w:r>
    </w:p>
    <w:p>
      <w:pPr>
        <w:bidi w:val="0"/>
        <w:rPr>
          <w:color w:val="auto"/>
        </w:rPr>
      </w:pPr>
      <w:r>
        <w:rPr>
          <w:color w:val="auto"/>
        </w:rPr>
        <w:t>（8）《建设项目环境风险评价技术导则》（HJ 169-2018）；</w:t>
      </w:r>
    </w:p>
    <w:p>
      <w:pPr>
        <w:bidi w:val="0"/>
        <w:rPr>
          <w:color w:val="auto"/>
        </w:rPr>
      </w:pPr>
      <w:r>
        <w:rPr>
          <w:color w:val="auto"/>
        </w:rPr>
        <w:t>（</w:t>
      </w:r>
      <w:r>
        <w:rPr>
          <w:rFonts w:hint="eastAsia"/>
          <w:color w:val="auto"/>
          <w:lang w:val="en-US" w:eastAsia="zh-CN"/>
        </w:rPr>
        <w:t>9</w:t>
      </w:r>
      <w:r>
        <w:rPr>
          <w:color w:val="auto"/>
        </w:rPr>
        <w:t>）《一般工业固体废物贮存和填埋污染控制标准》（GB18599-2020）</w:t>
      </w:r>
      <w:r>
        <w:rPr>
          <w:rFonts w:hint="eastAsia"/>
          <w:color w:val="auto"/>
        </w:rPr>
        <w:t>；</w:t>
      </w:r>
    </w:p>
    <w:p>
      <w:pPr>
        <w:bidi w:val="0"/>
        <w:rPr>
          <w:color w:val="auto"/>
        </w:rPr>
      </w:pPr>
      <w:r>
        <w:rPr>
          <w:color w:val="auto"/>
        </w:rPr>
        <w:t>（10）《排污单位自行监测技术指南总则》（HJ 819-2017）</w:t>
      </w:r>
      <w:r>
        <w:rPr>
          <w:rFonts w:hint="eastAsia"/>
          <w:color w:val="auto"/>
        </w:rPr>
        <w:t>。</w:t>
      </w:r>
    </w:p>
    <w:p>
      <w:pPr>
        <w:pStyle w:val="9"/>
        <w:bidi w:val="0"/>
        <w:rPr>
          <w:color w:val="auto"/>
        </w:rPr>
      </w:pPr>
      <w:r>
        <w:rPr>
          <w:rFonts w:hint="eastAsia"/>
          <w:color w:val="auto"/>
        </w:rPr>
        <w:t>2.</w:t>
      </w:r>
      <w:r>
        <w:rPr>
          <w:color w:val="auto"/>
        </w:rPr>
        <w:t>1</w:t>
      </w:r>
      <w:r>
        <w:rPr>
          <w:rFonts w:hint="eastAsia"/>
          <w:color w:val="auto"/>
        </w:rPr>
        <w:t>.4项目有关资料及文件</w:t>
      </w:r>
    </w:p>
    <w:p>
      <w:pPr>
        <w:bidi w:val="0"/>
        <w:rPr>
          <w:color w:val="auto"/>
        </w:rPr>
      </w:pPr>
      <w:r>
        <w:rPr>
          <w:color w:val="auto"/>
        </w:rPr>
        <w:t>（1）</w:t>
      </w:r>
      <w:r>
        <w:rPr>
          <w:rFonts w:hint="eastAsia"/>
          <w:color w:val="auto"/>
        </w:rPr>
        <w:t>本项目</w:t>
      </w:r>
      <w:r>
        <w:rPr>
          <w:color w:val="auto"/>
        </w:rPr>
        <w:t>环境影响评价委托书；</w:t>
      </w:r>
    </w:p>
    <w:p>
      <w:pPr>
        <w:bidi w:val="0"/>
        <w:rPr>
          <w:color w:val="auto"/>
        </w:rPr>
      </w:pPr>
      <w:r>
        <w:rPr>
          <w:color w:val="auto"/>
        </w:rPr>
        <w:t>（2）《</w:t>
      </w:r>
      <w:r>
        <w:rPr>
          <w:rFonts w:hint="eastAsia"/>
          <w:color w:val="auto"/>
        </w:rPr>
        <w:t>新乡化纤股份有限公司年产5000吨菌草生物质纤维产业化研发中试项目可行性研究报告》；</w:t>
      </w:r>
    </w:p>
    <w:p>
      <w:pPr>
        <w:bidi w:val="0"/>
        <w:rPr>
          <w:color w:val="auto"/>
        </w:rPr>
      </w:pPr>
      <w:r>
        <w:rPr>
          <w:rFonts w:hint="eastAsia"/>
          <w:color w:val="auto"/>
        </w:rPr>
        <w:t>（3）项目备案证明；</w:t>
      </w:r>
    </w:p>
    <w:p>
      <w:pPr>
        <w:bidi w:val="0"/>
        <w:rPr>
          <w:color w:val="auto"/>
        </w:rPr>
      </w:pPr>
      <w:r>
        <w:rPr>
          <w:color w:val="auto"/>
        </w:rPr>
        <w:t>（4）</w:t>
      </w:r>
      <w:r>
        <w:rPr>
          <w:rFonts w:hint="eastAsia"/>
          <w:color w:val="auto"/>
        </w:rPr>
        <w:t>检测报告</w:t>
      </w:r>
      <w:r>
        <w:rPr>
          <w:color w:val="auto"/>
        </w:rPr>
        <w:t>；</w:t>
      </w:r>
    </w:p>
    <w:p>
      <w:pPr>
        <w:bidi w:val="0"/>
        <w:rPr>
          <w:color w:val="auto"/>
        </w:rPr>
      </w:pPr>
      <w:r>
        <w:rPr>
          <w:color w:val="auto"/>
        </w:rPr>
        <w:t>（5）建设单位提供的其他技术资料。</w:t>
      </w:r>
    </w:p>
    <w:p>
      <w:pPr>
        <w:pStyle w:val="7"/>
        <w:bidi w:val="0"/>
        <w:rPr>
          <w:color w:val="auto"/>
        </w:rPr>
      </w:pPr>
      <w:bookmarkStart w:id="66" w:name="_Toc1098"/>
      <w:bookmarkStart w:id="67" w:name="_Toc12773"/>
      <w:bookmarkStart w:id="68" w:name="_Toc4156"/>
      <w:bookmarkStart w:id="69" w:name="_Toc22210"/>
      <w:bookmarkStart w:id="70" w:name="_Toc6397"/>
      <w:bookmarkStart w:id="71" w:name="_Toc12884"/>
      <w:bookmarkStart w:id="72" w:name="_Toc9720"/>
      <w:bookmarkStart w:id="73" w:name="_Toc19762"/>
      <w:bookmarkStart w:id="74" w:name="_Toc22678"/>
      <w:bookmarkStart w:id="75" w:name="_Toc17517"/>
      <w:bookmarkStart w:id="76" w:name="_Toc5295"/>
      <w:bookmarkStart w:id="77" w:name="_Toc29028"/>
      <w:bookmarkStart w:id="78" w:name="_Toc27855"/>
      <w:bookmarkStart w:id="79" w:name="_Toc1454"/>
      <w:bookmarkStart w:id="80" w:name="_Toc25499"/>
      <w:bookmarkStart w:id="81" w:name="_Toc22149"/>
      <w:r>
        <w:rPr>
          <w:rFonts w:hint="eastAsia"/>
          <w:color w:val="auto"/>
        </w:rPr>
        <w:t>2</w:t>
      </w:r>
      <w:r>
        <w:rPr>
          <w:color w:val="auto"/>
        </w:rPr>
        <w:t>.2评价目的和原则</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Start w:id="82" w:name="_Toc428287508"/>
      <w:bookmarkStart w:id="83" w:name="_Toc428286762"/>
      <w:bookmarkStart w:id="84" w:name="_Toc428287156"/>
    </w:p>
    <w:bookmarkEnd w:id="82"/>
    <w:bookmarkEnd w:id="83"/>
    <w:bookmarkEnd w:id="84"/>
    <w:p>
      <w:pPr>
        <w:pStyle w:val="9"/>
        <w:bidi w:val="0"/>
        <w:rPr>
          <w:color w:val="auto"/>
        </w:rPr>
      </w:pPr>
      <w:bookmarkStart w:id="85" w:name="_TOC_250260"/>
      <w:bookmarkEnd w:id="85"/>
      <w:bookmarkStart w:id="86" w:name="_Toc9504"/>
      <w:bookmarkStart w:id="87" w:name="_Toc10926"/>
      <w:bookmarkStart w:id="88" w:name="_Toc3943"/>
      <w:bookmarkStart w:id="89" w:name="_Toc18933"/>
      <w:bookmarkStart w:id="90" w:name="_Toc16946"/>
      <w:bookmarkStart w:id="91" w:name="_Toc2123"/>
      <w:bookmarkStart w:id="92" w:name="_Toc29389"/>
      <w:bookmarkStart w:id="93" w:name="_Toc9902"/>
      <w:bookmarkStart w:id="94" w:name="_Toc15180"/>
      <w:bookmarkStart w:id="95" w:name="_Toc26291"/>
      <w:r>
        <w:rPr>
          <w:rFonts w:hint="eastAsia"/>
          <w:color w:val="auto"/>
        </w:rPr>
        <w:t>2</w:t>
      </w:r>
      <w:r>
        <w:rPr>
          <w:color w:val="auto"/>
        </w:rPr>
        <w:t>.2.1评价目的</w:t>
      </w:r>
      <w:bookmarkEnd w:id="86"/>
      <w:bookmarkEnd w:id="87"/>
      <w:bookmarkEnd w:id="88"/>
      <w:bookmarkEnd w:id="89"/>
      <w:bookmarkEnd w:id="90"/>
      <w:bookmarkEnd w:id="91"/>
      <w:bookmarkEnd w:id="92"/>
      <w:bookmarkEnd w:id="93"/>
      <w:bookmarkEnd w:id="94"/>
      <w:bookmarkEnd w:id="95"/>
    </w:p>
    <w:p>
      <w:pPr>
        <w:bidi w:val="0"/>
        <w:rPr>
          <w:color w:val="auto"/>
        </w:rPr>
      </w:pPr>
      <w:r>
        <w:rPr>
          <w:color w:val="auto"/>
        </w:rPr>
        <w:t>通过对本项目的工程分析及区域环境现状调查，在掌握项目建设带来环境污染和生态影响情况、排污源强及周围环境特点和污染现状的基础上，分析预测项目的施工及运营对周边环境的影响程度和范围，并提出相应的经济上合理、技术上可行的防范和减缓对策，其具体评价目的为：</w:t>
      </w:r>
    </w:p>
    <w:p>
      <w:pPr>
        <w:bidi w:val="0"/>
        <w:rPr>
          <w:color w:val="auto"/>
        </w:rPr>
      </w:pPr>
      <w:r>
        <w:rPr>
          <w:color w:val="auto"/>
        </w:rPr>
        <w:t>（1）对本工程评价范围内的环境空气、水环境、声环境质量、地下水、土壤现状进行调查、监测与评价，全面了解项目建设区域的环境质量现状。</w:t>
      </w:r>
    </w:p>
    <w:p>
      <w:pPr>
        <w:bidi w:val="0"/>
        <w:rPr>
          <w:color w:val="auto"/>
        </w:rPr>
      </w:pPr>
      <w:r>
        <w:rPr>
          <w:color w:val="auto"/>
        </w:rPr>
        <w:t>（2）通过对本工程在施工期和运营期可能带来的各种环境影响的定性和定量分析和预测，评价其影响范围和程度。</w:t>
      </w:r>
    </w:p>
    <w:p>
      <w:pPr>
        <w:bidi w:val="0"/>
        <w:rPr>
          <w:color w:val="auto"/>
        </w:rPr>
      </w:pPr>
      <w:r>
        <w:rPr>
          <w:color w:val="auto"/>
        </w:rPr>
        <w:t>（3）根据拟建项目对环境的影响程度和范围，提出切实可行的环保措施和建议，并反馈于设计，将工程对环境造成的负面影响降至最低，达到开发建设和环境保护两者协调发展的目的。</w:t>
      </w:r>
    </w:p>
    <w:p>
      <w:pPr>
        <w:pStyle w:val="9"/>
        <w:bidi w:val="0"/>
        <w:rPr>
          <w:color w:val="auto"/>
        </w:rPr>
      </w:pPr>
      <w:bookmarkStart w:id="96" w:name="_TOC_250259"/>
      <w:bookmarkEnd w:id="96"/>
      <w:bookmarkStart w:id="97" w:name="_Toc23165"/>
      <w:bookmarkStart w:id="98" w:name="_Toc7560"/>
      <w:bookmarkStart w:id="99" w:name="_Toc4247"/>
      <w:bookmarkStart w:id="100" w:name="_Toc23106"/>
      <w:bookmarkStart w:id="101" w:name="_Toc22237"/>
      <w:bookmarkStart w:id="102" w:name="_Toc6416"/>
      <w:bookmarkStart w:id="103" w:name="_Toc19345"/>
      <w:bookmarkStart w:id="104" w:name="_Toc18733"/>
      <w:bookmarkStart w:id="105" w:name="_Toc21821"/>
      <w:bookmarkStart w:id="106" w:name="_Toc25824"/>
      <w:r>
        <w:rPr>
          <w:color w:val="auto"/>
        </w:rPr>
        <w:t>2.2.</w:t>
      </w:r>
      <w:r>
        <w:rPr>
          <w:rFonts w:hint="eastAsia"/>
          <w:color w:val="auto"/>
        </w:rPr>
        <w:t>2</w:t>
      </w:r>
      <w:r>
        <w:rPr>
          <w:color w:val="auto"/>
        </w:rPr>
        <w:t>评价原则</w:t>
      </w:r>
      <w:bookmarkEnd w:id="97"/>
      <w:bookmarkEnd w:id="98"/>
      <w:bookmarkEnd w:id="99"/>
      <w:bookmarkEnd w:id="100"/>
      <w:bookmarkEnd w:id="101"/>
      <w:bookmarkEnd w:id="102"/>
      <w:bookmarkEnd w:id="103"/>
      <w:bookmarkEnd w:id="104"/>
      <w:bookmarkEnd w:id="105"/>
      <w:bookmarkEnd w:id="106"/>
    </w:p>
    <w:p>
      <w:pPr>
        <w:bidi w:val="0"/>
        <w:rPr>
          <w:color w:val="auto"/>
        </w:rPr>
      </w:pPr>
      <w:r>
        <w:rPr>
          <w:color w:val="auto"/>
        </w:rPr>
        <w:t>突出环境影响评价的源头预防作用，坚持保护和改善环境质量。</w:t>
      </w:r>
    </w:p>
    <w:p>
      <w:pPr>
        <w:bidi w:val="0"/>
        <w:rPr>
          <w:color w:val="auto"/>
        </w:rPr>
      </w:pPr>
      <w:r>
        <w:rPr>
          <w:color w:val="auto"/>
        </w:rPr>
        <w:t>（1）依法评价</w:t>
      </w:r>
    </w:p>
    <w:p>
      <w:pPr>
        <w:bidi w:val="0"/>
        <w:rPr>
          <w:color w:val="auto"/>
        </w:rPr>
      </w:pPr>
      <w:r>
        <w:rPr>
          <w:color w:val="auto"/>
        </w:rPr>
        <w:t>贯彻执行我国环境保护相关法律法规、标准、政策和规划等，优化项目建设，服务环境管理。</w:t>
      </w:r>
    </w:p>
    <w:p>
      <w:pPr>
        <w:bidi w:val="0"/>
        <w:rPr>
          <w:color w:val="auto"/>
        </w:rPr>
      </w:pPr>
      <w:r>
        <w:rPr>
          <w:color w:val="auto"/>
        </w:rPr>
        <w:t>（2）科学评价</w:t>
      </w:r>
    </w:p>
    <w:p>
      <w:pPr>
        <w:bidi w:val="0"/>
        <w:rPr>
          <w:color w:val="auto"/>
        </w:rPr>
      </w:pPr>
      <w:r>
        <w:rPr>
          <w:color w:val="auto"/>
        </w:rPr>
        <w:t>规范环境影响评价方法，科学分析项目建设对环境质量的影响。</w:t>
      </w:r>
    </w:p>
    <w:p>
      <w:pPr>
        <w:bidi w:val="0"/>
        <w:rPr>
          <w:color w:val="auto"/>
        </w:rPr>
      </w:pPr>
      <w:r>
        <w:rPr>
          <w:color w:val="auto"/>
        </w:rPr>
        <w:t>（3）突出重点</w:t>
      </w:r>
    </w:p>
    <w:p>
      <w:pPr>
        <w:bidi w:val="0"/>
        <w:rPr>
          <w:color w:val="auto"/>
        </w:rPr>
      </w:pPr>
      <w:r>
        <w:rPr>
          <w:color w:val="auto"/>
        </w:rPr>
        <w:t>根据建设项目的工程内容及其特点，明确与环境要素间的作用效应关系，根据规划环境影响评价结论和审查意见，充分利用符合时效的数据资料及成果，对建设项目主要环境影响予以重点分析和评价。</w:t>
      </w:r>
    </w:p>
    <w:p>
      <w:pPr>
        <w:pStyle w:val="7"/>
        <w:bidi w:val="0"/>
        <w:rPr>
          <w:color w:val="auto"/>
        </w:rPr>
      </w:pPr>
      <w:bookmarkStart w:id="107" w:name="_Toc4077"/>
      <w:bookmarkStart w:id="108" w:name="_Toc10443"/>
      <w:bookmarkStart w:id="109" w:name="_Toc28866810"/>
      <w:bookmarkStart w:id="110" w:name="_Toc67041037"/>
      <w:bookmarkStart w:id="111" w:name="_Toc19856"/>
      <w:r>
        <w:rPr>
          <w:rFonts w:hint="eastAsia"/>
          <w:color w:val="auto"/>
        </w:rPr>
        <w:t>2.3</w:t>
      </w:r>
      <w:r>
        <w:rPr>
          <w:color w:val="auto"/>
        </w:rPr>
        <w:t>环境影响因子识别与筛选</w:t>
      </w:r>
      <w:bookmarkEnd w:id="107"/>
      <w:bookmarkEnd w:id="108"/>
      <w:bookmarkEnd w:id="109"/>
      <w:bookmarkEnd w:id="110"/>
      <w:bookmarkEnd w:id="111"/>
    </w:p>
    <w:p>
      <w:pPr>
        <w:pStyle w:val="9"/>
        <w:bidi w:val="0"/>
        <w:rPr>
          <w:color w:val="auto"/>
        </w:rPr>
      </w:pPr>
      <w:bookmarkStart w:id="112" w:name="_Toc428286768"/>
      <w:bookmarkStart w:id="113" w:name="_Toc428287162"/>
      <w:bookmarkStart w:id="114" w:name="_Toc428287514"/>
      <w:r>
        <w:rPr>
          <w:rFonts w:hint="eastAsia"/>
          <w:color w:val="auto"/>
        </w:rPr>
        <w:t>2.3.1</w:t>
      </w:r>
      <w:r>
        <w:rPr>
          <w:color w:val="auto"/>
        </w:rPr>
        <w:t>环境影响识别</w:t>
      </w:r>
      <w:bookmarkEnd w:id="112"/>
      <w:bookmarkEnd w:id="113"/>
      <w:bookmarkEnd w:id="114"/>
    </w:p>
    <w:p>
      <w:pPr>
        <w:bidi w:val="0"/>
        <w:rPr>
          <w:color w:val="auto"/>
        </w:rPr>
      </w:pPr>
      <w:r>
        <w:rPr>
          <w:color w:val="auto"/>
        </w:rPr>
        <w:t>根据工程施工期及营运期产污情况分析以及评价区域环境质量现状，对工程环境影响因子进行识别，结果见</w:t>
      </w:r>
      <w:r>
        <w:rPr>
          <w:rFonts w:hint="eastAsia"/>
          <w:color w:val="auto"/>
        </w:rPr>
        <w:t>下</w:t>
      </w:r>
      <w:r>
        <w:rPr>
          <w:color w:val="auto"/>
        </w:rPr>
        <w:t>表。</w:t>
      </w:r>
    </w:p>
    <w:p>
      <w:pPr>
        <w:pStyle w:val="181"/>
        <w:bidi w:val="0"/>
        <w:rPr>
          <w:color w:val="auto"/>
        </w:rPr>
      </w:pPr>
      <w:r>
        <w:rPr>
          <w:rFonts w:hint="eastAsia"/>
          <w:color w:val="auto"/>
        </w:rPr>
        <w:t>表2</w:t>
      </w:r>
      <w:r>
        <w:rPr>
          <w:rFonts w:hint="eastAsia"/>
          <w:color w:val="auto"/>
          <w:lang w:val="en-US" w:eastAsia="zh-CN"/>
        </w:rPr>
        <w:t>.3-</w:t>
      </w:r>
      <w:r>
        <w:rPr>
          <w:rFonts w:hint="eastAsia"/>
          <w:color w:val="auto"/>
        </w:rPr>
        <w:t xml:space="preserve">1  </w:t>
      </w:r>
      <w:r>
        <w:rPr>
          <w:rFonts w:hint="eastAsia"/>
          <w:color w:val="auto"/>
          <w:lang w:val="en-US" w:eastAsia="zh-CN"/>
        </w:rPr>
        <w:t xml:space="preserve">          </w:t>
      </w:r>
      <w:r>
        <w:rPr>
          <w:rFonts w:hint="eastAsia"/>
          <w:color w:val="auto"/>
        </w:rPr>
        <w:t>环境影响因子识别表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662"/>
        <w:gridCol w:w="1215"/>
        <w:gridCol w:w="929"/>
        <w:gridCol w:w="840"/>
        <w:gridCol w:w="849"/>
        <w:gridCol w:w="849"/>
        <w:gridCol w:w="1415"/>
        <w:gridCol w:w="989"/>
        <w:gridCol w:w="77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jc w:val="center"/>
        </w:trPr>
        <w:tc>
          <w:tcPr>
            <w:tcW w:w="1102" w:type="pct"/>
            <w:gridSpan w:val="2"/>
            <w:vMerge w:val="restart"/>
            <w:tcBorders>
              <w:tl2br w:val="single" w:color="auto" w:sz="8" w:space="0"/>
            </w:tcBorders>
            <w:vAlign w:val="center"/>
          </w:tcPr>
          <w:p>
            <w:pPr>
              <w:pStyle w:val="182"/>
              <w:bidi w:val="0"/>
              <w:jc w:val="right"/>
              <w:rPr>
                <w:color w:val="auto"/>
              </w:rPr>
            </w:pPr>
            <w:r>
              <w:rPr>
                <w:color w:val="auto"/>
              </w:rPr>
              <w:t>影响因素</w:t>
            </w:r>
          </w:p>
          <w:p>
            <w:pPr>
              <w:pStyle w:val="182"/>
              <w:bidi w:val="0"/>
              <w:jc w:val="left"/>
              <w:rPr>
                <w:color w:val="auto"/>
              </w:rPr>
            </w:pPr>
            <w:r>
              <w:rPr>
                <w:color w:val="auto"/>
              </w:rPr>
              <w:t>类别</w:t>
            </w:r>
          </w:p>
        </w:tc>
        <w:tc>
          <w:tcPr>
            <w:tcW w:w="545" w:type="pct"/>
            <w:vMerge w:val="restart"/>
            <w:vAlign w:val="center"/>
          </w:tcPr>
          <w:p>
            <w:pPr>
              <w:pStyle w:val="182"/>
              <w:bidi w:val="0"/>
              <w:rPr>
                <w:color w:val="auto"/>
              </w:rPr>
            </w:pPr>
            <w:r>
              <w:rPr>
                <w:color w:val="auto"/>
              </w:rPr>
              <w:t>施工期</w:t>
            </w:r>
          </w:p>
        </w:tc>
        <w:tc>
          <w:tcPr>
            <w:tcW w:w="3351" w:type="pct"/>
            <w:gridSpan w:val="6"/>
            <w:vAlign w:val="center"/>
          </w:tcPr>
          <w:p>
            <w:pPr>
              <w:pStyle w:val="182"/>
              <w:bidi w:val="0"/>
              <w:rPr>
                <w:color w:val="auto"/>
              </w:rPr>
            </w:pPr>
            <w:r>
              <w:rPr>
                <w:color w:val="auto"/>
              </w:rPr>
              <w:t>运行期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jc w:val="center"/>
        </w:trPr>
        <w:tc>
          <w:tcPr>
            <w:tcW w:w="1102" w:type="pct"/>
            <w:gridSpan w:val="2"/>
            <w:vMerge w:val="continue"/>
            <w:vAlign w:val="center"/>
          </w:tcPr>
          <w:p>
            <w:pPr>
              <w:pStyle w:val="182"/>
              <w:bidi w:val="0"/>
              <w:rPr>
                <w:color w:val="auto"/>
              </w:rPr>
            </w:pPr>
          </w:p>
        </w:tc>
        <w:tc>
          <w:tcPr>
            <w:tcW w:w="545" w:type="pct"/>
            <w:vMerge w:val="continue"/>
            <w:vAlign w:val="center"/>
          </w:tcPr>
          <w:p>
            <w:pPr>
              <w:pStyle w:val="182"/>
              <w:bidi w:val="0"/>
              <w:rPr>
                <w:color w:val="auto"/>
              </w:rPr>
            </w:pPr>
          </w:p>
        </w:tc>
        <w:tc>
          <w:tcPr>
            <w:tcW w:w="493" w:type="pct"/>
            <w:vAlign w:val="center"/>
          </w:tcPr>
          <w:p>
            <w:pPr>
              <w:pStyle w:val="182"/>
              <w:bidi w:val="0"/>
              <w:rPr>
                <w:color w:val="auto"/>
              </w:rPr>
            </w:pPr>
            <w:r>
              <w:rPr>
                <w:color w:val="auto"/>
              </w:rPr>
              <w:t>废水</w:t>
            </w:r>
          </w:p>
        </w:tc>
        <w:tc>
          <w:tcPr>
            <w:tcW w:w="498" w:type="pct"/>
            <w:vAlign w:val="center"/>
          </w:tcPr>
          <w:p>
            <w:pPr>
              <w:pStyle w:val="182"/>
              <w:bidi w:val="0"/>
              <w:rPr>
                <w:color w:val="auto"/>
              </w:rPr>
            </w:pPr>
            <w:r>
              <w:rPr>
                <w:color w:val="auto"/>
              </w:rPr>
              <w:t>废气</w:t>
            </w:r>
          </w:p>
        </w:tc>
        <w:tc>
          <w:tcPr>
            <w:tcW w:w="498" w:type="pct"/>
            <w:vAlign w:val="center"/>
          </w:tcPr>
          <w:p>
            <w:pPr>
              <w:pStyle w:val="182"/>
              <w:bidi w:val="0"/>
              <w:rPr>
                <w:color w:val="auto"/>
              </w:rPr>
            </w:pPr>
            <w:r>
              <w:rPr>
                <w:color w:val="auto"/>
              </w:rPr>
              <w:t>固废</w:t>
            </w:r>
          </w:p>
        </w:tc>
        <w:tc>
          <w:tcPr>
            <w:tcW w:w="830" w:type="pct"/>
            <w:vAlign w:val="center"/>
          </w:tcPr>
          <w:p>
            <w:pPr>
              <w:pStyle w:val="182"/>
              <w:bidi w:val="0"/>
              <w:rPr>
                <w:color w:val="auto"/>
              </w:rPr>
            </w:pPr>
            <w:r>
              <w:rPr>
                <w:color w:val="auto"/>
              </w:rPr>
              <w:t>噪声及振动</w:t>
            </w:r>
          </w:p>
        </w:tc>
        <w:tc>
          <w:tcPr>
            <w:tcW w:w="580" w:type="pct"/>
            <w:vAlign w:val="center"/>
          </w:tcPr>
          <w:p>
            <w:pPr>
              <w:pStyle w:val="182"/>
              <w:bidi w:val="0"/>
              <w:rPr>
                <w:color w:val="auto"/>
              </w:rPr>
            </w:pPr>
            <w:r>
              <w:rPr>
                <w:color w:val="auto"/>
              </w:rPr>
              <w:t>运输</w:t>
            </w:r>
          </w:p>
        </w:tc>
        <w:tc>
          <w:tcPr>
            <w:tcW w:w="449" w:type="pct"/>
            <w:vAlign w:val="center"/>
          </w:tcPr>
          <w:p>
            <w:pPr>
              <w:pStyle w:val="182"/>
              <w:bidi w:val="0"/>
              <w:rPr>
                <w:color w:val="auto"/>
              </w:rPr>
            </w:pPr>
            <w:r>
              <w:rPr>
                <w:color w:val="auto"/>
              </w:rPr>
              <w:t>效益</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restart"/>
            <w:vAlign w:val="center"/>
          </w:tcPr>
          <w:p>
            <w:pPr>
              <w:pStyle w:val="182"/>
              <w:bidi w:val="0"/>
              <w:rPr>
                <w:color w:val="auto"/>
              </w:rPr>
            </w:pPr>
            <w:r>
              <w:rPr>
                <w:color w:val="auto"/>
              </w:rPr>
              <w:t>自然生态环境</w:t>
            </w:r>
          </w:p>
        </w:tc>
        <w:tc>
          <w:tcPr>
            <w:tcW w:w="713" w:type="pct"/>
            <w:vAlign w:val="center"/>
          </w:tcPr>
          <w:p>
            <w:pPr>
              <w:pStyle w:val="182"/>
              <w:bidi w:val="0"/>
              <w:rPr>
                <w:color w:val="auto"/>
              </w:rPr>
            </w:pPr>
            <w:r>
              <w:rPr>
                <w:color w:val="auto"/>
              </w:rPr>
              <w:t>地表水</w:t>
            </w:r>
          </w:p>
        </w:tc>
        <w:tc>
          <w:tcPr>
            <w:tcW w:w="545" w:type="pct"/>
            <w:vAlign w:val="center"/>
          </w:tcPr>
          <w:p>
            <w:pPr>
              <w:pStyle w:val="182"/>
              <w:bidi w:val="0"/>
              <w:rPr>
                <w:color w:val="auto"/>
              </w:rPr>
            </w:pPr>
          </w:p>
        </w:tc>
        <w:tc>
          <w:tcPr>
            <w:tcW w:w="493" w:type="pct"/>
            <w:vAlign w:val="center"/>
          </w:tcPr>
          <w:p>
            <w:pPr>
              <w:pStyle w:val="182"/>
              <w:bidi w:val="0"/>
              <w:rPr>
                <w:color w:val="auto"/>
              </w:rPr>
            </w:pPr>
            <w:r>
              <w:rPr>
                <w:color w:val="auto"/>
              </w:rPr>
              <w:t>-1LP</w:t>
            </w:r>
          </w:p>
        </w:tc>
        <w:tc>
          <w:tcPr>
            <w:tcW w:w="498" w:type="pct"/>
            <w:vAlign w:val="center"/>
          </w:tcPr>
          <w:p>
            <w:pPr>
              <w:pStyle w:val="182"/>
              <w:bidi w:val="0"/>
              <w:rPr>
                <w:color w:val="auto"/>
              </w:rPr>
            </w:pPr>
          </w:p>
        </w:tc>
        <w:tc>
          <w:tcPr>
            <w:tcW w:w="498" w:type="pct"/>
            <w:vAlign w:val="center"/>
          </w:tcPr>
          <w:p>
            <w:pPr>
              <w:pStyle w:val="182"/>
              <w:bidi w:val="0"/>
              <w:rPr>
                <w:color w:val="auto"/>
              </w:rPr>
            </w:pPr>
          </w:p>
        </w:tc>
        <w:tc>
          <w:tcPr>
            <w:tcW w:w="830" w:type="pct"/>
            <w:vAlign w:val="center"/>
          </w:tcPr>
          <w:p>
            <w:pPr>
              <w:pStyle w:val="182"/>
              <w:bidi w:val="0"/>
              <w:rPr>
                <w:color w:val="auto"/>
              </w:rPr>
            </w:pPr>
          </w:p>
        </w:tc>
        <w:tc>
          <w:tcPr>
            <w:tcW w:w="580" w:type="pct"/>
            <w:vAlign w:val="center"/>
          </w:tcPr>
          <w:p>
            <w:pPr>
              <w:pStyle w:val="182"/>
              <w:bidi w:val="0"/>
              <w:rPr>
                <w:color w:val="auto"/>
              </w:rPr>
            </w:pP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地下水</w:t>
            </w:r>
          </w:p>
        </w:tc>
        <w:tc>
          <w:tcPr>
            <w:tcW w:w="545" w:type="pct"/>
            <w:vAlign w:val="center"/>
          </w:tcPr>
          <w:p>
            <w:pPr>
              <w:pStyle w:val="182"/>
              <w:bidi w:val="0"/>
              <w:rPr>
                <w:color w:val="auto"/>
              </w:rPr>
            </w:pPr>
          </w:p>
        </w:tc>
        <w:tc>
          <w:tcPr>
            <w:tcW w:w="493" w:type="pct"/>
            <w:vAlign w:val="center"/>
          </w:tcPr>
          <w:p>
            <w:pPr>
              <w:pStyle w:val="182"/>
              <w:bidi w:val="0"/>
              <w:rPr>
                <w:color w:val="auto"/>
              </w:rPr>
            </w:pPr>
            <w:r>
              <w:rPr>
                <w:color w:val="auto"/>
              </w:rPr>
              <w:t>-1LP</w:t>
            </w:r>
          </w:p>
        </w:tc>
        <w:tc>
          <w:tcPr>
            <w:tcW w:w="498" w:type="pct"/>
            <w:vAlign w:val="center"/>
          </w:tcPr>
          <w:p>
            <w:pPr>
              <w:pStyle w:val="182"/>
              <w:bidi w:val="0"/>
              <w:rPr>
                <w:color w:val="auto"/>
              </w:rPr>
            </w:pPr>
          </w:p>
        </w:tc>
        <w:tc>
          <w:tcPr>
            <w:tcW w:w="498" w:type="pct"/>
            <w:vAlign w:val="center"/>
          </w:tcPr>
          <w:p>
            <w:pPr>
              <w:pStyle w:val="182"/>
              <w:bidi w:val="0"/>
              <w:rPr>
                <w:color w:val="auto"/>
              </w:rPr>
            </w:pPr>
          </w:p>
        </w:tc>
        <w:tc>
          <w:tcPr>
            <w:tcW w:w="830" w:type="pct"/>
            <w:vAlign w:val="center"/>
          </w:tcPr>
          <w:p>
            <w:pPr>
              <w:pStyle w:val="182"/>
              <w:bidi w:val="0"/>
              <w:rPr>
                <w:color w:val="auto"/>
              </w:rPr>
            </w:pPr>
          </w:p>
        </w:tc>
        <w:tc>
          <w:tcPr>
            <w:tcW w:w="580" w:type="pct"/>
            <w:vAlign w:val="center"/>
          </w:tcPr>
          <w:p>
            <w:pPr>
              <w:pStyle w:val="182"/>
              <w:bidi w:val="0"/>
              <w:rPr>
                <w:color w:val="auto"/>
              </w:rPr>
            </w:pP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大气环境</w:t>
            </w:r>
          </w:p>
        </w:tc>
        <w:tc>
          <w:tcPr>
            <w:tcW w:w="545" w:type="pct"/>
            <w:vAlign w:val="center"/>
          </w:tcPr>
          <w:p>
            <w:pPr>
              <w:pStyle w:val="182"/>
              <w:bidi w:val="0"/>
              <w:rPr>
                <w:color w:val="auto"/>
              </w:rPr>
            </w:pPr>
            <w:r>
              <w:rPr>
                <w:color w:val="auto"/>
              </w:rPr>
              <w:t>-1SP</w:t>
            </w:r>
          </w:p>
        </w:tc>
        <w:tc>
          <w:tcPr>
            <w:tcW w:w="493" w:type="pct"/>
            <w:vAlign w:val="center"/>
          </w:tcPr>
          <w:p>
            <w:pPr>
              <w:pStyle w:val="182"/>
              <w:bidi w:val="0"/>
              <w:rPr>
                <w:color w:val="auto"/>
              </w:rPr>
            </w:pPr>
          </w:p>
        </w:tc>
        <w:tc>
          <w:tcPr>
            <w:tcW w:w="498" w:type="pct"/>
            <w:vAlign w:val="center"/>
          </w:tcPr>
          <w:p>
            <w:pPr>
              <w:pStyle w:val="182"/>
              <w:bidi w:val="0"/>
              <w:rPr>
                <w:color w:val="auto"/>
              </w:rPr>
            </w:pPr>
            <w:r>
              <w:rPr>
                <w:color w:val="auto"/>
              </w:rPr>
              <w:t>-1LP</w:t>
            </w:r>
          </w:p>
        </w:tc>
        <w:tc>
          <w:tcPr>
            <w:tcW w:w="498" w:type="pct"/>
            <w:vAlign w:val="center"/>
          </w:tcPr>
          <w:p>
            <w:pPr>
              <w:pStyle w:val="182"/>
              <w:bidi w:val="0"/>
              <w:rPr>
                <w:color w:val="auto"/>
              </w:rPr>
            </w:pPr>
          </w:p>
        </w:tc>
        <w:tc>
          <w:tcPr>
            <w:tcW w:w="830" w:type="pct"/>
            <w:vAlign w:val="center"/>
          </w:tcPr>
          <w:p>
            <w:pPr>
              <w:pStyle w:val="182"/>
              <w:bidi w:val="0"/>
              <w:rPr>
                <w:color w:val="auto"/>
              </w:rPr>
            </w:pPr>
          </w:p>
        </w:tc>
        <w:tc>
          <w:tcPr>
            <w:tcW w:w="580" w:type="pct"/>
            <w:vAlign w:val="center"/>
          </w:tcPr>
          <w:p>
            <w:pPr>
              <w:pStyle w:val="182"/>
              <w:bidi w:val="0"/>
              <w:rPr>
                <w:color w:val="auto"/>
              </w:rPr>
            </w:pPr>
            <w:r>
              <w:rPr>
                <w:color w:val="auto"/>
              </w:rPr>
              <w:t>-1LP</w:t>
            </w: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声环境</w:t>
            </w:r>
          </w:p>
        </w:tc>
        <w:tc>
          <w:tcPr>
            <w:tcW w:w="545" w:type="pct"/>
            <w:vAlign w:val="center"/>
          </w:tcPr>
          <w:p>
            <w:pPr>
              <w:pStyle w:val="182"/>
              <w:bidi w:val="0"/>
              <w:rPr>
                <w:color w:val="auto"/>
              </w:rPr>
            </w:pPr>
            <w:r>
              <w:rPr>
                <w:color w:val="auto"/>
              </w:rPr>
              <w:t>-1SP</w:t>
            </w:r>
          </w:p>
        </w:tc>
        <w:tc>
          <w:tcPr>
            <w:tcW w:w="493" w:type="pct"/>
            <w:vAlign w:val="center"/>
          </w:tcPr>
          <w:p>
            <w:pPr>
              <w:pStyle w:val="182"/>
              <w:bidi w:val="0"/>
              <w:rPr>
                <w:color w:val="auto"/>
              </w:rPr>
            </w:pPr>
          </w:p>
        </w:tc>
        <w:tc>
          <w:tcPr>
            <w:tcW w:w="498" w:type="pct"/>
            <w:vAlign w:val="center"/>
          </w:tcPr>
          <w:p>
            <w:pPr>
              <w:pStyle w:val="182"/>
              <w:bidi w:val="0"/>
              <w:rPr>
                <w:color w:val="auto"/>
              </w:rPr>
            </w:pPr>
          </w:p>
        </w:tc>
        <w:tc>
          <w:tcPr>
            <w:tcW w:w="498" w:type="pct"/>
            <w:vAlign w:val="center"/>
          </w:tcPr>
          <w:p>
            <w:pPr>
              <w:pStyle w:val="182"/>
              <w:bidi w:val="0"/>
              <w:rPr>
                <w:color w:val="auto"/>
              </w:rPr>
            </w:pPr>
          </w:p>
        </w:tc>
        <w:tc>
          <w:tcPr>
            <w:tcW w:w="830" w:type="pct"/>
            <w:vAlign w:val="center"/>
          </w:tcPr>
          <w:p>
            <w:pPr>
              <w:pStyle w:val="182"/>
              <w:bidi w:val="0"/>
              <w:rPr>
                <w:color w:val="auto"/>
              </w:rPr>
            </w:pPr>
            <w:r>
              <w:rPr>
                <w:color w:val="auto"/>
              </w:rPr>
              <w:t>-1LP</w:t>
            </w:r>
          </w:p>
        </w:tc>
        <w:tc>
          <w:tcPr>
            <w:tcW w:w="580" w:type="pct"/>
            <w:vAlign w:val="center"/>
          </w:tcPr>
          <w:p>
            <w:pPr>
              <w:pStyle w:val="182"/>
              <w:bidi w:val="0"/>
              <w:rPr>
                <w:color w:val="auto"/>
              </w:rPr>
            </w:pPr>
            <w:r>
              <w:rPr>
                <w:color w:val="auto"/>
              </w:rPr>
              <w:t>-1LP</w:t>
            </w: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地表</w:t>
            </w:r>
          </w:p>
        </w:tc>
        <w:tc>
          <w:tcPr>
            <w:tcW w:w="545" w:type="pct"/>
            <w:vAlign w:val="center"/>
          </w:tcPr>
          <w:p>
            <w:pPr>
              <w:pStyle w:val="182"/>
              <w:bidi w:val="0"/>
              <w:rPr>
                <w:color w:val="auto"/>
              </w:rPr>
            </w:pPr>
            <w:r>
              <w:rPr>
                <w:color w:val="auto"/>
              </w:rPr>
              <w:t>-1SP</w:t>
            </w:r>
          </w:p>
        </w:tc>
        <w:tc>
          <w:tcPr>
            <w:tcW w:w="493" w:type="pct"/>
            <w:vAlign w:val="center"/>
          </w:tcPr>
          <w:p>
            <w:pPr>
              <w:pStyle w:val="182"/>
              <w:bidi w:val="0"/>
              <w:rPr>
                <w:color w:val="auto"/>
              </w:rPr>
            </w:pPr>
          </w:p>
        </w:tc>
        <w:tc>
          <w:tcPr>
            <w:tcW w:w="498" w:type="pct"/>
            <w:vAlign w:val="center"/>
          </w:tcPr>
          <w:p>
            <w:pPr>
              <w:pStyle w:val="182"/>
              <w:bidi w:val="0"/>
              <w:rPr>
                <w:color w:val="auto"/>
              </w:rPr>
            </w:pPr>
          </w:p>
        </w:tc>
        <w:tc>
          <w:tcPr>
            <w:tcW w:w="498" w:type="pct"/>
            <w:vAlign w:val="center"/>
          </w:tcPr>
          <w:p>
            <w:pPr>
              <w:pStyle w:val="182"/>
              <w:bidi w:val="0"/>
              <w:rPr>
                <w:color w:val="auto"/>
              </w:rPr>
            </w:pPr>
            <w:r>
              <w:rPr>
                <w:color w:val="auto"/>
              </w:rPr>
              <w:t>-1LP</w:t>
            </w:r>
          </w:p>
        </w:tc>
        <w:tc>
          <w:tcPr>
            <w:tcW w:w="830" w:type="pct"/>
            <w:vAlign w:val="center"/>
          </w:tcPr>
          <w:p>
            <w:pPr>
              <w:pStyle w:val="182"/>
              <w:bidi w:val="0"/>
              <w:rPr>
                <w:color w:val="auto"/>
              </w:rPr>
            </w:pPr>
          </w:p>
        </w:tc>
        <w:tc>
          <w:tcPr>
            <w:tcW w:w="580" w:type="pct"/>
            <w:vAlign w:val="center"/>
          </w:tcPr>
          <w:p>
            <w:pPr>
              <w:pStyle w:val="182"/>
              <w:bidi w:val="0"/>
              <w:rPr>
                <w:color w:val="auto"/>
              </w:rPr>
            </w:pP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土壤</w:t>
            </w:r>
          </w:p>
        </w:tc>
        <w:tc>
          <w:tcPr>
            <w:tcW w:w="545" w:type="pct"/>
            <w:vAlign w:val="center"/>
          </w:tcPr>
          <w:p>
            <w:pPr>
              <w:pStyle w:val="182"/>
              <w:bidi w:val="0"/>
              <w:rPr>
                <w:color w:val="auto"/>
              </w:rPr>
            </w:pPr>
            <w:r>
              <w:rPr>
                <w:color w:val="auto"/>
              </w:rPr>
              <w:t>-1SP</w:t>
            </w:r>
          </w:p>
        </w:tc>
        <w:tc>
          <w:tcPr>
            <w:tcW w:w="493" w:type="pct"/>
            <w:vAlign w:val="center"/>
          </w:tcPr>
          <w:p>
            <w:pPr>
              <w:pStyle w:val="182"/>
              <w:bidi w:val="0"/>
              <w:rPr>
                <w:color w:val="auto"/>
              </w:rPr>
            </w:pPr>
            <w:r>
              <w:rPr>
                <w:color w:val="auto"/>
              </w:rPr>
              <w:t>-1LP</w:t>
            </w:r>
          </w:p>
        </w:tc>
        <w:tc>
          <w:tcPr>
            <w:tcW w:w="498" w:type="pct"/>
            <w:vAlign w:val="center"/>
          </w:tcPr>
          <w:p>
            <w:pPr>
              <w:pStyle w:val="182"/>
              <w:bidi w:val="0"/>
              <w:rPr>
                <w:color w:val="auto"/>
              </w:rPr>
            </w:pPr>
          </w:p>
        </w:tc>
        <w:tc>
          <w:tcPr>
            <w:tcW w:w="498" w:type="pct"/>
            <w:vAlign w:val="center"/>
          </w:tcPr>
          <w:p>
            <w:pPr>
              <w:pStyle w:val="182"/>
              <w:bidi w:val="0"/>
              <w:rPr>
                <w:color w:val="auto"/>
              </w:rPr>
            </w:pPr>
            <w:r>
              <w:rPr>
                <w:color w:val="auto"/>
              </w:rPr>
              <w:t>-1LP</w:t>
            </w:r>
          </w:p>
        </w:tc>
        <w:tc>
          <w:tcPr>
            <w:tcW w:w="830" w:type="pct"/>
            <w:vAlign w:val="center"/>
          </w:tcPr>
          <w:p>
            <w:pPr>
              <w:pStyle w:val="182"/>
              <w:bidi w:val="0"/>
              <w:rPr>
                <w:color w:val="auto"/>
              </w:rPr>
            </w:pPr>
          </w:p>
        </w:tc>
        <w:tc>
          <w:tcPr>
            <w:tcW w:w="580" w:type="pct"/>
            <w:vAlign w:val="center"/>
          </w:tcPr>
          <w:p>
            <w:pPr>
              <w:pStyle w:val="182"/>
              <w:bidi w:val="0"/>
              <w:rPr>
                <w:color w:val="auto"/>
              </w:rPr>
            </w:pP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植被</w:t>
            </w:r>
          </w:p>
        </w:tc>
        <w:tc>
          <w:tcPr>
            <w:tcW w:w="545" w:type="pct"/>
            <w:vAlign w:val="center"/>
          </w:tcPr>
          <w:p>
            <w:pPr>
              <w:pStyle w:val="182"/>
              <w:bidi w:val="0"/>
              <w:rPr>
                <w:color w:val="auto"/>
              </w:rPr>
            </w:pPr>
          </w:p>
        </w:tc>
        <w:tc>
          <w:tcPr>
            <w:tcW w:w="493" w:type="pct"/>
            <w:vAlign w:val="center"/>
          </w:tcPr>
          <w:p>
            <w:pPr>
              <w:pStyle w:val="182"/>
              <w:bidi w:val="0"/>
              <w:rPr>
                <w:color w:val="auto"/>
              </w:rPr>
            </w:pPr>
          </w:p>
        </w:tc>
        <w:tc>
          <w:tcPr>
            <w:tcW w:w="498" w:type="pct"/>
            <w:vAlign w:val="center"/>
          </w:tcPr>
          <w:p>
            <w:pPr>
              <w:pStyle w:val="182"/>
              <w:bidi w:val="0"/>
              <w:rPr>
                <w:color w:val="auto"/>
              </w:rPr>
            </w:pPr>
            <w:r>
              <w:rPr>
                <w:color w:val="auto"/>
              </w:rPr>
              <w:t>-1LP</w:t>
            </w:r>
          </w:p>
        </w:tc>
        <w:tc>
          <w:tcPr>
            <w:tcW w:w="498" w:type="pct"/>
            <w:vAlign w:val="center"/>
          </w:tcPr>
          <w:p>
            <w:pPr>
              <w:pStyle w:val="182"/>
              <w:bidi w:val="0"/>
              <w:rPr>
                <w:color w:val="auto"/>
              </w:rPr>
            </w:pPr>
          </w:p>
        </w:tc>
        <w:tc>
          <w:tcPr>
            <w:tcW w:w="830" w:type="pct"/>
            <w:vAlign w:val="center"/>
          </w:tcPr>
          <w:p>
            <w:pPr>
              <w:pStyle w:val="182"/>
              <w:bidi w:val="0"/>
              <w:rPr>
                <w:color w:val="auto"/>
              </w:rPr>
            </w:pPr>
          </w:p>
        </w:tc>
        <w:tc>
          <w:tcPr>
            <w:tcW w:w="580" w:type="pct"/>
            <w:vAlign w:val="center"/>
          </w:tcPr>
          <w:p>
            <w:pPr>
              <w:pStyle w:val="182"/>
              <w:bidi w:val="0"/>
              <w:rPr>
                <w:color w:val="auto"/>
              </w:rPr>
            </w:pP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restart"/>
            <w:vAlign w:val="center"/>
          </w:tcPr>
          <w:p>
            <w:pPr>
              <w:pStyle w:val="182"/>
              <w:bidi w:val="0"/>
              <w:rPr>
                <w:color w:val="auto"/>
              </w:rPr>
            </w:pPr>
            <w:r>
              <w:rPr>
                <w:color w:val="auto"/>
              </w:rPr>
              <w:t>社会经济环境</w:t>
            </w:r>
          </w:p>
        </w:tc>
        <w:tc>
          <w:tcPr>
            <w:tcW w:w="713" w:type="pct"/>
            <w:vAlign w:val="center"/>
          </w:tcPr>
          <w:p>
            <w:pPr>
              <w:pStyle w:val="182"/>
              <w:bidi w:val="0"/>
              <w:rPr>
                <w:color w:val="auto"/>
              </w:rPr>
            </w:pPr>
            <w:r>
              <w:rPr>
                <w:color w:val="auto"/>
              </w:rPr>
              <w:t>工业</w:t>
            </w:r>
          </w:p>
        </w:tc>
        <w:tc>
          <w:tcPr>
            <w:tcW w:w="545" w:type="pct"/>
            <w:vAlign w:val="center"/>
          </w:tcPr>
          <w:p>
            <w:pPr>
              <w:pStyle w:val="182"/>
              <w:bidi w:val="0"/>
              <w:rPr>
                <w:color w:val="auto"/>
              </w:rPr>
            </w:pPr>
            <w:r>
              <w:rPr>
                <w:color w:val="auto"/>
              </w:rPr>
              <w:t>-1SP</w:t>
            </w:r>
          </w:p>
        </w:tc>
        <w:tc>
          <w:tcPr>
            <w:tcW w:w="493" w:type="pct"/>
            <w:vAlign w:val="center"/>
          </w:tcPr>
          <w:p>
            <w:pPr>
              <w:pStyle w:val="182"/>
              <w:bidi w:val="0"/>
              <w:rPr>
                <w:color w:val="auto"/>
              </w:rPr>
            </w:pPr>
          </w:p>
        </w:tc>
        <w:tc>
          <w:tcPr>
            <w:tcW w:w="498" w:type="pct"/>
            <w:vAlign w:val="center"/>
          </w:tcPr>
          <w:p>
            <w:pPr>
              <w:pStyle w:val="182"/>
              <w:bidi w:val="0"/>
              <w:rPr>
                <w:color w:val="auto"/>
              </w:rPr>
            </w:pPr>
          </w:p>
        </w:tc>
        <w:tc>
          <w:tcPr>
            <w:tcW w:w="498" w:type="pct"/>
            <w:vAlign w:val="center"/>
          </w:tcPr>
          <w:p>
            <w:pPr>
              <w:pStyle w:val="182"/>
              <w:bidi w:val="0"/>
              <w:rPr>
                <w:color w:val="auto"/>
              </w:rPr>
            </w:pPr>
          </w:p>
        </w:tc>
        <w:tc>
          <w:tcPr>
            <w:tcW w:w="830" w:type="pct"/>
            <w:vAlign w:val="center"/>
          </w:tcPr>
          <w:p>
            <w:pPr>
              <w:pStyle w:val="182"/>
              <w:bidi w:val="0"/>
              <w:rPr>
                <w:color w:val="auto"/>
              </w:rPr>
            </w:pPr>
          </w:p>
        </w:tc>
        <w:tc>
          <w:tcPr>
            <w:tcW w:w="580" w:type="pct"/>
            <w:vAlign w:val="center"/>
          </w:tcPr>
          <w:p>
            <w:pPr>
              <w:pStyle w:val="182"/>
              <w:bidi w:val="0"/>
              <w:rPr>
                <w:color w:val="auto"/>
              </w:rPr>
            </w:pPr>
          </w:p>
        </w:tc>
        <w:tc>
          <w:tcPr>
            <w:tcW w:w="449" w:type="pct"/>
            <w:vAlign w:val="center"/>
          </w:tcPr>
          <w:p>
            <w:pPr>
              <w:pStyle w:val="182"/>
              <w:bidi w:val="0"/>
              <w:rPr>
                <w:color w:val="auto"/>
              </w:rPr>
            </w:pPr>
            <w:r>
              <w:rPr>
                <w:color w:val="auto"/>
              </w:rPr>
              <w:t>+2LP</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农业</w:t>
            </w:r>
          </w:p>
        </w:tc>
        <w:tc>
          <w:tcPr>
            <w:tcW w:w="545" w:type="pct"/>
            <w:vAlign w:val="center"/>
          </w:tcPr>
          <w:p>
            <w:pPr>
              <w:pStyle w:val="182"/>
              <w:bidi w:val="0"/>
              <w:rPr>
                <w:color w:val="auto"/>
              </w:rPr>
            </w:pPr>
            <w:r>
              <w:rPr>
                <w:color w:val="auto"/>
              </w:rPr>
              <w:t>-1SP</w:t>
            </w:r>
          </w:p>
        </w:tc>
        <w:tc>
          <w:tcPr>
            <w:tcW w:w="493" w:type="pct"/>
            <w:vAlign w:val="center"/>
          </w:tcPr>
          <w:p>
            <w:pPr>
              <w:pStyle w:val="182"/>
              <w:bidi w:val="0"/>
              <w:rPr>
                <w:color w:val="auto"/>
              </w:rPr>
            </w:pPr>
          </w:p>
        </w:tc>
        <w:tc>
          <w:tcPr>
            <w:tcW w:w="498" w:type="pct"/>
            <w:vAlign w:val="center"/>
          </w:tcPr>
          <w:p>
            <w:pPr>
              <w:pStyle w:val="182"/>
              <w:bidi w:val="0"/>
              <w:rPr>
                <w:color w:val="auto"/>
              </w:rPr>
            </w:pPr>
            <w:r>
              <w:rPr>
                <w:color w:val="auto"/>
              </w:rPr>
              <w:t>-1LP</w:t>
            </w:r>
          </w:p>
        </w:tc>
        <w:tc>
          <w:tcPr>
            <w:tcW w:w="498" w:type="pct"/>
            <w:vAlign w:val="center"/>
          </w:tcPr>
          <w:p>
            <w:pPr>
              <w:pStyle w:val="182"/>
              <w:bidi w:val="0"/>
              <w:rPr>
                <w:color w:val="auto"/>
              </w:rPr>
            </w:pPr>
          </w:p>
        </w:tc>
        <w:tc>
          <w:tcPr>
            <w:tcW w:w="830" w:type="pct"/>
            <w:vAlign w:val="center"/>
          </w:tcPr>
          <w:p>
            <w:pPr>
              <w:pStyle w:val="182"/>
              <w:bidi w:val="0"/>
              <w:rPr>
                <w:color w:val="auto"/>
              </w:rPr>
            </w:pPr>
          </w:p>
        </w:tc>
        <w:tc>
          <w:tcPr>
            <w:tcW w:w="580" w:type="pct"/>
            <w:vAlign w:val="center"/>
          </w:tcPr>
          <w:p>
            <w:pPr>
              <w:pStyle w:val="182"/>
              <w:bidi w:val="0"/>
              <w:rPr>
                <w:color w:val="auto"/>
              </w:rPr>
            </w:pP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交通</w:t>
            </w:r>
          </w:p>
        </w:tc>
        <w:tc>
          <w:tcPr>
            <w:tcW w:w="545" w:type="pct"/>
            <w:vAlign w:val="center"/>
          </w:tcPr>
          <w:p>
            <w:pPr>
              <w:pStyle w:val="182"/>
              <w:bidi w:val="0"/>
              <w:rPr>
                <w:color w:val="auto"/>
              </w:rPr>
            </w:pPr>
            <w:r>
              <w:rPr>
                <w:color w:val="auto"/>
              </w:rPr>
              <w:t>-1SP</w:t>
            </w:r>
          </w:p>
        </w:tc>
        <w:tc>
          <w:tcPr>
            <w:tcW w:w="493" w:type="pct"/>
            <w:vAlign w:val="center"/>
          </w:tcPr>
          <w:p>
            <w:pPr>
              <w:pStyle w:val="182"/>
              <w:bidi w:val="0"/>
              <w:rPr>
                <w:color w:val="auto"/>
              </w:rPr>
            </w:pPr>
          </w:p>
        </w:tc>
        <w:tc>
          <w:tcPr>
            <w:tcW w:w="498" w:type="pct"/>
            <w:vAlign w:val="center"/>
          </w:tcPr>
          <w:p>
            <w:pPr>
              <w:pStyle w:val="182"/>
              <w:bidi w:val="0"/>
              <w:rPr>
                <w:color w:val="auto"/>
              </w:rPr>
            </w:pPr>
          </w:p>
        </w:tc>
        <w:tc>
          <w:tcPr>
            <w:tcW w:w="498" w:type="pct"/>
            <w:vAlign w:val="center"/>
          </w:tcPr>
          <w:p>
            <w:pPr>
              <w:pStyle w:val="182"/>
              <w:bidi w:val="0"/>
              <w:rPr>
                <w:color w:val="auto"/>
              </w:rPr>
            </w:pPr>
          </w:p>
        </w:tc>
        <w:tc>
          <w:tcPr>
            <w:tcW w:w="830" w:type="pct"/>
            <w:vAlign w:val="center"/>
          </w:tcPr>
          <w:p>
            <w:pPr>
              <w:pStyle w:val="182"/>
              <w:bidi w:val="0"/>
              <w:rPr>
                <w:color w:val="auto"/>
              </w:rPr>
            </w:pPr>
          </w:p>
        </w:tc>
        <w:tc>
          <w:tcPr>
            <w:tcW w:w="580" w:type="pct"/>
            <w:vAlign w:val="center"/>
          </w:tcPr>
          <w:p>
            <w:pPr>
              <w:pStyle w:val="182"/>
              <w:bidi w:val="0"/>
              <w:rPr>
                <w:color w:val="auto"/>
              </w:rPr>
            </w:pPr>
            <w:r>
              <w:rPr>
                <w:color w:val="auto"/>
              </w:rPr>
              <w:t>-1LP</w:t>
            </w: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公众健康</w:t>
            </w:r>
          </w:p>
        </w:tc>
        <w:tc>
          <w:tcPr>
            <w:tcW w:w="545" w:type="pct"/>
            <w:vAlign w:val="center"/>
          </w:tcPr>
          <w:p>
            <w:pPr>
              <w:pStyle w:val="182"/>
              <w:bidi w:val="0"/>
              <w:rPr>
                <w:color w:val="auto"/>
              </w:rPr>
            </w:pPr>
            <w:r>
              <w:rPr>
                <w:color w:val="auto"/>
              </w:rPr>
              <w:t>-1SP</w:t>
            </w:r>
          </w:p>
        </w:tc>
        <w:tc>
          <w:tcPr>
            <w:tcW w:w="493" w:type="pct"/>
            <w:vAlign w:val="center"/>
          </w:tcPr>
          <w:p>
            <w:pPr>
              <w:pStyle w:val="182"/>
              <w:bidi w:val="0"/>
              <w:rPr>
                <w:color w:val="auto"/>
              </w:rPr>
            </w:pPr>
          </w:p>
        </w:tc>
        <w:tc>
          <w:tcPr>
            <w:tcW w:w="498" w:type="pct"/>
            <w:vAlign w:val="center"/>
          </w:tcPr>
          <w:p>
            <w:pPr>
              <w:pStyle w:val="182"/>
              <w:bidi w:val="0"/>
              <w:rPr>
                <w:color w:val="auto"/>
              </w:rPr>
            </w:pPr>
            <w:r>
              <w:rPr>
                <w:color w:val="auto"/>
              </w:rPr>
              <w:t>-1LP</w:t>
            </w:r>
          </w:p>
        </w:tc>
        <w:tc>
          <w:tcPr>
            <w:tcW w:w="498" w:type="pct"/>
            <w:vAlign w:val="center"/>
          </w:tcPr>
          <w:p>
            <w:pPr>
              <w:pStyle w:val="182"/>
              <w:bidi w:val="0"/>
              <w:rPr>
                <w:color w:val="auto"/>
              </w:rPr>
            </w:pPr>
          </w:p>
        </w:tc>
        <w:tc>
          <w:tcPr>
            <w:tcW w:w="830" w:type="pct"/>
            <w:vAlign w:val="center"/>
          </w:tcPr>
          <w:p>
            <w:pPr>
              <w:pStyle w:val="182"/>
              <w:bidi w:val="0"/>
              <w:rPr>
                <w:color w:val="auto"/>
              </w:rPr>
            </w:pPr>
            <w:r>
              <w:rPr>
                <w:color w:val="auto"/>
              </w:rPr>
              <w:t>-1LP</w:t>
            </w:r>
          </w:p>
        </w:tc>
        <w:tc>
          <w:tcPr>
            <w:tcW w:w="580" w:type="pct"/>
            <w:vAlign w:val="center"/>
          </w:tcPr>
          <w:p>
            <w:pPr>
              <w:pStyle w:val="182"/>
              <w:bidi w:val="0"/>
              <w:rPr>
                <w:color w:val="auto"/>
              </w:rPr>
            </w:pP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生活质量</w:t>
            </w:r>
          </w:p>
        </w:tc>
        <w:tc>
          <w:tcPr>
            <w:tcW w:w="545" w:type="pct"/>
            <w:vAlign w:val="center"/>
          </w:tcPr>
          <w:p>
            <w:pPr>
              <w:pStyle w:val="182"/>
              <w:bidi w:val="0"/>
              <w:rPr>
                <w:color w:val="auto"/>
              </w:rPr>
            </w:pPr>
          </w:p>
        </w:tc>
        <w:tc>
          <w:tcPr>
            <w:tcW w:w="493" w:type="pct"/>
            <w:vAlign w:val="center"/>
          </w:tcPr>
          <w:p>
            <w:pPr>
              <w:pStyle w:val="182"/>
              <w:bidi w:val="0"/>
              <w:rPr>
                <w:color w:val="auto"/>
              </w:rPr>
            </w:pPr>
          </w:p>
        </w:tc>
        <w:tc>
          <w:tcPr>
            <w:tcW w:w="498" w:type="pct"/>
            <w:vAlign w:val="center"/>
          </w:tcPr>
          <w:p>
            <w:pPr>
              <w:pStyle w:val="182"/>
              <w:bidi w:val="0"/>
              <w:rPr>
                <w:color w:val="auto"/>
              </w:rPr>
            </w:pPr>
            <w:r>
              <w:rPr>
                <w:color w:val="auto"/>
              </w:rPr>
              <w:t>-1LP</w:t>
            </w:r>
          </w:p>
        </w:tc>
        <w:tc>
          <w:tcPr>
            <w:tcW w:w="498" w:type="pct"/>
            <w:vAlign w:val="center"/>
          </w:tcPr>
          <w:p>
            <w:pPr>
              <w:pStyle w:val="182"/>
              <w:bidi w:val="0"/>
              <w:rPr>
                <w:color w:val="auto"/>
              </w:rPr>
            </w:pPr>
          </w:p>
        </w:tc>
        <w:tc>
          <w:tcPr>
            <w:tcW w:w="830" w:type="pct"/>
            <w:vAlign w:val="center"/>
          </w:tcPr>
          <w:p>
            <w:pPr>
              <w:pStyle w:val="182"/>
              <w:bidi w:val="0"/>
              <w:rPr>
                <w:color w:val="auto"/>
              </w:rPr>
            </w:pPr>
            <w:r>
              <w:rPr>
                <w:color w:val="auto"/>
              </w:rPr>
              <w:t>-1LP</w:t>
            </w:r>
          </w:p>
        </w:tc>
        <w:tc>
          <w:tcPr>
            <w:tcW w:w="580" w:type="pct"/>
            <w:vAlign w:val="center"/>
          </w:tcPr>
          <w:p>
            <w:pPr>
              <w:pStyle w:val="182"/>
              <w:bidi w:val="0"/>
              <w:rPr>
                <w:color w:val="auto"/>
              </w:rPr>
            </w:pPr>
          </w:p>
        </w:tc>
        <w:tc>
          <w:tcPr>
            <w:tcW w:w="449"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9" w:type="pct"/>
            <w:vMerge w:val="continue"/>
            <w:vAlign w:val="center"/>
          </w:tcPr>
          <w:p>
            <w:pPr>
              <w:pStyle w:val="182"/>
              <w:bidi w:val="0"/>
              <w:rPr>
                <w:color w:val="auto"/>
              </w:rPr>
            </w:pPr>
          </w:p>
        </w:tc>
        <w:tc>
          <w:tcPr>
            <w:tcW w:w="713" w:type="pct"/>
            <w:vAlign w:val="center"/>
          </w:tcPr>
          <w:p>
            <w:pPr>
              <w:pStyle w:val="182"/>
              <w:bidi w:val="0"/>
              <w:rPr>
                <w:color w:val="auto"/>
              </w:rPr>
            </w:pPr>
            <w:r>
              <w:rPr>
                <w:color w:val="auto"/>
              </w:rPr>
              <w:t>就业</w:t>
            </w:r>
          </w:p>
        </w:tc>
        <w:tc>
          <w:tcPr>
            <w:tcW w:w="545" w:type="pct"/>
            <w:vAlign w:val="center"/>
          </w:tcPr>
          <w:p>
            <w:pPr>
              <w:pStyle w:val="182"/>
              <w:bidi w:val="0"/>
              <w:rPr>
                <w:color w:val="auto"/>
              </w:rPr>
            </w:pPr>
          </w:p>
        </w:tc>
        <w:tc>
          <w:tcPr>
            <w:tcW w:w="493" w:type="pct"/>
            <w:vAlign w:val="center"/>
          </w:tcPr>
          <w:p>
            <w:pPr>
              <w:pStyle w:val="182"/>
              <w:bidi w:val="0"/>
              <w:rPr>
                <w:color w:val="auto"/>
              </w:rPr>
            </w:pPr>
          </w:p>
        </w:tc>
        <w:tc>
          <w:tcPr>
            <w:tcW w:w="498" w:type="pct"/>
            <w:vAlign w:val="center"/>
          </w:tcPr>
          <w:p>
            <w:pPr>
              <w:pStyle w:val="182"/>
              <w:bidi w:val="0"/>
              <w:rPr>
                <w:color w:val="auto"/>
              </w:rPr>
            </w:pPr>
          </w:p>
        </w:tc>
        <w:tc>
          <w:tcPr>
            <w:tcW w:w="498" w:type="pct"/>
            <w:vAlign w:val="center"/>
          </w:tcPr>
          <w:p>
            <w:pPr>
              <w:pStyle w:val="182"/>
              <w:bidi w:val="0"/>
              <w:rPr>
                <w:color w:val="auto"/>
              </w:rPr>
            </w:pPr>
          </w:p>
        </w:tc>
        <w:tc>
          <w:tcPr>
            <w:tcW w:w="830" w:type="pct"/>
            <w:vAlign w:val="center"/>
          </w:tcPr>
          <w:p>
            <w:pPr>
              <w:pStyle w:val="182"/>
              <w:bidi w:val="0"/>
              <w:rPr>
                <w:color w:val="auto"/>
              </w:rPr>
            </w:pPr>
          </w:p>
        </w:tc>
        <w:tc>
          <w:tcPr>
            <w:tcW w:w="580" w:type="pct"/>
            <w:vAlign w:val="center"/>
          </w:tcPr>
          <w:p>
            <w:pPr>
              <w:pStyle w:val="182"/>
              <w:bidi w:val="0"/>
              <w:rPr>
                <w:color w:val="auto"/>
              </w:rPr>
            </w:pPr>
          </w:p>
        </w:tc>
        <w:tc>
          <w:tcPr>
            <w:tcW w:w="449" w:type="pct"/>
            <w:vAlign w:val="center"/>
          </w:tcPr>
          <w:p>
            <w:pPr>
              <w:pStyle w:val="182"/>
              <w:bidi w:val="0"/>
              <w:rPr>
                <w:color w:val="auto"/>
              </w:rPr>
            </w:pPr>
            <w:r>
              <w:rPr>
                <w:color w:val="auto"/>
              </w:rPr>
              <w:t>+2LP</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5000" w:type="pct"/>
            <w:gridSpan w:val="9"/>
            <w:vAlign w:val="center"/>
          </w:tcPr>
          <w:p>
            <w:pPr>
              <w:pStyle w:val="182"/>
              <w:bidi w:val="0"/>
              <w:rPr>
                <w:color w:val="auto"/>
              </w:rPr>
            </w:pPr>
            <w:r>
              <w:rPr>
                <w:color w:val="auto"/>
              </w:rPr>
              <w:t>备注：影响程度：1</w:t>
            </w:r>
            <w:r>
              <w:rPr>
                <w:rFonts w:hint="eastAsia"/>
                <w:color w:val="auto"/>
                <w:lang w:eastAsia="zh-CN"/>
              </w:rPr>
              <w:t>－</w:t>
            </w:r>
            <w:r>
              <w:rPr>
                <w:color w:val="auto"/>
              </w:rPr>
              <w:t>轻微；2</w:t>
            </w:r>
            <w:r>
              <w:rPr>
                <w:rFonts w:hint="eastAsia"/>
                <w:color w:val="auto"/>
                <w:lang w:eastAsia="zh-CN"/>
              </w:rPr>
              <w:t>－</w:t>
            </w:r>
            <w:r>
              <w:rPr>
                <w:color w:val="auto"/>
              </w:rPr>
              <w:t>一般；3</w:t>
            </w:r>
            <w:r>
              <w:rPr>
                <w:rFonts w:hint="eastAsia"/>
                <w:color w:val="auto"/>
                <w:lang w:eastAsia="zh-CN"/>
              </w:rPr>
              <w:t>－</w:t>
            </w:r>
            <w:r>
              <w:rPr>
                <w:color w:val="auto"/>
              </w:rPr>
              <w:t>显著影响时段：S</w:t>
            </w:r>
            <w:r>
              <w:rPr>
                <w:rFonts w:hint="eastAsia"/>
                <w:color w:val="auto"/>
                <w:lang w:eastAsia="zh-CN"/>
              </w:rPr>
              <w:t>－</w:t>
            </w:r>
            <w:r>
              <w:rPr>
                <w:color w:val="auto"/>
              </w:rPr>
              <w:t>短期；L</w:t>
            </w:r>
            <w:r>
              <w:rPr>
                <w:rFonts w:hint="eastAsia"/>
                <w:color w:val="auto"/>
                <w:lang w:eastAsia="zh-CN"/>
              </w:rPr>
              <w:t>－</w:t>
            </w:r>
            <w:r>
              <w:rPr>
                <w:color w:val="auto"/>
              </w:rPr>
              <w:t>长期</w:t>
            </w:r>
          </w:p>
          <w:p>
            <w:pPr>
              <w:pStyle w:val="182"/>
              <w:bidi w:val="0"/>
              <w:rPr>
                <w:color w:val="auto"/>
              </w:rPr>
            </w:pPr>
            <w:r>
              <w:rPr>
                <w:color w:val="auto"/>
              </w:rPr>
              <w:t>影响范围：P</w:t>
            </w:r>
            <w:r>
              <w:rPr>
                <w:rFonts w:hint="eastAsia"/>
                <w:color w:val="auto"/>
                <w:lang w:eastAsia="zh-CN"/>
              </w:rPr>
              <w:t>－</w:t>
            </w:r>
            <w:r>
              <w:rPr>
                <w:color w:val="auto"/>
              </w:rPr>
              <w:t>局部；W</w:t>
            </w:r>
            <w:r>
              <w:rPr>
                <w:rFonts w:hint="eastAsia"/>
                <w:color w:val="auto"/>
                <w:lang w:eastAsia="zh-CN"/>
              </w:rPr>
              <w:t>－</w:t>
            </w:r>
            <w:r>
              <w:rPr>
                <w:color w:val="auto"/>
              </w:rPr>
              <w:t>大范围影响性质：+</w:t>
            </w:r>
            <w:r>
              <w:rPr>
                <w:rFonts w:hint="eastAsia"/>
                <w:color w:val="auto"/>
                <w:lang w:eastAsia="zh-CN"/>
              </w:rPr>
              <w:t>－</w:t>
            </w:r>
            <w:r>
              <w:rPr>
                <w:color w:val="auto"/>
              </w:rPr>
              <w:t>有利；-</w:t>
            </w:r>
            <w:r>
              <w:rPr>
                <w:rFonts w:hint="eastAsia"/>
                <w:color w:val="auto"/>
                <w:lang w:eastAsia="zh-CN"/>
              </w:rPr>
              <w:t>－</w:t>
            </w:r>
            <w:r>
              <w:rPr>
                <w:color w:val="auto"/>
              </w:rPr>
              <w:t>不利</w:t>
            </w:r>
          </w:p>
        </w:tc>
      </w:tr>
    </w:tbl>
    <w:p>
      <w:pPr>
        <w:bidi w:val="0"/>
        <w:rPr>
          <w:color w:val="auto"/>
        </w:rPr>
      </w:pPr>
      <w:r>
        <w:rPr>
          <w:color w:val="auto"/>
        </w:rPr>
        <w:t>由上表可以看出，本工程在施工期对周围自然环境、社会环境的影响是短期、局部的，工程运行期主要是工程废气、废水对区域环境空气和地表水的不利影响。评价把废气、废水污染控制可行性及可靠性作为重点内容。</w:t>
      </w:r>
    </w:p>
    <w:p>
      <w:pPr>
        <w:pStyle w:val="9"/>
        <w:bidi w:val="0"/>
        <w:rPr>
          <w:color w:val="auto"/>
        </w:rPr>
      </w:pPr>
      <w:bookmarkStart w:id="115" w:name="_Toc428286769"/>
      <w:bookmarkStart w:id="116" w:name="_Toc428287163"/>
      <w:bookmarkStart w:id="117" w:name="_Toc428287515"/>
      <w:r>
        <w:rPr>
          <w:color w:val="auto"/>
        </w:rPr>
        <w:t>2.3.2环境影响因子筛选</w:t>
      </w:r>
      <w:bookmarkEnd w:id="115"/>
      <w:bookmarkEnd w:id="116"/>
      <w:bookmarkEnd w:id="117"/>
    </w:p>
    <w:p>
      <w:pPr>
        <w:bidi w:val="0"/>
        <w:rPr>
          <w:color w:val="auto"/>
        </w:rPr>
      </w:pPr>
      <w:r>
        <w:rPr>
          <w:color w:val="auto"/>
        </w:rPr>
        <w:t>根据本项目污染源分析及环境影响因子识别，依据国家有关环保标准、规定所列控制指标，并结合项目所处区域环境特征，筛选出本项目评价因子见</w:t>
      </w:r>
      <w:r>
        <w:rPr>
          <w:rFonts w:hint="eastAsia"/>
          <w:color w:val="auto"/>
        </w:rPr>
        <w:t>下</w:t>
      </w:r>
      <w:r>
        <w:rPr>
          <w:color w:val="auto"/>
        </w:rPr>
        <w:t>表。</w:t>
      </w:r>
    </w:p>
    <w:p>
      <w:pPr>
        <w:pStyle w:val="181"/>
        <w:bidi w:val="0"/>
        <w:rPr>
          <w:color w:val="auto"/>
        </w:rPr>
      </w:pPr>
      <w:r>
        <w:rPr>
          <w:rFonts w:hint="eastAsia"/>
          <w:color w:val="auto"/>
        </w:rPr>
        <w:t>表2</w:t>
      </w:r>
      <w:r>
        <w:rPr>
          <w:rFonts w:hint="eastAsia"/>
          <w:color w:val="auto"/>
          <w:lang w:val="en-US" w:eastAsia="zh-CN"/>
        </w:rPr>
        <w:t>.3-</w:t>
      </w:r>
      <w:r>
        <w:rPr>
          <w:rFonts w:hint="eastAsia"/>
          <w:color w:val="auto"/>
        </w:rPr>
        <w:t xml:space="preserve">2  </w:t>
      </w:r>
      <w:r>
        <w:rPr>
          <w:rFonts w:hint="eastAsia"/>
          <w:color w:val="auto"/>
          <w:lang w:val="en-US" w:eastAsia="zh-CN"/>
        </w:rPr>
        <w:t xml:space="preserve">          </w:t>
      </w:r>
      <w:r>
        <w:rPr>
          <w:rFonts w:hint="eastAsia"/>
          <w:color w:val="auto"/>
        </w:rPr>
        <w:t>评价因子一览表</w:t>
      </w:r>
    </w:p>
    <w:tbl>
      <w:tblPr>
        <w:tblStyle w:val="32"/>
        <w:tblW w:w="4999"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409"/>
        <w:gridCol w:w="5289"/>
        <w:gridCol w:w="182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827" w:type="pct"/>
            <w:vAlign w:val="center"/>
          </w:tcPr>
          <w:p>
            <w:pPr>
              <w:pStyle w:val="182"/>
              <w:bidi w:val="0"/>
              <w:rPr>
                <w:b/>
                <w:bCs/>
                <w:color w:val="auto"/>
              </w:rPr>
            </w:pPr>
            <w:r>
              <w:rPr>
                <w:b/>
                <w:bCs/>
                <w:color w:val="auto"/>
              </w:rPr>
              <w:t>评价要素</w:t>
            </w:r>
          </w:p>
        </w:tc>
        <w:tc>
          <w:tcPr>
            <w:tcW w:w="3103" w:type="pct"/>
            <w:vAlign w:val="center"/>
          </w:tcPr>
          <w:p>
            <w:pPr>
              <w:pStyle w:val="182"/>
              <w:bidi w:val="0"/>
              <w:rPr>
                <w:b/>
                <w:bCs/>
                <w:color w:val="auto"/>
              </w:rPr>
            </w:pPr>
            <w:r>
              <w:rPr>
                <w:b/>
                <w:bCs/>
                <w:color w:val="auto"/>
              </w:rPr>
              <w:t>现状评价因子</w:t>
            </w:r>
          </w:p>
        </w:tc>
        <w:tc>
          <w:tcPr>
            <w:tcW w:w="1069" w:type="pct"/>
            <w:vAlign w:val="center"/>
          </w:tcPr>
          <w:p>
            <w:pPr>
              <w:pStyle w:val="182"/>
              <w:bidi w:val="0"/>
              <w:rPr>
                <w:b/>
                <w:bCs/>
                <w:color w:val="auto"/>
              </w:rPr>
            </w:pPr>
            <w:r>
              <w:rPr>
                <w:b/>
                <w:bCs/>
                <w:color w:val="auto"/>
              </w:rPr>
              <w:t>预测因子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pPr>
              <w:pStyle w:val="182"/>
              <w:bidi w:val="0"/>
              <w:rPr>
                <w:color w:val="auto"/>
              </w:rPr>
            </w:pPr>
            <w:r>
              <w:rPr>
                <w:color w:val="auto"/>
              </w:rPr>
              <w:t>环境空气</w:t>
            </w:r>
          </w:p>
        </w:tc>
        <w:tc>
          <w:tcPr>
            <w:tcW w:w="3103" w:type="pct"/>
            <w:vAlign w:val="center"/>
          </w:tcPr>
          <w:p>
            <w:pPr>
              <w:pStyle w:val="182"/>
              <w:bidi w:val="0"/>
              <w:rPr>
                <w:rFonts w:hint="default" w:eastAsia="宋体"/>
                <w:color w:val="auto"/>
                <w:lang w:val="en-US" w:eastAsia="zh-CN"/>
              </w:rPr>
            </w:pPr>
            <w:r>
              <w:rPr>
                <w:color w:val="auto"/>
              </w:rPr>
              <w:t>PM</w:t>
            </w:r>
            <w:r>
              <w:rPr>
                <w:color w:val="auto"/>
                <w:vertAlign w:val="subscript"/>
              </w:rPr>
              <w:t>10</w:t>
            </w:r>
            <w:r>
              <w:rPr>
                <w:color w:val="auto"/>
              </w:rPr>
              <w:t>、PM</w:t>
            </w:r>
            <w:r>
              <w:rPr>
                <w:color w:val="auto"/>
                <w:vertAlign w:val="subscript"/>
              </w:rPr>
              <w:t>2.5</w:t>
            </w:r>
            <w:r>
              <w:rPr>
                <w:color w:val="auto"/>
              </w:rPr>
              <w:t>、SO</w:t>
            </w:r>
            <w:r>
              <w:rPr>
                <w:color w:val="auto"/>
                <w:vertAlign w:val="subscript"/>
              </w:rPr>
              <w:t>2</w:t>
            </w:r>
            <w:r>
              <w:rPr>
                <w:color w:val="auto"/>
              </w:rPr>
              <w:t>、NO</w:t>
            </w:r>
            <w:r>
              <w:rPr>
                <w:rFonts w:hint="eastAsia"/>
                <w:color w:val="auto"/>
                <w:vertAlign w:val="subscript"/>
              </w:rPr>
              <w:t>2</w:t>
            </w:r>
            <w:r>
              <w:rPr>
                <w:color w:val="auto"/>
              </w:rPr>
              <w:t>、CO、O</w:t>
            </w:r>
            <w:r>
              <w:rPr>
                <w:color w:val="auto"/>
                <w:vertAlign w:val="subscript"/>
              </w:rPr>
              <w:t>3</w:t>
            </w:r>
            <w:r>
              <w:rPr>
                <w:rFonts w:hint="eastAsia"/>
                <w:color w:val="auto"/>
                <w:vertAlign w:val="subscript"/>
                <w:lang w:eastAsia="zh-CN"/>
              </w:rPr>
              <w:t>、</w:t>
            </w:r>
            <w:r>
              <w:rPr>
                <w:rFonts w:hint="eastAsia"/>
                <w:color w:val="auto"/>
                <w:vertAlign w:val="baseline"/>
                <w:lang w:val="en-US" w:eastAsia="zh-CN"/>
              </w:rPr>
              <w:t>硫酸雾、</w:t>
            </w:r>
            <w:r>
              <w:rPr>
                <w:rFonts w:hint="eastAsia"/>
                <w:b/>
                <w:bCs/>
                <w:color w:val="auto"/>
                <w:u w:val="single"/>
              </w:rPr>
              <w:t>硫化氢、二硫化碳、氨</w:t>
            </w:r>
            <w:r>
              <w:rPr>
                <w:rFonts w:hint="eastAsia"/>
                <w:b/>
                <w:bCs/>
                <w:color w:val="auto"/>
                <w:u w:val="single"/>
                <w:lang w:eastAsia="zh-CN"/>
              </w:rPr>
              <w:t>、</w:t>
            </w:r>
            <w:r>
              <w:rPr>
                <w:rFonts w:hint="eastAsia"/>
                <w:b/>
                <w:bCs/>
                <w:color w:val="auto"/>
                <w:u w:val="single"/>
                <w:vertAlign w:val="baseline"/>
                <w:lang w:val="en-US" w:eastAsia="zh-CN"/>
              </w:rPr>
              <w:t>臭气浓度</w:t>
            </w:r>
          </w:p>
        </w:tc>
        <w:tc>
          <w:tcPr>
            <w:tcW w:w="1069" w:type="pct"/>
            <w:vAlign w:val="center"/>
          </w:tcPr>
          <w:p>
            <w:pPr>
              <w:pStyle w:val="182"/>
              <w:bidi w:val="0"/>
              <w:rPr>
                <w:rFonts w:hint="default" w:eastAsia="宋体"/>
                <w:color w:val="auto"/>
                <w:lang w:val="en-US" w:eastAsia="zh-CN"/>
              </w:rPr>
            </w:pPr>
            <w:r>
              <w:rPr>
                <w:rFonts w:hint="eastAsia"/>
                <w:color w:val="auto"/>
                <w:lang w:val="en-US" w:eastAsia="zh-CN"/>
              </w:rPr>
              <w:t>颗粒物</w:t>
            </w:r>
            <w:r>
              <w:rPr>
                <w:rFonts w:hint="eastAsia"/>
                <w:color w:val="auto"/>
                <w:lang w:eastAsia="zh-CN"/>
              </w:rPr>
              <w:t>、</w:t>
            </w:r>
            <w:r>
              <w:rPr>
                <w:rFonts w:hint="eastAsia"/>
                <w:color w:val="auto"/>
                <w:lang w:val="en-US" w:eastAsia="zh-CN"/>
              </w:rPr>
              <w:t>硫酸雾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pPr>
              <w:pStyle w:val="182"/>
              <w:bidi w:val="0"/>
              <w:rPr>
                <w:color w:val="auto"/>
              </w:rPr>
            </w:pPr>
            <w:r>
              <w:rPr>
                <w:color w:val="auto"/>
              </w:rPr>
              <w:t>地表水</w:t>
            </w:r>
          </w:p>
        </w:tc>
        <w:tc>
          <w:tcPr>
            <w:tcW w:w="3103" w:type="pct"/>
            <w:vAlign w:val="center"/>
          </w:tcPr>
          <w:p>
            <w:pPr>
              <w:pStyle w:val="182"/>
              <w:bidi w:val="0"/>
              <w:rPr>
                <w:rFonts w:hint="default" w:eastAsia="宋体"/>
                <w:color w:val="auto"/>
                <w:lang w:val="en-US" w:eastAsia="zh-CN"/>
              </w:rPr>
            </w:pPr>
            <w:r>
              <w:rPr>
                <w:color w:val="auto"/>
              </w:rPr>
              <w:t>COD、NH</w:t>
            </w:r>
            <w:r>
              <w:rPr>
                <w:color w:val="auto"/>
                <w:vertAlign w:val="subscript"/>
              </w:rPr>
              <w:t>3</w:t>
            </w:r>
            <w:r>
              <w:rPr>
                <w:color w:val="auto"/>
              </w:rPr>
              <w:t>-N、TN、TP</w:t>
            </w:r>
          </w:p>
        </w:tc>
        <w:tc>
          <w:tcPr>
            <w:tcW w:w="1069" w:type="pct"/>
            <w:vAlign w:val="center"/>
          </w:tcPr>
          <w:p>
            <w:pPr>
              <w:pStyle w:val="182"/>
              <w:bidi w:val="0"/>
              <w:rPr>
                <w:rFonts w:hint="eastAsia" w:eastAsia="宋体"/>
                <w:color w:val="auto"/>
                <w:lang w:eastAsia="zh-CN"/>
              </w:rPr>
            </w:pPr>
            <w:r>
              <w:rPr>
                <w:rFonts w:hint="eastAsia"/>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pPr>
              <w:pStyle w:val="182"/>
              <w:bidi w:val="0"/>
              <w:rPr>
                <w:color w:val="auto"/>
              </w:rPr>
            </w:pPr>
            <w:r>
              <w:rPr>
                <w:color w:val="auto"/>
              </w:rPr>
              <w:t>地下水</w:t>
            </w:r>
          </w:p>
        </w:tc>
        <w:tc>
          <w:tcPr>
            <w:tcW w:w="3103" w:type="pct"/>
            <w:vAlign w:val="center"/>
          </w:tcPr>
          <w:p>
            <w:pPr>
              <w:pStyle w:val="182"/>
              <w:bidi w:val="0"/>
              <w:rPr>
                <w:color w:val="auto"/>
              </w:rPr>
            </w:pPr>
            <w:r>
              <w:rPr>
                <w:rFonts w:hint="eastAsia"/>
                <w:color w:val="auto"/>
              </w:rPr>
              <w:t>pH、氨氮、总硬度、溶解性总固体、耗氧量、K</w:t>
            </w:r>
            <w:r>
              <w:rPr>
                <w:rFonts w:hint="eastAsia"/>
                <w:color w:val="auto"/>
                <w:vertAlign w:val="superscript"/>
              </w:rPr>
              <w:t>+</w:t>
            </w:r>
            <w:r>
              <w:rPr>
                <w:rFonts w:hint="eastAsia"/>
                <w:color w:val="auto"/>
              </w:rPr>
              <w:t>、Na</w:t>
            </w:r>
            <w:r>
              <w:rPr>
                <w:rFonts w:hint="eastAsia"/>
                <w:color w:val="auto"/>
                <w:vertAlign w:val="superscript"/>
              </w:rPr>
              <w:t>+</w:t>
            </w:r>
            <w:r>
              <w:rPr>
                <w:rFonts w:hint="eastAsia"/>
                <w:color w:val="auto"/>
              </w:rPr>
              <w:t>、Ca</w:t>
            </w:r>
            <w:r>
              <w:rPr>
                <w:rFonts w:hint="eastAsia"/>
                <w:color w:val="auto"/>
                <w:vertAlign w:val="superscript"/>
              </w:rPr>
              <w:t>2+</w:t>
            </w:r>
            <w:r>
              <w:rPr>
                <w:rFonts w:hint="eastAsia"/>
                <w:color w:val="auto"/>
              </w:rPr>
              <w:t>、Mg</w:t>
            </w:r>
            <w:r>
              <w:rPr>
                <w:rFonts w:hint="eastAsia"/>
                <w:color w:val="auto"/>
                <w:vertAlign w:val="superscript"/>
              </w:rPr>
              <w:t>2+</w:t>
            </w:r>
            <w:r>
              <w:rPr>
                <w:rFonts w:hint="eastAsia"/>
                <w:color w:val="auto"/>
              </w:rPr>
              <w:t>、CO</w:t>
            </w:r>
            <w:r>
              <w:rPr>
                <w:rFonts w:hint="eastAsia"/>
                <w:color w:val="auto"/>
                <w:vertAlign w:val="subscript"/>
              </w:rPr>
              <w:t>3</w:t>
            </w:r>
            <w:r>
              <w:rPr>
                <w:rFonts w:hint="eastAsia"/>
                <w:color w:val="auto"/>
                <w:vertAlign w:val="superscript"/>
              </w:rPr>
              <w:t>2-</w:t>
            </w:r>
            <w:r>
              <w:rPr>
                <w:rFonts w:hint="eastAsia"/>
                <w:color w:val="auto"/>
              </w:rPr>
              <w:t>、HCO</w:t>
            </w:r>
            <w:r>
              <w:rPr>
                <w:rFonts w:hint="eastAsia"/>
                <w:color w:val="auto"/>
                <w:vertAlign w:val="subscript"/>
              </w:rPr>
              <w:t>3</w:t>
            </w:r>
            <w:r>
              <w:rPr>
                <w:rFonts w:hint="eastAsia"/>
                <w:color w:val="auto"/>
                <w:vertAlign w:val="superscript"/>
              </w:rPr>
              <w:t>-</w:t>
            </w:r>
            <w:r>
              <w:rPr>
                <w:rFonts w:hint="eastAsia"/>
                <w:color w:val="auto"/>
              </w:rPr>
              <w:t>、Cl</w:t>
            </w:r>
            <w:r>
              <w:rPr>
                <w:rFonts w:hint="eastAsia"/>
                <w:color w:val="auto"/>
                <w:vertAlign w:val="superscript"/>
              </w:rPr>
              <w:t>-</w:t>
            </w:r>
            <w:r>
              <w:rPr>
                <w:rFonts w:hint="eastAsia"/>
                <w:color w:val="auto"/>
              </w:rPr>
              <w:t>、SO</w:t>
            </w:r>
            <w:r>
              <w:rPr>
                <w:rFonts w:hint="eastAsia"/>
                <w:color w:val="auto"/>
                <w:vertAlign w:val="subscript"/>
              </w:rPr>
              <w:t>4</w:t>
            </w:r>
            <w:r>
              <w:rPr>
                <w:rFonts w:hint="eastAsia"/>
                <w:color w:val="auto"/>
                <w:vertAlign w:val="superscript"/>
              </w:rPr>
              <w:t>2</w:t>
            </w:r>
            <w:r>
              <w:rPr>
                <w:rFonts w:hint="eastAsia"/>
                <w:color w:val="auto"/>
                <w:vertAlign w:val="superscript"/>
                <w:lang w:val="en-US" w:eastAsia="zh-CN"/>
              </w:rPr>
              <w:t>-</w:t>
            </w:r>
            <w:r>
              <w:rPr>
                <w:rFonts w:hint="eastAsia"/>
                <w:color w:val="auto"/>
              </w:rPr>
              <w:t>。</w:t>
            </w:r>
          </w:p>
        </w:tc>
        <w:tc>
          <w:tcPr>
            <w:tcW w:w="1069" w:type="pct"/>
            <w:vAlign w:val="center"/>
          </w:tcPr>
          <w:p>
            <w:pPr>
              <w:pStyle w:val="182"/>
              <w:bidi w:val="0"/>
              <w:rPr>
                <w:color w:val="auto"/>
              </w:rPr>
            </w:pPr>
            <w:r>
              <w:rPr>
                <w:rFonts w:hint="eastAsia"/>
                <w:color w:val="auto"/>
              </w:rPr>
              <w:t>耗氧量、氨氮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pPr>
              <w:pStyle w:val="182"/>
              <w:bidi w:val="0"/>
              <w:rPr>
                <w:color w:val="auto"/>
              </w:rPr>
            </w:pPr>
            <w:r>
              <w:rPr>
                <w:color w:val="auto"/>
              </w:rPr>
              <w:t>声环境</w:t>
            </w:r>
          </w:p>
        </w:tc>
        <w:tc>
          <w:tcPr>
            <w:tcW w:w="3103" w:type="pct"/>
            <w:vAlign w:val="center"/>
          </w:tcPr>
          <w:p>
            <w:pPr>
              <w:pStyle w:val="182"/>
              <w:bidi w:val="0"/>
              <w:rPr>
                <w:color w:val="auto"/>
              </w:rPr>
            </w:pPr>
            <w:r>
              <w:rPr>
                <w:color w:val="auto"/>
              </w:rPr>
              <w:t>连续等效A声级</w:t>
            </w:r>
          </w:p>
        </w:tc>
        <w:tc>
          <w:tcPr>
            <w:tcW w:w="1069" w:type="pct"/>
            <w:vAlign w:val="center"/>
          </w:tcPr>
          <w:p>
            <w:pPr>
              <w:pStyle w:val="182"/>
              <w:bidi w:val="0"/>
              <w:rPr>
                <w:color w:val="auto"/>
              </w:rPr>
            </w:pPr>
            <w:r>
              <w:rPr>
                <w:color w:val="auto"/>
              </w:rPr>
              <w:t>连续等效A声级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pPr>
              <w:pStyle w:val="182"/>
              <w:bidi w:val="0"/>
              <w:rPr>
                <w:color w:val="auto"/>
              </w:rPr>
            </w:pPr>
            <w:r>
              <w:rPr>
                <w:color w:val="auto"/>
              </w:rPr>
              <w:t>土壤</w:t>
            </w:r>
          </w:p>
        </w:tc>
        <w:tc>
          <w:tcPr>
            <w:tcW w:w="3103" w:type="pct"/>
            <w:vAlign w:val="center"/>
          </w:tcPr>
          <w:p>
            <w:pPr>
              <w:pStyle w:val="182"/>
              <w:bidi w:val="0"/>
              <w:rPr>
                <w:color w:val="auto"/>
              </w:rPr>
            </w:pPr>
            <w:r>
              <w:rPr>
                <w:rFonts w:hint="eastAsia"/>
                <w:color w:val="auto"/>
              </w:rPr>
              <w:t>砷、镉、铬</w:t>
            </w:r>
            <w:r>
              <w:rPr>
                <w:rFonts w:hint="eastAsia"/>
                <w:color w:val="auto"/>
                <w:lang w:eastAsia="zh-CN"/>
              </w:rPr>
              <w:t>（</w:t>
            </w:r>
            <w:r>
              <w:rPr>
                <w:rFonts w:hint="eastAsia"/>
                <w:color w:val="auto"/>
              </w:rPr>
              <w:t>六价</w:t>
            </w:r>
            <w:r>
              <w:rPr>
                <w:rFonts w:hint="eastAsia"/>
                <w:color w:val="auto"/>
                <w:lang w:eastAsia="zh-CN"/>
              </w:rPr>
              <w:t>）</w:t>
            </w:r>
            <w:r>
              <w:rPr>
                <w:rFonts w:hint="eastAsia"/>
                <w:color w:val="auto"/>
              </w:rPr>
              <w:t>、铜、铅、汞、镍、四氯化碳、氯仿、氯甲烷、1,1</w:t>
            </w:r>
            <w:r>
              <w:rPr>
                <w:rFonts w:hint="eastAsia"/>
                <w:color w:val="auto"/>
                <w:lang w:eastAsia="zh-CN"/>
              </w:rPr>
              <w:t>－</w:t>
            </w:r>
            <w:r>
              <w:rPr>
                <w:rFonts w:hint="eastAsia"/>
                <w:color w:val="auto"/>
              </w:rPr>
              <w:t>二氯乙烷、1,2</w:t>
            </w:r>
            <w:r>
              <w:rPr>
                <w:rFonts w:hint="eastAsia"/>
                <w:color w:val="auto"/>
                <w:lang w:eastAsia="zh-CN"/>
              </w:rPr>
              <w:t>－</w:t>
            </w:r>
            <w:r>
              <w:rPr>
                <w:rFonts w:hint="eastAsia"/>
                <w:color w:val="auto"/>
              </w:rPr>
              <w:t>二氯乙烷、1,1</w:t>
            </w:r>
            <w:r>
              <w:rPr>
                <w:rFonts w:hint="eastAsia"/>
                <w:color w:val="auto"/>
                <w:lang w:eastAsia="zh-CN"/>
              </w:rPr>
              <w:t>－</w:t>
            </w:r>
            <w:r>
              <w:rPr>
                <w:rFonts w:hint="eastAsia"/>
                <w:color w:val="auto"/>
              </w:rPr>
              <w:t>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w:t>
            </w:r>
            <w:r>
              <w:rPr>
                <w:color w:val="auto"/>
              </w:rPr>
              <w:t>(k)</w:t>
            </w:r>
            <w:r>
              <w:rPr>
                <w:rFonts w:hint="eastAsia"/>
                <w:color w:val="auto"/>
              </w:rPr>
              <w:t>荧蒽、䓛、二苯并</w:t>
            </w:r>
            <w:r>
              <w:rPr>
                <w:color w:val="auto"/>
              </w:rPr>
              <w:t>(a,h)</w:t>
            </w:r>
            <w:r>
              <w:rPr>
                <w:rFonts w:hint="eastAsia"/>
                <w:color w:val="auto"/>
              </w:rPr>
              <w:t>蒽、茚并(1,2,3-cd)芘、萘</w:t>
            </w:r>
          </w:p>
        </w:tc>
        <w:tc>
          <w:tcPr>
            <w:tcW w:w="1069" w:type="pct"/>
            <w:vAlign w:val="center"/>
          </w:tcPr>
          <w:p>
            <w:pPr>
              <w:pStyle w:val="182"/>
              <w:bidi w:val="0"/>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pPr>
              <w:pStyle w:val="182"/>
              <w:bidi w:val="0"/>
              <w:rPr>
                <w:color w:val="auto"/>
              </w:rPr>
            </w:pPr>
            <w:r>
              <w:rPr>
                <w:color w:val="auto"/>
              </w:rPr>
              <w:t>固废</w:t>
            </w:r>
          </w:p>
        </w:tc>
        <w:tc>
          <w:tcPr>
            <w:tcW w:w="3103" w:type="pct"/>
            <w:vAlign w:val="center"/>
          </w:tcPr>
          <w:p>
            <w:pPr>
              <w:pStyle w:val="182"/>
              <w:bidi w:val="0"/>
              <w:rPr>
                <w:color w:val="auto"/>
              </w:rPr>
            </w:pPr>
            <w:r>
              <w:rPr>
                <w:color w:val="auto"/>
              </w:rPr>
              <w:t>/</w:t>
            </w:r>
          </w:p>
        </w:tc>
        <w:tc>
          <w:tcPr>
            <w:tcW w:w="1069" w:type="pct"/>
            <w:vAlign w:val="center"/>
          </w:tcPr>
          <w:p>
            <w:pPr>
              <w:pStyle w:val="182"/>
              <w:bidi w:val="0"/>
              <w:rPr>
                <w:color w:val="auto"/>
              </w:rPr>
            </w:pPr>
            <w:r>
              <w:rPr>
                <w:color w:val="auto"/>
              </w:rPr>
              <w:t>一般工业固体废物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pPr>
              <w:pStyle w:val="182"/>
              <w:bidi w:val="0"/>
              <w:rPr>
                <w:color w:val="auto"/>
                <w:lang w:val="en-US"/>
              </w:rPr>
            </w:pPr>
            <w:bookmarkStart w:id="118" w:name="_Toc67041038"/>
            <w:r>
              <w:rPr>
                <w:color w:val="auto"/>
              </w:rPr>
              <w:t>生态</w:t>
            </w:r>
          </w:p>
        </w:tc>
        <w:tc>
          <w:tcPr>
            <w:tcW w:w="3103" w:type="pct"/>
            <w:vAlign w:val="center"/>
          </w:tcPr>
          <w:p>
            <w:pPr>
              <w:pStyle w:val="182"/>
              <w:bidi w:val="0"/>
              <w:rPr>
                <w:color w:val="auto"/>
                <w:lang w:val="en-US"/>
              </w:rPr>
            </w:pPr>
            <w:r>
              <w:rPr>
                <w:color w:val="auto"/>
              </w:rPr>
              <w:t>土地利用、土壤、植被、水土流失等</w:t>
            </w:r>
          </w:p>
        </w:tc>
        <w:tc>
          <w:tcPr>
            <w:tcW w:w="1069" w:type="pct"/>
            <w:vAlign w:val="center"/>
          </w:tcPr>
          <w:p>
            <w:pPr>
              <w:pStyle w:val="182"/>
              <w:bidi w:val="0"/>
              <w:rPr>
                <w:color w:val="auto"/>
                <w:lang w:val="en-US"/>
              </w:rPr>
            </w:pPr>
            <w:r>
              <w:rPr>
                <w:color w:val="auto"/>
              </w:rPr>
              <w:t>水土流失、植被破坏</w:t>
            </w:r>
          </w:p>
        </w:tc>
      </w:tr>
    </w:tbl>
    <w:p>
      <w:pPr>
        <w:pStyle w:val="7"/>
        <w:bidi w:val="0"/>
        <w:rPr>
          <w:color w:val="auto"/>
        </w:rPr>
      </w:pPr>
      <w:bookmarkStart w:id="119" w:name="_Toc469647338"/>
      <w:bookmarkStart w:id="120" w:name="_Toc32754"/>
      <w:bookmarkStart w:id="121" w:name="_Toc174155856"/>
      <w:bookmarkStart w:id="122" w:name="_Toc428287164"/>
      <w:bookmarkStart w:id="123" w:name="_Toc106552504"/>
      <w:bookmarkStart w:id="124" w:name="_Toc429318382"/>
      <w:bookmarkStart w:id="125" w:name="_Toc428286770"/>
      <w:bookmarkStart w:id="126" w:name="_Toc1152"/>
      <w:bookmarkStart w:id="127" w:name="_Toc27761"/>
      <w:r>
        <w:rPr>
          <w:color w:val="auto"/>
          <w:lang w:eastAsia="zh-CN"/>
        </w:rPr>
        <w:t>2</w:t>
      </w:r>
      <w:r>
        <w:rPr>
          <w:color w:val="auto"/>
        </w:rPr>
        <w:t>.4污染控制与环境保护目标</w:t>
      </w:r>
      <w:bookmarkEnd w:id="119"/>
      <w:bookmarkEnd w:id="120"/>
      <w:bookmarkEnd w:id="121"/>
      <w:bookmarkEnd w:id="122"/>
      <w:bookmarkEnd w:id="123"/>
      <w:bookmarkEnd w:id="124"/>
      <w:bookmarkEnd w:id="125"/>
    </w:p>
    <w:p>
      <w:pPr>
        <w:bidi w:val="0"/>
        <w:rPr>
          <w:color w:val="auto"/>
        </w:rPr>
      </w:pPr>
      <w:r>
        <w:rPr>
          <w:rFonts w:hint="eastAsia"/>
          <w:color w:val="auto"/>
        </w:rPr>
        <w:t>根据本项目特点，污染控制主要依据以下原则：</w:t>
      </w:r>
    </w:p>
    <w:p>
      <w:pPr>
        <w:bidi w:val="0"/>
        <w:rPr>
          <w:color w:val="auto"/>
        </w:rPr>
      </w:pPr>
      <w:r>
        <w:rPr>
          <w:rFonts w:hint="eastAsia"/>
          <w:color w:val="auto"/>
        </w:rPr>
        <w:t>（1）以废气、废水污染控制为主；</w:t>
      </w:r>
    </w:p>
    <w:p>
      <w:pPr>
        <w:bidi w:val="0"/>
        <w:rPr>
          <w:color w:val="auto"/>
        </w:rPr>
      </w:pPr>
      <w:r>
        <w:rPr>
          <w:rFonts w:hint="eastAsia"/>
          <w:color w:val="auto"/>
        </w:rPr>
        <w:t>（2）满足“清洁生产、达标排放、增产减污、总量控制”的要求；</w:t>
      </w:r>
    </w:p>
    <w:p>
      <w:pPr>
        <w:bidi w:val="0"/>
        <w:rPr>
          <w:color w:val="auto"/>
        </w:rPr>
      </w:pPr>
      <w:r>
        <w:rPr>
          <w:rFonts w:hint="eastAsia"/>
          <w:color w:val="auto"/>
        </w:rPr>
        <w:t>（3）过程控制和末端控制相结合。</w:t>
      </w:r>
    </w:p>
    <w:p>
      <w:pPr>
        <w:bidi w:val="0"/>
        <w:rPr>
          <w:rFonts w:hint="eastAsia"/>
          <w:color w:val="auto"/>
        </w:rPr>
      </w:pPr>
      <w:r>
        <w:rPr>
          <w:rFonts w:hint="eastAsia"/>
          <w:color w:val="auto"/>
        </w:rPr>
        <w:t>本项目污染控制内容及环境保护目标见表2</w:t>
      </w:r>
      <w:r>
        <w:rPr>
          <w:rFonts w:hint="eastAsia"/>
          <w:color w:val="auto"/>
          <w:lang w:val="en-US" w:eastAsia="zh-CN"/>
        </w:rPr>
        <w:t>.4-1</w:t>
      </w:r>
      <w:r>
        <w:rPr>
          <w:rFonts w:hint="eastAsia"/>
          <w:color w:val="auto"/>
        </w:rPr>
        <w:t>。</w:t>
      </w:r>
    </w:p>
    <w:p>
      <w:pPr>
        <w:pStyle w:val="181"/>
        <w:bidi w:val="0"/>
        <w:rPr>
          <w:rFonts w:hint="eastAsia"/>
          <w:color w:val="auto"/>
        </w:rPr>
      </w:pPr>
      <w:r>
        <w:rPr>
          <w:rFonts w:hint="eastAsia"/>
          <w:color w:val="auto"/>
        </w:rPr>
        <w:t>表2</w:t>
      </w:r>
      <w:r>
        <w:rPr>
          <w:rFonts w:hint="eastAsia"/>
          <w:color w:val="auto"/>
          <w:lang w:val="en-US" w:eastAsia="zh-CN"/>
        </w:rPr>
        <w:t>.4-1</w:t>
      </w:r>
      <w:r>
        <w:rPr>
          <w:rFonts w:hint="eastAsia"/>
          <w:color w:val="auto"/>
        </w:rPr>
        <w:t xml:space="preserve">  </w:t>
      </w:r>
      <w:r>
        <w:rPr>
          <w:rFonts w:hint="eastAsia"/>
          <w:color w:val="auto"/>
          <w:lang w:val="en-US" w:eastAsia="zh-CN"/>
        </w:rPr>
        <w:t xml:space="preserve">          </w:t>
      </w:r>
      <w:r>
        <w:rPr>
          <w:rFonts w:hint="eastAsia"/>
          <w:color w:val="auto"/>
        </w:rPr>
        <w:t>污染控制内容与环境保护目标</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820"/>
        <w:gridCol w:w="1479"/>
        <w:gridCol w:w="4388"/>
        <w:gridCol w:w="16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490" w:type="pct"/>
            <w:vAlign w:val="center"/>
          </w:tcPr>
          <w:p>
            <w:pPr>
              <w:pStyle w:val="182"/>
              <w:bidi w:val="0"/>
              <w:rPr>
                <w:b/>
                <w:bCs/>
                <w:color w:val="auto"/>
              </w:rPr>
            </w:pPr>
            <w:r>
              <w:rPr>
                <w:rFonts w:hint="eastAsia"/>
                <w:b/>
                <w:bCs/>
                <w:color w:val="auto"/>
              </w:rPr>
              <w:t>污染物</w:t>
            </w:r>
          </w:p>
        </w:tc>
        <w:tc>
          <w:tcPr>
            <w:tcW w:w="3507" w:type="pct"/>
            <w:gridSpan w:val="2"/>
            <w:vAlign w:val="center"/>
          </w:tcPr>
          <w:p>
            <w:pPr>
              <w:pStyle w:val="182"/>
              <w:bidi w:val="0"/>
              <w:rPr>
                <w:b/>
                <w:bCs/>
                <w:color w:val="auto"/>
              </w:rPr>
            </w:pPr>
            <w:r>
              <w:rPr>
                <w:rFonts w:hint="eastAsia"/>
                <w:b/>
                <w:bCs/>
                <w:color w:val="auto"/>
              </w:rPr>
              <w:t>控制内容</w:t>
            </w:r>
          </w:p>
        </w:tc>
        <w:tc>
          <w:tcPr>
            <w:tcW w:w="1001" w:type="pct"/>
            <w:vAlign w:val="center"/>
          </w:tcPr>
          <w:p>
            <w:pPr>
              <w:pStyle w:val="182"/>
              <w:bidi w:val="0"/>
              <w:rPr>
                <w:b/>
                <w:bCs/>
                <w:color w:val="auto"/>
              </w:rPr>
            </w:pPr>
            <w:r>
              <w:rPr>
                <w:rFonts w:hint="eastAsia"/>
                <w:b/>
                <w:bCs/>
                <w:color w:val="auto"/>
              </w:rPr>
              <w:t>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Align w:val="center"/>
          </w:tcPr>
          <w:p>
            <w:pPr>
              <w:pStyle w:val="182"/>
              <w:bidi w:val="0"/>
              <w:rPr>
                <w:color w:val="auto"/>
              </w:rPr>
            </w:pPr>
            <w:r>
              <w:rPr>
                <w:rFonts w:hint="eastAsia"/>
                <w:color w:val="auto"/>
              </w:rPr>
              <w:t>废水</w:t>
            </w:r>
          </w:p>
        </w:tc>
        <w:tc>
          <w:tcPr>
            <w:tcW w:w="884" w:type="pct"/>
            <w:vAlign w:val="center"/>
          </w:tcPr>
          <w:p>
            <w:pPr>
              <w:pStyle w:val="182"/>
              <w:bidi w:val="0"/>
              <w:rPr>
                <w:color w:val="auto"/>
              </w:rPr>
            </w:pPr>
            <w:r>
              <w:rPr>
                <w:rFonts w:hint="eastAsia"/>
                <w:color w:val="auto"/>
              </w:rPr>
              <w:t>生产废水</w:t>
            </w:r>
          </w:p>
        </w:tc>
        <w:tc>
          <w:tcPr>
            <w:tcW w:w="2622" w:type="pct"/>
            <w:vAlign w:val="center"/>
          </w:tcPr>
          <w:p>
            <w:pPr>
              <w:pStyle w:val="182"/>
              <w:bidi w:val="0"/>
              <w:rPr>
                <w:rFonts w:hint="eastAsia"/>
                <w:color w:val="auto"/>
              </w:rPr>
            </w:pPr>
            <w:r>
              <w:rPr>
                <w:rFonts w:hint="eastAsia"/>
                <w:color w:val="auto"/>
              </w:rPr>
              <w:t>控制因子：pH、COD、BOD</w:t>
            </w:r>
            <w:r>
              <w:rPr>
                <w:rFonts w:hint="eastAsia"/>
                <w:color w:val="auto"/>
                <w:vertAlign w:val="subscript"/>
              </w:rPr>
              <w:t>5</w:t>
            </w:r>
            <w:r>
              <w:rPr>
                <w:rFonts w:hint="eastAsia"/>
                <w:color w:val="auto"/>
              </w:rPr>
              <w:t>、</w:t>
            </w:r>
            <w:r>
              <w:rPr>
                <w:rFonts w:hint="eastAsia"/>
                <w:color w:val="auto"/>
                <w:lang w:val="en-US" w:eastAsia="zh-CN"/>
              </w:rPr>
              <w:t>氨氮</w:t>
            </w:r>
            <w:r>
              <w:rPr>
                <w:rFonts w:hint="eastAsia"/>
                <w:color w:val="auto"/>
              </w:rPr>
              <w:t>、TN、TP</w:t>
            </w:r>
          </w:p>
          <w:p>
            <w:pPr>
              <w:pStyle w:val="182"/>
              <w:bidi w:val="0"/>
              <w:rPr>
                <w:color w:val="auto"/>
              </w:rPr>
            </w:pPr>
            <w:r>
              <w:rPr>
                <w:rFonts w:hint="eastAsia"/>
                <w:color w:val="auto"/>
              </w:rPr>
              <w:t>《污水综合排放标准》（</w:t>
            </w:r>
            <w:r>
              <w:rPr>
                <w:color w:val="auto"/>
              </w:rPr>
              <w:t>GB8978-1996</w:t>
            </w:r>
            <w:r>
              <w:rPr>
                <w:rFonts w:hint="eastAsia"/>
                <w:color w:val="auto"/>
              </w:rPr>
              <w:t>）</w:t>
            </w:r>
            <w:r>
              <w:rPr>
                <w:rFonts w:hint="eastAsia"/>
                <w:color w:val="auto"/>
                <w:lang w:val="en-US" w:eastAsia="zh-CN"/>
              </w:rPr>
              <w:t>二</w:t>
            </w:r>
            <w:r>
              <w:rPr>
                <w:rFonts w:hint="eastAsia"/>
                <w:color w:val="auto"/>
              </w:rPr>
              <w:t>级、化纤厂新厂区排污许可证最高允许排放浓度以及小店污水处理厂收水标准</w:t>
            </w:r>
          </w:p>
        </w:tc>
        <w:tc>
          <w:tcPr>
            <w:tcW w:w="1001" w:type="pct"/>
            <w:vAlign w:val="center"/>
          </w:tcPr>
          <w:p>
            <w:pPr>
              <w:pStyle w:val="182"/>
              <w:bidi w:val="0"/>
              <w:rPr>
                <w:color w:val="auto"/>
              </w:rPr>
            </w:pPr>
            <w:r>
              <w:rPr>
                <w:rFonts w:hint="eastAsia"/>
                <w:color w:val="auto"/>
              </w:rPr>
              <w:t>评价纳污河段（大沙河）及沿岸浅层地下水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restart"/>
            <w:vAlign w:val="center"/>
          </w:tcPr>
          <w:p>
            <w:pPr>
              <w:pStyle w:val="182"/>
              <w:bidi w:val="0"/>
              <w:rPr>
                <w:color w:val="auto"/>
              </w:rPr>
            </w:pPr>
            <w:r>
              <w:rPr>
                <w:rFonts w:hint="eastAsia"/>
                <w:color w:val="auto"/>
              </w:rPr>
              <w:t>废气</w:t>
            </w:r>
          </w:p>
        </w:tc>
        <w:tc>
          <w:tcPr>
            <w:tcW w:w="88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投料、干燥</w:t>
            </w:r>
            <w:r>
              <w:rPr>
                <w:rFonts w:hint="eastAsia"/>
                <w:b/>
                <w:bCs/>
                <w:color w:val="auto"/>
                <w:u w:val="single"/>
              </w:rPr>
              <w:t>粉尘</w:t>
            </w:r>
          </w:p>
        </w:tc>
        <w:tc>
          <w:tcPr>
            <w:tcW w:w="2622" w:type="pct"/>
            <w:vAlign w:val="center"/>
          </w:tcPr>
          <w:p>
            <w:pPr>
              <w:pStyle w:val="182"/>
              <w:bidi w:val="0"/>
              <w:rPr>
                <w:rFonts w:hint="eastAsia" w:eastAsia="宋体"/>
                <w:b/>
                <w:bCs/>
                <w:color w:val="auto"/>
                <w:u w:val="single"/>
                <w:lang w:eastAsia="zh-CN"/>
              </w:rPr>
            </w:pPr>
            <w:r>
              <w:rPr>
                <w:rFonts w:hint="eastAsia"/>
                <w:b/>
                <w:bCs/>
                <w:color w:val="auto"/>
                <w:u w:val="single"/>
              </w:rPr>
              <w:t>控制因子：</w:t>
            </w:r>
            <w:r>
              <w:rPr>
                <w:rFonts w:hint="eastAsia"/>
                <w:b/>
                <w:bCs/>
                <w:color w:val="auto"/>
                <w:u w:val="single"/>
                <w:lang w:val="en-US" w:eastAsia="zh-CN"/>
              </w:rPr>
              <w:t>颗粒物</w:t>
            </w:r>
          </w:p>
          <w:p>
            <w:pPr>
              <w:pStyle w:val="182"/>
              <w:bidi w:val="0"/>
              <w:rPr>
                <w:b/>
                <w:bCs/>
                <w:color w:val="auto"/>
                <w:u w:val="single"/>
              </w:rPr>
            </w:pPr>
            <w:r>
              <w:rPr>
                <w:rFonts w:hint="eastAsia"/>
                <w:b/>
                <w:bCs/>
                <w:color w:val="auto"/>
                <w:u w:val="single"/>
              </w:rPr>
              <w:t>《大气污染物综合排放标准》</w:t>
            </w:r>
            <w:r>
              <w:rPr>
                <w:b/>
                <w:bCs/>
                <w:color w:val="auto"/>
                <w:u w:val="single"/>
              </w:rPr>
              <w:t>(GB16297-1996</w:t>
            </w:r>
            <w:r>
              <w:rPr>
                <w:rFonts w:hint="eastAsia"/>
                <w:b/>
                <w:bCs/>
                <w:color w:val="auto"/>
                <w:u w:val="single"/>
                <w:lang w:eastAsia="zh-CN"/>
              </w:rPr>
              <w:t>)</w:t>
            </w:r>
            <w:r>
              <w:rPr>
                <w:rFonts w:hint="eastAsia"/>
                <w:b/>
                <w:bCs/>
                <w:color w:val="auto"/>
                <w:u w:val="single"/>
              </w:rPr>
              <w:t>表</w:t>
            </w:r>
            <w:r>
              <w:rPr>
                <w:b/>
                <w:bCs/>
                <w:color w:val="auto"/>
                <w:u w:val="single"/>
              </w:rPr>
              <w:t>2</w:t>
            </w:r>
            <w:r>
              <w:rPr>
                <w:rFonts w:hint="eastAsia"/>
                <w:b/>
                <w:bCs/>
                <w:color w:val="auto"/>
                <w:u w:val="single"/>
              </w:rPr>
              <w:t>相应标准要求、</w:t>
            </w:r>
            <w:r>
              <w:rPr>
                <w:b/>
                <w:bCs/>
                <w:color w:val="auto"/>
                <w:u w:val="single"/>
              </w:rPr>
              <w:t>《新乡市生态环境局关于进一步规范工业企业颗粒物排放限值的通知》</w:t>
            </w:r>
          </w:p>
        </w:tc>
        <w:tc>
          <w:tcPr>
            <w:tcW w:w="1001" w:type="pct"/>
            <w:vMerge w:val="restart"/>
            <w:vAlign w:val="center"/>
          </w:tcPr>
          <w:p>
            <w:pPr>
              <w:pStyle w:val="182"/>
              <w:bidi w:val="0"/>
              <w:rPr>
                <w:color w:val="auto"/>
              </w:rPr>
            </w:pPr>
            <w:r>
              <w:rPr>
                <w:rFonts w:hint="eastAsia"/>
                <w:color w:val="auto"/>
              </w:rPr>
              <w:t>评价范围内居民等环境敏感点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continue"/>
            <w:vAlign w:val="center"/>
          </w:tcPr>
          <w:p>
            <w:pPr>
              <w:pStyle w:val="182"/>
              <w:bidi w:val="0"/>
              <w:rPr>
                <w:color w:val="auto"/>
              </w:rPr>
            </w:pPr>
          </w:p>
        </w:tc>
        <w:tc>
          <w:tcPr>
            <w:tcW w:w="884" w:type="pct"/>
            <w:vAlign w:val="center"/>
          </w:tcPr>
          <w:p>
            <w:pPr>
              <w:pStyle w:val="182"/>
              <w:bidi w:val="0"/>
              <w:rPr>
                <w:color w:val="auto"/>
              </w:rPr>
            </w:pPr>
            <w:r>
              <w:rPr>
                <w:rFonts w:hint="eastAsia"/>
                <w:color w:val="auto"/>
              </w:rPr>
              <w:t>工艺废气</w:t>
            </w:r>
          </w:p>
        </w:tc>
        <w:tc>
          <w:tcPr>
            <w:tcW w:w="2622" w:type="pct"/>
            <w:vAlign w:val="center"/>
          </w:tcPr>
          <w:p>
            <w:pPr>
              <w:pStyle w:val="182"/>
              <w:bidi w:val="0"/>
              <w:rPr>
                <w:rFonts w:hint="eastAsia" w:eastAsia="宋体"/>
                <w:color w:val="auto"/>
                <w:lang w:eastAsia="zh-CN"/>
              </w:rPr>
            </w:pPr>
            <w:r>
              <w:rPr>
                <w:rFonts w:hint="eastAsia"/>
                <w:color w:val="auto"/>
              </w:rPr>
              <w:t>控制因子：</w:t>
            </w:r>
            <w:r>
              <w:rPr>
                <w:rFonts w:hint="eastAsia"/>
                <w:color w:val="auto"/>
                <w:lang w:val="en-US" w:eastAsia="zh-CN"/>
              </w:rPr>
              <w:t>颗粒物</w:t>
            </w:r>
            <w:r>
              <w:rPr>
                <w:rFonts w:hint="eastAsia"/>
                <w:color w:val="auto"/>
              </w:rPr>
              <w:t>、</w:t>
            </w:r>
            <w:r>
              <w:rPr>
                <w:rFonts w:hint="eastAsia"/>
                <w:color w:val="auto"/>
                <w:lang w:val="en-US" w:eastAsia="zh-CN"/>
              </w:rPr>
              <w:t>硫酸雾</w:t>
            </w:r>
          </w:p>
          <w:p>
            <w:pPr>
              <w:pStyle w:val="182"/>
              <w:bidi w:val="0"/>
              <w:rPr>
                <w:color w:val="auto"/>
              </w:rPr>
            </w:pPr>
            <w:r>
              <w:rPr>
                <w:rFonts w:hint="eastAsia"/>
                <w:color w:val="auto"/>
                <w:lang w:eastAsia="zh-CN"/>
              </w:rPr>
              <w:t>《</w:t>
            </w:r>
            <w:r>
              <w:rPr>
                <w:rFonts w:hint="eastAsia"/>
                <w:color w:val="auto"/>
                <w:lang w:val="en-US" w:eastAsia="zh-CN"/>
              </w:rPr>
              <w:t>环境空气质量标准</w:t>
            </w:r>
            <w:r>
              <w:rPr>
                <w:rFonts w:hint="eastAsia"/>
                <w:color w:val="auto"/>
                <w:lang w:eastAsia="zh-CN"/>
              </w:rPr>
              <w:t>》（</w:t>
            </w:r>
            <w:r>
              <w:rPr>
                <w:rFonts w:hint="eastAsia"/>
                <w:color w:val="auto"/>
                <w:lang w:val="en-US" w:eastAsia="zh-CN"/>
              </w:rPr>
              <w:t>GB3095-2012</w:t>
            </w:r>
            <w:r>
              <w:rPr>
                <w:rFonts w:hint="eastAsia"/>
                <w:color w:val="auto"/>
                <w:lang w:eastAsia="zh-CN"/>
              </w:rPr>
              <w:t>）、</w:t>
            </w:r>
            <w:r>
              <w:rPr>
                <w:rFonts w:hint="eastAsia"/>
                <w:color w:val="auto"/>
              </w:rPr>
              <w:t>《</w:t>
            </w:r>
            <w:r>
              <w:rPr>
                <w:rFonts w:hint="eastAsia"/>
                <w:color w:val="auto"/>
                <w:lang w:val="en-US" w:eastAsia="zh-CN"/>
              </w:rPr>
              <w:t>环境影响评价技术导则 大气环境</w:t>
            </w:r>
            <w:r>
              <w:rPr>
                <w:rFonts w:hint="eastAsia"/>
                <w:color w:val="auto"/>
              </w:rPr>
              <w:t>》</w:t>
            </w:r>
            <w:r>
              <w:rPr>
                <w:rFonts w:hint="eastAsia"/>
                <w:color w:val="auto"/>
                <w:lang w:val="en-US" w:eastAsia="zh-CN"/>
              </w:rPr>
              <w:t>附录D.1 其他污染物空气质量浓度参考限值</w:t>
            </w:r>
          </w:p>
        </w:tc>
        <w:tc>
          <w:tcPr>
            <w:tcW w:w="1001" w:type="pct"/>
            <w:vMerge w:val="continue"/>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Align w:val="center"/>
          </w:tcPr>
          <w:p>
            <w:pPr>
              <w:pStyle w:val="182"/>
              <w:bidi w:val="0"/>
              <w:rPr>
                <w:color w:val="auto"/>
              </w:rPr>
            </w:pPr>
            <w:r>
              <w:rPr>
                <w:rFonts w:hint="eastAsia"/>
                <w:color w:val="auto"/>
              </w:rPr>
              <w:t>噪声</w:t>
            </w:r>
          </w:p>
        </w:tc>
        <w:tc>
          <w:tcPr>
            <w:tcW w:w="884" w:type="pct"/>
            <w:vAlign w:val="center"/>
          </w:tcPr>
          <w:p>
            <w:pPr>
              <w:pStyle w:val="182"/>
              <w:bidi w:val="0"/>
              <w:rPr>
                <w:color w:val="auto"/>
              </w:rPr>
            </w:pPr>
            <w:r>
              <w:rPr>
                <w:rFonts w:hint="eastAsia"/>
                <w:color w:val="auto"/>
              </w:rPr>
              <w:t>设备噪声</w:t>
            </w:r>
          </w:p>
        </w:tc>
        <w:tc>
          <w:tcPr>
            <w:tcW w:w="2622" w:type="pct"/>
            <w:vAlign w:val="center"/>
          </w:tcPr>
          <w:p>
            <w:pPr>
              <w:pStyle w:val="182"/>
              <w:bidi w:val="0"/>
              <w:rPr>
                <w:color w:val="auto"/>
              </w:rPr>
            </w:pPr>
            <w:r>
              <w:rPr>
                <w:rFonts w:hint="eastAsia"/>
                <w:color w:val="auto"/>
              </w:rPr>
              <w:t>《工业企业厂界环境噪声排放标准》（</w:t>
            </w:r>
            <w:r>
              <w:rPr>
                <w:color w:val="auto"/>
              </w:rPr>
              <w:t>GB12348-2008</w:t>
            </w:r>
            <w:r>
              <w:rPr>
                <w:rFonts w:hint="eastAsia"/>
                <w:color w:val="auto"/>
              </w:rPr>
              <w:t>）</w:t>
            </w:r>
            <w:r>
              <w:rPr>
                <w:color w:val="auto"/>
              </w:rPr>
              <w:t>3</w:t>
            </w:r>
            <w:r>
              <w:rPr>
                <w:rFonts w:hint="eastAsia"/>
                <w:color w:val="auto"/>
              </w:rPr>
              <w:t>类</w:t>
            </w:r>
          </w:p>
        </w:tc>
        <w:tc>
          <w:tcPr>
            <w:tcW w:w="1001" w:type="pct"/>
            <w:vAlign w:val="center"/>
          </w:tcPr>
          <w:p>
            <w:pPr>
              <w:pStyle w:val="182"/>
              <w:bidi w:val="0"/>
              <w:rPr>
                <w:color w:val="auto"/>
              </w:rPr>
            </w:pPr>
            <w:r>
              <w:rPr>
                <w:rFonts w:hint="eastAsia"/>
                <w:color w:val="auto"/>
              </w:rPr>
              <w:t>厂界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Align w:val="center"/>
          </w:tcPr>
          <w:p>
            <w:pPr>
              <w:pStyle w:val="182"/>
              <w:bidi w:val="0"/>
              <w:rPr>
                <w:b/>
                <w:bCs/>
                <w:color w:val="auto"/>
                <w:u w:val="single"/>
              </w:rPr>
            </w:pPr>
            <w:r>
              <w:rPr>
                <w:rFonts w:hint="eastAsia"/>
                <w:b/>
                <w:bCs/>
                <w:color w:val="auto"/>
                <w:u w:val="single"/>
              </w:rPr>
              <w:t>固废</w:t>
            </w:r>
          </w:p>
        </w:tc>
        <w:tc>
          <w:tcPr>
            <w:tcW w:w="884" w:type="pct"/>
            <w:vAlign w:val="center"/>
          </w:tcPr>
          <w:p>
            <w:pPr>
              <w:pStyle w:val="182"/>
              <w:bidi w:val="0"/>
              <w:rPr>
                <w:b/>
                <w:bCs/>
                <w:color w:val="auto"/>
                <w:u w:val="single"/>
              </w:rPr>
            </w:pPr>
            <w:r>
              <w:rPr>
                <w:rFonts w:hint="eastAsia"/>
                <w:b/>
                <w:bCs/>
                <w:color w:val="auto"/>
                <w:u w:val="single"/>
              </w:rPr>
              <w:t>一般工业固体废物、危险废物</w:t>
            </w:r>
          </w:p>
        </w:tc>
        <w:tc>
          <w:tcPr>
            <w:tcW w:w="2622" w:type="pct"/>
            <w:vAlign w:val="center"/>
          </w:tcPr>
          <w:p>
            <w:pPr>
              <w:pStyle w:val="182"/>
              <w:bidi w:val="0"/>
              <w:rPr>
                <w:b/>
                <w:bCs/>
                <w:color w:val="auto"/>
                <w:u w:val="single"/>
              </w:rPr>
            </w:pPr>
            <w:r>
              <w:rPr>
                <w:rFonts w:hint="eastAsia"/>
                <w:b/>
                <w:bCs/>
                <w:color w:val="auto"/>
                <w:u w:val="single"/>
              </w:rPr>
              <w:t>按照《一般工业固体废物贮存和填埋污染控制标准》（GB18599-2020）、《危险废物贮存污染控制标准》（GB 18597-2023）</w:t>
            </w:r>
          </w:p>
        </w:tc>
        <w:tc>
          <w:tcPr>
            <w:tcW w:w="1001" w:type="pct"/>
            <w:vAlign w:val="center"/>
          </w:tcPr>
          <w:p>
            <w:pPr>
              <w:pStyle w:val="182"/>
              <w:bidi w:val="0"/>
              <w:rPr>
                <w:b/>
                <w:bCs/>
                <w:color w:val="auto"/>
                <w:u w:val="single"/>
              </w:rPr>
            </w:pPr>
            <w:r>
              <w:rPr>
                <w:rFonts w:hint="eastAsia"/>
                <w:b/>
                <w:bCs/>
                <w:color w:val="auto"/>
                <w:u w:val="single"/>
              </w:rPr>
              <w:t>厂区及周围环境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Align w:val="center"/>
          </w:tcPr>
          <w:p>
            <w:pPr>
              <w:pStyle w:val="182"/>
              <w:bidi w:val="0"/>
              <w:rPr>
                <w:color w:val="auto"/>
              </w:rPr>
            </w:pPr>
            <w:r>
              <w:rPr>
                <w:rFonts w:hint="eastAsia"/>
                <w:color w:val="auto"/>
              </w:rPr>
              <w:t>土壤</w:t>
            </w:r>
          </w:p>
        </w:tc>
        <w:tc>
          <w:tcPr>
            <w:tcW w:w="3507" w:type="pct"/>
            <w:gridSpan w:val="2"/>
            <w:vAlign w:val="center"/>
          </w:tcPr>
          <w:p>
            <w:pPr>
              <w:pStyle w:val="182"/>
              <w:bidi w:val="0"/>
              <w:rPr>
                <w:color w:val="auto"/>
              </w:rPr>
            </w:pPr>
            <w:r>
              <w:rPr>
                <w:rFonts w:hint="eastAsia"/>
                <w:color w:val="auto"/>
              </w:rPr>
              <w:t>《</w:t>
            </w:r>
            <w:r>
              <w:rPr>
                <w:rFonts w:hint="eastAsia"/>
                <w:color w:val="auto"/>
                <w:lang w:eastAsia="zh-CN"/>
              </w:rPr>
              <w:t>土壤环境质量 建设用地土壤污染风险管控标准（试行）</w:t>
            </w:r>
            <w:r>
              <w:rPr>
                <w:rFonts w:hint="eastAsia"/>
                <w:color w:val="auto"/>
              </w:rPr>
              <w:t>》（GB36600-2018）第二类用地筛选值</w:t>
            </w:r>
          </w:p>
        </w:tc>
        <w:tc>
          <w:tcPr>
            <w:tcW w:w="1001" w:type="pct"/>
            <w:vAlign w:val="center"/>
          </w:tcPr>
          <w:p>
            <w:pPr>
              <w:pStyle w:val="182"/>
              <w:bidi w:val="0"/>
              <w:rPr>
                <w:color w:val="auto"/>
              </w:rPr>
            </w:pPr>
            <w:r>
              <w:rPr>
                <w:rFonts w:hint="eastAsia"/>
                <w:color w:val="auto"/>
              </w:rPr>
              <w:t>厂区及周围</w:t>
            </w:r>
          </w:p>
        </w:tc>
      </w:tr>
      <w:bookmarkEnd w:id="118"/>
      <w:bookmarkEnd w:id="126"/>
      <w:bookmarkEnd w:id="127"/>
    </w:tbl>
    <w:p>
      <w:pPr>
        <w:bidi w:val="0"/>
        <w:rPr>
          <w:rFonts w:hint="eastAsia"/>
          <w:color w:val="auto"/>
        </w:rPr>
      </w:pPr>
      <w:bookmarkStart w:id="128" w:name="_Toc67041039"/>
      <w:bookmarkStart w:id="129" w:name="_Toc27059"/>
      <w:bookmarkStart w:id="130" w:name="_Toc24676"/>
    </w:p>
    <w:p>
      <w:pPr>
        <w:pStyle w:val="7"/>
        <w:bidi w:val="0"/>
        <w:rPr>
          <w:color w:val="auto"/>
        </w:rPr>
      </w:pPr>
      <w:bookmarkStart w:id="131" w:name="_Toc30627"/>
      <w:r>
        <w:rPr>
          <w:rFonts w:hint="eastAsia"/>
          <w:color w:val="auto"/>
        </w:rPr>
        <w:t>2.5</w:t>
      </w:r>
      <w:r>
        <w:rPr>
          <w:color w:val="auto"/>
        </w:rPr>
        <w:t>评价</w:t>
      </w:r>
      <w:r>
        <w:rPr>
          <w:rFonts w:hint="eastAsia"/>
          <w:color w:val="auto"/>
        </w:rPr>
        <w:t>工作</w:t>
      </w:r>
      <w:r>
        <w:rPr>
          <w:color w:val="auto"/>
        </w:rPr>
        <w:t>等级</w:t>
      </w:r>
      <w:bookmarkEnd w:id="128"/>
      <w:bookmarkEnd w:id="129"/>
      <w:bookmarkEnd w:id="130"/>
      <w:bookmarkEnd w:id="131"/>
    </w:p>
    <w:p>
      <w:pPr>
        <w:pStyle w:val="9"/>
        <w:bidi w:val="0"/>
        <w:rPr>
          <w:color w:val="auto"/>
        </w:rPr>
      </w:pPr>
      <w:r>
        <w:rPr>
          <w:color w:val="auto"/>
        </w:rPr>
        <w:t>2.5.1大气评价工作等级</w:t>
      </w:r>
    </w:p>
    <w:p>
      <w:pPr>
        <w:bidi w:val="0"/>
        <w:rPr>
          <w:color w:val="auto"/>
        </w:rPr>
      </w:pPr>
      <w:r>
        <w:rPr>
          <w:color w:val="auto"/>
        </w:rPr>
        <w:t>根据《环境影响评价技术导则大气环境》（HJ2.2-2018）的规定，选择项目污染源正常排放的主要污染物及排放参数，采用附录A推荐模型中的估算模型AERSCREEN分别计算项目污染源的最大环境影响，然后按评价工作分级判据进行分级。</w:t>
      </w:r>
    </w:p>
    <w:p>
      <w:pPr>
        <w:bidi w:val="0"/>
        <w:rPr>
          <w:color w:val="auto"/>
        </w:rPr>
      </w:pPr>
      <w:r>
        <w:rPr>
          <w:color w:val="auto"/>
        </w:rPr>
        <w:t>根据项目污染源初步调查结果，分别计算项目排放的主要污染物的最大地面空气质量浓度占标率Pi及第i个污染物的地面空气质量浓度达到标准值的10%时所对应的最远距离D10%。其中，最大地面质量浓度占标率Pi计算公式如下：</w:t>
      </w:r>
    </w:p>
    <w:p>
      <w:pPr>
        <w:rPr>
          <w:color w:val="auto"/>
        </w:rPr>
      </w:pPr>
      <m:oMathPara>
        <m:oMath>
          <m:sSub>
            <m:sSubPr>
              <m:ctrlPr>
                <w:rPr>
                  <w:rFonts w:ascii="Cambria Math" w:hAnsi="Cambria Math"/>
                  <w:color w:val="auto"/>
                </w:rPr>
              </m:ctrlPr>
            </m:sSubPr>
            <m:e>
              <m:r>
                <m:rPr/>
                <w:rPr>
                  <w:rFonts w:ascii="Cambria Math" w:hAnsi="Cambria Math"/>
                  <w:color w:val="auto"/>
                </w:rPr>
                <m:t>P</m:t>
              </m:r>
              <m:ctrlPr>
                <w:rPr>
                  <w:rFonts w:ascii="Cambria Math" w:hAnsi="Cambria Math"/>
                  <w:color w:val="auto"/>
                </w:rPr>
              </m:ctrlPr>
            </m:e>
            <m:sub>
              <m:r>
                <m:rPr/>
                <w:rPr>
                  <w:rFonts w:ascii="Cambria Math" w:hAnsi="Cambria Math"/>
                  <w:color w:val="auto"/>
                </w:rPr>
                <m:t>i</m:t>
              </m:r>
              <m:ctrlPr>
                <w:rPr>
                  <w:rFonts w:ascii="Cambria Math" w:hAnsi="Cambria Math"/>
                  <w:color w:val="auto"/>
                </w:rPr>
              </m:ctrlP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m:rPr/>
                    <w:rPr>
                      <w:rFonts w:ascii="Cambria Math" w:hAnsi="Cambria Math"/>
                      <w:color w:val="auto"/>
                    </w:rPr>
                    <m:t>C</m:t>
                  </m:r>
                  <m:ctrlPr>
                    <w:rPr>
                      <w:rFonts w:ascii="Cambria Math" w:hAnsi="Cambria Math"/>
                      <w:color w:val="auto"/>
                    </w:rPr>
                  </m:ctrlPr>
                </m:e>
                <m:sub>
                  <m:r>
                    <m:rPr/>
                    <w:rPr>
                      <w:rFonts w:ascii="Cambria Math" w:hAnsi="Cambria Math"/>
                      <w:color w:val="auto"/>
                    </w:rPr>
                    <m:t>i</m:t>
                  </m:r>
                  <m:ctrlPr>
                    <w:rPr>
                      <w:rFonts w:ascii="Cambria Math" w:hAnsi="Cambria Math"/>
                      <w:color w:val="auto"/>
                    </w:rPr>
                  </m:ctrlPr>
                </m:sub>
              </m:sSub>
              <m:ctrlPr>
                <w:rPr>
                  <w:rFonts w:ascii="Cambria Math" w:hAnsi="Cambria Math"/>
                  <w:color w:val="auto"/>
                </w:rPr>
              </m:ctrlPr>
            </m:num>
            <m:den>
              <m:sSub>
                <m:sSubPr>
                  <m:ctrlPr>
                    <w:rPr>
                      <w:rFonts w:ascii="Cambria Math" w:hAnsi="Cambria Math"/>
                      <w:color w:val="auto"/>
                    </w:rPr>
                  </m:ctrlPr>
                </m:sSubPr>
                <m:e>
                  <m:r>
                    <m:rPr/>
                    <w:rPr>
                      <w:rFonts w:ascii="Cambria Math" w:hAnsi="Cambria Math"/>
                      <w:color w:val="auto"/>
                    </w:rPr>
                    <m:t>C</m:t>
                  </m:r>
                  <m:ctrlPr>
                    <w:rPr>
                      <w:rFonts w:ascii="Cambria Math" w:hAnsi="Cambria Math"/>
                      <w:color w:val="auto"/>
                    </w:rPr>
                  </m:ctrlPr>
                </m:e>
                <m:sub>
                  <m:r>
                    <m:rPr>
                      <m:sty m:val="p"/>
                    </m:rPr>
                    <w:rPr>
                      <w:rFonts w:ascii="Cambria Math" w:hAnsi="Cambria Math"/>
                      <w:color w:val="auto"/>
                    </w:rPr>
                    <m:t>0</m:t>
                  </m:r>
                  <m:r>
                    <m:rPr/>
                    <w:rPr>
                      <w:rFonts w:ascii="Cambria Math" w:hAnsi="Cambria Math"/>
                      <w:color w:val="auto"/>
                    </w:rPr>
                    <m:t>i</m:t>
                  </m:r>
                  <m:ctrlPr>
                    <w:rPr>
                      <w:rFonts w:ascii="Cambria Math" w:hAnsi="Cambria Math"/>
                      <w:color w:val="auto"/>
                    </w:rPr>
                  </m:ctrlPr>
                </m:sub>
              </m:sSub>
              <m:ctrlPr>
                <w:rPr>
                  <w:rFonts w:ascii="Cambria Math" w:hAnsi="Cambria Math"/>
                  <w:color w:val="auto"/>
                </w:rPr>
              </m:ctrlPr>
            </m:den>
          </m:f>
          <m:r>
            <m:rPr>
              <m:sty m:val="p"/>
            </m:rPr>
            <w:rPr>
              <w:rFonts w:ascii="Cambria Math" w:hAnsi="Cambria Math"/>
              <w:color w:val="auto"/>
            </w:rPr>
            <m:t>×100%</m:t>
          </m:r>
        </m:oMath>
      </m:oMathPara>
    </w:p>
    <w:p>
      <w:pPr>
        <w:bidi w:val="0"/>
        <w:rPr>
          <w:color w:val="auto"/>
        </w:rPr>
      </w:pPr>
      <w:r>
        <w:rPr>
          <w:color w:val="auto"/>
        </w:rPr>
        <w:t>式中：Pi—第i个污染物的最大地面质量浓度占标率，%；</w:t>
      </w:r>
    </w:p>
    <w:p>
      <w:pPr>
        <w:bidi w:val="0"/>
        <w:rPr>
          <w:color w:val="auto"/>
        </w:rPr>
      </w:pPr>
      <w:r>
        <w:rPr>
          <w:color w:val="auto"/>
        </w:rPr>
        <w:t>Ci—采用估算模式计算出的第i个污染物的最大1h地面空气质量浓度，ug/m</w:t>
      </w:r>
      <w:r>
        <w:rPr>
          <w:color w:val="auto"/>
          <w:vertAlign w:val="superscript"/>
        </w:rPr>
        <w:t>3</w:t>
      </w:r>
      <w:r>
        <w:rPr>
          <w:color w:val="auto"/>
        </w:rPr>
        <w:t>；</w:t>
      </w:r>
    </w:p>
    <w:p>
      <w:pPr>
        <w:bidi w:val="0"/>
        <w:rPr>
          <w:color w:val="auto"/>
        </w:rPr>
      </w:pPr>
      <w:r>
        <w:rPr>
          <w:color w:val="auto"/>
        </w:rPr>
        <w:t>Coi－第i个污染物的环境空气质量浓度标准，ug/m</w:t>
      </w:r>
      <w:r>
        <w:rPr>
          <w:color w:val="auto"/>
          <w:vertAlign w:val="superscript"/>
        </w:rPr>
        <w:t>3</w:t>
      </w:r>
      <w:r>
        <w:rPr>
          <w:color w:val="auto"/>
        </w:rPr>
        <w:t>。</w:t>
      </w:r>
    </w:p>
    <w:p>
      <w:pPr>
        <w:bidi w:val="0"/>
        <w:rPr>
          <w:color w:val="auto"/>
        </w:rPr>
      </w:pPr>
      <w:r>
        <w:rPr>
          <w:color w:val="auto"/>
        </w:rPr>
        <w:t>大气评价等级按下表的分级判据进行划分。</w:t>
      </w:r>
    </w:p>
    <w:p>
      <w:pPr>
        <w:pStyle w:val="181"/>
        <w:bidi w:val="0"/>
        <w:rPr>
          <w:color w:val="auto"/>
        </w:rPr>
      </w:pPr>
      <w:r>
        <w:rPr>
          <w:color w:val="auto"/>
        </w:rPr>
        <w:t>表</w:t>
      </w:r>
      <w:r>
        <w:rPr>
          <w:rFonts w:hint="eastAsia"/>
          <w:color w:val="auto"/>
          <w:lang w:val="en-US" w:eastAsia="zh-CN"/>
        </w:rPr>
        <w:t>2.5-1</w:t>
      </w:r>
      <w:r>
        <w:rPr>
          <w:color w:val="auto"/>
        </w:rPr>
        <w:t xml:space="preserve">  </w:t>
      </w:r>
      <w:r>
        <w:rPr>
          <w:rFonts w:hint="eastAsia"/>
          <w:color w:val="auto"/>
          <w:lang w:val="en-US" w:eastAsia="zh-CN"/>
        </w:rPr>
        <w:t xml:space="preserve">          </w:t>
      </w:r>
      <w:r>
        <w:rPr>
          <w:color w:val="auto"/>
        </w:rPr>
        <w:t>大气评价等级判别表</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44"/>
        <w:gridCol w:w="4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44" w:type="dxa"/>
            <w:vAlign w:val="center"/>
          </w:tcPr>
          <w:p>
            <w:pPr>
              <w:pStyle w:val="182"/>
              <w:bidi w:val="0"/>
              <w:rPr>
                <w:b/>
                <w:bCs/>
                <w:color w:val="auto"/>
              </w:rPr>
            </w:pPr>
            <w:r>
              <w:rPr>
                <w:b/>
                <w:bCs/>
                <w:color w:val="auto"/>
              </w:rPr>
              <w:t>评价工作等级</w:t>
            </w:r>
          </w:p>
        </w:tc>
        <w:tc>
          <w:tcPr>
            <w:tcW w:w="4969" w:type="dxa"/>
            <w:vAlign w:val="center"/>
          </w:tcPr>
          <w:p>
            <w:pPr>
              <w:pStyle w:val="182"/>
              <w:bidi w:val="0"/>
              <w:rPr>
                <w:b/>
                <w:bCs/>
                <w:color w:val="auto"/>
              </w:rPr>
            </w:pPr>
            <w:r>
              <w:rPr>
                <w:b/>
                <w:bCs/>
                <w:color w:val="auto"/>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44" w:type="dxa"/>
            <w:vAlign w:val="center"/>
          </w:tcPr>
          <w:p>
            <w:pPr>
              <w:pStyle w:val="182"/>
              <w:bidi w:val="0"/>
              <w:rPr>
                <w:color w:val="auto"/>
              </w:rPr>
            </w:pPr>
            <w:r>
              <w:rPr>
                <w:color w:val="auto"/>
              </w:rPr>
              <w:t>一级评价</w:t>
            </w:r>
          </w:p>
        </w:tc>
        <w:tc>
          <w:tcPr>
            <w:tcW w:w="4969" w:type="dxa"/>
            <w:vAlign w:val="center"/>
          </w:tcPr>
          <w:p>
            <w:pPr>
              <w:pStyle w:val="182"/>
              <w:bidi w:val="0"/>
              <w:rPr>
                <w:color w:val="auto"/>
              </w:rPr>
            </w:pPr>
            <w:r>
              <w:rPr>
                <w:color w:val="auto"/>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44" w:type="dxa"/>
            <w:vAlign w:val="center"/>
          </w:tcPr>
          <w:p>
            <w:pPr>
              <w:pStyle w:val="182"/>
              <w:bidi w:val="0"/>
              <w:rPr>
                <w:color w:val="auto"/>
              </w:rPr>
            </w:pPr>
            <w:r>
              <w:rPr>
                <w:color w:val="auto"/>
              </w:rPr>
              <w:t>二级评价</w:t>
            </w:r>
          </w:p>
        </w:tc>
        <w:tc>
          <w:tcPr>
            <w:tcW w:w="4969" w:type="dxa"/>
            <w:vAlign w:val="center"/>
          </w:tcPr>
          <w:p>
            <w:pPr>
              <w:pStyle w:val="182"/>
              <w:bidi w:val="0"/>
              <w:rPr>
                <w:color w:val="auto"/>
              </w:rPr>
            </w:pPr>
            <w:r>
              <w:rPr>
                <w:color w:val="auto"/>
              </w:rPr>
              <w:t>1%≤Pmax&lt;10%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44" w:type="dxa"/>
            <w:vAlign w:val="center"/>
          </w:tcPr>
          <w:p>
            <w:pPr>
              <w:pStyle w:val="182"/>
              <w:bidi w:val="0"/>
              <w:rPr>
                <w:color w:val="auto"/>
              </w:rPr>
            </w:pPr>
            <w:r>
              <w:rPr>
                <w:color w:val="auto"/>
              </w:rPr>
              <w:t>三级评价</w:t>
            </w:r>
          </w:p>
        </w:tc>
        <w:tc>
          <w:tcPr>
            <w:tcW w:w="4969" w:type="dxa"/>
            <w:vAlign w:val="center"/>
          </w:tcPr>
          <w:p>
            <w:pPr>
              <w:pStyle w:val="182"/>
              <w:bidi w:val="0"/>
              <w:rPr>
                <w:color w:val="auto"/>
              </w:rPr>
            </w:pPr>
            <w:r>
              <w:rPr>
                <w:color w:val="auto"/>
              </w:rPr>
              <w:t>Pmax&lt;1%</w:t>
            </w:r>
          </w:p>
        </w:tc>
      </w:tr>
    </w:tbl>
    <w:p>
      <w:pPr>
        <w:bidi w:val="0"/>
        <w:rPr>
          <w:color w:val="auto"/>
        </w:rPr>
      </w:pPr>
      <w:r>
        <w:rPr>
          <w:color w:val="auto"/>
        </w:rPr>
        <w:t>本项目估算模型参数见下表。</w:t>
      </w:r>
    </w:p>
    <w:p>
      <w:pPr>
        <w:pStyle w:val="181"/>
        <w:bidi w:val="0"/>
        <w:rPr>
          <w:color w:val="auto"/>
        </w:rPr>
      </w:pPr>
      <w:r>
        <w:rPr>
          <w:color w:val="auto"/>
        </w:rPr>
        <w:t>表</w:t>
      </w:r>
      <w:r>
        <w:rPr>
          <w:rFonts w:hint="eastAsia"/>
          <w:color w:val="auto"/>
          <w:lang w:val="en-US" w:eastAsia="zh-CN"/>
        </w:rPr>
        <w:t>2.5-2</w:t>
      </w:r>
      <w:r>
        <w:rPr>
          <w:color w:val="auto"/>
        </w:rPr>
        <w:t xml:space="preserve">  </w:t>
      </w:r>
      <w:r>
        <w:rPr>
          <w:rFonts w:hint="eastAsia"/>
          <w:color w:val="auto"/>
          <w:lang w:val="en-US" w:eastAsia="zh-CN"/>
        </w:rPr>
        <w:t xml:space="preserve">          </w:t>
      </w:r>
      <w:r>
        <w:rPr>
          <w:color w:val="auto"/>
        </w:rPr>
        <w:t>项目估算模型参数表</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3"/>
        <w:gridCol w:w="3213"/>
        <w:gridCol w:w="2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016" w:type="dxa"/>
            <w:gridSpan w:val="2"/>
            <w:vAlign w:val="center"/>
          </w:tcPr>
          <w:p>
            <w:pPr>
              <w:pStyle w:val="182"/>
              <w:bidi w:val="0"/>
              <w:rPr>
                <w:b/>
                <w:bCs/>
                <w:color w:val="auto"/>
              </w:rPr>
            </w:pPr>
            <w:r>
              <w:rPr>
                <w:b/>
                <w:bCs/>
                <w:color w:val="auto"/>
              </w:rPr>
              <w:t>参数</w:t>
            </w:r>
          </w:p>
        </w:tc>
        <w:tc>
          <w:tcPr>
            <w:tcW w:w="2605" w:type="dxa"/>
            <w:vAlign w:val="center"/>
          </w:tcPr>
          <w:p>
            <w:pPr>
              <w:pStyle w:val="182"/>
              <w:bidi w:val="0"/>
              <w:rPr>
                <w:b/>
                <w:bCs/>
                <w:color w:val="auto"/>
              </w:rPr>
            </w:pPr>
            <w:r>
              <w:rPr>
                <w:b/>
                <w:bCs/>
                <w:color w:val="auto"/>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restart"/>
            <w:vAlign w:val="center"/>
          </w:tcPr>
          <w:p>
            <w:pPr>
              <w:pStyle w:val="182"/>
              <w:bidi w:val="0"/>
              <w:rPr>
                <w:color w:val="auto"/>
              </w:rPr>
            </w:pPr>
            <w:r>
              <w:rPr>
                <w:color w:val="auto"/>
              </w:rPr>
              <w:t>城市/农村选项</w:t>
            </w:r>
          </w:p>
        </w:tc>
        <w:tc>
          <w:tcPr>
            <w:tcW w:w="3213" w:type="dxa"/>
            <w:vAlign w:val="center"/>
          </w:tcPr>
          <w:p>
            <w:pPr>
              <w:pStyle w:val="182"/>
              <w:bidi w:val="0"/>
              <w:rPr>
                <w:color w:val="auto"/>
              </w:rPr>
            </w:pPr>
            <w:r>
              <w:rPr>
                <w:color w:val="auto"/>
              </w:rPr>
              <w:t>城市/农村</w:t>
            </w:r>
          </w:p>
        </w:tc>
        <w:tc>
          <w:tcPr>
            <w:tcW w:w="2605" w:type="dxa"/>
            <w:vAlign w:val="center"/>
          </w:tcPr>
          <w:p>
            <w:pPr>
              <w:pStyle w:val="182"/>
              <w:bidi w:val="0"/>
              <w:rPr>
                <w:color w:val="auto"/>
              </w:rPr>
            </w:pPr>
            <w:r>
              <w:rPr>
                <w:rFonts w:hint="eastAsia"/>
                <w:color w:val="auto"/>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continue"/>
            <w:vAlign w:val="center"/>
          </w:tcPr>
          <w:p>
            <w:pPr>
              <w:pStyle w:val="182"/>
              <w:bidi w:val="0"/>
              <w:rPr>
                <w:color w:val="auto"/>
              </w:rPr>
            </w:pPr>
          </w:p>
        </w:tc>
        <w:tc>
          <w:tcPr>
            <w:tcW w:w="3213" w:type="dxa"/>
            <w:vAlign w:val="center"/>
          </w:tcPr>
          <w:p>
            <w:pPr>
              <w:pStyle w:val="182"/>
              <w:bidi w:val="0"/>
              <w:rPr>
                <w:color w:val="auto"/>
              </w:rPr>
            </w:pPr>
            <w:r>
              <w:rPr>
                <w:color w:val="auto"/>
              </w:rPr>
              <w:t>人口数（城市选项时）</w:t>
            </w:r>
          </w:p>
        </w:tc>
        <w:tc>
          <w:tcPr>
            <w:tcW w:w="2605" w:type="dxa"/>
            <w:vAlign w:val="center"/>
          </w:tcPr>
          <w:p>
            <w:pPr>
              <w:pStyle w:val="182"/>
              <w:bidi w:val="0"/>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6" w:type="dxa"/>
            <w:gridSpan w:val="2"/>
            <w:vAlign w:val="center"/>
          </w:tcPr>
          <w:p>
            <w:pPr>
              <w:pStyle w:val="182"/>
              <w:bidi w:val="0"/>
              <w:rPr>
                <w:color w:val="auto"/>
              </w:rPr>
            </w:pPr>
            <w:r>
              <w:rPr>
                <w:color w:val="auto"/>
              </w:rPr>
              <w:t>最高环境温度/℃</w:t>
            </w:r>
          </w:p>
        </w:tc>
        <w:tc>
          <w:tcPr>
            <w:tcW w:w="2605" w:type="dxa"/>
            <w:vAlign w:val="center"/>
          </w:tcPr>
          <w:p>
            <w:pPr>
              <w:pStyle w:val="182"/>
              <w:bidi w:val="0"/>
              <w:rPr>
                <w:color w:val="auto"/>
              </w:rPr>
            </w:pPr>
            <w:r>
              <w:rPr>
                <w:color w:val="auto"/>
              </w:rPr>
              <w:t>40.9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6" w:type="dxa"/>
            <w:gridSpan w:val="2"/>
            <w:vAlign w:val="center"/>
          </w:tcPr>
          <w:p>
            <w:pPr>
              <w:pStyle w:val="182"/>
              <w:bidi w:val="0"/>
              <w:rPr>
                <w:color w:val="auto"/>
              </w:rPr>
            </w:pPr>
            <w:r>
              <w:rPr>
                <w:color w:val="auto"/>
              </w:rPr>
              <w:t>最低环境温度/℃</w:t>
            </w:r>
          </w:p>
        </w:tc>
        <w:tc>
          <w:tcPr>
            <w:tcW w:w="2605" w:type="dxa"/>
            <w:vAlign w:val="center"/>
          </w:tcPr>
          <w:p>
            <w:pPr>
              <w:pStyle w:val="182"/>
              <w:bidi w:val="0"/>
              <w:rPr>
                <w:color w:val="auto"/>
              </w:rPr>
            </w:pPr>
            <w:r>
              <w:rPr>
                <w:color w:val="auto"/>
              </w:rPr>
              <w:t>-13.1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6" w:type="dxa"/>
            <w:gridSpan w:val="2"/>
            <w:vAlign w:val="center"/>
          </w:tcPr>
          <w:p>
            <w:pPr>
              <w:pStyle w:val="182"/>
              <w:bidi w:val="0"/>
              <w:rPr>
                <w:color w:val="auto"/>
              </w:rPr>
            </w:pPr>
            <w:r>
              <w:rPr>
                <w:color w:val="auto"/>
              </w:rPr>
              <w:t>地表类型</w:t>
            </w:r>
          </w:p>
        </w:tc>
        <w:tc>
          <w:tcPr>
            <w:tcW w:w="2605" w:type="dxa"/>
            <w:vAlign w:val="center"/>
          </w:tcPr>
          <w:p>
            <w:pPr>
              <w:pStyle w:val="182"/>
              <w:bidi w:val="0"/>
              <w:rPr>
                <w:rFonts w:hint="eastAsia"/>
                <w:color w:val="auto"/>
                <w:lang w:eastAsia="zh-CN"/>
              </w:rPr>
            </w:pPr>
            <w:r>
              <w:rPr>
                <w:rFonts w:hint="eastAsia"/>
                <w:color w:val="auto"/>
                <w:lang w:val="en-US" w:eastAsia="zh-CN"/>
              </w:rPr>
              <w:t>农作地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6" w:type="dxa"/>
            <w:gridSpan w:val="2"/>
            <w:vAlign w:val="center"/>
          </w:tcPr>
          <w:p>
            <w:pPr>
              <w:pStyle w:val="182"/>
              <w:bidi w:val="0"/>
              <w:rPr>
                <w:color w:val="auto"/>
              </w:rPr>
            </w:pPr>
            <w:r>
              <w:rPr>
                <w:color w:val="auto"/>
              </w:rPr>
              <w:t>区域湿度条件</w:t>
            </w:r>
          </w:p>
        </w:tc>
        <w:tc>
          <w:tcPr>
            <w:tcW w:w="2605" w:type="dxa"/>
            <w:vAlign w:val="center"/>
          </w:tcPr>
          <w:p>
            <w:pPr>
              <w:pStyle w:val="182"/>
              <w:bidi w:val="0"/>
              <w:rPr>
                <w:color w:val="auto"/>
              </w:rPr>
            </w:pPr>
            <w:r>
              <w:rPr>
                <w:color w:val="auto"/>
              </w:rPr>
              <w:t>中等湿度气候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restart"/>
            <w:vAlign w:val="center"/>
          </w:tcPr>
          <w:p>
            <w:pPr>
              <w:pStyle w:val="182"/>
              <w:bidi w:val="0"/>
              <w:rPr>
                <w:color w:val="auto"/>
              </w:rPr>
            </w:pPr>
            <w:r>
              <w:rPr>
                <w:color w:val="auto"/>
              </w:rPr>
              <w:t>是否考虑地形</w:t>
            </w:r>
          </w:p>
        </w:tc>
        <w:tc>
          <w:tcPr>
            <w:tcW w:w="3213" w:type="dxa"/>
            <w:vAlign w:val="center"/>
          </w:tcPr>
          <w:p>
            <w:pPr>
              <w:pStyle w:val="182"/>
              <w:bidi w:val="0"/>
              <w:rPr>
                <w:color w:val="auto"/>
              </w:rPr>
            </w:pPr>
            <w:r>
              <w:rPr>
                <w:color w:val="auto"/>
              </w:rPr>
              <w:t>考虑地形</w:t>
            </w:r>
          </w:p>
        </w:tc>
        <w:tc>
          <w:tcPr>
            <w:tcW w:w="2605" w:type="dxa"/>
            <w:vAlign w:val="center"/>
          </w:tcPr>
          <w:p>
            <w:pPr>
              <w:pStyle w:val="182"/>
              <w:bidi w:val="0"/>
              <w:rPr>
                <w:color w:val="auto"/>
              </w:rPr>
            </w:pPr>
            <w:r>
              <w:rPr>
                <w:color w:val="auto"/>
              </w:rPr>
              <w:sym w:font="Wingdings 2" w:char="0052"/>
            </w:r>
            <w:r>
              <w:rPr>
                <w:color w:val="auto"/>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continue"/>
            <w:vAlign w:val="center"/>
          </w:tcPr>
          <w:p>
            <w:pPr>
              <w:pStyle w:val="182"/>
              <w:bidi w:val="0"/>
              <w:rPr>
                <w:color w:val="auto"/>
              </w:rPr>
            </w:pPr>
          </w:p>
        </w:tc>
        <w:tc>
          <w:tcPr>
            <w:tcW w:w="3213" w:type="dxa"/>
            <w:vAlign w:val="center"/>
          </w:tcPr>
          <w:p>
            <w:pPr>
              <w:pStyle w:val="182"/>
              <w:bidi w:val="0"/>
              <w:rPr>
                <w:color w:val="auto"/>
              </w:rPr>
            </w:pPr>
            <w:r>
              <w:rPr>
                <w:color w:val="auto"/>
              </w:rPr>
              <w:t>地形数据分辨率/m</w:t>
            </w:r>
          </w:p>
        </w:tc>
        <w:tc>
          <w:tcPr>
            <w:tcW w:w="2605" w:type="dxa"/>
            <w:vAlign w:val="center"/>
          </w:tcPr>
          <w:p>
            <w:pPr>
              <w:pStyle w:val="182"/>
              <w:bidi w:val="0"/>
              <w:rPr>
                <w:color w:val="auto"/>
              </w:rPr>
            </w:pPr>
            <w:r>
              <w:rPr>
                <w:color w:val="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restart"/>
            <w:vAlign w:val="center"/>
          </w:tcPr>
          <w:p>
            <w:pPr>
              <w:pStyle w:val="182"/>
              <w:bidi w:val="0"/>
              <w:rPr>
                <w:color w:val="auto"/>
              </w:rPr>
            </w:pPr>
            <w:r>
              <w:rPr>
                <w:color w:val="auto"/>
              </w:rPr>
              <w:t>是否考虑岸线熏烟</w:t>
            </w:r>
          </w:p>
        </w:tc>
        <w:tc>
          <w:tcPr>
            <w:tcW w:w="3213" w:type="dxa"/>
            <w:vAlign w:val="center"/>
          </w:tcPr>
          <w:p>
            <w:pPr>
              <w:pStyle w:val="182"/>
              <w:bidi w:val="0"/>
              <w:rPr>
                <w:color w:val="auto"/>
              </w:rPr>
            </w:pPr>
            <w:r>
              <w:rPr>
                <w:color w:val="auto"/>
              </w:rPr>
              <w:t>考虑岸线熏烟</w:t>
            </w:r>
          </w:p>
        </w:tc>
        <w:tc>
          <w:tcPr>
            <w:tcW w:w="2605" w:type="dxa"/>
            <w:vAlign w:val="center"/>
          </w:tcPr>
          <w:p>
            <w:pPr>
              <w:pStyle w:val="182"/>
              <w:bidi w:val="0"/>
              <w:rPr>
                <w:color w:val="auto"/>
              </w:rPr>
            </w:pPr>
            <w:r>
              <w:rPr>
                <w:color w:val="auto"/>
              </w:rPr>
              <w:t>□是</w:t>
            </w:r>
            <w:r>
              <w:rPr>
                <w:color w:val="auto"/>
              </w:rPr>
              <w:sym w:font="Wingdings 2" w:char="0052"/>
            </w:r>
            <w:r>
              <w:rPr>
                <w:color w:va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continue"/>
            <w:vAlign w:val="center"/>
          </w:tcPr>
          <w:p>
            <w:pPr>
              <w:pStyle w:val="182"/>
              <w:bidi w:val="0"/>
              <w:rPr>
                <w:color w:val="auto"/>
              </w:rPr>
            </w:pPr>
          </w:p>
        </w:tc>
        <w:tc>
          <w:tcPr>
            <w:tcW w:w="3213" w:type="dxa"/>
            <w:vAlign w:val="center"/>
          </w:tcPr>
          <w:p>
            <w:pPr>
              <w:pStyle w:val="182"/>
              <w:bidi w:val="0"/>
              <w:rPr>
                <w:color w:val="auto"/>
              </w:rPr>
            </w:pPr>
            <w:r>
              <w:rPr>
                <w:color w:val="auto"/>
              </w:rPr>
              <w:t>岸线距离/km</w:t>
            </w:r>
          </w:p>
        </w:tc>
        <w:tc>
          <w:tcPr>
            <w:tcW w:w="2605" w:type="dxa"/>
            <w:vAlign w:val="center"/>
          </w:tcPr>
          <w:p>
            <w:pPr>
              <w:pStyle w:val="182"/>
              <w:bidi w:val="0"/>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continue"/>
            <w:vAlign w:val="center"/>
          </w:tcPr>
          <w:p>
            <w:pPr>
              <w:pStyle w:val="182"/>
              <w:bidi w:val="0"/>
              <w:rPr>
                <w:color w:val="auto"/>
              </w:rPr>
            </w:pPr>
          </w:p>
        </w:tc>
        <w:tc>
          <w:tcPr>
            <w:tcW w:w="3213" w:type="dxa"/>
            <w:vAlign w:val="center"/>
          </w:tcPr>
          <w:p>
            <w:pPr>
              <w:pStyle w:val="182"/>
              <w:bidi w:val="0"/>
              <w:rPr>
                <w:color w:val="auto"/>
              </w:rPr>
            </w:pPr>
            <w:r>
              <w:rPr>
                <w:color w:val="auto"/>
              </w:rPr>
              <w:t>岸线方向/°</w:t>
            </w:r>
          </w:p>
        </w:tc>
        <w:tc>
          <w:tcPr>
            <w:tcW w:w="2605" w:type="dxa"/>
            <w:vAlign w:val="center"/>
          </w:tcPr>
          <w:p>
            <w:pPr>
              <w:pStyle w:val="182"/>
              <w:bidi w:val="0"/>
              <w:rPr>
                <w:color w:val="auto"/>
              </w:rPr>
            </w:pPr>
            <w:r>
              <w:rPr>
                <w:color w:val="auto"/>
              </w:rPr>
              <w:t>/</w:t>
            </w:r>
          </w:p>
        </w:tc>
      </w:tr>
    </w:tbl>
    <w:p>
      <w:pPr>
        <w:bidi w:val="0"/>
        <w:rPr>
          <w:color w:val="auto"/>
        </w:rPr>
      </w:pPr>
      <w:r>
        <w:rPr>
          <w:color w:val="auto"/>
        </w:rPr>
        <w:t>污染源估算模型计算结果见下表。</w:t>
      </w:r>
    </w:p>
    <w:p>
      <w:pPr>
        <w:pStyle w:val="181"/>
        <w:bidi w:val="0"/>
        <w:rPr>
          <w:color w:val="auto"/>
        </w:rPr>
      </w:pPr>
      <w:r>
        <w:rPr>
          <w:color w:val="auto"/>
        </w:rPr>
        <w:t>表2</w:t>
      </w:r>
      <w:r>
        <w:rPr>
          <w:rFonts w:hint="eastAsia"/>
          <w:color w:val="auto"/>
          <w:lang w:val="en-US" w:eastAsia="zh-CN"/>
        </w:rPr>
        <w:t>.5-3</w:t>
      </w:r>
      <w:r>
        <w:rPr>
          <w:color w:val="auto"/>
        </w:rPr>
        <w:t xml:space="preserve">  </w:t>
      </w:r>
      <w:r>
        <w:rPr>
          <w:rFonts w:hint="eastAsia"/>
          <w:color w:val="auto"/>
          <w:lang w:val="en-US" w:eastAsia="zh-CN"/>
        </w:rPr>
        <w:t xml:space="preserve">       </w:t>
      </w:r>
      <w:r>
        <w:rPr>
          <w:color w:val="auto"/>
        </w:rPr>
        <w:t>项目排放主要污染物估算模型计算结果表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92"/>
        <w:gridCol w:w="1512"/>
        <w:gridCol w:w="1046"/>
        <w:gridCol w:w="2111"/>
        <w:gridCol w:w="920"/>
        <w:gridCol w:w="944"/>
        <w:gridCol w:w="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593" w:type="pct"/>
            <w:tcMar>
              <w:left w:w="28" w:type="dxa"/>
              <w:right w:w="28" w:type="dxa"/>
            </w:tcMar>
            <w:vAlign w:val="center"/>
          </w:tcPr>
          <w:p>
            <w:pPr>
              <w:pStyle w:val="182"/>
              <w:bidi w:val="0"/>
              <w:rPr>
                <w:b/>
                <w:bCs/>
                <w:color w:val="auto"/>
                <w:u w:val="single"/>
              </w:rPr>
            </w:pPr>
            <w:r>
              <w:rPr>
                <w:rFonts w:hint="eastAsia"/>
                <w:b/>
                <w:bCs/>
                <w:color w:val="auto"/>
                <w:u w:val="single"/>
              </w:rPr>
              <w:t>项目</w:t>
            </w:r>
          </w:p>
        </w:tc>
        <w:tc>
          <w:tcPr>
            <w:tcW w:w="904" w:type="pct"/>
            <w:tcMar>
              <w:left w:w="28" w:type="dxa"/>
              <w:right w:w="28" w:type="dxa"/>
            </w:tcMar>
            <w:vAlign w:val="center"/>
          </w:tcPr>
          <w:p>
            <w:pPr>
              <w:pStyle w:val="182"/>
              <w:bidi w:val="0"/>
              <w:rPr>
                <w:b/>
                <w:bCs/>
                <w:color w:val="auto"/>
                <w:u w:val="single"/>
              </w:rPr>
            </w:pPr>
            <w:r>
              <w:rPr>
                <w:rFonts w:hint="eastAsia"/>
                <w:b/>
                <w:bCs/>
                <w:color w:val="auto"/>
                <w:u w:val="single"/>
              </w:rPr>
              <w:t>污染源</w:t>
            </w:r>
          </w:p>
        </w:tc>
        <w:tc>
          <w:tcPr>
            <w:tcW w:w="625" w:type="pct"/>
            <w:tcMar>
              <w:left w:w="28" w:type="dxa"/>
              <w:right w:w="28" w:type="dxa"/>
            </w:tcMar>
            <w:vAlign w:val="center"/>
          </w:tcPr>
          <w:p>
            <w:pPr>
              <w:pStyle w:val="182"/>
              <w:bidi w:val="0"/>
              <w:rPr>
                <w:b/>
                <w:bCs/>
                <w:color w:val="auto"/>
                <w:u w:val="single"/>
              </w:rPr>
            </w:pPr>
            <w:r>
              <w:rPr>
                <w:rFonts w:hint="eastAsia"/>
                <w:b/>
                <w:bCs/>
                <w:color w:val="auto"/>
                <w:u w:val="single"/>
              </w:rPr>
              <w:t>污染物</w:t>
            </w:r>
          </w:p>
        </w:tc>
        <w:tc>
          <w:tcPr>
            <w:tcW w:w="1261" w:type="pct"/>
            <w:tcMar>
              <w:left w:w="28" w:type="dxa"/>
              <w:right w:w="28" w:type="dxa"/>
            </w:tcMar>
            <w:vAlign w:val="center"/>
          </w:tcPr>
          <w:p>
            <w:pPr>
              <w:pStyle w:val="182"/>
              <w:bidi w:val="0"/>
              <w:rPr>
                <w:b/>
                <w:bCs/>
                <w:color w:val="auto"/>
                <w:u w:val="single"/>
              </w:rPr>
            </w:pPr>
            <w:r>
              <w:rPr>
                <w:rFonts w:hint="eastAsia"/>
                <w:b/>
                <w:bCs/>
                <w:color w:val="auto"/>
                <w:u w:val="single"/>
              </w:rPr>
              <w:t>下风向最大浓度</w:t>
            </w:r>
            <w:r>
              <w:rPr>
                <w:b/>
                <w:bCs/>
                <w:color w:val="auto"/>
                <w:u w:val="single"/>
              </w:rPr>
              <w:t>（μg/m</w:t>
            </w:r>
            <w:r>
              <w:rPr>
                <w:b/>
                <w:bCs/>
                <w:color w:val="auto"/>
                <w:u w:val="single"/>
                <w:vertAlign w:val="superscript"/>
              </w:rPr>
              <w:t>3</w:t>
            </w:r>
            <w:r>
              <w:rPr>
                <w:b/>
                <w:bCs/>
                <w:color w:val="auto"/>
                <w:u w:val="single"/>
              </w:rPr>
              <w:t>）</w:t>
            </w:r>
          </w:p>
        </w:tc>
        <w:tc>
          <w:tcPr>
            <w:tcW w:w="549" w:type="pct"/>
            <w:tcMar>
              <w:left w:w="28" w:type="dxa"/>
              <w:right w:w="28" w:type="dxa"/>
            </w:tcMar>
            <w:vAlign w:val="center"/>
          </w:tcPr>
          <w:p>
            <w:pPr>
              <w:pStyle w:val="182"/>
              <w:bidi w:val="0"/>
              <w:rPr>
                <w:b/>
                <w:bCs/>
                <w:color w:val="auto"/>
                <w:u w:val="single"/>
              </w:rPr>
            </w:pPr>
            <w:r>
              <w:rPr>
                <w:b/>
                <w:bCs/>
                <w:color w:val="auto"/>
                <w:u w:val="single"/>
              </w:rPr>
              <w:t>Pmax(%)</w:t>
            </w:r>
          </w:p>
        </w:tc>
        <w:tc>
          <w:tcPr>
            <w:tcW w:w="564" w:type="pct"/>
            <w:tcMar>
              <w:left w:w="28" w:type="dxa"/>
              <w:right w:w="28" w:type="dxa"/>
            </w:tcMar>
            <w:vAlign w:val="center"/>
          </w:tcPr>
          <w:p>
            <w:pPr>
              <w:pStyle w:val="182"/>
              <w:bidi w:val="0"/>
              <w:rPr>
                <w:b/>
                <w:bCs/>
                <w:color w:val="auto"/>
                <w:u w:val="single"/>
              </w:rPr>
            </w:pPr>
            <w:r>
              <w:rPr>
                <w:b/>
                <w:bCs/>
                <w:color w:val="auto"/>
                <w:u w:val="single"/>
              </w:rPr>
              <w:t>D10%(m)</w:t>
            </w:r>
          </w:p>
        </w:tc>
        <w:tc>
          <w:tcPr>
            <w:tcW w:w="500" w:type="pct"/>
            <w:tcMar>
              <w:left w:w="28" w:type="dxa"/>
              <w:right w:w="28" w:type="dxa"/>
            </w:tcMar>
            <w:vAlign w:val="center"/>
          </w:tcPr>
          <w:p>
            <w:pPr>
              <w:pStyle w:val="182"/>
              <w:bidi w:val="0"/>
              <w:rPr>
                <w:b/>
                <w:bCs/>
                <w:color w:val="auto"/>
                <w:u w:val="single"/>
              </w:rPr>
            </w:pPr>
            <w:r>
              <w:rPr>
                <w:rFonts w:hint="eastAsia"/>
                <w:b/>
                <w:bCs/>
                <w:color w:val="auto"/>
                <w:u w:val="single"/>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992" w:type="dxa"/>
            <w:tcMar>
              <w:left w:w="28" w:type="dxa"/>
              <w:right w:w="28" w:type="dxa"/>
            </w:tcMar>
            <w:vAlign w:val="center"/>
          </w:tcPr>
          <w:p>
            <w:pPr>
              <w:pStyle w:val="182"/>
              <w:bidi w:val="0"/>
              <w:rPr>
                <w:b/>
                <w:bCs/>
                <w:color w:val="auto"/>
                <w:u w:val="single"/>
              </w:rPr>
            </w:pPr>
            <w:bookmarkStart w:id="132" w:name="_Hlk303007102"/>
            <w:r>
              <w:rPr>
                <w:rFonts w:hint="eastAsia"/>
                <w:b/>
                <w:bCs/>
                <w:color w:val="auto"/>
                <w:u w:val="single"/>
              </w:rPr>
              <w:t>无组织</w:t>
            </w:r>
          </w:p>
        </w:tc>
        <w:tc>
          <w:tcPr>
            <w:tcW w:w="1514" w:type="dxa"/>
            <w:tcMar>
              <w:left w:w="28" w:type="dxa"/>
              <w:right w:w="28" w:type="dxa"/>
            </w:tcMar>
            <w:vAlign w:val="center"/>
          </w:tcPr>
          <w:p>
            <w:pPr>
              <w:pStyle w:val="182"/>
              <w:bidi w:val="0"/>
              <w:rPr>
                <w:b/>
                <w:bCs/>
                <w:color w:val="auto"/>
                <w:u w:val="single"/>
              </w:rPr>
            </w:pPr>
            <w:r>
              <w:rPr>
                <w:rFonts w:hint="eastAsia"/>
                <w:b/>
                <w:bCs/>
                <w:color w:val="auto"/>
                <w:u w:val="single"/>
              </w:rPr>
              <w:t>菌草堆料库</w:t>
            </w:r>
          </w:p>
        </w:tc>
        <w:tc>
          <w:tcPr>
            <w:tcW w:w="1047" w:type="dxa"/>
            <w:tcMar>
              <w:left w:w="28" w:type="dxa"/>
              <w:right w:w="28" w:type="dxa"/>
            </w:tcMar>
            <w:vAlign w:val="center"/>
          </w:tcPr>
          <w:p>
            <w:pPr>
              <w:pStyle w:val="182"/>
              <w:bidi w:val="0"/>
              <w:rPr>
                <w:b/>
                <w:bCs/>
                <w:color w:val="auto"/>
                <w:u w:val="single"/>
              </w:rPr>
            </w:pPr>
            <w:r>
              <w:rPr>
                <w:rFonts w:hint="eastAsia"/>
                <w:b/>
                <w:bCs/>
                <w:color w:val="auto"/>
                <w:u w:val="single"/>
                <w:lang w:val="en-US" w:eastAsia="zh-CN"/>
              </w:rPr>
              <w:t>颗粒物</w:t>
            </w:r>
          </w:p>
        </w:tc>
        <w:tc>
          <w:tcPr>
            <w:tcW w:w="2112" w:type="dxa"/>
            <w:tcMar>
              <w:left w:w="28" w:type="dxa"/>
              <w:right w:w="28" w:type="dxa"/>
            </w:tcMar>
            <w:vAlign w:val="center"/>
          </w:tcPr>
          <w:p>
            <w:pPr>
              <w:pStyle w:val="182"/>
              <w:bidi w:val="0"/>
              <w:rPr>
                <w:rFonts w:hint="default"/>
                <w:b/>
                <w:bCs/>
                <w:color w:val="auto"/>
                <w:u w:val="single"/>
                <w:lang w:val="en-US" w:eastAsia="zh-CN"/>
              </w:rPr>
            </w:pPr>
            <w:r>
              <w:rPr>
                <w:b/>
                <w:bCs/>
                <w:color w:val="auto"/>
                <w:u w:val="single"/>
              </w:rPr>
              <w:t>24.11</w:t>
            </w:r>
          </w:p>
        </w:tc>
        <w:tc>
          <w:tcPr>
            <w:tcW w:w="920" w:type="dxa"/>
            <w:tcMar>
              <w:left w:w="28" w:type="dxa"/>
              <w:right w:w="28" w:type="dxa"/>
            </w:tcMar>
            <w:vAlign w:val="center"/>
          </w:tcPr>
          <w:p>
            <w:pPr>
              <w:pStyle w:val="182"/>
              <w:bidi w:val="0"/>
              <w:rPr>
                <w:rFonts w:hint="default"/>
                <w:b/>
                <w:bCs/>
                <w:color w:val="auto"/>
                <w:u w:val="single"/>
                <w:lang w:val="en-US" w:eastAsia="zh-CN"/>
              </w:rPr>
            </w:pPr>
            <w:r>
              <w:rPr>
                <w:b/>
                <w:bCs/>
                <w:color w:val="auto"/>
                <w:u w:val="single"/>
              </w:rPr>
              <w:t>2.68</w:t>
            </w:r>
          </w:p>
        </w:tc>
        <w:tc>
          <w:tcPr>
            <w:tcW w:w="945" w:type="dxa"/>
            <w:shd w:val="clear" w:color="auto" w:fill="auto"/>
            <w:tcMar>
              <w:left w:w="28" w:type="dxa"/>
              <w:right w:w="28" w:type="dxa"/>
            </w:tcMar>
            <w:vAlign w:val="center"/>
          </w:tcPr>
          <w:p>
            <w:pPr>
              <w:pStyle w:val="182"/>
              <w:bidi w:val="0"/>
              <w:rPr>
                <w:b/>
                <w:bCs/>
                <w:color w:val="auto"/>
                <w:u w:val="single"/>
              </w:rPr>
            </w:pPr>
            <w:r>
              <w:rPr>
                <w:b/>
                <w:bCs/>
                <w:color w:val="auto"/>
                <w:u w:val="single"/>
              </w:rPr>
              <w:t>--</w:t>
            </w:r>
          </w:p>
        </w:tc>
        <w:tc>
          <w:tcPr>
            <w:tcW w:w="838" w:type="dxa"/>
            <w:tcMar>
              <w:left w:w="28" w:type="dxa"/>
              <w:right w:w="28" w:type="dxa"/>
            </w:tcMar>
            <w:vAlign w:val="center"/>
          </w:tcPr>
          <w:p>
            <w:pPr>
              <w:pStyle w:val="182"/>
              <w:bidi w:val="0"/>
              <w:rPr>
                <w:b/>
                <w:bCs/>
                <w:color w:val="auto"/>
                <w:u w:val="single"/>
              </w:rPr>
            </w:pPr>
            <w:r>
              <w:rPr>
                <w:rFonts w:hint="eastAsia"/>
                <w:b/>
                <w:bCs/>
                <w:color w:val="auto"/>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593" w:type="pct"/>
            <w:tcMar>
              <w:left w:w="28" w:type="dxa"/>
              <w:right w:w="28" w:type="dxa"/>
            </w:tcMar>
            <w:vAlign w:val="center"/>
          </w:tcPr>
          <w:p>
            <w:pPr>
              <w:pStyle w:val="182"/>
              <w:bidi w:val="0"/>
              <w:rPr>
                <w:rFonts w:hint="eastAsia"/>
                <w:b/>
                <w:bCs/>
                <w:color w:val="auto"/>
                <w:u w:val="single"/>
                <w:lang w:val="en-US" w:eastAsia="zh-CN"/>
              </w:rPr>
            </w:pPr>
            <w:r>
              <w:rPr>
                <w:rFonts w:hint="eastAsia"/>
                <w:b/>
                <w:bCs/>
                <w:color w:val="auto"/>
                <w:u w:val="single"/>
                <w:lang w:val="en-US" w:eastAsia="zh-CN"/>
              </w:rPr>
              <w:t>无组织</w:t>
            </w:r>
          </w:p>
        </w:tc>
        <w:tc>
          <w:tcPr>
            <w:tcW w:w="904" w:type="pct"/>
            <w:tcMar>
              <w:left w:w="28" w:type="dxa"/>
              <w:right w:w="28" w:type="dxa"/>
            </w:tcMar>
            <w:vAlign w:val="center"/>
          </w:tcPr>
          <w:p>
            <w:pPr>
              <w:pStyle w:val="182"/>
              <w:bidi w:val="0"/>
              <w:rPr>
                <w:rFonts w:hint="eastAsia"/>
                <w:b/>
                <w:bCs/>
                <w:color w:val="auto"/>
                <w:u w:val="single"/>
                <w:lang w:val="en-US" w:eastAsia="zh-CN"/>
              </w:rPr>
            </w:pPr>
            <w:r>
              <w:rPr>
                <w:rFonts w:hint="eastAsia"/>
                <w:b/>
                <w:bCs/>
                <w:color w:val="auto"/>
                <w:u w:val="single"/>
                <w:lang w:val="en-US" w:eastAsia="zh-CN"/>
              </w:rPr>
              <w:t>酸站</w:t>
            </w:r>
          </w:p>
        </w:tc>
        <w:tc>
          <w:tcPr>
            <w:tcW w:w="625" w:type="pct"/>
            <w:tcMar>
              <w:left w:w="28" w:type="dxa"/>
              <w:right w:w="28" w:type="dxa"/>
            </w:tcMar>
            <w:vAlign w:val="center"/>
          </w:tcPr>
          <w:p>
            <w:pPr>
              <w:pStyle w:val="182"/>
              <w:bidi w:val="0"/>
              <w:rPr>
                <w:rFonts w:hint="eastAsia"/>
                <w:b/>
                <w:bCs/>
                <w:color w:val="auto"/>
                <w:u w:val="single"/>
                <w:lang w:val="en-US" w:eastAsia="zh-CN"/>
              </w:rPr>
            </w:pPr>
            <w:r>
              <w:rPr>
                <w:rFonts w:hint="eastAsia"/>
                <w:b/>
                <w:bCs/>
                <w:color w:val="auto"/>
                <w:u w:val="single"/>
                <w:lang w:val="en-US" w:eastAsia="zh-CN"/>
              </w:rPr>
              <w:t>硫酸雾</w:t>
            </w:r>
          </w:p>
        </w:tc>
        <w:tc>
          <w:tcPr>
            <w:tcW w:w="1261" w:type="pct"/>
            <w:tcMar>
              <w:left w:w="28" w:type="dxa"/>
              <w:right w:w="28" w:type="dxa"/>
            </w:tcMar>
            <w:vAlign w:val="center"/>
          </w:tcPr>
          <w:p>
            <w:pPr>
              <w:pStyle w:val="182"/>
              <w:bidi w:val="0"/>
              <w:rPr>
                <w:rFonts w:hint="default"/>
                <w:b/>
                <w:bCs/>
                <w:color w:val="auto"/>
                <w:u w:val="single"/>
                <w:lang w:val="en-US" w:eastAsia="zh-CN"/>
              </w:rPr>
            </w:pPr>
            <w:r>
              <w:rPr>
                <w:rFonts w:hint="eastAsia"/>
                <w:b/>
                <w:bCs/>
                <w:color w:val="auto"/>
                <w:u w:val="single"/>
                <w:lang w:val="en-US" w:eastAsia="zh-CN"/>
              </w:rPr>
              <w:t>0.0002</w:t>
            </w:r>
          </w:p>
        </w:tc>
        <w:tc>
          <w:tcPr>
            <w:tcW w:w="549" w:type="pct"/>
            <w:tcMar>
              <w:left w:w="28" w:type="dxa"/>
              <w:right w:w="28" w:type="dxa"/>
            </w:tcMar>
            <w:vAlign w:val="center"/>
          </w:tcPr>
          <w:p>
            <w:pPr>
              <w:pStyle w:val="182"/>
              <w:bidi w:val="0"/>
              <w:rPr>
                <w:rFonts w:hint="default"/>
                <w:b/>
                <w:bCs/>
                <w:color w:val="auto"/>
                <w:u w:val="single"/>
                <w:lang w:val="en-US" w:eastAsia="zh-CN"/>
              </w:rPr>
            </w:pPr>
            <w:r>
              <w:rPr>
                <w:rFonts w:hint="eastAsia"/>
                <w:b/>
                <w:bCs/>
                <w:color w:val="auto"/>
                <w:u w:val="single"/>
                <w:lang w:val="en-US" w:eastAsia="zh-CN"/>
              </w:rPr>
              <w:t>0.0001</w:t>
            </w:r>
          </w:p>
        </w:tc>
        <w:tc>
          <w:tcPr>
            <w:tcW w:w="564" w:type="pct"/>
            <w:shd w:val="clear" w:color="auto" w:fill="auto"/>
            <w:tcMar>
              <w:left w:w="28" w:type="dxa"/>
              <w:right w:w="28" w:type="dxa"/>
            </w:tcMar>
            <w:vAlign w:val="center"/>
          </w:tcPr>
          <w:p>
            <w:pPr>
              <w:pStyle w:val="182"/>
              <w:bidi w:val="0"/>
              <w:rPr>
                <w:b/>
                <w:bCs/>
                <w:color w:val="auto"/>
                <w:u w:val="single"/>
              </w:rPr>
            </w:pPr>
            <w:r>
              <w:rPr>
                <w:b/>
                <w:bCs/>
                <w:color w:val="auto"/>
                <w:u w:val="single"/>
              </w:rPr>
              <w:t>--</w:t>
            </w:r>
          </w:p>
        </w:tc>
        <w:tc>
          <w:tcPr>
            <w:tcW w:w="500" w:type="pct"/>
            <w:tcMar>
              <w:left w:w="28" w:type="dxa"/>
              <w:right w:w="28" w:type="dxa"/>
            </w:tcMar>
            <w:vAlign w:val="center"/>
          </w:tcPr>
          <w:p>
            <w:pPr>
              <w:pStyle w:val="182"/>
              <w:bidi w:val="0"/>
              <w:rPr>
                <w:rFonts w:hint="eastAsia"/>
                <w:b/>
                <w:bCs/>
                <w:color w:val="auto"/>
                <w:u w:val="single"/>
                <w:lang w:val="en-US" w:eastAsia="zh-CN"/>
              </w:rPr>
            </w:pPr>
            <w:r>
              <w:rPr>
                <w:rFonts w:hint="eastAsia"/>
                <w:b/>
                <w:bCs/>
                <w:color w:val="auto"/>
                <w:u w:val="single"/>
                <w:lang w:val="en-US"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593" w:type="pct"/>
            <w:tcMar>
              <w:left w:w="28" w:type="dxa"/>
              <w:right w:w="28" w:type="dxa"/>
            </w:tcMar>
            <w:vAlign w:val="center"/>
          </w:tcPr>
          <w:p>
            <w:pPr>
              <w:pStyle w:val="182"/>
              <w:bidi w:val="0"/>
              <w:rPr>
                <w:rFonts w:hint="default"/>
                <w:b/>
                <w:bCs/>
                <w:color w:val="auto"/>
                <w:u w:val="single"/>
                <w:lang w:val="en-US" w:eastAsia="zh-CN"/>
              </w:rPr>
            </w:pPr>
            <w:r>
              <w:rPr>
                <w:rFonts w:hint="eastAsia"/>
                <w:b/>
                <w:bCs/>
                <w:color w:val="auto"/>
                <w:u w:val="single"/>
                <w:lang w:val="en-US" w:eastAsia="zh-CN"/>
              </w:rPr>
              <w:t>有组织</w:t>
            </w:r>
          </w:p>
        </w:tc>
        <w:tc>
          <w:tcPr>
            <w:tcW w:w="904" w:type="pct"/>
            <w:tcMar>
              <w:left w:w="28" w:type="dxa"/>
              <w:right w:w="28" w:type="dxa"/>
            </w:tcMar>
            <w:vAlign w:val="center"/>
          </w:tcPr>
          <w:p>
            <w:pPr>
              <w:pStyle w:val="182"/>
              <w:bidi w:val="0"/>
              <w:rPr>
                <w:rFonts w:hint="default"/>
                <w:b/>
                <w:bCs/>
                <w:color w:val="auto"/>
                <w:u w:val="single"/>
                <w:lang w:val="en-US" w:eastAsia="zh-CN"/>
              </w:rPr>
            </w:pPr>
            <w:r>
              <w:rPr>
                <w:rFonts w:hint="eastAsia"/>
                <w:b/>
                <w:bCs/>
                <w:color w:val="auto"/>
                <w:u w:val="single"/>
                <w:lang w:val="en-US" w:eastAsia="zh-CN"/>
              </w:rPr>
              <w:t>木质素混合物干燥</w:t>
            </w:r>
          </w:p>
        </w:tc>
        <w:tc>
          <w:tcPr>
            <w:tcW w:w="625" w:type="pct"/>
            <w:tcMar>
              <w:left w:w="28" w:type="dxa"/>
              <w:right w:w="28" w:type="dxa"/>
            </w:tcMar>
            <w:vAlign w:val="center"/>
          </w:tcPr>
          <w:p>
            <w:pPr>
              <w:pStyle w:val="182"/>
              <w:bidi w:val="0"/>
              <w:rPr>
                <w:rFonts w:hint="default"/>
                <w:b/>
                <w:bCs/>
                <w:color w:val="auto"/>
                <w:u w:val="single"/>
                <w:lang w:val="en-US" w:eastAsia="zh-CN"/>
              </w:rPr>
            </w:pPr>
            <w:r>
              <w:rPr>
                <w:rFonts w:hint="eastAsia"/>
                <w:b/>
                <w:bCs/>
                <w:color w:val="auto"/>
                <w:u w:val="single"/>
                <w:lang w:val="en-US" w:eastAsia="zh-CN"/>
              </w:rPr>
              <w:t>颗粒物</w:t>
            </w:r>
          </w:p>
        </w:tc>
        <w:tc>
          <w:tcPr>
            <w:tcW w:w="1261" w:type="pct"/>
            <w:tcMar>
              <w:left w:w="28" w:type="dxa"/>
              <w:right w:w="28" w:type="dxa"/>
            </w:tcMar>
            <w:vAlign w:val="center"/>
          </w:tcPr>
          <w:p>
            <w:pPr>
              <w:pStyle w:val="182"/>
              <w:bidi w:val="0"/>
              <w:rPr>
                <w:rFonts w:hint="default"/>
                <w:b/>
                <w:bCs/>
                <w:color w:val="auto"/>
                <w:u w:val="single"/>
                <w:lang w:val="en-US" w:eastAsia="zh-CN"/>
              </w:rPr>
            </w:pPr>
            <w:r>
              <w:rPr>
                <w:rFonts w:hint="eastAsia"/>
                <w:b/>
                <w:bCs/>
                <w:color w:val="auto"/>
                <w:u w:val="single"/>
                <w:lang w:val="en-US" w:eastAsia="zh-CN"/>
              </w:rPr>
              <w:t>1.6689</w:t>
            </w:r>
          </w:p>
        </w:tc>
        <w:tc>
          <w:tcPr>
            <w:tcW w:w="549" w:type="pct"/>
            <w:tcMar>
              <w:left w:w="28" w:type="dxa"/>
              <w:right w:w="28" w:type="dxa"/>
            </w:tcMar>
            <w:vAlign w:val="center"/>
          </w:tcPr>
          <w:p>
            <w:pPr>
              <w:pStyle w:val="182"/>
              <w:bidi w:val="0"/>
              <w:rPr>
                <w:rFonts w:hint="default"/>
                <w:b/>
                <w:bCs/>
                <w:color w:val="auto"/>
                <w:u w:val="single"/>
                <w:lang w:val="en-US" w:eastAsia="zh-CN"/>
              </w:rPr>
            </w:pPr>
            <w:r>
              <w:rPr>
                <w:rFonts w:hint="eastAsia"/>
                <w:b/>
                <w:bCs/>
                <w:color w:val="auto"/>
                <w:u w:val="single"/>
                <w:lang w:val="en-US" w:eastAsia="zh-CN"/>
              </w:rPr>
              <w:t>0.1854</w:t>
            </w:r>
          </w:p>
        </w:tc>
        <w:tc>
          <w:tcPr>
            <w:tcW w:w="564" w:type="pct"/>
            <w:shd w:val="clear" w:color="auto" w:fill="auto"/>
            <w:tcMar>
              <w:left w:w="28" w:type="dxa"/>
              <w:right w:w="28" w:type="dxa"/>
            </w:tcMar>
            <w:vAlign w:val="center"/>
          </w:tcPr>
          <w:p>
            <w:pPr>
              <w:pStyle w:val="182"/>
              <w:bidi w:val="0"/>
              <w:rPr>
                <w:b/>
                <w:bCs/>
                <w:color w:val="auto"/>
                <w:u w:val="single"/>
              </w:rPr>
            </w:pPr>
            <w:r>
              <w:rPr>
                <w:b/>
                <w:bCs/>
                <w:color w:val="auto"/>
                <w:u w:val="single"/>
              </w:rPr>
              <w:t>--</w:t>
            </w:r>
          </w:p>
        </w:tc>
        <w:tc>
          <w:tcPr>
            <w:tcW w:w="500" w:type="pct"/>
            <w:tcMar>
              <w:left w:w="28" w:type="dxa"/>
              <w:right w:w="28" w:type="dxa"/>
            </w:tcMar>
            <w:vAlign w:val="center"/>
          </w:tcPr>
          <w:p>
            <w:pPr>
              <w:pStyle w:val="182"/>
              <w:bidi w:val="0"/>
              <w:rPr>
                <w:rFonts w:hint="default"/>
                <w:b/>
                <w:bCs/>
                <w:color w:val="auto"/>
                <w:u w:val="single"/>
                <w:lang w:val="en-US" w:eastAsia="zh-CN"/>
              </w:rPr>
            </w:pPr>
            <w:r>
              <w:rPr>
                <w:rFonts w:hint="eastAsia"/>
                <w:b/>
                <w:bCs/>
                <w:color w:val="auto"/>
                <w:u w:val="single"/>
                <w:lang w:val="en-US" w:eastAsia="zh-CN"/>
              </w:rPr>
              <w:t>三级</w:t>
            </w:r>
          </w:p>
        </w:tc>
      </w:tr>
      <w:bookmarkEnd w:id="132"/>
    </w:tbl>
    <w:p>
      <w:pPr>
        <w:bidi w:val="0"/>
        <w:rPr>
          <w:b/>
          <w:bCs/>
          <w:color w:val="auto"/>
          <w:u w:val="single"/>
        </w:rPr>
      </w:pPr>
      <w:r>
        <w:rPr>
          <w:b/>
          <w:bCs/>
          <w:color w:val="auto"/>
          <w:u w:val="single"/>
        </w:rPr>
        <w:t>由上表可知，</w:t>
      </w:r>
      <w:r>
        <w:rPr>
          <w:rFonts w:hint="eastAsia"/>
          <w:b/>
          <w:bCs/>
          <w:color w:val="auto"/>
          <w:u w:val="single"/>
        </w:rPr>
        <w:t>菌草堆料库</w:t>
      </w:r>
      <w:r>
        <w:rPr>
          <w:rFonts w:hint="eastAsia"/>
          <w:b/>
          <w:bCs/>
          <w:color w:val="auto"/>
          <w:u w:val="single"/>
          <w:lang w:val="en-US" w:eastAsia="zh-CN"/>
        </w:rPr>
        <w:t>颗粒物的</w:t>
      </w:r>
      <w:r>
        <w:rPr>
          <w:b/>
          <w:bCs/>
          <w:color w:val="auto"/>
          <w:u w:val="single"/>
        </w:rPr>
        <w:t>Pmax=</w:t>
      </w:r>
      <w:r>
        <w:rPr>
          <w:rFonts w:hint="eastAsia"/>
          <w:b/>
          <w:bCs/>
          <w:color w:val="auto"/>
          <w:u w:val="single"/>
          <w:lang w:val="en-US" w:eastAsia="zh-CN"/>
        </w:rPr>
        <w:t>2.68</w:t>
      </w:r>
      <w:r>
        <w:rPr>
          <w:b/>
          <w:bCs/>
          <w:color w:val="auto"/>
          <w:u w:val="single"/>
        </w:rPr>
        <w:t>%</w:t>
      </w:r>
      <w:r>
        <w:rPr>
          <w:rFonts w:hint="eastAsia"/>
          <w:b/>
          <w:bCs/>
          <w:color w:val="auto"/>
          <w:u w:val="single"/>
        </w:rPr>
        <w:t>，</w:t>
      </w:r>
      <w:r>
        <w:rPr>
          <w:b/>
          <w:bCs/>
          <w:color w:val="auto"/>
          <w:u w:val="single"/>
        </w:rPr>
        <w:t>1%</w:t>
      </w:r>
      <w:r>
        <w:rPr>
          <w:rFonts w:hint="eastAsia"/>
          <w:b/>
          <w:bCs/>
          <w:color w:val="auto"/>
          <w:u w:val="single"/>
          <w:lang w:val="en-US" w:eastAsia="zh-CN"/>
        </w:rPr>
        <w:t>≤</w:t>
      </w:r>
      <w:r>
        <w:rPr>
          <w:b/>
          <w:bCs/>
          <w:color w:val="auto"/>
          <w:u w:val="single"/>
        </w:rPr>
        <w:t>Pmax</w:t>
      </w:r>
      <w:r>
        <w:rPr>
          <w:rFonts w:hint="eastAsia"/>
          <w:b/>
          <w:bCs/>
          <w:color w:val="auto"/>
          <w:u w:val="single"/>
          <w:lang w:val="en-US" w:eastAsia="zh-CN"/>
        </w:rPr>
        <w:t>＜</w:t>
      </w:r>
      <w:r>
        <w:rPr>
          <w:b/>
          <w:bCs/>
          <w:color w:val="auto"/>
          <w:u w:val="single"/>
        </w:rPr>
        <w:t>10%，</w:t>
      </w:r>
      <w:r>
        <w:rPr>
          <w:rFonts w:hint="eastAsia"/>
          <w:b/>
          <w:bCs/>
          <w:color w:val="auto"/>
          <w:u w:val="single"/>
        </w:rPr>
        <w:t>根据《环境影响评价技术导则</w:t>
      </w:r>
      <w:r>
        <w:rPr>
          <w:rFonts w:hint="eastAsia"/>
          <w:b/>
          <w:bCs/>
          <w:color w:val="auto"/>
          <w:u w:val="single"/>
          <w:lang w:val="en-US" w:eastAsia="zh-CN"/>
        </w:rPr>
        <w:t xml:space="preserve"> </w:t>
      </w:r>
      <w:r>
        <w:rPr>
          <w:rFonts w:hint="eastAsia"/>
          <w:b/>
          <w:bCs/>
          <w:color w:val="auto"/>
          <w:u w:val="single"/>
        </w:rPr>
        <w:t>大气环境》（</w:t>
      </w:r>
      <w:r>
        <w:rPr>
          <w:b/>
          <w:bCs/>
          <w:color w:val="auto"/>
          <w:u w:val="single"/>
        </w:rPr>
        <w:t>HJ2.2-2018）表2评价等级判别表</w:t>
      </w:r>
      <w:r>
        <w:rPr>
          <w:rFonts w:hint="eastAsia"/>
          <w:b/>
          <w:bCs/>
          <w:color w:val="auto"/>
          <w:u w:val="single"/>
        </w:rPr>
        <w:t>，</w:t>
      </w:r>
      <w:r>
        <w:rPr>
          <w:b/>
          <w:bCs/>
          <w:color w:val="auto"/>
          <w:u w:val="single"/>
        </w:rPr>
        <w:t>评价等级为</w:t>
      </w:r>
      <w:r>
        <w:rPr>
          <w:rFonts w:hint="eastAsia"/>
          <w:b/>
          <w:bCs/>
          <w:color w:val="auto"/>
          <w:u w:val="single"/>
          <w:lang w:val="en-US" w:eastAsia="zh-CN"/>
        </w:rPr>
        <w:t>二</w:t>
      </w:r>
      <w:r>
        <w:rPr>
          <w:b/>
          <w:bCs/>
          <w:color w:val="auto"/>
          <w:u w:val="single"/>
        </w:rPr>
        <w:t>级。</w:t>
      </w:r>
    </w:p>
    <w:p>
      <w:pPr>
        <w:rPr>
          <w:rFonts w:hint="eastAsia"/>
          <w:b/>
          <w:bCs/>
          <w:color w:val="auto"/>
          <w:u w:val="single"/>
          <w:lang w:eastAsia="zh-CN"/>
        </w:rPr>
      </w:pPr>
      <w:r>
        <w:rPr>
          <w:rFonts w:hint="eastAsia"/>
          <w:b/>
          <w:bCs/>
          <w:color w:val="auto"/>
          <w:u w:val="single"/>
          <w:lang w:val="en-US" w:eastAsia="zh-CN"/>
        </w:rPr>
        <w:t>硫酸雾</w:t>
      </w:r>
      <w:r>
        <w:rPr>
          <w:rFonts w:hint="eastAsia"/>
          <w:b/>
          <w:bCs/>
          <w:color w:val="auto"/>
          <w:u w:val="single"/>
        </w:rPr>
        <w:t>的Pmax=</w:t>
      </w:r>
      <w:r>
        <w:rPr>
          <w:rFonts w:hint="eastAsia"/>
          <w:b/>
          <w:bCs/>
          <w:color w:val="auto"/>
          <w:u w:val="single"/>
          <w:lang w:val="en-US" w:eastAsia="zh-CN"/>
        </w:rPr>
        <w:t>0.0001</w:t>
      </w:r>
      <w:r>
        <w:rPr>
          <w:rFonts w:hint="eastAsia"/>
          <w:b/>
          <w:bCs/>
          <w:color w:val="auto"/>
          <w:u w:val="single"/>
        </w:rPr>
        <w:t>%，Pmax&lt;1%，根据《环境影响评价技术导则</w:t>
      </w:r>
      <w:r>
        <w:rPr>
          <w:rFonts w:hint="eastAsia"/>
          <w:b/>
          <w:bCs/>
          <w:color w:val="auto"/>
          <w:u w:val="single"/>
          <w:lang w:val="en-US" w:eastAsia="zh-CN"/>
        </w:rPr>
        <w:t xml:space="preserve">  </w:t>
      </w:r>
      <w:r>
        <w:rPr>
          <w:rFonts w:hint="eastAsia"/>
          <w:b/>
          <w:bCs/>
          <w:color w:val="auto"/>
          <w:u w:val="single"/>
        </w:rPr>
        <w:t>大气环境》（HJ2.2-2018）表2评价等级判别表，评价等级为</w:t>
      </w:r>
      <w:r>
        <w:rPr>
          <w:rFonts w:hint="eastAsia"/>
          <w:b/>
          <w:bCs/>
          <w:color w:val="auto"/>
          <w:u w:val="single"/>
          <w:lang w:val="en-US" w:eastAsia="zh-CN"/>
        </w:rPr>
        <w:t>三</w:t>
      </w:r>
      <w:r>
        <w:rPr>
          <w:rFonts w:hint="eastAsia"/>
          <w:b/>
          <w:bCs/>
          <w:color w:val="auto"/>
          <w:u w:val="single"/>
        </w:rPr>
        <w:t>级</w:t>
      </w:r>
      <w:r>
        <w:rPr>
          <w:rFonts w:hint="eastAsia"/>
          <w:b/>
          <w:bCs/>
          <w:color w:val="auto"/>
          <w:u w:val="single"/>
          <w:lang w:eastAsia="zh-CN"/>
        </w:rPr>
        <w:t>。</w:t>
      </w:r>
    </w:p>
    <w:p>
      <w:pPr>
        <w:bidi w:val="0"/>
        <w:rPr>
          <w:rFonts w:hint="eastAsia"/>
          <w:b/>
          <w:bCs/>
          <w:color w:val="auto"/>
          <w:u w:val="single"/>
          <w:lang w:eastAsia="zh-CN"/>
        </w:rPr>
      </w:pPr>
      <w:r>
        <w:rPr>
          <w:rFonts w:hint="eastAsia"/>
          <w:b/>
          <w:bCs/>
          <w:color w:val="auto"/>
          <w:u w:val="single"/>
          <w:lang w:val="en-US" w:eastAsia="zh-CN"/>
        </w:rPr>
        <w:t>木质素混合物干燥颗粒物</w:t>
      </w:r>
      <w:r>
        <w:rPr>
          <w:rFonts w:hint="eastAsia"/>
          <w:b/>
          <w:bCs/>
          <w:color w:val="auto"/>
          <w:u w:val="single"/>
        </w:rPr>
        <w:t>的Pmax=</w:t>
      </w:r>
      <w:r>
        <w:rPr>
          <w:rFonts w:hint="eastAsia"/>
          <w:b/>
          <w:bCs/>
          <w:color w:val="auto"/>
          <w:u w:val="single"/>
          <w:lang w:val="en-US" w:eastAsia="zh-CN"/>
        </w:rPr>
        <w:t>0.1854</w:t>
      </w:r>
      <w:r>
        <w:rPr>
          <w:rFonts w:hint="eastAsia"/>
          <w:b/>
          <w:bCs/>
          <w:color w:val="auto"/>
          <w:u w:val="single"/>
        </w:rPr>
        <w:t>%，Pmax&lt;1%，根据《环境影响评价技术导则</w:t>
      </w:r>
      <w:r>
        <w:rPr>
          <w:rFonts w:hint="eastAsia"/>
          <w:b/>
          <w:bCs/>
          <w:color w:val="auto"/>
          <w:u w:val="single"/>
          <w:lang w:val="en-US" w:eastAsia="zh-CN"/>
        </w:rPr>
        <w:t xml:space="preserve"> </w:t>
      </w:r>
      <w:r>
        <w:rPr>
          <w:rFonts w:hint="eastAsia"/>
          <w:b/>
          <w:bCs/>
          <w:color w:val="auto"/>
          <w:u w:val="single"/>
        </w:rPr>
        <w:t>大气环境》（HJ2.2-2018）表2评价等级判别表，评价等级为</w:t>
      </w:r>
      <w:r>
        <w:rPr>
          <w:rFonts w:hint="eastAsia"/>
          <w:b/>
          <w:bCs/>
          <w:color w:val="auto"/>
          <w:u w:val="single"/>
          <w:lang w:val="en-US" w:eastAsia="zh-CN"/>
        </w:rPr>
        <w:t>三</w:t>
      </w:r>
      <w:r>
        <w:rPr>
          <w:rFonts w:hint="eastAsia"/>
          <w:b/>
          <w:bCs/>
          <w:color w:val="auto"/>
          <w:u w:val="single"/>
        </w:rPr>
        <w:t>级</w:t>
      </w:r>
      <w:r>
        <w:rPr>
          <w:rFonts w:hint="eastAsia"/>
          <w:b/>
          <w:bCs/>
          <w:color w:val="auto"/>
          <w:u w:val="single"/>
          <w:lang w:eastAsia="zh-CN"/>
        </w:rPr>
        <w:t>。</w:t>
      </w:r>
    </w:p>
    <w:p>
      <w:pPr>
        <w:bidi w:val="0"/>
        <w:rPr>
          <w:b/>
          <w:bCs/>
          <w:color w:val="auto"/>
          <w:u w:val="single"/>
        </w:rPr>
      </w:pPr>
      <w:r>
        <w:rPr>
          <w:rFonts w:hint="eastAsia"/>
          <w:b/>
          <w:bCs/>
          <w:color w:val="auto"/>
          <w:u w:val="single"/>
          <w:lang w:val="en-US" w:eastAsia="zh-CN"/>
        </w:rPr>
        <w:t>因此，本项目大气评价等级为二级。</w:t>
      </w:r>
    </w:p>
    <w:p>
      <w:pPr>
        <w:pStyle w:val="9"/>
        <w:bidi w:val="0"/>
        <w:rPr>
          <w:color w:val="auto"/>
        </w:rPr>
      </w:pPr>
      <w:r>
        <w:rPr>
          <w:color w:val="auto"/>
        </w:rPr>
        <w:t>2.5.2地表水评价工作等级</w:t>
      </w:r>
    </w:p>
    <w:p>
      <w:pPr>
        <w:bidi w:val="0"/>
        <w:rPr>
          <w:color w:val="auto"/>
        </w:rPr>
      </w:pPr>
      <w:r>
        <w:rPr>
          <w:color w:val="auto"/>
        </w:rPr>
        <w:t>根据《环境影响评价技术导则地表水环境》（HJ2.3－2018），水污染型的地表水环境影响评价工作等级的判据见表</w:t>
      </w:r>
      <w:r>
        <w:rPr>
          <w:rFonts w:hint="eastAsia"/>
          <w:color w:val="auto"/>
          <w:lang w:val="en-US" w:eastAsia="zh-CN"/>
        </w:rPr>
        <w:t>2.5-4</w:t>
      </w:r>
      <w:r>
        <w:rPr>
          <w:rFonts w:hint="eastAsia"/>
          <w:color w:val="auto"/>
        </w:rPr>
        <w:t>，</w:t>
      </w:r>
      <w:r>
        <w:rPr>
          <w:color w:val="auto"/>
        </w:rPr>
        <w:t>项目生产废水</w:t>
      </w:r>
      <w:r>
        <w:rPr>
          <w:rFonts w:hint="eastAsia"/>
          <w:color w:val="auto"/>
        </w:rPr>
        <w:t>和生活污水</w:t>
      </w:r>
      <w:r>
        <w:rPr>
          <w:color w:val="auto"/>
        </w:rPr>
        <w:t>经</w:t>
      </w:r>
      <w:r>
        <w:rPr>
          <w:rFonts w:hint="eastAsia"/>
          <w:color w:val="auto"/>
        </w:rPr>
        <w:t>厂区污水处理站处理后进入新乡市小店污水处理厂进一步处理，最终排入大沙河</w:t>
      </w:r>
      <w:r>
        <w:rPr>
          <w:color w:val="auto"/>
        </w:rPr>
        <w:t>，废水排放方式为间接排放，根据表</w:t>
      </w:r>
      <w:r>
        <w:rPr>
          <w:rFonts w:hint="eastAsia"/>
          <w:color w:val="auto"/>
          <w:lang w:val="en-US" w:eastAsia="zh-CN"/>
        </w:rPr>
        <w:t>2.5-4</w:t>
      </w:r>
      <w:r>
        <w:rPr>
          <w:color w:val="auto"/>
        </w:rPr>
        <w:t>，确定地表水环境影响评价工作等级为三级B。</w:t>
      </w:r>
    </w:p>
    <w:p>
      <w:pPr>
        <w:pStyle w:val="181"/>
        <w:bidi w:val="0"/>
        <w:rPr>
          <w:color w:val="auto"/>
        </w:rPr>
      </w:pPr>
      <w:r>
        <w:rPr>
          <w:color w:val="auto"/>
        </w:rPr>
        <w:t>表</w:t>
      </w:r>
      <w:r>
        <w:rPr>
          <w:rFonts w:hint="eastAsia"/>
          <w:color w:val="auto"/>
          <w:lang w:val="en-US" w:eastAsia="zh-CN"/>
        </w:rPr>
        <w:t>2.5-4</w:t>
      </w:r>
      <w:r>
        <w:rPr>
          <w:color w:val="auto"/>
        </w:rPr>
        <w:t xml:space="preserve">  </w:t>
      </w:r>
      <w:r>
        <w:rPr>
          <w:rFonts w:hint="eastAsia"/>
          <w:color w:val="auto"/>
          <w:lang w:val="en-US" w:eastAsia="zh-CN"/>
        </w:rPr>
        <w:t xml:space="preserve">   </w:t>
      </w:r>
      <w:r>
        <w:rPr>
          <w:color w:val="auto"/>
        </w:rPr>
        <w:t>水污染影响型建设项目评价等级判定表</w:t>
      </w:r>
    </w:p>
    <w:tbl>
      <w:tblPr>
        <w:tblStyle w:val="32"/>
        <w:tblW w:w="4998"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57" w:type="dxa"/>
          <w:bottom w:w="0" w:type="dxa"/>
          <w:right w:w="57" w:type="dxa"/>
        </w:tblCellMar>
      </w:tblPr>
      <w:tblGrid>
        <w:gridCol w:w="1468"/>
        <w:gridCol w:w="1337"/>
        <w:gridCol w:w="5612"/>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415" w:hRule="atLeast"/>
          <w:jc w:val="center"/>
        </w:trPr>
        <w:tc>
          <w:tcPr>
            <w:tcW w:w="872" w:type="pct"/>
            <w:vMerge w:val="restart"/>
            <w:vAlign w:val="center"/>
          </w:tcPr>
          <w:p>
            <w:pPr>
              <w:pStyle w:val="182"/>
              <w:bidi w:val="0"/>
              <w:rPr>
                <w:b/>
                <w:bCs/>
                <w:color w:val="auto"/>
              </w:rPr>
            </w:pPr>
            <w:r>
              <w:rPr>
                <w:b/>
                <w:bCs/>
                <w:color w:val="auto"/>
              </w:rPr>
              <w:t>评价等级</w:t>
            </w:r>
          </w:p>
        </w:tc>
        <w:tc>
          <w:tcPr>
            <w:tcW w:w="4128" w:type="pct"/>
            <w:gridSpan w:val="2"/>
            <w:vAlign w:val="center"/>
          </w:tcPr>
          <w:p>
            <w:pPr>
              <w:pStyle w:val="182"/>
              <w:bidi w:val="0"/>
              <w:rPr>
                <w:b/>
                <w:bCs/>
                <w:color w:val="auto"/>
              </w:rPr>
            </w:pPr>
            <w:r>
              <w:rPr>
                <w:b/>
                <w:bCs/>
                <w:color w:val="auto"/>
              </w:rPr>
              <w:t>判定依据</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Merge w:val="continue"/>
            <w:vAlign w:val="center"/>
          </w:tcPr>
          <w:p>
            <w:pPr>
              <w:pStyle w:val="182"/>
              <w:bidi w:val="0"/>
              <w:rPr>
                <w:b/>
                <w:bCs/>
                <w:color w:val="auto"/>
              </w:rPr>
            </w:pPr>
          </w:p>
        </w:tc>
        <w:tc>
          <w:tcPr>
            <w:tcW w:w="794" w:type="pct"/>
            <w:vAlign w:val="center"/>
          </w:tcPr>
          <w:p>
            <w:pPr>
              <w:pStyle w:val="182"/>
              <w:bidi w:val="0"/>
              <w:rPr>
                <w:b/>
                <w:bCs/>
                <w:color w:val="auto"/>
              </w:rPr>
            </w:pPr>
            <w:r>
              <w:rPr>
                <w:b/>
                <w:bCs/>
                <w:color w:val="auto"/>
              </w:rPr>
              <w:t>排放方式</w:t>
            </w:r>
          </w:p>
        </w:tc>
        <w:tc>
          <w:tcPr>
            <w:tcW w:w="3334" w:type="pct"/>
            <w:vAlign w:val="center"/>
          </w:tcPr>
          <w:p>
            <w:pPr>
              <w:pStyle w:val="182"/>
              <w:bidi w:val="0"/>
              <w:rPr>
                <w:b/>
                <w:bCs/>
                <w:color w:val="auto"/>
              </w:rPr>
            </w:pPr>
            <w:r>
              <w:rPr>
                <w:b/>
                <w:bCs/>
                <w:color w:val="auto"/>
              </w:rPr>
              <w:t>废水排放量Q/（m</w:t>
            </w:r>
            <w:r>
              <w:rPr>
                <w:b/>
                <w:bCs/>
                <w:color w:val="auto"/>
                <w:vertAlign w:val="superscript"/>
              </w:rPr>
              <w:t>3</w:t>
            </w:r>
            <w:r>
              <w:rPr>
                <w:b/>
                <w:bCs/>
                <w:color w:val="auto"/>
              </w:rPr>
              <w:t>/d）</w:t>
            </w:r>
          </w:p>
          <w:p>
            <w:pPr>
              <w:pStyle w:val="182"/>
              <w:bidi w:val="0"/>
              <w:rPr>
                <w:b/>
                <w:bCs/>
                <w:color w:val="auto"/>
              </w:rPr>
            </w:pPr>
            <w:r>
              <w:rPr>
                <w:b/>
                <w:bCs/>
                <w:color w:val="auto"/>
              </w:rPr>
              <w:t>水污染物当量数W/（无量纲）</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Align w:val="center"/>
          </w:tcPr>
          <w:p>
            <w:pPr>
              <w:pStyle w:val="182"/>
              <w:bidi w:val="0"/>
              <w:rPr>
                <w:color w:val="auto"/>
              </w:rPr>
            </w:pPr>
            <w:r>
              <w:rPr>
                <w:color w:val="auto"/>
              </w:rPr>
              <w:t>一级</w:t>
            </w:r>
          </w:p>
        </w:tc>
        <w:tc>
          <w:tcPr>
            <w:tcW w:w="794" w:type="pct"/>
            <w:vAlign w:val="center"/>
          </w:tcPr>
          <w:p>
            <w:pPr>
              <w:pStyle w:val="182"/>
              <w:bidi w:val="0"/>
              <w:rPr>
                <w:color w:val="auto"/>
              </w:rPr>
            </w:pPr>
            <w:r>
              <w:rPr>
                <w:color w:val="auto"/>
              </w:rPr>
              <w:t>直接排放</w:t>
            </w:r>
          </w:p>
        </w:tc>
        <w:tc>
          <w:tcPr>
            <w:tcW w:w="3334" w:type="pct"/>
            <w:vAlign w:val="center"/>
          </w:tcPr>
          <w:p>
            <w:pPr>
              <w:pStyle w:val="182"/>
              <w:bidi w:val="0"/>
              <w:rPr>
                <w:color w:val="auto"/>
              </w:rPr>
            </w:pPr>
            <w:r>
              <w:rPr>
                <w:color w:val="auto"/>
              </w:rPr>
              <w:t>Q≥20000或W≥600000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Align w:val="center"/>
          </w:tcPr>
          <w:p>
            <w:pPr>
              <w:pStyle w:val="182"/>
              <w:bidi w:val="0"/>
              <w:rPr>
                <w:color w:val="auto"/>
              </w:rPr>
            </w:pPr>
            <w:r>
              <w:rPr>
                <w:color w:val="auto"/>
              </w:rPr>
              <w:t>二级</w:t>
            </w:r>
          </w:p>
        </w:tc>
        <w:tc>
          <w:tcPr>
            <w:tcW w:w="794" w:type="pct"/>
            <w:vAlign w:val="center"/>
          </w:tcPr>
          <w:p>
            <w:pPr>
              <w:pStyle w:val="182"/>
              <w:bidi w:val="0"/>
              <w:rPr>
                <w:color w:val="auto"/>
              </w:rPr>
            </w:pPr>
            <w:r>
              <w:rPr>
                <w:color w:val="auto"/>
              </w:rPr>
              <w:t>直接排放</w:t>
            </w:r>
          </w:p>
        </w:tc>
        <w:tc>
          <w:tcPr>
            <w:tcW w:w="3334" w:type="pct"/>
            <w:vAlign w:val="center"/>
          </w:tcPr>
          <w:p>
            <w:pPr>
              <w:pStyle w:val="182"/>
              <w:bidi w:val="0"/>
              <w:rPr>
                <w:color w:val="auto"/>
              </w:rPr>
            </w:pPr>
            <w:r>
              <w:rPr>
                <w:color w:val="auto"/>
              </w:rPr>
              <w:t>其他</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Align w:val="center"/>
          </w:tcPr>
          <w:p>
            <w:pPr>
              <w:pStyle w:val="182"/>
              <w:bidi w:val="0"/>
              <w:rPr>
                <w:color w:val="auto"/>
              </w:rPr>
            </w:pPr>
            <w:r>
              <w:rPr>
                <w:color w:val="auto"/>
              </w:rPr>
              <w:t>三级A</w:t>
            </w:r>
          </w:p>
        </w:tc>
        <w:tc>
          <w:tcPr>
            <w:tcW w:w="794" w:type="pct"/>
            <w:vAlign w:val="center"/>
          </w:tcPr>
          <w:p>
            <w:pPr>
              <w:pStyle w:val="182"/>
              <w:bidi w:val="0"/>
              <w:rPr>
                <w:color w:val="auto"/>
              </w:rPr>
            </w:pPr>
            <w:r>
              <w:rPr>
                <w:color w:val="auto"/>
              </w:rPr>
              <w:t>直接排放</w:t>
            </w:r>
          </w:p>
        </w:tc>
        <w:tc>
          <w:tcPr>
            <w:tcW w:w="3334" w:type="pct"/>
            <w:vAlign w:val="center"/>
          </w:tcPr>
          <w:p>
            <w:pPr>
              <w:pStyle w:val="182"/>
              <w:bidi w:val="0"/>
              <w:rPr>
                <w:color w:val="auto"/>
              </w:rPr>
            </w:pPr>
            <w:r>
              <w:rPr>
                <w:color w:val="auto"/>
              </w:rPr>
              <w:t>Q&lt;200或W&lt;6000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Align w:val="center"/>
          </w:tcPr>
          <w:p>
            <w:pPr>
              <w:pStyle w:val="182"/>
              <w:bidi w:val="0"/>
              <w:rPr>
                <w:color w:val="auto"/>
              </w:rPr>
            </w:pPr>
            <w:r>
              <w:rPr>
                <w:color w:val="auto"/>
              </w:rPr>
              <w:t>三级B</w:t>
            </w:r>
          </w:p>
        </w:tc>
        <w:tc>
          <w:tcPr>
            <w:tcW w:w="794" w:type="pct"/>
            <w:vAlign w:val="center"/>
          </w:tcPr>
          <w:p>
            <w:pPr>
              <w:pStyle w:val="182"/>
              <w:bidi w:val="0"/>
              <w:rPr>
                <w:color w:val="auto"/>
              </w:rPr>
            </w:pPr>
            <w:r>
              <w:rPr>
                <w:color w:val="auto"/>
              </w:rPr>
              <w:t>间接排放</w:t>
            </w:r>
          </w:p>
        </w:tc>
        <w:tc>
          <w:tcPr>
            <w:tcW w:w="3334" w:type="pct"/>
            <w:vAlign w:val="center"/>
          </w:tcPr>
          <w:p>
            <w:pPr>
              <w:pStyle w:val="182"/>
              <w:bidi w:val="0"/>
              <w:rPr>
                <w:color w:val="auto"/>
              </w:rPr>
            </w:pPr>
            <w:r>
              <w:rPr>
                <w:color w:val="auto"/>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3"/>
            <w:vAlign w:val="center"/>
          </w:tcPr>
          <w:p>
            <w:pPr>
              <w:pStyle w:val="182"/>
              <w:bidi w:val="0"/>
              <w:jc w:val="left"/>
              <w:rPr>
                <w:color w:val="auto"/>
              </w:rPr>
            </w:pPr>
            <w:r>
              <w:rPr>
                <w:color w:val="auto"/>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pStyle w:val="182"/>
              <w:bidi w:val="0"/>
              <w:jc w:val="left"/>
              <w:rPr>
                <w:color w:val="auto"/>
              </w:rPr>
            </w:pPr>
            <w:r>
              <w:rPr>
                <w:color w:val="auto"/>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pStyle w:val="182"/>
              <w:bidi w:val="0"/>
              <w:jc w:val="left"/>
              <w:rPr>
                <w:color w:val="auto"/>
              </w:rPr>
            </w:pPr>
            <w:r>
              <w:rPr>
                <w:color w:val="auto"/>
              </w:rPr>
              <w:t>注3：厂区存在堆积物（露天堆放的原料、燃料、废渣等以及垃圾堆放场）、降尘污染的，应将初期雨污水纳入废水排放量，相应的主要污染物纳入水污染物当量计算。</w:t>
            </w:r>
          </w:p>
          <w:p>
            <w:pPr>
              <w:pStyle w:val="182"/>
              <w:bidi w:val="0"/>
              <w:jc w:val="left"/>
              <w:rPr>
                <w:color w:val="auto"/>
              </w:rPr>
            </w:pPr>
            <w:r>
              <w:rPr>
                <w:color w:val="auto"/>
              </w:rPr>
              <w:t>注4：建设项目直接排放第一类污染物的，其评价等级为一级；建设项目直接排放的污染物为受纳水体超标因子的，评价等级不低于二级。</w:t>
            </w:r>
          </w:p>
          <w:p>
            <w:pPr>
              <w:pStyle w:val="182"/>
              <w:bidi w:val="0"/>
              <w:jc w:val="left"/>
              <w:rPr>
                <w:color w:val="auto"/>
              </w:rPr>
            </w:pPr>
            <w:r>
              <w:rPr>
                <w:color w:val="auto"/>
              </w:rPr>
              <w:t>注5：直接排放受纳水体影响范围涉及饮用水水源保护区、饮用水取水口，重点保护与珍稀水生生物的栖息地、重要水生生物的自然产卵场等保护目标时，评价等级不低于二级。</w:t>
            </w:r>
          </w:p>
          <w:p>
            <w:pPr>
              <w:pStyle w:val="182"/>
              <w:bidi w:val="0"/>
              <w:jc w:val="left"/>
              <w:rPr>
                <w:color w:val="auto"/>
              </w:rPr>
            </w:pPr>
            <w:r>
              <w:rPr>
                <w:color w:val="auto"/>
              </w:rPr>
              <w:t>注6：建设项目向河流、湖库排放温排水引起受纳水体水温变化超过水环境质量标准要求，且评价范围有水温敏感目标时，评价等级为一级。</w:t>
            </w:r>
          </w:p>
          <w:p>
            <w:pPr>
              <w:pStyle w:val="182"/>
              <w:bidi w:val="0"/>
              <w:jc w:val="left"/>
              <w:rPr>
                <w:color w:val="auto"/>
              </w:rPr>
            </w:pPr>
            <w:r>
              <w:rPr>
                <w:color w:val="auto"/>
              </w:rPr>
              <w:t>注7：建设项目利用海水作为调节温度介质，排水量≥500万m</w:t>
            </w:r>
            <w:r>
              <w:rPr>
                <w:color w:val="auto"/>
                <w:vertAlign w:val="superscript"/>
              </w:rPr>
              <w:t>3</w:t>
            </w:r>
            <w:r>
              <w:rPr>
                <w:color w:val="auto"/>
              </w:rPr>
              <w:t>/d，评价等级为一级：排水量</w:t>
            </w:r>
            <w:r>
              <w:rPr>
                <w:rFonts w:hint="eastAsia"/>
                <w:color w:val="auto"/>
                <w:lang w:eastAsia="zh-CN"/>
              </w:rPr>
              <w:t>&lt;</w:t>
            </w:r>
            <w:r>
              <w:rPr>
                <w:color w:val="auto"/>
              </w:rPr>
              <w:t>500万m</w:t>
            </w:r>
            <w:r>
              <w:rPr>
                <w:color w:val="auto"/>
                <w:vertAlign w:val="superscript"/>
              </w:rPr>
              <w:t>3</w:t>
            </w:r>
            <w:r>
              <w:rPr>
                <w:color w:val="auto"/>
              </w:rPr>
              <w:t>/d，评价等级为二级。</w:t>
            </w:r>
          </w:p>
          <w:p>
            <w:pPr>
              <w:pStyle w:val="182"/>
              <w:bidi w:val="0"/>
              <w:jc w:val="left"/>
              <w:rPr>
                <w:color w:val="auto"/>
              </w:rPr>
            </w:pPr>
            <w:r>
              <w:rPr>
                <w:color w:val="auto"/>
              </w:rPr>
              <w:t>注8：仅涉及清净下水排放的，如其排放水质满足受纳水体水环境质量标准要求的，评价等级为三级A。</w:t>
            </w:r>
          </w:p>
          <w:p>
            <w:pPr>
              <w:pStyle w:val="182"/>
              <w:bidi w:val="0"/>
              <w:jc w:val="left"/>
              <w:rPr>
                <w:color w:val="auto"/>
              </w:rPr>
            </w:pPr>
            <w:r>
              <w:rPr>
                <w:color w:val="auto"/>
              </w:rPr>
              <w:t>注9：依托现有排放口，且对外环境未新增排放污染物的直接排放建设项目，评价等级参照间接排放，定为三级B。</w:t>
            </w:r>
          </w:p>
          <w:p>
            <w:pPr>
              <w:pStyle w:val="182"/>
              <w:bidi w:val="0"/>
              <w:jc w:val="left"/>
              <w:rPr>
                <w:color w:val="auto"/>
              </w:rPr>
            </w:pPr>
            <w:r>
              <w:rPr>
                <w:color w:val="auto"/>
              </w:rPr>
              <w:t>注10：建设项目生产工艺中有废水产生，但作为回水利用，不排放到外环境的，按三级B评价。</w:t>
            </w:r>
          </w:p>
        </w:tc>
      </w:tr>
    </w:tbl>
    <w:p>
      <w:pPr>
        <w:pStyle w:val="9"/>
        <w:bidi w:val="0"/>
        <w:rPr>
          <w:color w:val="auto"/>
        </w:rPr>
      </w:pPr>
      <w:bookmarkStart w:id="133" w:name="_TOC_250245"/>
      <w:bookmarkEnd w:id="133"/>
      <w:r>
        <w:rPr>
          <w:color w:val="auto"/>
        </w:rPr>
        <w:t>2.5.3地下水环境评价等级</w:t>
      </w:r>
    </w:p>
    <w:p>
      <w:pPr>
        <w:bidi w:val="0"/>
        <w:ind w:firstLine="482"/>
        <w:rPr>
          <w:color w:val="auto"/>
          <w:u w:val="single"/>
        </w:rPr>
      </w:pPr>
      <w:r>
        <w:rPr>
          <w:rFonts w:hint="default"/>
          <w:b/>
          <w:bCs/>
          <w:color w:val="auto"/>
          <w:u w:val="single"/>
        </w:rPr>
        <w:t>根据《环境影响评价技术导则 地下水环境》（HJ610-2016）建设项目对地下水环境影响的特征及分类，本项目</w:t>
      </w:r>
      <w:r>
        <w:rPr>
          <w:rFonts w:hint="default"/>
          <w:b/>
          <w:bCs/>
          <w:color w:val="auto"/>
          <w:u w:val="single"/>
          <w:lang w:eastAsia="zh-CN"/>
        </w:rPr>
        <w:t>属于</w:t>
      </w:r>
      <w:r>
        <w:rPr>
          <w:rFonts w:hint="eastAsia"/>
          <w:b/>
          <w:bCs/>
          <w:color w:val="auto"/>
          <w:u w:val="single"/>
          <w:lang w:eastAsia="zh-CN"/>
        </w:rPr>
        <w:t>Ⅱ</w:t>
      </w:r>
      <w:r>
        <w:rPr>
          <w:b/>
          <w:bCs/>
          <w:color w:val="auto"/>
          <w:u w:val="single"/>
        </w:rPr>
        <w:t>类项目</w:t>
      </w:r>
      <w:r>
        <w:rPr>
          <w:rFonts w:hint="default"/>
          <w:b/>
          <w:bCs/>
          <w:color w:val="auto"/>
          <w:u w:val="single"/>
        </w:rPr>
        <w:t>，项目周边项目厂址属于不敏感</w:t>
      </w:r>
      <w:r>
        <w:rPr>
          <w:rFonts w:hint="eastAsia"/>
          <w:b/>
          <w:bCs/>
          <w:color w:val="auto"/>
          <w:u w:val="single"/>
          <w:lang w:val="en-US" w:eastAsia="zh-CN"/>
        </w:rPr>
        <w:t>区</w:t>
      </w:r>
      <w:r>
        <w:rPr>
          <w:rFonts w:hint="default"/>
          <w:b/>
          <w:bCs/>
          <w:color w:val="auto"/>
          <w:u w:val="single"/>
        </w:rPr>
        <w:t>。根据《环境影响评价技术导则 地下水环境》（HJ610-2016）本项目地下水评价等级为</w:t>
      </w:r>
      <w:r>
        <w:rPr>
          <w:rFonts w:hint="eastAsia"/>
          <w:b/>
          <w:bCs/>
          <w:color w:val="auto"/>
          <w:u w:val="single"/>
          <w:lang w:val="en-US" w:eastAsia="zh-CN"/>
        </w:rPr>
        <w:t>三</w:t>
      </w:r>
      <w:r>
        <w:rPr>
          <w:rFonts w:hint="default"/>
          <w:b/>
          <w:bCs/>
          <w:color w:val="auto"/>
          <w:u w:val="single"/>
        </w:rPr>
        <w:t>级，具体指标判断见表</w:t>
      </w:r>
      <w:r>
        <w:rPr>
          <w:rFonts w:hint="default"/>
          <w:b/>
          <w:bCs/>
          <w:color w:val="auto"/>
          <w:u w:val="single"/>
          <w:lang w:val="en-US" w:eastAsia="zh-CN"/>
        </w:rPr>
        <w:t>2.5-5</w:t>
      </w:r>
      <w:r>
        <w:rPr>
          <w:rFonts w:hint="default"/>
          <w:b/>
          <w:bCs/>
          <w:color w:val="auto"/>
          <w:u w:val="single"/>
        </w:rPr>
        <w:t>。</w:t>
      </w:r>
    </w:p>
    <w:p>
      <w:pPr>
        <w:pStyle w:val="181"/>
        <w:bidi w:val="0"/>
        <w:rPr>
          <w:color w:val="auto"/>
        </w:rPr>
      </w:pPr>
      <w:r>
        <w:rPr>
          <w:color w:val="auto"/>
        </w:rPr>
        <w:t>表</w:t>
      </w:r>
      <w:r>
        <w:rPr>
          <w:rFonts w:hint="eastAsia"/>
          <w:color w:val="auto"/>
          <w:lang w:val="en-US" w:eastAsia="zh-CN"/>
        </w:rPr>
        <w:t>2.5-5</w:t>
      </w:r>
      <w:r>
        <w:rPr>
          <w:color w:val="auto"/>
        </w:rPr>
        <w:t xml:space="preserve">  </w:t>
      </w:r>
      <w:r>
        <w:rPr>
          <w:rFonts w:hint="eastAsia"/>
          <w:color w:val="auto"/>
          <w:lang w:val="en-US" w:eastAsia="zh-CN"/>
        </w:rPr>
        <w:t xml:space="preserve">          </w:t>
      </w:r>
      <w:r>
        <w:rPr>
          <w:color w:val="auto"/>
        </w:rPr>
        <w:t>地下水评价工作等级分级表</w:t>
      </w:r>
    </w:p>
    <w:tbl>
      <w:tblPr>
        <w:tblStyle w:val="32"/>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977"/>
        <w:gridCol w:w="2153"/>
        <w:gridCol w:w="2001"/>
        <w:gridCol w:w="239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160" w:type="pct"/>
            <w:tcBorders>
              <w:tl2br w:val="single" w:color="auto" w:sz="6" w:space="0"/>
            </w:tcBorders>
            <w:vAlign w:val="center"/>
          </w:tcPr>
          <w:p>
            <w:pPr>
              <w:pStyle w:val="182"/>
              <w:bidi w:val="0"/>
              <w:jc w:val="right"/>
              <w:rPr>
                <w:b/>
                <w:bCs/>
                <w:color w:val="auto"/>
              </w:rPr>
            </w:pPr>
            <w:r>
              <w:rPr>
                <w:b/>
                <w:bCs/>
                <w:color w:val="auto"/>
              </w:rPr>
              <w:t>项目类别</w:t>
            </w:r>
          </w:p>
          <w:p>
            <w:pPr>
              <w:pStyle w:val="182"/>
              <w:bidi w:val="0"/>
              <w:jc w:val="left"/>
              <w:rPr>
                <w:b/>
                <w:bCs/>
                <w:color w:val="auto"/>
              </w:rPr>
            </w:pPr>
            <w:r>
              <w:rPr>
                <w:b/>
                <w:bCs/>
                <w:color w:val="auto"/>
              </w:rPr>
              <w:t>敏感程度</w:t>
            </w:r>
          </w:p>
        </w:tc>
        <w:tc>
          <w:tcPr>
            <w:tcW w:w="1263" w:type="pct"/>
            <w:vAlign w:val="center"/>
          </w:tcPr>
          <w:p>
            <w:pPr>
              <w:pStyle w:val="182"/>
              <w:bidi w:val="0"/>
              <w:rPr>
                <w:b/>
                <w:bCs/>
                <w:color w:val="auto"/>
              </w:rPr>
            </w:pPr>
            <w:r>
              <w:rPr>
                <w:b/>
                <w:bCs/>
                <w:color w:val="auto"/>
              </w:rPr>
              <w:t>I 类项目</w:t>
            </w:r>
          </w:p>
        </w:tc>
        <w:tc>
          <w:tcPr>
            <w:tcW w:w="1174" w:type="pct"/>
            <w:vAlign w:val="center"/>
          </w:tcPr>
          <w:p>
            <w:pPr>
              <w:pStyle w:val="182"/>
              <w:bidi w:val="0"/>
              <w:rPr>
                <w:b/>
                <w:bCs/>
                <w:color w:val="auto"/>
              </w:rPr>
            </w:pPr>
            <w:r>
              <w:rPr>
                <w:rFonts w:hint="eastAsia"/>
                <w:b/>
                <w:bCs/>
                <w:color w:val="auto"/>
                <w:lang w:eastAsia="zh-CN"/>
              </w:rPr>
              <w:t>Ⅱ类</w:t>
            </w:r>
            <w:r>
              <w:rPr>
                <w:b/>
                <w:bCs/>
                <w:color w:val="auto"/>
              </w:rPr>
              <w:t>项目</w:t>
            </w:r>
          </w:p>
        </w:tc>
        <w:tc>
          <w:tcPr>
            <w:tcW w:w="1403" w:type="pct"/>
            <w:vAlign w:val="center"/>
          </w:tcPr>
          <w:p>
            <w:pPr>
              <w:pStyle w:val="182"/>
              <w:bidi w:val="0"/>
              <w:rPr>
                <w:b/>
                <w:bCs/>
                <w:color w:val="auto"/>
              </w:rPr>
            </w:pPr>
            <w:r>
              <w:rPr>
                <w:b/>
                <w:bCs/>
                <w:color w:val="auto"/>
              </w:rPr>
              <w:t>III类项目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00" w:hRule="atLeast"/>
        </w:trPr>
        <w:tc>
          <w:tcPr>
            <w:tcW w:w="1160" w:type="pct"/>
            <w:vAlign w:val="center"/>
          </w:tcPr>
          <w:p>
            <w:pPr>
              <w:pStyle w:val="182"/>
              <w:bidi w:val="0"/>
              <w:rPr>
                <w:color w:val="auto"/>
              </w:rPr>
            </w:pPr>
            <w:r>
              <w:rPr>
                <w:color w:val="auto"/>
              </w:rPr>
              <w:t>敏感</w:t>
            </w:r>
          </w:p>
        </w:tc>
        <w:tc>
          <w:tcPr>
            <w:tcW w:w="1263" w:type="pct"/>
            <w:vAlign w:val="center"/>
          </w:tcPr>
          <w:p>
            <w:pPr>
              <w:pStyle w:val="182"/>
              <w:bidi w:val="0"/>
              <w:rPr>
                <w:color w:val="auto"/>
              </w:rPr>
            </w:pPr>
            <w:r>
              <w:rPr>
                <w:color w:val="auto"/>
              </w:rPr>
              <w:t>一</w:t>
            </w:r>
          </w:p>
        </w:tc>
        <w:tc>
          <w:tcPr>
            <w:tcW w:w="1174" w:type="pct"/>
            <w:vAlign w:val="center"/>
          </w:tcPr>
          <w:p>
            <w:pPr>
              <w:pStyle w:val="182"/>
              <w:bidi w:val="0"/>
              <w:rPr>
                <w:color w:val="auto"/>
              </w:rPr>
            </w:pPr>
            <w:r>
              <w:rPr>
                <w:color w:val="auto"/>
              </w:rPr>
              <w:t>一</w:t>
            </w:r>
          </w:p>
        </w:tc>
        <w:tc>
          <w:tcPr>
            <w:tcW w:w="1403" w:type="pct"/>
            <w:vAlign w:val="center"/>
          </w:tcPr>
          <w:p>
            <w:pPr>
              <w:pStyle w:val="182"/>
              <w:bidi w:val="0"/>
              <w:rPr>
                <w:color w:val="auto"/>
              </w:rPr>
            </w:pPr>
            <w:r>
              <w:rPr>
                <w:color w:val="auto"/>
              </w:rPr>
              <w:t>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160" w:type="pct"/>
            <w:vAlign w:val="center"/>
          </w:tcPr>
          <w:p>
            <w:pPr>
              <w:pStyle w:val="182"/>
              <w:bidi w:val="0"/>
              <w:rPr>
                <w:color w:val="auto"/>
              </w:rPr>
            </w:pPr>
            <w:r>
              <w:rPr>
                <w:color w:val="auto"/>
              </w:rPr>
              <w:t>较敏感</w:t>
            </w:r>
          </w:p>
        </w:tc>
        <w:tc>
          <w:tcPr>
            <w:tcW w:w="1263" w:type="pct"/>
            <w:vAlign w:val="center"/>
          </w:tcPr>
          <w:p>
            <w:pPr>
              <w:pStyle w:val="182"/>
              <w:bidi w:val="0"/>
              <w:rPr>
                <w:color w:val="auto"/>
              </w:rPr>
            </w:pPr>
            <w:r>
              <w:rPr>
                <w:color w:val="auto"/>
              </w:rPr>
              <w:t>一</w:t>
            </w:r>
          </w:p>
        </w:tc>
        <w:tc>
          <w:tcPr>
            <w:tcW w:w="1174" w:type="pct"/>
            <w:vAlign w:val="center"/>
          </w:tcPr>
          <w:p>
            <w:pPr>
              <w:pStyle w:val="182"/>
              <w:bidi w:val="0"/>
              <w:rPr>
                <w:color w:val="auto"/>
              </w:rPr>
            </w:pPr>
            <w:r>
              <w:rPr>
                <w:color w:val="auto"/>
              </w:rPr>
              <w:t>二</w:t>
            </w:r>
          </w:p>
        </w:tc>
        <w:tc>
          <w:tcPr>
            <w:tcW w:w="1403" w:type="pct"/>
            <w:vAlign w:val="center"/>
          </w:tcPr>
          <w:p>
            <w:pPr>
              <w:pStyle w:val="182"/>
              <w:bidi w:val="0"/>
              <w:rPr>
                <w:color w:val="auto"/>
              </w:rPr>
            </w:pPr>
            <w:r>
              <w:rPr>
                <w:color w:val="auto"/>
              </w:rPr>
              <w:t>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160" w:type="pct"/>
            <w:vAlign w:val="center"/>
          </w:tcPr>
          <w:p>
            <w:pPr>
              <w:pStyle w:val="182"/>
              <w:bidi w:val="0"/>
              <w:rPr>
                <w:color w:val="auto"/>
              </w:rPr>
            </w:pPr>
            <w:r>
              <w:rPr>
                <w:color w:val="auto"/>
              </w:rPr>
              <w:t>不敏感</w:t>
            </w:r>
          </w:p>
        </w:tc>
        <w:tc>
          <w:tcPr>
            <w:tcW w:w="1263" w:type="pct"/>
            <w:vAlign w:val="center"/>
          </w:tcPr>
          <w:p>
            <w:pPr>
              <w:pStyle w:val="182"/>
              <w:bidi w:val="0"/>
              <w:rPr>
                <w:color w:val="auto"/>
              </w:rPr>
            </w:pPr>
            <w:r>
              <w:rPr>
                <w:color w:val="auto"/>
              </w:rPr>
              <w:t>二</w:t>
            </w:r>
          </w:p>
        </w:tc>
        <w:tc>
          <w:tcPr>
            <w:tcW w:w="1174" w:type="pct"/>
            <w:vAlign w:val="center"/>
          </w:tcPr>
          <w:p>
            <w:pPr>
              <w:pStyle w:val="182"/>
              <w:bidi w:val="0"/>
              <w:rPr>
                <w:color w:val="auto"/>
              </w:rPr>
            </w:pPr>
            <w:r>
              <w:rPr>
                <w:color w:val="auto"/>
              </w:rPr>
              <w:t>三</w:t>
            </w:r>
          </w:p>
        </w:tc>
        <w:tc>
          <w:tcPr>
            <w:tcW w:w="1403" w:type="pct"/>
            <w:vAlign w:val="center"/>
          </w:tcPr>
          <w:p>
            <w:pPr>
              <w:pStyle w:val="182"/>
              <w:bidi w:val="0"/>
              <w:rPr>
                <w:color w:val="auto"/>
              </w:rPr>
            </w:pPr>
            <w:r>
              <w:rPr>
                <w:color w:val="auto"/>
                <w:highlight w:val="none"/>
              </w:rPr>
              <w:t>三</w:t>
            </w:r>
          </w:p>
        </w:tc>
      </w:tr>
    </w:tbl>
    <w:p>
      <w:pPr>
        <w:pStyle w:val="9"/>
        <w:bidi w:val="0"/>
        <w:rPr>
          <w:color w:val="auto"/>
        </w:rPr>
      </w:pPr>
      <w:r>
        <w:rPr>
          <w:color w:val="auto"/>
        </w:rPr>
        <w:t>2.5.4声环境评价工作等级</w:t>
      </w:r>
    </w:p>
    <w:p>
      <w:pPr>
        <w:bidi w:val="0"/>
        <w:rPr>
          <w:rFonts w:hint="eastAsia"/>
          <w:b/>
          <w:bCs/>
          <w:color w:val="auto"/>
          <w:u w:val="single"/>
        </w:rPr>
      </w:pPr>
      <w:r>
        <w:rPr>
          <w:rFonts w:hint="eastAsia"/>
          <w:b/>
          <w:bCs/>
          <w:color w:val="auto"/>
          <w:u w:val="single"/>
        </w:rPr>
        <w:t>本项目</w:t>
      </w:r>
      <w:r>
        <w:rPr>
          <w:rFonts w:hint="eastAsia"/>
          <w:b/>
          <w:bCs/>
          <w:color w:val="auto"/>
          <w:u w:val="single"/>
          <w:lang w:val="en-US" w:eastAsia="zh-CN"/>
        </w:rPr>
        <w:t>在新乡化纤股份有限公司现有新厂区场内建设</w:t>
      </w:r>
      <w:r>
        <w:rPr>
          <w:rFonts w:hint="eastAsia"/>
          <w:b/>
          <w:bCs/>
          <w:color w:val="auto"/>
          <w:u w:val="single"/>
        </w:rPr>
        <w:t>，</w:t>
      </w:r>
      <w:r>
        <w:rPr>
          <w:rFonts w:hint="eastAsia"/>
          <w:b/>
          <w:bCs/>
          <w:color w:val="auto"/>
          <w:u w:val="single"/>
          <w:lang w:val="en-US" w:eastAsia="zh-CN"/>
        </w:rPr>
        <w:t>厂区周围</w:t>
      </w:r>
      <w:r>
        <w:rPr>
          <w:rFonts w:hint="eastAsia"/>
          <w:b/>
          <w:bCs/>
          <w:color w:val="auto"/>
          <w:u w:val="single"/>
        </w:rPr>
        <w:t>无集中居民区，预计项目建设前后受噪声影响人口数量变化小，评价范围内保护目标噪声级增高量小于</w:t>
      </w:r>
      <w:r>
        <w:rPr>
          <w:rFonts w:hint="eastAsia"/>
          <w:b/>
          <w:bCs/>
          <w:color w:val="auto"/>
          <w:u w:val="single"/>
          <w:lang w:val="en-US" w:eastAsia="zh-CN"/>
        </w:rPr>
        <w:t>3</w:t>
      </w:r>
      <w:r>
        <w:rPr>
          <w:rFonts w:hint="eastAsia"/>
          <w:b/>
          <w:bCs/>
          <w:color w:val="auto"/>
          <w:u w:val="single"/>
        </w:rPr>
        <w:t>dB（A）</w:t>
      </w:r>
      <w:r>
        <w:rPr>
          <w:rFonts w:hint="eastAsia"/>
          <w:b/>
          <w:bCs/>
          <w:color w:val="auto"/>
          <w:u w:val="single"/>
          <w:lang w:eastAsia="zh-CN"/>
        </w:rPr>
        <w:t>，</w:t>
      </w:r>
      <w:r>
        <w:rPr>
          <w:rFonts w:hint="eastAsia"/>
          <w:b/>
          <w:bCs/>
          <w:color w:val="auto"/>
          <w:u w:val="single"/>
        </w:rPr>
        <w:t>按照区域环境功能，项目所在地属于环境噪声3类功能区。根据《环境影响评价技术导则 声环境》（HJ2.4-2021）中关于评价工作等级的划分原则，确定本项目声环境评价工作等级为</w:t>
      </w:r>
      <w:r>
        <w:rPr>
          <w:rFonts w:hint="eastAsia"/>
          <w:b/>
          <w:bCs/>
          <w:color w:val="auto"/>
          <w:u w:val="single"/>
          <w:lang w:val="en-US" w:eastAsia="zh-CN"/>
        </w:rPr>
        <w:t>三</w:t>
      </w:r>
      <w:r>
        <w:rPr>
          <w:rFonts w:hint="eastAsia"/>
          <w:b/>
          <w:bCs/>
          <w:color w:val="auto"/>
          <w:u w:val="single"/>
        </w:rPr>
        <w:t>级。</w:t>
      </w:r>
    </w:p>
    <w:p>
      <w:pPr>
        <w:pStyle w:val="181"/>
        <w:bidi w:val="0"/>
        <w:rPr>
          <w:color w:val="auto"/>
        </w:rPr>
      </w:pPr>
      <w:r>
        <w:rPr>
          <w:color w:val="auto"/>
        </w:rPr>
        <w:t>表2</w:t>
      </w:r>
      <w:r>
        <w:rPr>
          <w:rFonts w:hint="eastAsia"/>
          <w:color w:val="auto"/>
          <w:lang w:val="en-US" w:eastAsia="zh-CN"/>
        </w:rPr>
        <w:t>.5-6</w:t>
      </w:r>
      <w:r>
        <w:rPr>
          <w:color w:val="auto"/>
        </w:rPr>
        <w:t xml:space="preserve"> </w:t>
      </w:r>
      <w:r>
        <w:rPr>
          <w:rFonts w:hint="eastAsia"/>
          <w:color w:val="auto"/>
          <w:lang w:val="en-US" w:eastAsia="zh-CN"/>
        </w:rPr>
        <w:t xml:space="preserve">           </w:t>
      </w:r>
      <w:r>
        <w:rPr>
          <w:color w:val="auto"/>
        </w:rPr>
        <w:t>声环境评价等级</w:t>
      </w:r>
    </w:p>
    <w:tbl>
      <w:tblPr>
        <w:tblStyle w:val="32"/>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20"/>
        <w:gridCol w:w="42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535" w:type="pct"/>
            <w:vAlign w:val="center"/>
          </w:tcPr>
          <w:p>
            <w:pPr>
              <w:pStyle w:val="182"/>
              <w:bidi w:val="0"/>
              <w:rPr>
                <w:b/>
                <w:bCs/>
                <w:color w:val="auto"/>
              </w:rPr>
            </w:pPr>
            <w:r>
              <w:rPr>
                <w:b/>
                <w:bCs/>
                <w:color w:val="auto"/>
              </w:rPr>
              <w:t>项目</w:t>
            </w:r>
          </w:p>
        </w:tc>
        <w:tc>
          <w:tcPr>
            <w:tcW w:w="2464" w:type="pct"/>
            <w:vAlign w:val="center"/>
          </w:tcPr>
          <w:p>
            <w:pPr>
              <w:pStyle w:val="182"/>
              <w:bidi w:val="0"/>
              <w:rPr>
                <w:b/>
                <w:bCs/>
                <w:color w:val="auto"/>
              </w:rPr>
            </w:pPr>
            <w:r>
              <w:rPr>
                <w:b/>
                <w:bCs/>
                <w:color w:val="auto"/>
              </w:rPr>
              <w:t>指标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5" w:type="pct"/>
            <w:vAlign w:val="center"/>
          </w:tcPr>
          <w:p>
            <w:pPr>
              <w:pStyle w:val="182"/>
              <w:bidi w:val="0"/>
              <w:rPr>
                <w:color w:val="auto"/>
              </w:rPr>
            </w:pPr>
            <w:r>
              <w:rPr>
                <w:color w:val="auto"/>
              </w:rPr>
              <w:t>建设项目所在区功能</w:t>
            </w:r>
          </w:p>
        </w:tc>
        <w:tc>
          <w:tcPr>
            <w:tcW w:w="2464" w:type="pct"/>
            <w:vAlign w:val="center"/>
          </w:tcPr>
          <w:p>
            <w:pPr>
              <w:pStyle w:val="182"/>
              <w:bidi w:val="0"/>
              <w:rPr>
                <w:color w:val="auto"/>
              </w:rPr>
            </w:pPr>
            <w:r>
              <w:rPr>
                <w:rFonts w:hint="eastAsia"/>
                <w:color w:val="auto"/>
              </w:rPr>
              <w:t>3类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5" w:type="pct"/>
            <w:vAlign w:val="center"/>
          </w:tcPr>
          <w:p>
            <w:pPr>
              <w:pStyle w:val="182"/>
              <w:bidi w:val="0"/>
              <w:rPr>
                <w:color w:val="auto"/>
              </w:rPr>
            </w:pPr>
            <w:r>
              <w:rPr>
                <w:color w:val="auto"/>
              </w:rPr>
              <w:t>建设前后噪声级增加量</w:t>
            </w:r>
          </w:p>
        </w:tc>
        <w:tc>
          <w:tcPr>
            <w:tcW w:w="2464" w:type="pct"/>
            <w:vAlign w:val="center"/>
          </w:tcPr>
          <w:p>
            <w:pPr>
              <w:pStyle w:val="182"/>
              <w:bidi w:val="0"/>
              <w:rPr>
                <w:color w:val="auto"/>
              </w:rPr>
            </w:pPr>
            <w:r>
              <w:rPr>
                <w:color w:val="auto"/>
              </w:rPr>
              <w:t>预计</w:t>
            </w:r>
            <w:r>
              <w:rPr>
                <w:rFonts w:hint="eastAsia"/>
                <w:color w:val="auto"/>
              </w:rPr>
              <w:t>增加0.1</w:t>
            </w:r>
            <w:r>
              <w:rPr>
                <w:color w:val="auto"/>
              </w:rPr>
              <w:t>dB（A）</w:t>
            </w:r>
            <w:r>
              <w:rPr>
                <w:rFonts w:hint="eastAsia"/>
                <w:color w:val="auto"/>
              </w:rPr>
              <w:t>，小于</w:t>
            </w:r>
            <w:r>
              <w:rPr>
                <w:color w:val="auto"/>
              </w:rPr>
              <w:t>3dB（A）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5" w:type="pct"/>
            <w:vAlign w:val="center"/>
          </w:tcPr>
          <w:p>
            <w:pPr>
              <w:pStyle w:val="182"/>
              <w:bidi w:val="0"/>
              <w:rPr>
                <w:color w:val="auto"/>
              </w:rPr>
            </w:pPr>
            <w:r>
              <w:rPr>
                <w:color w:val="auto"/>
              </w:rPr>
              <w:t>建设前后受影响人口变化情况</w:t>
            </w:r>
          </w:p>
        </w:tc>
        <w:tc>
          <w:tcPr>
            <w:tcW w:w="2464" w:type="pct"/>
            <w:vAlign w:val="center"/>
          </w:tcPr>
          <w:p>
            <w:pPr>
              <w:pStyle w:val="182"/>
              <w:bidi w:val="0"/>
              <w:rPr>
                <w:color w:val="auto"/>
              </w:rPr>
            </w:pPr>
            <w:r>
              <w:rPr>
                <w:color w:val="auto"/>
              </w:rPr>
              <w:t>变化不大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5" w:type="pct"/>
            <w:vAlign w:val="center"/>
          </w:tcPr>
          <w:p>
            <w:pPr>
              <w:pStyle w:val="182"/>
              <w:bidi w:val="0"/>
              <w:rPr>
                <w:color w:val="auto"/>
              </w:rPr>
            </w:pPr>
            <w:r>
              <w:rPr>
                <w:color w:val="auto"/>
              </w:rPr>
              <w:t>评价等级</w:t>
            </w:r>
          </w:p>
        </w:tc>
        <w:tc>
          <w:tcPr>
            <w:tcW w:w="2464" w:type="pct"/>
            <w:vAlign w:val="center"/>
          </w:tcPr>
          <w:p>
            <w:pPr>
              <w:pStyle w:val="182"/>
              <w:bidi w:val="0"/>
              <w:rPr>
                <w:color w:val="auto"/>
              </w:rPr>
            </w:pPr>
            <w:r>
              <w:rPr>
                <w:rFonts w:hint="eastAsia"/>
                <w:color w:val="auto"/>
              </w:rPr>
              <w:t>三级</w:t>
            </w:r>
          </w:p>
        </w:tc>
      </w:tr>
    </w:tbl>
    <w:p>
      <w:pPr>
        <w:pStyle w:val="9"/>
        <w:bidi w:val="0"/>
        <w:rPr>
          <w:color w:val="auto"/>
        </w:rPr>
      </w:pPr>
      <w:bookmarkStart w:id="134" w:name="_TOC_250244"/>
      <w:bookmarkEnd w:id="134"/>
      <w:bookmarkStart w:id="135" w:name="_Toc20862"/>
      <w:bookmarkStart w:id="136" w:name="_Toc22982"/>
      <w:bookmarkStart w:id="137" w:name="_Toc29319"/>
      <w:bookmarkStart w:id="138" w:name="_Toc19468"/>
      <w:bookmarkStart w:id="139" w:name="_Toc20341"/>
      <w:bookmarkStart w:id="140" w:name="_Toc13076"/>
      <w:bookmarkStart w:id="141" w:name="_Toc2777"/>
      <w:bookmarkStart w:id="142" w:name="_Toc25731"/>
      <w:bookmarkStart w:id="143" w:name="_Toc19866"/>
      <w:bookmarkStart w:id="144" w:name="_Toc4304"/>
      <w:r>
        <w:rPr>
          <w:color w:val="auto"/>
        </w:rPr>
        <w:t>2.5.5土壤环境评价工作等级</w:t>
      </w:r>
    </w:p>
    <w:p>
      <w:pPr>
        <w:bidi w:val="0"/>
        <w:rPr>
          <w:rFonts w:hint="default" w:eastAsia="宋体"/>
          <w:color w:val="auto"/>
          <w:lang w:val="en-US" w:eastAsia="zh-CN"/>
        </w:rPr>
      </w:pPr>
      <w:r>
        <w:rPr>
          <w:rFonts w:hint="eastAsia"/>
          <w:color w:val="auto"/>
        </w:rPr>
        <w:t>根据《环境影响评价技术导则</w:t>
      </w:r>
      <w:r>
        <w:rPr>
          <w:rFonts w:hint="eastAsia"/>
          <w:color w:val="auto"/>
          <w:lang w:val="en-US" w:eastAsia="zh-CN"/>
        </w:rPr>
        <w:t xml:space="preserve"> </w:t>
      </w:r>
      <w:r>
        <w:rPr>
          <w:rFonts w:hint="eastAsia"/>
          <w:color w:val="auto"/>
        </w:rPr>
        <w:t>土壤环境（试行）》（</w:t>
      </w:r>
      <w:r>
        <w:rPr>
          <w:color w:val="auto"/>
        </w:rPr>
        <w:t>HJ 964-2018</w:t>
      </w:r>
      <w:r>
        <w:rPr>
          <w:rFonts w:hint="eastAsia"/>
          <w:color w:val="auto"/>
        </w:rPr>
        <w:t>）附录</w:t>
      </w:r>
      <w:r>
        <w:rPr>
          <w:color w:val="auto"/>
        </w:rPr>
        <w:t>A</w:t>
      </w:r>
      <w:r>
        <w:rPr>
          <w:rFonts w:hint="eastAsia"/>
          <w:color w:val="auto"/>
        </w:rPr>
        <w:t>，本项目属于化学纤维制造业，为</w:t>
      </w:r>
      <w:r>
        <w:rPr>
          <w:rFonts w:hint="eastAsia"/>
          <w:b/>
          <w:bCs/>
          <w:color w:val="auto"/>
        </w:rPr>
        <w:t>Ⅱ</w:t>
      </w:r>
      <w:r>
        <w:rPr>
          <w:rFonts w:hint="eastAsia"/>
          <w:color w:val="auto"/>
        </w:rPr>
        <w:t>类项目。本项目为污染影响型项目，在新乡化纤股份有限公司厂区内进行建设，占地面积约</w:t>
      </w:r>
      <w:r>
        <w:rPr>
          <w:rFonts w:hint="eastAsia"/>
          <w:color w:val="auto"/>
          <w:lang w:val="en-US" w:eastAsia="zh-CN"/>
        </w:rPr>
        <w:t>8.28</w:t>
      </w:r>
      <w:r>
        <w:rPr>
          <w:rFonts w:hint="eastAsia"/>
          <w:color w:val="auto"/>
        </w:rPr>
        <w:t>公顷，属于</w:t>
      </w:r>
      <w:r>
        <w:rPr>
          <w:rFonts w:hint="eastAsia"/>
          <w:color w:val="auto"/>
          <w:lang w:val="en-US" w:eastAsia="zh-CN"/>
        </w:rPr>
        <w:t>中</w:t>
      </w:r>
      <w:r>
        <w:rPr>
          <w:rFonts w:hint="eastAsia"/>
          <w:color w:val="auto"/>
        </w:rPr>
        <w:t>型建设项目。本项目最近的敏感点为</w:t>
      </w:r>
      <w:r>
        <w:rPr>
          <w:rFonts w:hint="eastAsia"/>
          <w:color w:val="auto"/>
          <w:lang w:val="en-US" w:eastAsia="zh-CN"/>
        </w:rPr>
        <w:t>西南6</w:t>
      </w:r>
      <w:r>
        <w:rPr>
          <w:rFonts w:hint="eastAsia"/>
          <w:color w:val="auto"/>
        </w:rPr>
        <w:t>00</w:t>
      </w:r>
      <w:r>
        <w:rPr>
          <w:color w:val="auto"/>
        </w:rPr>
        <w:t xml:space="preserve"> m</w:t>
      </w:r>
      <w:r>
        <w:rPr>
          <w:rFonts w:hint="eastAsia"/>
          <w:color w:val="auto"/>
        </w:rPr>
        <w:t>处的</w:t>
      </w:r>
      <w:r>
        <w:rPr>
          <w:rFonts w:hint="eastAsia"/>
          <w:color w:val="auto"/>
          <w:lang w:val="en-US" w:eastAsia="zh-CN"/>
        </w:rPr>
        <w:t>夏庄村</w:t>
      </w:r>
      <w:r>
        <w:rPr>
          <w:rFonts w:hint="eastAsia"/>
          <w:color w:val="auto"/>
        </w:rPr>
        <w:t>，因此，本项目周边的土壤环境敏感程度为不敏感。</w:t>
      </w:r>
    </w:p>
    <w:p>
      <w:pPr>
        <w:bidi w:val="0"/>
        <w:rPr>
          <w:color w:val="auto"/>
        </w:rPr>
      </w:pPr>
      <w:r>
        <w:rPr>
          <w:rFonts w:hint="eastAsia"/>
          <w:color w:val="auto"/>
        </w:rPr>
        <w:t>污染影响型评价工作等级划分依据见下表：</w:t>
      </w:r>
    </w:p>
    <w:p>
      <w:pPr>
        <w:pStyle w:val="181"/>
        <w:bidi w:val="0"/>
        <w:rPr>
          <w:color w:val="auto"/>
        </w:rPr>
      </w:pPr>
      <w:r>
        <w:rPr>
          <w:color w:val="auto"/>
        </w:rPr>
        <w:t>表2</w:t>
      </w:r>
      <w:r>
        <w:rPr>
          <w:rFonts w:hint="eastAsia"/>
          <w:color w:val="auto"/>
          <w:lang w:val="en-US" w:eastAsia="zh-CN"/>
        </w:rPr>
        <w:t>.5-7</w:t>
      </w:r>
      <w:r>
        <w:rPr>
          <w:color w:val="auto"/>
        </w:rPr>
        <w:t xml:space="preserve">  </w:t>
      </w:r>
      <w:r>
        <w:rPr>
          <w:rFonts w:hint="eastAsia"/>
          <w:color w:val="auto"/>
          <w:lang w:val="en-US" w:eastAsia="zh-CN"/>
        </w:rPr>
        <w:t xml:space="preserve">          </w:t>
      </w:r>
      <w:r>
        <w:rPr>
          <w:color w:val="auto"/>
        </w:rPr>
        <w:t>污染影响型评价工作等级划分表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948"/>
        <w:gridCol w:w="850"/>
        <w:gridCol w:w="704"/>
        <w:gridCol w:w="707"/>
        <w:gridCol w:w="709"/>
        <w:gridCol w:w="709"/>
        <w:gridCol w:w="711"/>
        <w:gridCol w:w="709"/>
        <w:gridCol w:w="706"/>
        <w:gridCol w:w="769"/>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vMerge w:val="restart"/>
            <w:tcBorders>
              <w:top w:val="single" w:color="auto" w:sz="8" w:space="0"/>
              <w:left w:val="single" w:color="auto" w:sz="8" w:space="0"/>
              <w:bottom w:val="single" w:color="auto" w:sz="6" w:space="0"/>
              <w:right w:val="single" w:color="auto" w:sz="6" w:space="0"/>
            </w:tcBorders>
            <w:vAlign w:val="center"/>
          </w:tcPr>
          <w:p>
            <w:pPr>
              <w:pStyle w:val="182"/>
              <w:bidi w:val="0"/>
              <w:rPr>
                <w:b/>
                <w:bCs/>
                <w:color w:val="auto"/>
              </w:rPr>
            </w:pPr>
            <w:r>
              <w:rPr>
                <w:b/>
                <w:bCs/>
                <w:color w:val="auto"/>
              </w:rPr>
              <w:pict>
                <v:shape id="_x0000_s2050" o:spid="_x0000_s2050" o:spt="202" type="#_x0000_t202" style="position:absolute;left:0pt;margin-left:-4.65pt;margin-top:12.1pt;height:26.8pt;width:81.65pt;z-index:251666432;mso-width-relative:page;mso-height-relative:page;" filled="f" stroked="f" coordsize="21600,21600">
                  <v:path/>
                  <v:fill on="f" focussize="0,0"/>
                  <v:stroke on="f" joinstyle="miter"/>
                  <v:imagedata o:title=""/>
                  <o:lock v:ext="edit"/>
                  <v:textbox>
                    <w:txbxContent>
                      <w:p>
                        <w:pPr>
                          <w:pStyle w:val="182"/>
                          <w:bidi w:val="0"/>
                        </w:pPr>
                        <w:r>
                          <w:rPr>
                            <w:rFonts w:hint="eastAsia"/>
                          </w:rPr>
                          <w:t>评价工作等级</w:t>
                        </w:r>
                      </w:p>
                    </w:txbxContent>
                  </v:textbox>
                </v:shape>
              </w:pict>
            </w:r>
            <w:r>
              <w:rPr>
                <w:b/>
                <w:bCs/>
                <w:color w:val="auto"/>
              </w:rPr>
              <w:pict>
                <v:shape id="_x0000_s2054" o:spid="_x0000_s2054" o:spt="32" type="#_x0000_t32" style="position:absolute;left:0pt;flip:x y;margin-left:-5.1pt;margin-top:25.4pt;height:24.65pt;width:97.2pt;z-index:251664384;mso-width-relative:page;mso-height-relative:page;" o:connectortype="straight" filled="f" coordsize="21600,21600">
                  <v:path arrowok="t"/>
                  <v:fill on="f" focussize="0,0"/>
                  <v:stroke weight="0.5pt"/>
                  <v:imagedata o:title=""/>
                  <o:lock v:ext="edit"/>
                </v:shape>
              </w:pict>
            </w:r>
            <w:r>
              <w:rPr>
                <w:b/>
                <w:bCs/>
                <w:color w:val="auto"/>
              </w:rPr>
              <w:pict>
                <v:shape id="_x0000_s2176" o:spid="_x0000_s2176" o:spt="32" type="#_x0000_t32" style="position:absolute;left:0pt;margin-left:29.45pt;margin-top:-0.9pt;height:51pt;width:62.4pt;z-index:251663360;mso-width-relative:page;mso-height-relative:page;" o:connectortype="straight" filled="f" coordsize="21600,21600">
                  <v:path arrowok="t"/>
                  <v:fill on="f" focussize="0,0"/>
                  <v:stroke weight="0.5pt"/>
                  <v:imagedata o:title=""/>
                  <o:lock v:ext="edit"/>
                </v:shape>
              </w:pict>
            </w:r>
            <w:r>
              <w:rPr>
                <w:b/>
                <w:bCs/>
                <w:color w:val="auto"/>
              </w:rPr>
              <w:pict>
                <v:shape id="_x0000_s2296" o:spid="_x0000_s2296" o:spt="202" type="#_x0000_t202" style="position:absolute;left:0pt;margin-left:-9.95pt;margin-top:29.5pt;height:20.7pt;width:61.1pt;z-index:251667456;mso-width-relative:page;mso-height-relative:page;" filled="f" stroked="f" coordsize="21600,21600">
                  <v:path/>
                  <v:fill on="f" focussize="0,0"/>
                  <v:stroke on="f" joinstyle="miter"/>
                  <v:imagedata o:title=""/>
                  <o:lock v:ext="edit"/>
                  <v:textbox>
                    <w:txbxContent>
                      <w:p>
                        <w:pPr>
                          <w:pStyle w:val="182"/>
                          <w:bidi w:val="0"/>
                        </w:pPr>
                        <w:r>
                          <w:rPr>
                            <w:rFonts w:hint="eastAsia"/>
                          </w:rPr>
                          <w:t>敏感程度</w:t>
                        </w:r>
                      </w:p>
                    </w:txbxContent>
                  </v:textbox>
                </v:shape>
              </w:pict>
            </w:r>
            <w:r>
              <w:rPr>
                <w:b/>
                <w:bCs/>
                <w:color w:val="auto"/>
              </w:rPr>
              <w:pict>
                <v:shape id="_x0000_s2297" o:spid="_x0000_s2297" o:spt="202" type="#_x0000_t202" style="position:absolute;left:0pt;margin-left:35.2pt;margin-top:-0.05pt;height:20.7pt;width:61.1pt;z-index:251665408;mso-width-relative:page;mso-height-relative:page;" filled="f" stroked="f" coordsize="21600,21600">
                  <v:path/>
                  <v:fill on="f" focussize="0,0"/>
                  <v:stroke on="f" joinstyle="miter"/>
                  <v:imagedata o:title=""/>
                  <o:lock v:ext="edit"/>
                  <v:textbox>
                    <w:txbxContent>
                      <w:p>
                        <w:pPr>
                          <w:pStyle w:val="182"/>
                          <w:bidi w:val="0"/>
                        </w:pPr>
                        <w:r>
                          <w:rPr>
                            <w:rFonts w:hint="eastAsia"/>
                          </w:rPr>
                          <w:t>占地规模</w:t>
                        </w:r>
                      </w:p>
                    </w:txbxContent>
                  </v:textbox>
                </v:shape>
              </w:pict>
            </w:r>
          </w:p>
        </w:tc>
        <w:tc>
          <w:tcPr>
            <w:tcW w:w="1327" w:type="pct"/>
            <w:gridSpan w:val="3"/>
            <w:tcBorders>
              <w:top w:val="single" w:color="auto" w:sz="8"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Ⅰ类</w:t>
            </w:r>
          </w:p>
        </w:tc>
        <w:tc>
          <w:tcPr>
            <w:tcW w:w="1249" w:type="pct"/>
            <w:gridSpan w:val="3"/>
            <w:tcBorders>
              <w:top w:val="single" w:color="auto" w:sz="8"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Ⅱ类</w:t>
            </w:r>
          </w:p>
        </w:tc>
        <w:tc>
          <w:tcPr>
            <w:tcW w:w="1280" w:type="pct"/>
            <w:gridSpan w:val="3"/>
            <w:tcBorders>
              <w:top w:val="single" w:color="auto" w:sz="8" w:space="0"/>
              <w:left w:val="single" w:color="auto" w:sz="6" w:space="0"/>
              <w:bottom w:val="single" w:color="auto" w:sz="6" w:space="0"/>
              <w:right w:val="single" w:color="auto" w:sz="8" w:space="0"/>
            </w:tcBorders>
            <w:vAlign w:val="center"/>
          </w:tcPr>
          <w:p>
            <w:pPr>
              <w:pStyle w:val="182"/>
              <w:bidi w:val="0"/>
              <w:rPr>
                <w:b/>
                <w:bCs/>
                <w:color w:val="auto"/>
              </w:rPr>
            </w:pPr>
            <w:r>
              <w:rPr>
                <w:rFonts w:hint="eastAsia"/>
                <w:b/>
                <w:bCs/>
                <w:color w:val="auto"/>
              </w:rPr>
              <w:t>Ⅲ类</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0" w:type="auto"/>
            <w:vMerge w:val="continue"/>
            <w:tcBorders>
              <w:top w:val="single" w:color="auto" w:sz="8" w:space="0"/>
              <w:left w:val="single" w:color="auto" w:sz="8" w:space="0"/>
              <w:bottom w:val="single" w:color="auto" w:sz="6" w:space="0"/>
              <w:right w:val="single" w:color="auto" w:sz="6" w:space="0"/>
            </w:tcBorders>
            <w:vAlign w:val="center"/>
          </w:tcPr>
          <w:p>
            <w:pPr>
              <w:pStyle w:val="182"/>
              <w:bidi w:val="0"/>
              <w:rPr>
                <w:b/>
                <w:bCs/>
                <w:color w:val="auto"/>
              </w:rPr>
            </w:pPr>
          </w:p>
        </w:tc>
        <w:tc>
          <w:tcPr>
            <w:tcW w:w="499"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大</w:t>
            </w:r>
          </w:p>
        </w:tc>
        <w:tc>
          <w:tcPr>
            <w:tcW w:w="413"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中</w:t>
            </w:r>
          </w:p>
        </w:tc>
        <w:tc>
          <w:tcPr>
            <w:tcW w:w="415"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小</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中</w:t>
            </w:r>
          </w:p>
        </w:tc>
        <w:tc>
          <w:tcPr>
            <w:tcW w:w="417"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小</w:t>
            </w:r>
          </w:p>
        </w:tc>
        <w:tc>
          <w:tcPr>
            <w:tcW w:w="416" w:type="pct"/>
            <w:tcBorders>
              <w:top w:val="single" w:color="auto" w:sz="6" w:space="0"/>
              <w:left w:val="single" w:color="auto" w:sz="6" w:space="0"/>
              <w:bottom w:val="single" w:color="auto" w:sz="6" w:space="0"/>
              <w:right w:val="single" w:color="auto" w:sz="4" w:space="0"/>
            </w:tcBorders>
            <w:vAlign w:val="center"/>
          </w:tcPr>
          <w:p>
            <w:pPr>
              <w:pStyle w:val="182"/>
              <w:bidi w:val="0"/>
              <w:rPr>
                <w:b/>
                <w:bCs/>
                <w:color w:val="auto"/>
              </w:rPr>
            </w:pPr>
            <w:r>
              <w:rPr>
                <w:rFonts w:hint="eastAsia"/>
                <w:b/>
                <w:bCs/>
                <w:color w:val="auto"/>
              </w:rPr>
              <w:t>大</w:t>
            </w:r>
          </w:p>
        </w:tc>
        <w:tc>
          <w:tcPr>
            <w:tcW w:w="414" w:type="pct"/>
            <w:tcBorders>
              <w:top w:val="single" w:color="auto" w:sz="6" w:space="0"/>
              <w:left w:val="single" w:color="auto" w:sz="4" w:space="0"/>
              <w:bottom w:val="single" w:color="auto" w:sz="6" w:space="0"/>
              <w:right w:val="single" w:color="auto" w:sz="4" w:space="0"/>
            </w:tcBorders>
            <w:vAlign w:val="center"/>
          </w:tcPr>
          <w:p>
            <w:pPr>
              <w:pStyle w:val="182"/>
              <w:bidi w:val="0"/>
              <w:rPr>
                <w:b/>
                <w:bCs/>
                <w:color w:val="auto"/>
              </w:rPr>
            </w:pPr>
            <w:r>
              <w:rPr>
                <w:rFonts w:hint="eastAsia"/>
                <w:b/>
                <w:bCs/>
                <w:color w:val="auto"/>
              </w:rPr>
              <w:t>中</w:t>
            </w:r>
          </w:p>
        </w:tc>
        <w:tc>
          <w:tcPr>
            <w:tcW w:w="450" w:type="pct"/>
            <w:tcBorders>
              <w:top w:val="single" w:color="auto" w:sz="6" w:space="0"/>
              <w:left w:val="single" w:color="auto" w:sz="4" w:space="0"/>
              <w:bottom w:val="single" w:color="auto" w:sz="6" w:space="0"/>
              <w:right w:val="single" w:color="auto" w:sz="8" w:space="0"/>
            </w:tcBorders>
            <w:vAlign w:val="center"/>
          </w:tcPr>
          <w:p>
            <w:pPr>
              <w:pStyle w:val="182"/>
              <w:bidi w:val="0"/>
              <w:rPr>
                <w:b/>
                <w:bCs/>
                <w:color w:val="auto"/>
              </w:rPr>
            </w:pPr>
            <w:r>
              <w:rPr>
                <w:rFonts w:hint="eastAsia"/>
                <w:b/>
                <w:bCs/>
                <w:color w:val="auto"/>
              </w:rPr>
              <w:t>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敏感</w:t>
            </w:r>
          </w:p>
        </w:tc>
        <w:tc>
          <w:tcPr>
            <w:tcW w:w="499"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5"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7"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14" w:type="pct"/>
            <w:tcBorders>
              <w:top w:val="single" w:color="auto" w:sz="6" w:space="0"/>
              <w:left w:val="single" w:color="auto" w:sz="4"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50" w:type="pct"/>
            <w:tcBorders>
              <w:top w:val="single" w:color="auto" w:sz="6" w:space="0"/>
              <w:left w:val="single" w:color="auto" w:sz="4" w:space="0"/>
              <w:bottom w:val="single" w:color="auto" w:sz="6" w:space="0"/>
              <w:right w:val="single" w:color="auto" w:sz="8" w:space="0"/>
            </w:tcBorders>
            <w:vAlign w:val="center"/>
          </w:tcPr>
          <w:p>
            <w:pPr>
              <w:pStyle w:val="182"/>
              <w:bidi w:val="0"/>
              <w:rPr>
                <w:color w:val="auto"/>
              </w:rPr>
            </w:pPr>
            <w:r>
              <w:rPr>
                <w:rFonts w:hint="eastAsia"/>
                <w:color w:val="auto"/>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较敏感</w:t>
            </w:r>
          </w:p>
        </w:tc>
        <w:tc>
          <w:tcPr>
            <w:tcW w:w="499"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5"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7"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三级</w:t>
            </w:r>
          </w:p>
        </w:tc>
        <w:tc>
          <w:tcPr>
            <w:tcW w:w="416" w:type="pct"/>
            <w:tcBorders>
              <w:top w:val="single" w:color="auto" w:sz="6" w:space="0"/>
              <w:left w:val="single" w:color="auto" w:sz="6"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14" w:type="pct"/>
            <w:tcBorders>
              <w:top w:val="single" w:color="auto" w:sz="6" w:space="0"/>
              <w:left w:val="single" w:color="auto" w:sz="4"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50" w:type="pct"/>
            <w:tcBorders>
              <w:top w:val="single" w:color="auto" w:sz="6" w:space="0"/>
              <w:left w:val="single" w:color="auto" w:sz="4" w:space="0"/>
              <w:bottom w:val="single" w:color="auto" w:sz="6" w:space="0"/>
              <w:right w:val="single" w:color="auto" w:sz="8" w:space="0"/>
            </w:tcBorders>
            <w:vAlign w:val="center"/>
          </w:tcPr>
          <w:p>
            <w:pPr>
              <w:pStyle w:val="182"/>
              <w:bidi w:val="0"/>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不敏感</w:t>
            </w:r>
          </w:p>
        </w:tc>
        <w:tc>
          <w:tcPr>
            <w:tcW w:w="499"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5"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三级</w:t>
            </w:r>
          </w:p>
        </w:tc>
        <w:tc>
          <w:tcPr>
            <w:tcW w:w="417"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三级</w:t>
            </w:r>
          </w:p>
        </w:tc>
        <w:tc>
          <w:tcPr>
            <w:tcW w:w="416" w:type="pct"/>
            <w:tcBorders>
              <w:top w:val="single" w:color="auto" w:sz="6" w:space="0"/>
              <w:left w:val="single" w:color="auto" w:sz="6"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14" w:type="pct"/>
            <w:tcBorders>
              <w:top w:val="single" w:color="auto" w:sz="6" w:space="0"/>
              <w:left w:val="single" w:color="auto" w:sz="4" w:space="0"/>
              <w:bottom w:val="single" w:color="auto" w:sz="6" w:space="0"/>
              <w:right w:val="single" w:color="auto" w:sz="4" w:space="0"/>
            </w:tcBorders>
            <w:vAlign w:val="center"/>
          </w:tcPr>
          <w:p>
            <w:pPr>
              <w:pStyle w:val="182"/>
              <w:bidi w:val="0"/>
              <w:rPr>
                <w:color w:val="auto"/>
              </w:rPr>
            </w:pPr>
            <w:r>
              <w:rPr>
                <w:color w:val="auto"/>
              </w:rPr>
              <w:t>-</w:t>
            </w:r>
          </w:p>
        </w:tc>
        <w:tc>
          <w:tcPr>
            <w:tcW w:w="450" w:type="pct"/>
            <w:tcBorders>
              <w:top w:val="single" w:color="auto" w:sz="6" w:space="0"/>
              <w:left w:val="single" w:color="auto" w:sz="4" w:space="0"/>
              <w:bottom w:val="single" w:color="auto" w:sz="6" w:space="0"/>
              <w:right w:val="single" w:color="auto" w:sz="8" w:space="0"/>
            </w:tcBorders>
            <w:vAlign w:val="center"/>
          </w:tcPr>
          <w:p>
            <w:pPr>
              <w:pStyle w:val="182"/>
              <w:bidi w:val="0"/>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5000" w:type="pct"/>
            <w:gridSpan w:val="10"/>
            <w:tcBorders>
              <w:top w:val="single" w:color="auto" w:sz="6" w:space="0"/>
              <w:left w:val="single" w:color="auto" w:sz="8" w:space="0"/>
              <w:bottom w:val="single" w:color="auto" w:sz="8" w:space="0"/>
              <w:right w:val="single" w:color="auto" w:sz="8" w:space="0"/>
            </w:tcBorders>
            <w:vAlign w:val="center"/>
          </w:tcPr>
          <w:p>
            <w:pPr>
              <w:pStyle w:val="182"/>
              <w:bidi w:val="0"/>
              <w:rPr>
                <w:color w:val="auto"/>
              </w:rPr>
            </w:pPr>
            <w:r>
              <w:rPr>
                <w:rFonts w:hint="eastAsia"/>
                <w:color w:val="auto"/>
              </w:rPr>
              <w:t>注：“</w:t>
            </w:r>
            <w:r>
              <w:rPr>
                <w:color w:val="auto"/>
              </w:rPr>
              <w:t>-</w:t>
            </w:r>
            <w:r>
              <w:rPr>
                <w:rFonts w:hint="eastAsia"/>
                <w:color w:val="auto"/>
              </w:rPr>
              <w:t>”表示可不开展土壤环境影响评价工作。</w:t>
            </w:r>
          </w:p>
        </w:tc>
      </w:tr>
      <w:bookmarkEnd w:id="135"/>
      <w:bookmarkEnd w:id="136"/>
      <w:bookmarkEnd w:id="137"/>
      <w:bookmarkEnd w:id="138"/>
      <w:bookmarkEnd w:id="139"/>
      <w:bookmarkEnd w:id="140"/>
      <w:bookmarkEnd w:id="141"/>
      <w:bookmarkEnd w:id="142"/>
      <w:bookmarkEnd w:id="143"/>
      <w:bookmarkEnd w:id="144"/>
    </w:tbl>
    <w:p>
      <w:pPr>
        <w:bidi w:val="0"/>
        <w:rPr>
          <w:rFonts w:hint="eastAsia"/>
          <w:color w:val="auto"/>
        </w:rPr>
      </w:pPr>
      <w:r>
        <w:rPr>
          <w:rFonts w:hint="eastAsia"/>
          <w:color w:val="auto"/>
        </w:rPr>
        <w:t>由上表可知，根据最不利原则，本项目的评价等级为“三级”，评价范围为50 m。</w:t>
      </w:r>
    </w:p>
    <w:p>
      <w:pPr>
        <w:pStyle w:val="9"/>
        <w:bidi w:val="0"/>
        <w:rPr>
          <w:color w:val="auto"/>
        </w:rPr>
      </w:pPr>
      <w:r>
        <w:rPr>
          <w:color w:val="auto"/>
        </w:rPr>
        <w:t>2.5.6生态影响评价工作等级及评价范围</w:t>
      </w:r>
    </w:p>
    <w:p>
      <w:pPr>
        <w:rPr>
          <w:rFonts w:hint="eastAsia" w:eastAsia="宋体"/>
          <w:color w:val="auto"/>
          <w:lang w:eastAsia="zh-CN"/>
        </w:rPr>
      </w:pPr>
      <w:r>
        <w:rPr>
          <w:rFonts w:hint="eastAsia"/>
          <w:color w:val="auto"/>
        </w:rPr>
        <w:t>根据</w:t>
      </w:r>
      <w:r>
        <w:rPr>
          <w:color w:val="auto"/>
        </w:rPr>
        <w:t>《环境影响评价技术导则 生态影响》（HJ 19-20</w:t>
      </w:r>
      <w:r>
        <w:rPr>
          <w:rFonts w:hint="eastAsia"/>
          <w:color w:val="auto"/>
          <w:lang w:val="en-US" w:eastAsia="zh-CN"/>
        </w:rPr>
        <w:t>22</w:t>
      </w:r>
      <w:r>
        <w:rPr>
          <w:color w:val="auto"/>
        </w:rPr>
        <w:t>）</w:t>
      </w:r>
      <w:r>
        <w:rPr>
          <w:rFonts w:hint="eastAsia"/>
          <w:color w:val="auto"/>
        </w:rPr>
        <w:t>，将生态影响评价工作等级划分为一级、二级和三级，划分依据</w:t>
      </w:r>
      <w:r>
        <w:rPr>
          <w:rFonts w:hint="eastAsia"/>
          <w:color w:val="auto"/>
          <w:lang w:val="en-US" w:eastAsia="zh-CN"/>
        </w:rPr>
        <w:t>如下：</w:t>
      </w:r>
    </w:p>
    <w:p>
      <w:pPr>
        <w:rPr>
          <w:rFonts w:hint="eastAsia"/>
          <w:color w:val="auto"/>
        </w:rPr>
      </w:pPr>
      <w:r>
        <w:rPr>
          <w:rFonts w:hint="eastAsia"/>
          <w:color w:val="auto"/>
        </w:rPr>
        <w:t>6.1 评价等级判定</w:t>
      </w:r>
    </w:p>
    <w:p>
      <w:pPr>
        <w:rPr>
          <w:rFonts w:hint="eastAsia"/>
          <w:color w:val="auto"/>
        </w:rPr>
      </w:pPr>
      <w:r>
        <w:rPr>
          <w:rFonts w:hint="eastAsia"/>
          <w:color w:val="auto"/>
        </w:rPr>
        <w:t>6.1.1 依据建设项目影响区域的生态敏感性和影响程度，评价等级划分为一级、二级和三级。</w:t>
      </w:r>
    </w:p>
    <w:p>
      <w:pPr>
        <w:rPr>
          <w:rFonts w:hint="eastAsia"/>
          <w:color w:val="auto"/>
        </w:rPr>
      </w:pPr>
      <w:r>
        <w:rPr>
          <w:rFonts w:hint="eastAsia"/>
          <w:color w:val="auto"/>
        </w:rPr>
        <w:t>6.1.2 按以下原则确定评价等级：</w:t>
      </w:r>
    </w:p>
    <w:p>
      <w:pPr>
        <w:rPr>
          <w:rFonts w:hint="eastAsia"/>
          <w:color w:val="auto"/>
        </w:rPr>
      </w:pPr>
      <w:r>
        <w:rPr>
          <w:rFonts w:hint="eastAsia"/>
          <w:color w:val="auto"/>
        </w:rPr>
        <w:t>a）涉及国家公园、自然保护区、世界自然遗产、重要生境时，评价等级为一级；</w:t>
      </w:r>
    </w:p>
    <w:p>
      <w:pPr>
        <w:rPr>
          <w:rFonts w:hint="eastAsia"/>
          <w:color w:val="auto"/>
        </w:rPr>
      </w:pPr>
      <w:r>
        <w:rPr>
          <w:rFonts w:hint="eastAsia"/>
          <w:color w:val="auto"/>
        </w:rPr>
        <w:t>b）涉及自然公园时，评价等级为二级；</w:t>
      </w:r>
    </w:p>
    <w:p>
      <w:pPr>
        <w:rPr>
          <w:rFonts w:hint="eastAsia"/>
          <w:color w:val="auto"/>
        </w:rPr>
      </w:pPr>
      <w:r>
        <w:rPr>
          <w:rFonts w:hint="eastAsia"/>
          <w:color w:val="auto"/>
        </w:rPr>
        <w:t>c）涉及生态保护红线时，评价等级不低于二级；</w:t>
      </w:r>
    </w:p>
    <w:p>
      <w:pPr>
        <w:ind w:firstLine="0" w:firstLineChars="0"/>
        <w:rPr>
          <w:rFonts w:hint="eastAsia"/>
          <w:color w:val="auto"/>
        </w:rPr>
      </w:pPr>
      <w:r>
        <w:rPr>
          <w:rFonts w:hint="eastAsia"/>
          <w:color w:val="auto"/>
        </w:rPr>
        <w:t>d）根据HJ 2.</w:t>
      </w:r>
      <w:r>
        <w:rPr>
          <w:rFonts w:hint="eastAsia"/>
          <w:color w:val="auto"/>
          <w:lang w:val="en-US" w:eastAsia="zh-CN"/>
        </w:rPr>
        <w:t>3</w:t>
      </w:r>
      <w:r>
        <w:rPr>
          <w:rFonts w:hint="eastAsia"/>
          <w:color w:val="auto"/>
        </w:rPr>
        <w:t>判断属于水文要素影响型且地表水评价等级不低于二级的建设项目，生态影响评价等级不低于二级；</w:t>
      </w:r>
    </w:p>
    <w:p>
      <w:pPr>
        <w:ind w:firstLine="0" w:firstLineChars="0"/>
        <w:rPr>
          <w:rFonts w:hint="eastAsia"/>
          <w:color w:val="auto"/>
        </w:rPr>
      </w:pPr>
      <w:r>
        <w:rPr>
          <w:rFonts w:hint="eastAsia"/>
          <w:color w:val="auto"/>
        </w:rPr>
        <w:t>e）根据HJ 610、HJ 964判断地下水水位或土壤影响范围内分布有天然林、公益林、湿地等生态保护目标的建设项目，生态影响评价等级不低于二级；</w:t>
      </w:r>
    </w:p>
    <w:p>
      <w:pPr>
        <w:ind w:firstLine="0" w:firstLineChars="0"/>
        <w:rPr>
          <w:rFonts w:hint="eastAsia"/>
          <w:color w:val="auto"/>
        </w:rPr>
      </w:pPr>
      <w:r>
        <w:rPr>
          <w:rFonts w:hint="eastAsia"/>
          <w:color w:val="auto"/>
        </w:rPr>
        <w:t>f）当工程占地规模大于20 km</w:t>
      </w:r>
      <w:r>
        <w:rPr>
          <w:rFonts w:hint="eastAsia"/>
          <w:color w:val="auto"/>
          <w:vertAlign w:val="superscript"/>
        </w:rPr>
        <w:t>2</w:t>
      </w:r>
      <w:r>
        <w:rPr>
          <w:rFonts w:hint="eastAsia"/>
          <w:color w:val="auto"/>
        </w:rPr>
        <w:t>时（包括永久和临时占用陆域和水域），评价等级不低于二级；改扩建项目的占地范围以新增占地（包括陆域和水域）确定；</w:t>
      </w:r>
    </w:p>
    <w:p>
      <w:pPr>
        <w:ind w:left="0" w:leftChars="0" w:firstLine="0" w:firstLineChars="0"/>
        <w:rPr>
          <w:rFonts w:hint="eastAsia"/>
          <w:color w:val="auto"/>
        </w:rPr>
      </w:pPr>
      <w:r>
        <w:rPr>
          <w:rFonts w:hint="eastAsia"/>
          <w:color w:val="auto"/>
        </w:rPr>
        <w:t>g）除本条a）、b）、c）、d）、e）、f）以外的情况，评价等级为三级；</w:t>
      </w:r>
    </w:p>
    <w:p>
      <w:pPr>
        <w:ind w:left="0" w:leftChars="0" w:firstLine="0" w:firstLineChars="0"/>
        <w:rPr>
          <w:rFonts w:hint="eastAsia"/>
          <w:color w:val="auto"/>
        </w:rPr>
      </w:pPr>
      <w:r>
        <w:rPr>
          <w:rFonts w:hint="eastAsia"/>
          <w:color w:val="auto"/>
        </w:rPr>
        <w:t>h）当评价等级判定同时符合上述多种情况时，应采用其中最高的评价等级。</w:t>
      </w:r>
    </w:p>
    <w:p>
      <w:pPr>
        <w:rPr>
          <w:rFonts w:hint="eastAsia"/>
          <w:color w:val="auto"/>
        </w:rPr>
      </w:pPr>
      <w:r>
        <w:rPr>
          <w:rFonts w:hint="eastAsia"/>
          <w:color w:val="auto"/>
        </w:rPr>
        <w:t>6.1.3 建设项目涉及经论证对保护生物多样性具有重要意义的区域时，可适当上调评价等级。</w:t>
      </w:r>
    </w:p>
    <w:p>
      <w:pPr>
        <w:rPr>
          <w:rFonts w:hint="eastAsia"/>
          <w:color w:val="auto"/>
        </w:rPr>
      </w:pPr>
      <w:r>
        <w:rPr>
          <w:rFonts w:hint="eastAsia"/>
          <w:color w:val="auto"/>
        </w:rPr>
        <w:t>6.1.4 建设项目同时涉及陆生、水生生态影响时，可针对陆生生态、水生生态分别判定评价等级。</w:t>
      </w:r>
    </w:p>
    <w:p>
      <w:pPr>
        <w:rPr>
          <w:rFonts w:hint="eastAsia"/>
          <w:color w:val="auto"/>
        </w:rPr>
      </w:pPr>
      <w:r>
        <w:rPr>
          <w:rFonts w:hint="eastAsia"/>
          <w:color w:val="auto"/>
        </w:rPr>
        <w:t>6.1.5 在矿山开采可能导致矿区土地利用类型明显改变，或拦河闸坝建设可能明显改变水文情势等情况下，评价等级应上调一级。</w:t>
      </w:r>
    </w:p>
    <w:p>
      <w:pPr>
        <w:rPr>
          <w:rFonts w:hint="eastAsia"/>
          <w:color w:val="auto"/>
        </w:rPr>
      </w:pPr>
      <w:r>
        <w:rPr>
          <w:rFonts w:hint="eastAsia"/>
          <w:color w:val="auto"/>
        </w:rPr>
        <w:t>6.1.6 线性工程可分段确定评价等级。线性工程地下穿越或地表跨越生态敏感区，在生态敏感区范围内无永久、临时占地时，评价等级可下调一级。</w:t>
      </w:r>
    </w:p>
    <w:p>
      <w:pPr>
        <w:rPr>
          <w:rFonts w:hint="eastAsia"/>
          <w:color w:val="auto"/>
        </w:rPr>
      </w:pPr>
      <w:r>
        <w:rPr>
          <w:rFonts w:hint="eastAsia"/>
          <w:color w:val="auto"/>
        </w:rPr>
        <w:t>6.1.7 涉海工程评价等级判定参照 GB/T 19485。</w:t>
      </w:r>
    </w:p>
    <w:p>
      <w:pPr>
        <w:ind w:firstLine="480" w:firstLineChars="200"/>
        <w:rPr>
          <w:rFonts w:hint="eastAsia"/>
          <w:color w:val="auto"/>
        </w:rPr>
      </w:pPr>
      <w:r>
        <w:rPr>
          <w:rFonts w:hint="eastAsia"/>
          <w:color w:val="auto"/>
        </w:rPr>
        <w:t>6.1.8 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pPr>
        <w:bidi w:val="0"/>
        <w:rPr>
          <w:color w:val="auto"/>
        </w:rPr>
      </w:pPr>
      <w:r>
        <w:rPr>
          <w:color w:val="auto"/>
        </w:rPr>
        <w:t>本项目选址位于</w:t>
      </w:r>
      <w:r>
        <w:rPr>
          <w:rFonts w:hint="eastAsia"/>
          <w:color w:val="auto"/>
        </w:rPr>
        <w:t>新乡经济技术开发区新乡化纤股份有限公司</w:t>
      </w:r>
      <w:r>
        <w:rPr>
          <w:rFonts w:hint="eastAsia"/>
          <w:color w:val="auto"/>
          <w:lang w:val="en-US" w:eastAsia="zh-CN"/>
        </w:rPr>
        <w:t>厂区</w:t>
      </w:r>
      <w:r>
        <w:rPr>
          <w:color w:val="auto"/>
        </w:rPr>
        <w:t>内，</w:t>
      </w:r>
      <w:r>
        <w:rPr>
          <w:rFonts w:hint="eastAsia"/>
          <w:color w:val="auto"/>
        </w:rPr>
        <w:t>国家新乡经济技术开发区于2010年由新乡市环境保护科学设计研究院编制完成《新乡工业产业集聚区（后更名为国家新乡经济技术开发区）发展规划环境影响报告书》，该规划环评2011年1月已取得河南省环保厅的批复（豫环审[2011]2号）。2019年9月，由济源蓝天科技有限责任公司编制了《新乡经济技术开发区发展规划（2009-2020）环境影响跟踪评价报告书》，对该规划进行了跟踪评价，该规划环评2020年6月已取得河南省生态环境厅的批复（豫环函</w:t>
      </w:r>
      <w:r>
        <w:rPr>
          <w:rFonts w:hint="eastAsia"/>
          <w:color w:val="auto"/>
          <w:lang w:eastAsia="zh-CN"/>
        </w:rPr>
        <w:t>〔</w:t>
      </w:r>
      <w:r>
        <w:rPr>
          <w:rFonts w:hint="eastAsia"/>
          <w:color w:val="auto"/>
        </w:rPr>
        <w:t>2020</w:t>
      </w:r>
      <w:r>
        <w:rPr>
          <w:rFonts w:hint="eastAsia"/>
          <w:color w:val="auto"/>
          <w:lang w:eastAsia="zh-CN"/>
        </w:rPr>
        <w:t>〕</w:t>
      </w:r>
      <w:r>
        <w:rPr>
          <w:rFonts w:hint="eastAsia"/>
          <w:color w:val="auto"/>
        </w:rPr>
        <w:t>105号）。</w:t>
      </w:r>
      <w:r>
        <w:rPr>
          <w:rFonts w:hint="eastAsia"/>
          <w:color w:val="auto"/>
          <w:lang w:val="en-US" w:eastAsia="zh-CN"/>
        </w:rPr>
        <w:t>因此，</w:t>
      </w:r>
      <w:r>
        <w:rPr>
          <w:color w:val="auto"/>
        </w:rPr>
        <w:t>根据《环境影响评价技术导则 生态影响》（HJ19-20</w:t>
      </w:r>
      <w:r>
        <w:rPr>
          <w:rFonts w:hint="eastAsia"/>
          <w:color w:val="auto"/>
          <w:lang w:val="en-US" w:eastAsia="zh-CN"/>
        </w:rPr>
        <w:t>22</w:t>
      </w:r>
      <w:r>
        <w:rPr>
          <w:color w:val="auto"/>
        </w:rPr>
        <w:t>）</w:t>
      </w:r>
      <w:r>
        <w:rPr>
          <w:rFonts w:hint="eastAsia"/>
          <w:color w:val="auto"/>
          <w:lang w:val="en-US" w:eastAsia="zh-CN"/>
        </w:rPr>
        <w:t>6.1.8</w:t>
      </w:r>
      <w:r>
        <w:rPr>
          <w:color w:val="auto"/>
        </w:rPr>
        <w:t>，</w:t>
      </w:r>
      <w:r>
        <w:rPr>
          <w:rFonts w:hint="eastAsia"/>
          <w:color w:val="auto"/>
          <w:lang w:val="en-US" w:eastAsia="zh-CN"/>
        </w:rPr>
        <w:t>本项目</w:t>
      </w:r>
      <w:r>
        <w:rPr>
          <w:rFonts w:hint="eastAsia"/>
          <w:color w:val="auto"/>
        </w:rPr>
        <w:t>不确定评价等级，直接进行生态影响简单分析。</w:t>
      </w:r>
    </w:p>
    <w:p>
      <w:pPr>
        <w:pStyle w:val="9"/>
        <w:bidi w:val="0"/>
        <w:rPr>
          <w:color w:val="auto"/>
        </w:rPr>
      </w:pPr>
      <w:r>
        <w:rPr>
          <w:color w:val="auto"/>
        </w:rPr>
        <w:t>2.5.</w:t>
      </w:r>
      <w:r>
        <w:rPr>
          <w:rFonts w:hint="eastAsia"/>
          <w:color w:val="auto"/>
          <w:lang w:val="en-US" w:eastAsia="zh-CN"/>
        </w:rPr>
        <w:t>7</w:t>
      </w:r>
      <w:r>
        <w:rPr>
          <w:color w:val="auto"/>
        </w:rPr>
        <w:t>环境风险评价工作等级</w:t>
      </w:r>
    </w:p>
    <w:p>
      <w:pPr>
        <w:pStyle w:val="10"/>
        <w:bidi w:val="0"/>
        <w:rPr>
          <w:rFonts w:hint="eastAsia"/>
          <w:color w:val="auto"/>
        </w:rPr>
      </w:pPr>
      <w:r>
        <w:rPr>
          <w:rFonts w:hint="eastAsia"/>
          <w:color w:val="auto"/>
        </w:rPr>
        <w:t>2.5.7</w:t>
      </w:r>
      <w:r>
        <w:rPr>
          <w:rFonts w:hint="eastAsia"/>
          <w:color w:val="auto"/>
          <w:lang w:val="en-US" w:eastAsia="zh-CN"/>
        </w:rPr>
        <w:t xml:space="preserve">.1 </w:t>
      </w:r>
      <w:r>
        <w:rPr>
          <w:rFonts w:hint="eastAsia"/>
          <w:color w:val="auto"/>
        </w:rPr>
        <w:t>危险物质数量与临界量比值Q</w:t>
      </w:r>
    </w:p>
    <w:p>
      <w:pPr>
        <w:pStyle w:val="181"/>
        <w:rPr>
          <w:rFonts w:hint="eastAsia" w:eastAsia="宋体"/>
          <w:color w:val="auto"/>
          <w:lang w:val="en-US" w:eastAsia="zh-CN"/>
        </w:rPr>
      </w:pPr>
      <w:r>
        <w:rPr>
          <w:rFonts w:hint="eastAsia"/>
          <w:color w:val="auto"/>
          <w:lang w:val="en-US" w:eastAsia="zh-CN"/>
        </w:rPr>
        <w:t xml:space="preserve">表2.5-8           </w:t>
      </w:r>
      <w:r>
        <w:rPr>
          <w:rFonts w:hint="eastAsia"/>
          <w:color w:val="auto"/>
        </w:rPr>
        <w:t>风险物质最大存在量</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5"/>
        <w:gridCol w:w="1419"/>
        <w:gridCol w:w="1420"/>
        <w:gridCol w:w="1420"/>
        <w:gridCol w:w="1425"/>
        <w:gridCol w:w="1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vAlign w:val="center"/>
          </w:tcPr>
          <w:p>
            <w:pPr>
              <w:pStyle w:val="182"/>
              <w:rPr>
                <w:rFonts w:hint="eastAsia"/>
                <w:b/>
                <w:bCs/>
                <w:color w:val="auto"/>
                <w:u w:val="single"/>
                <w:lang w:val="en-US" w:eastAsia="zh-CN"/>
              </w:rPr>
            </w:pPr>
            <w:r>
              <w:rPr>
                <w:rFonts w:hint="eastAsia"/>
                <w:b/>
                <w:bCs/>
                <w:color w:val="auto"/>
                <w:u w:val="single"/>
                <w:lang w:val="en-US" w:eastAsia="zh-CN"/>
              </w:rPr>
              <w:t>物质</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最大储存量（t）</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生产最大在线量</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最大存在量（t）</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临界量</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vAlign w:val="center"/>
          </w:tcPr>
          <w:p>
            <w:pPr>
              <w:pStyle w:val="182"/>
              <w:rPr>
                <w:rFonts w:hint="eastAsia"/>
                <w:b/>
                <w:bCs/>
                <w:color w:val="auto"/>
                <w:u w:val="single"/>
              </w:rPr>
            </w:pPr>
            <w:r>
              <w:rPr>
                <w:rFonts w:hint="eastAsia"/>
                <w:b/>
                <w:bCs/>
                <w:color w:val="auto"/>
                <w:u w:val="single"/>
                <w:lang w:val="en-US" w:eastAsia="zh-CN"/>
              </w:rPr>
              <w:t>固体</w:t>
            </w:r>
            <w:r>
              <w:rPr>
                <w:rFonts w:hint="eastAsia"/>
                <w:b/>
                <w:bCs/>
                <w:color w:val="auto"/>
                <w:u w:val="single"/>
              </w:rPr>
              <w:t>二氧化氯</w:t>
            </w:r>
            <w:r>
              <w:rPr>
                <w:rFonts w:hint="eastAsia"/>
                <w:b/>
                <w:bCs/>
                <w:color w:val="auto"/>
                <w:u w:val="single"/>
                <w:lang w:val="en-US" w:eastAsia="zh-CN"/>
              </w:rPr>
              <w:t>释放剂</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0.3</w:t>
            </w:r>
          </w:p>
        </w:tc>
        <w:tc>
          <w:tcPr>
            <w:tcW w:w="833"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0.3</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0.5</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vAlign w:val="center"/>
          </w:tcPr>
          <w:p>
            <w:pPr>
              <w:pStyle w:val="182"/>
              <w:rPr>
                <w:rFonts w:hint="eastAsia"/>
                <w:b/>
                <w:bCs/>
                <w:color w:val="auto"/>
                <w:u w:val="single"/>
              </w:rPr>
            </w:pPr>
            <w:r>
              <w:rPr>
                <w:rFonts w:hint="eastAsia"/>
                <w:b/>
                <w:bCs/>
                <w:color w:val="auto"/>
                <w:u w:val="single"/>
                <w:lang w:val="en-US" w:eastAsia="zh-CN"/>
              </w:rPr>
              <w:t>浓硫酸</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900</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1.92</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901.92</w:t>
            </w:r>
          </w:p>
        </w:tc>
        <w:tc>
          <w:tcPr>
            <w:tcW w:w="833" w:type="pct"/>
            <w:vAlign w:val="center"/>
          </w:tcPr>
          <w:p>
            <w:pPr>
              <w:pStyle w:val="182"/>
              <w:rPr>
                <w:rFonts w:hint="default"/>
                <w:b/>
                <w:bCs/>
                <w:color w:val="auto"/>
                <w:u w:val="single"/>
                <w:lang w:val="en-US"/>
              </w:rPr>
            </w:pPr>
            <w:r>
              <w:rPr>
                <w:rFonts w:hint="eastAsia"/>
                <w:b/>
                <w:bCs/>
                <w:color w:val="auto"/>
                <w:u w:val="single"/>
                <w:lang w:val="en-US" w:eastAsia="zh-CN"/>
              </w:rPr>
              <w:t>5</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180.384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6" w:type="pct"/>
            <w:gridSpan w:val="5"/>
            <w:vAlign w:val="center"/>
          </w:tcPr>
          <w:p>
            <w:pPr>
              <w:pStyle w:val="182"/>
              <w:rPr>
                <w:rFonts w:hint="default"/>
                <w:b/>
                <w:bCs/>
                <w:color w:val="auto"/>
                <w:u w:val="single"/>
                <w:lang w:val="en-US" w:eastAsia="zh-CN"/>
              </w:rPr>
            </w:pPr>
            <w:r>
              <w:rPr>
                <w:rFonts w:hint="eastAsia"/>
                <w:b/>
                <w:bCs/>
                <w:color w:val="auto"/>
                <w:u w:val="single"/>
                <w:lang w:val="en-US" w:eastAsia="zh-CN"/>
              </w:rPr>
              <w:t>合计</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180.984</w:t>
            </w:r>
          </w:p>
        </w:tc>
      </w:tr>
    </w:tbl>
    <w:p>
      <w:pPr>
        <w:ind w:firstLine="482" w:firstLineChars="200"/>
        <w:rPr>
          <w:rFonts w:hint="eastAsia"/>
          <w:color w:val="auto"/>
        </w:rPr>
      </w:pPr>
      <w:r>
        <w:rPr>
          <w:rFonts w:hint="eastAsia"/>
          <w:b/>
          <w:bCs/>
          <w:color w:val="auto"/>
          <w:u w:val="single"/>
        </w:rPr>
        <w:t>根据上表数据及《建设项目环境风险评价技术导则》（HJ/T169-2018）附录C计算得出，本项目物质总量与临界量比值：Q=</w:t>
      </w:r>
      <w:r>
        <w:rPr>
          <w:rFonts w:hint="eastAsia"/>
          <w:b/>
          <w:bCs/>
          <w:color w:val="auto"/>
          <w:u w:val="single"/>
          <w:lang w:val="en-US" w:eastAsia="zh-CN"/>
        </w:rPr>
        <w:t>180.984</w:t>
      </w:r>
      <w:r>
        <w:rPr>
          <w:rFonts w:hint="eastAsia"/>
          <w:b/>
          <w:bCs/>
          <w:color w:val="auto"/>
          <w:u w:val="single"/>
        </w:rPr>
        <w:t>，Q</w:t>
      </w:r>
      <w:r>
        <w:rPr>
          <w:rFonts w:hint="eastAsia"/>
          <w:b/>
          <w:bCs/>
          <w:color w:val="auto"/>
          <w:u w:val="single"/>
          <w:lang w:val="en-US" w:eastAsia="zh-CN"/>
        </w:rPr>
        <w:t>≥</w:t>
      </w:r>
      <w:r>
        <w:rPr>
          <w:rFonts w:hint="eastAsia"/>
          <w:b/>
          <w:bCs/>
          <w:color w:val="auto"/>
          <w:u w:val="single"/>
        </w:rPr>
        <w:t>100。</w:t>
      </w:r>
    </w:p>
    <w:p>
      <w:pPr>
        <w:pStyle w:val="10"/>
        <w:bidi w:val="0"/>
        <w:rPr>
          <w:color w:val="auto"/>
        </w:rPr>
      </w:pPr>
      <w:r>
        <w:rPr>
          <w:rFonts w:hint="eastAsia"/>
          <w:color w:val="auto"/>
          <w:lang w:val="en-US" w:eastAsia="zh-CN"/>
        </w:rPr>
        <w:t>2.5.7</w:t>
      </w:r>
      <w:r>
        <w:rPr>
          <w:rFonts w:hint="eastAsia"/>
          <w:color w:val="auto"/>
        </w:rPr>
        <w:t>.2行业及生产工艺</w:t>
      </w:r>
      <w:r>
        <w:rPr>
          <w:color w:val="auto"/>
        </w:rPr>
        <w:t>M</w:t>
      </w:r>
    </w:p>
    <w:p>
      <w:pPr>
        <w:widowControl/>
        <w:tabs>
          <w:tab w:val="left" w:pos="1080"/>
        </w:tabs>
        <w:spacing w:before="120" w:beforeLines="50" w:line="500" w:lineRule="exact"/>
        <w:jc w:val="left"/>
        <w:rPr>
          <w:rFonts w:hint="eastAsia"/>
          <w:b/>
          <w:bCs/>
          <w:color w:val="auto"/>
          <w:u w:val="single"/>
        </w:rPr>
      </w:pPr>
      <w:r>
        <w:rPr>
          <w:rFonts w:hint="eastAsia"/>
          <w:b/>
          <w:bCs/>
          <w:color w:val="auto"/>
          <w:u w:val="single"/>
        </w:rPr>
        <w:t>根据《建设项目环境风险评价技术导则》（HJ/T169-2018）附录C将M划分为（1）M＞20；（2）10＜M≤20；（3）5＜M≤10</w:t>
      </w:r>
      <w:r>
        <w:rPr>
          <w:rFonts w:hint="eastAsia"/>
          <w:b/>
          <w:bCs/>
          <w:color w:val="auto"/>
          <w:u w:val="single"/>
          <w:lang w:eastAsia="zh-CN"/>
        </w:rPr>
        <w:t>；</w:t>
      </w:r>
      <w:r>
        <w:rPr>
          <w:rFonts w:hint="eastAsia"/>
          <w:b/>
          <w:bCs/>
          <w:color w:val="auto"/>
          <w:u w:val="single"/>
        </w:rPr>
        <w:t>（4）M=5，分别以M1、M2、M3和M4表示。</w:t>
      </w:r>
    </w:p>
    <w:p>
      <w:pPr>
        <w:widowControl/>
        <w:tabs>
          <w:tab w:val="left" w:pos="1080"/>
        </w:tabs>
        <w:spacing w:before="120" w:beforeLines="50" w:line="500" w:lineRule="exact"/>
        <w:ind w:firstLine="0" w:firstLineChars="0"/>
        <w:jc w:val="center"/>
        <w:rPr>
          <w:rFonts w:hint="eastAsia"/>
          <w:b/>
          <w:bCs/>
          <w:color w:val="auto"/>
          <w:u w:val="single"/>
        </w:rPr>
      </w:pPr>
      <w:r>
        <w:rPr>
          <w:rFonts w:hint="eastAsia"/>
          <w:b/>
          <w:bCs/>
          <w:color w:val="auto"/>
          <w:u w:val="single"/>
        </w:rPr>
        <w:t>表C.1行业及生产工艺（M）</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6487"/>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24" w:type="dxa"/>
            <w:vAlign w:val="center"/>
          </w:tcPr>
          <w:p>
            <w:pPr>
              <w:pStyle w:val="182"/>
              <w:rPr>
                <w:rFonts w:hint="eastAsia"/>
                <w:b/>
                <w:bCs/>
                <w:color w:val="auto"/>
                <w:u w:val="single"/>
              </w:rPr>
            </w:pPr>
            <w:r>
              <w:rPr>
                <w:rFonts w:hint="eastAsia"/>
                <w:b/>
                <w:bCs/>
                <w:color w:val="auto"/>
                <w:u w:val="single"/>
                <w:lang w:val="en-US" w:eastAsia="zh-CN"/>
              </w:rPr>
              <w:t>行业</w:t>
            </w:r>
          </w:p>
        </w:tc>
        <w:tc>
          <w:tcPr>
            <w:tcW w:w="6912" w:type="dxa"/>
            <w:vAlign w:val="center"/>
          </w:tcPr>
          <w:p>
            <w:pPr>
              <w:pStyle w:val="182"/>
              <w:rPr>
                <w:rFonts w:hint="eastAsia"/>
                <w:b/>
                <w:bCs/>
                <w:color w:val="auto"/>
                <w:u w:val="single"/>
              </w:rPr>
            </w:pPr>
            <w:r>
              <w:rPr>
                <w:rFonts w:hint="eastAsia"/>
                <w:b/>
                <w:bCs/>
                <w:color w:val="auto"/>
                <w:u w:val="single"/>
              </w:rPr>
              <w:t>评估依据</w:t>
            </w:r>
          </w:p>
        </w:tc>
        <w:tc>
          <w:tcPr>
            <w:tcW w:w="968" w:type="dxa"/>
            <w:vAlign w:val="center"/>
          </w:tcPr>
          <w:p>
            <w:pPr>
              <w:pStyle w:val="182"/>
              <w:rPr>
                <w:rFonts w:hint="eastAsia"/>
                <w:b/>
                <w:bCs/>
                <w:color w:val="auto"/>
                <w:u w:val="single"/>
              </w:rPr>
            </w:pPr>
            <w:r>
              <w:rPr>
                <w:rFonts w:hint="eastAsia"/>
                <w:b/>
                <w:bCs/>
                <w:color w:val="auto"/>
                <w:u w:val="single"/>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Merge w:val="restart"/>
            <w:vAlign w:val="center"/>
          </w:tcPr>
          <w:p>
            <w:pPr>
              <w:pStyle w:val="182"/>
              <w:rPr>
                <w:rFonts w:hint="eastAsia"/>
                <w:b/>
                <w:bCs/>
                <w:color w:val="auto"/>
                <w:u w:val="single"/>
              </w:rPr>
            </w:pPr>
            <w:r>
              <w:rPr>
                <w:rFonts w:hint="eastAsia"/>
                <w:b/>
                <w:bCs/>
                <w:color w:val="auto"/>
                <w:u w:val="single"/>
                <w:lang w:val="en-US" w:eastAsia="zh-CN"/>
              </w:rPr>
              <w:t>石化、化工、医药、轻工、化纤、有色冶炼等</w:t>
            </w:r>
          </w:p>
        </w:tc>
        <w:tc>
          <w:tcPr>
            <w:tcW w:w="6912" w:type="dxa"/>
            <w:vAlign w:val="center"/>
          </w:tcPr>
          <w:p>
            <w:pPr>
              <w:pStyle w:val="182"/>
              <w:rPr>
                <w:rFonts w:hint="eastAsia"/>
                <w:b/>
                <w:bCs/>
                <w:color w:val="auto"/>
                <w:u w:val="single"/>
              </w:rPr>
            </w:pPr>
            <w:r>
              <w:rPr>
                <w:rFonts w:hint="eastAsia"/>
                <w:b/>
                <w:bCs/>
                <w:color w:val="auto"/>
                <w:u w:val="single"/>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968" w:type="dxa"/>
            <w:vAlign w:val="center"/>
          </w:tcPr>
          <w:p>
            <w:pPr>
              <w:pStyle w:val="182"/>
              <w:rPr>
                <w:rFonts w:hint="eastAsia"/>
                <w:b/>
                <w:bCs/>
                <w:color w:val="auto"/>
                <w:u w:val="single"/>
              </w:rPr>
            </w:pPr>
            <w:r>
              <w:rPr>
                <w:rFonts w:hint="eastAsia"/>
                <w:b/>
                <w:bCs/>
                <w:color w:val="auto"/>
                <w:u w:val="single"/>
              </w:rPr>
              <w:t>10/套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Merge w:val="continue"/>
            <w:vAlign w:val="center"/>
          </w:tcPr>
          <w:p>
            <w:pPr>
              <w:pStyle w:val="182"/>
              <w:rPr>
                <w:rFonts w:hint="eastAsia"/>
                <w:b/>
                <w:bCs/>
                <w:color w:val="auto"/>
                <w:u w:val="single"/>
              </w:rPr>
            </w:pPr>
          </w:p>
        </w:tc>
        <w:tc>
          <w:tcPr>
            <w:tcW w:w="6912" w:type="dxa"/>
            <w:vAlign w:val="center"/>
          </w:tcPr>
          <w:p>
            <w:pPr>
              <w:pStyle w:val="182"/>
              <w:rPr>
                <w:rFonts w:hint="eastAsia"/>
                <w:b/>
                <w:bCs/>
                <w:color w:val="auto"/>
                <w:u w:val="single"/>
              </w:rPr>
            </w:pPr>
            <w:r>
              <w:rPr>
                <w:rFonts w:hint="eastAsia"/>
                <w:b/>
                <w:bCs/>
                <w:color w:val="auto"/>
                <w:u w:val="single"/>
              </w:rPr>
              <w:t>无机酸制酸工艺、焦化工艺</w:t>
            </w:r>
          </w:p>
        </w:tc>
        <w:tc>
          <w:tcPr>
            <w:tcW w:w="968" w:type="dxa"/>
            <w:vAlign w:val="center"/>
          </w:tcPr>
          <w:p>
            <w:pPr>
              <w:pStyle w:val="182"/>
              <w:rPr>
                <w:rFonts w:hint="eastAsia"/>
                <w:b/>
                <w:bCs/>
                <w:color w:val="auto"/>
                <w:u w:val="single"/>
              </w:rPr>
            </w:pPr>
            <w:r>
              <w:rPr>
                <w:rFonts w:hint="eastAsia"/>
                <w:b/>
                <w:bCs/>
                <w:color w:val="auto"/>
                <w:u w:val="single"/>
              </w:rPr>
              <w:t>5/套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Merge w:val="continue"/>
            <w:vAlign w:val="center"/>
          </w:tcPr>
          <w:p>
            <w:pPr>
              <w:pStyle w:val="182"/>
              <w:rPr>
                <w:rFonts w:hint="eastAsia"/>
                <w:b/>
                <w:bCs/>
                <w:color w:val="auto"/>
                <w:u w:val="single"/>
              </w:rPr>
            </w:pPr>
          </w:p>
        </w:tc>
        <w:tc>
          <w:tcPr>
            <w:tcW w:w="6912" w:type="dxa"/>
            <w:vAlign w:val="center"/>
          </w:tcPr>
          <w:p>
            <w:pPr>
              <w:pStyle w:val="182"/>
              <w:rPr>
                <w:rFonts w:hint="eastAsia"/>
                <w:b/>
                <w:bCs/>
                <w:color w:val="auto"/>
                <w:u w:val="single"/>
              </w:rPr>
            </w:pPr>
            <w:r>
              <w:rPr>
                <w:rFonts w:hint="eastAsia"/>
                <w:b/>
                <w:bCs/>
                <w:color w:val="auto"/>
                <w:u w:val="single"/>
              </w:rPr>
              <w:t>其他高温或高压，且涉及危险物质的工艺过程a、危险物质贮存罐区</w:t>
            </w:r>
          </w:p>
        </w:tc>
        <w:tc>
          <w:tcPr>
            <w:tcW w:w="968" w:type="dxa"/>
            <w:vAlign w:val="center"/>
          </w:tcPr>
          <w:p>
            <w:pPr>
              <w:pStyle w:val="182"/>
              <w:rPr>
                <w:rFonts w:hint="eastAsia"/>
                <w:b/>
                <w:bCs/>
                <w:color w:val="auto"/>
                <w:u w:val="single"/>
              </w:rPr>
            </w:pPr>
            <w:r>
              <w:rPr>
                <w:rFonts w:hint="eastAsia"/>
                <w:b/>
                <w:bCs/>
                <w:color w:val="auto"/>
                <w:u w:val="single"/>
              </w:rPr>
              <w:t>5/套（罐区）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Align w:val="center"/>
          </w:tcPr>
          <w:p>
            <w:pPr>
              <w:pStyle w:val="182"/>
              <w:rPr>
                <w:rFonts w:hint="eastAsia"/>
                <w:b/>
                <w:bCs/>
                <w:color w:val="auto"/>
                <w:u w:val="single"/>
              </w:rPr>
            </w:pPr>
            <w:r>
              <w:rPr>
                <w:rFonts w:hint="eastAsia"/>
                <w:b/>
                <w:bCs/>
                <w:color w:val="auto"/>
                <w:u w:val="single"/>
              </w:rPr>
              <w:t>管道、港口/码头等</w:t>
            </w:r>
          </w:p>
        </w:tc>
        <w:tc>
          <w:tcPr>
            <w:tcW w:w="6912" w:type="dxa"/>
            <w:vAlign w:val="center"/>
          </w:tcPr>
          <w:p>
            <w:pPr>
              <w:pStyle w:val="182"/>
              <w:rPr>
                <w:rFonts w:hint="eastAsia"/>
                <w:b/>
                <w:bCs/>
                <w:color w:val="auto"/>
                <w:u w:val="single"/>
              </w:rPr>
            </w:pPr>
            <w:r>
              <w:rPr>
                <w:rFonts w:hint="eastAsia"/>
                <w:b/>
                <w:bCs/>
                <w:color w:val="auto"/>
                <w:u w:val="single"/>
              </w:rPr>
              <w:t>涉及危险物质管道运输项目、港口/码头等</w:t>
            </w:r>
          </w:p>
        </w:tc>
        <w:tc>
          <w:tcPr>
            <w:tcW w:w="968" w:type="dxa"/>
            <w:vAlign w:val="center"/>
          </w:tcPr>
          <w:p>
            <w:pPr>
              <w:pStyle w:val="182"/>
              <w:rPr>
                <w:rFonts w:hint="default"/>
                <w:b/>
                <w:bCs/>
                <w:color w:val="auto"/>
                <w:u w:val="single"/>
                <w:lang w:val="en-US" w:eastAsia="zh-CN"/>
              </w:rPr>
            </w:pPr>
            <w:r>
              <w:rPr>
                <w:rFonts w:hint="eastAsia"/>
                <w:b/>
                <w:bCs/>
                <w:color w:val="auto"/>
                <w:u w:val="singl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Align w:val="center"/>
          </w:tcPr>
          <w:p>
            <w:pPr>
              <w:pStyle w:val="182"/>
              <w:rPr>
                <w:rFonts w:hint="eastAsia"/>
                <w:b/>
                <w:bCs/>
                <w:color w:val="auto"/>
                <w:u w:val="single"/>
              </w:rPr>
            </w:pPr>
            <w:r>
              <w:rPr>
                <w:rFonts w:hint="eastAsia"/>
                <w:b/>
                <w:bCs/>
                <w:color w:val="auto"/>
                <w:u w:val="single"/>
              </w:rPr>
              <w:t>石油天然气</w:t>
            </w:r>
          </w:p>
        </w:tc>
        <w:tc>
          <w:tcPr>
            <w:tcW w:w="6912" w:type="dxa"/>
            <w:vAlign w:val="center"/>
          </w:tcPr>
          <w:p>
            <w:pPr>
              <w:pStyle w:val="182"/>
              <w:rPr>
                <w:rFonts w:hint="eastAsia"/>
                <w:b/>
                <w:bCs/>
                <w:color w:val="auto"/>
                <w:u w:val="single"/>
              </w:rPr>
            </w:pPr>
            <w:r>
              <w:rPr>
                <w:rFonts w:hint="eastAsia"/>
                <w:b/>
                <w:bCs/>
                <w:color w:val="auto"/>
                <w:u w:val="single"/>
              </w:rPr>
              <w:t>石油、天然气、页岩气开采（含净化），气库（不含加气站的气库），油库（不含加气站的油库）、油气管线b（不含城镇燃气管线）</w:t>
            </w:r>
          </w:p>
        </w:tc>
        <w:tc>
          <w:tcPr>
            <w:tcW w:w="968" w:type="dxa"/>
            <w:vAlign w:val="center"/>
          </w:tcPr>
          <w:p>
            <w:pPr>
              <w:pStyle w:val="182"/>
              <w:rPr>
                <w:rFonts w:hint="default"/>
                <w:b/>
                <w:bCs/>
                <w:color w:val="auto"/>
                <w:u w:val="single"/>
                <w:lang w:val="en-US" w:eastAsia="zh-CN"/>
              </w:rPr>
            </w:pPr>
            <w:r>
              <w:rPr>
                <w:rFonts w:hint="eastAsia"/>
                <w:b/>
                <w:bCs/>
                <w:color w:val="auto"/>
                <w:u w:val="singl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Align w:val="center"/>
          </w:tcPr>
          <w:p>
            <w:pPr>
              <w:pStyle w:val="182"/>
              <w:rPr>
                <w:rFonts w:hint="eastAsia"/>
                <w:b/>
                <w:bCs/>
                <w:color w:val="auto"/>
                <w:u w:val="single"/>
              </w:rPr>
            </w:pPr>
            <w:r>
              <w:rPr>
                <w:rFonts w:hint="eastAsia"/>
                <w:b/>
                <w:bCs/>
                <w:color w:val="auto"/>
                <w:u w:val="single"/>
              </w:rPr>
              <w:t>其他</w:t>
            </w:r>
          </w:p>
        </w:tc>
        <w:tc>
          <w:tcPr>
            <w:tcW w:w="6912" w:type="dxa"/>
            <w:vAlign w:val="center"/>
          </w:tcPr>
          <w:p>
            <w:pPr>
              <w:pStyle w:val="182"/>
              <w:rPr>
                <w:rFonts w:hint="eastAsia"/>
                <w:b/>
                <w:bCs/>
                <w:color w:val="auto"/>
                <w:u w:val="single"/>
              </w:rPr>
            </w:pPr>
            <w:r>
              <w:rPr>
                <w:rFonts w:hint="eastAsia"/>
                <w:b/>
                <w:bCs/>
                <w:color w:val="auto"/>
                <w:u w:val="single"/>
              </w:rPr>
              <w:t>涉及危险物质使用、贮存的项目</w:t>
            </w:r>
          </w:p>
        </w:tc>
        <w:tc>
          <w:tcPr>
            <w:tcW w:w="968" w:type="dxa"/>
            <w:vAlign w:val="center"/>
          </w:tcPr>
          <w:p>
            <w:pPr>
              <w:pStyle w:val="182"/>
              <w:rPr>
                <w:rFonts w:hint="eastAsia"/>
                <w:b/>
                <w:bCs/>
                <w:color w:val="auto"/>
                <w:u w:val="single"/>
                <w:lang w:val="en-US" w:eastAsia="zh-CN"/>
              </w:rPr>
            </w:pPr>
            <w:r>
              <w:rPr>
                <w:rFonts w:hint="eastAsia"/>
                <w:b/>
                <w:bCs/>
                <w:color w:val="auto"/>
                <w:u w:val="singl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04" w:type="dxa"/>
            <w:gridSpan w:val="3"/>
            <w:vAlign w:val="center"/>
          </w:tcPr>
          <w:p>
            <w:pPr>
              <w:pStyle w:val="182"/>
              <w:rPr>
                <w:rFonts w:hint="eastAsia"/>
                <w:b/>
                <w:bCs/>
                <w:color w:val="auto"/>
                <w:u w:val="single"/>
              </w:rPr>
            </w:pPr>
            <w:r>
              <w:rPr>
                <w:rFonts w:hint="eastAsia"/>
                <w:b/>
                <w:bCs/>
                <w:color w:val="auto"/>
                <w:u w:val="single"/>
              </w:rPr>
              <w:t>a高温指工艺温度≥300℃，高压指压力容器的设计压力（P）≥10.0MPa；b长输管道运输项目应按站场、管线分段进行评价。</w:t>
            </w:r>
          </w:p>
        </w:tc>
      </w:tr>
    </w:tbl>
    <w:p>
      <w:pPr>
        <w:rPr>
          <w:rFonts w:hint="eastAsia"/>
          <w:b/>
          <w:bCs/>
          <w:i w:val="0"/>
          <w:iCs w:val="0"/>
          <w:color w:val="auto"/>
          <w:u w:val="single"/>
        </w:rPr>
      </w:pPr>
      <w:r>
        <w:rPr>
          <w:rFonts w:hint="eastAsia"/>
          <w:b/>
          <w:bCs/>
          <w:i w:val="0"/>
          <w:iCs w:val="0"/>
          <w:color w:val="auto"/>
          <w:u w:val="single"/>
        </w:rPr>
        <w:t>本项目属于化纤行业，根据其生产装置及生产工艺特征，本项目属于涉及危险物质使用、贮存的项目。因此，根据《建设项目环境风险评价技术导则》（HJ/T169-2018）附录C，本项目M值等于5，则项目行业及生产工艺M为M4。</w:t>
      </w:r>
    </w:p>
    <w:p>
      <w:pPr>
        <w:pStyle w:val="10"/>
        <w:bidi w:val="0"/>
        <w:rPr>
          <w:rFonts w:hint="default"/>
          <w:color w:val="auto"/>
          <w:lang w:val="en-US" w:eastAsia="zh-CN"/>
        </w:rPr>
      </w:pPr>
      <w:r>
        <w:rPr>
          <w:rFonts w:hint="eastAsia"/>
          <w:color w:val="auto"/>
          <w:lang w:val="en-US" w:eastAsia="zh-CN"/>
        </w:rPr>
        <w:t>2.5.7</w:t>
      </w:r>
      <w:r>
        <w:rPr>
          <w:rFonts w:hint="eastAsia"/>
          <w:color w:val="auto"/>
        </w:rPr>
        <w:t>.</w:t>
      </w:r>
      <w:r>
        <w:rPr>
          <w:color w:val="auto"/>
        </w:rPr>
        <w:t>3</w:t>
      </w:r>
      <w:r>
        <w:rPr>
          <w:rFonts w:hint="eastAsia"/>
          <w:color w:val="auto"/>
        </w:rPr>
        <w:t>危险物质及工艺系统危险性</w:t>
      </w:r>
      <w:r>
        <w:rPr>
          <w:rFonts w:hint="eastAsia"/>
          <w:color w:val="auto"/>
          <w:lang w:eastAsia="zh-CN"/>
        </w:rPr>
        <w:t>（</w:t>
      </w:r>
      <w:r>
        <w:rPr>
          <w:rFonts w:hint="eastAsia"/>
          <w:color w:val="auto"/>
        </w:rPr>
        <w:t>P</w:t>
      </w:r>
      <w:r>
        <w:rPr>
          <w:rFonts w:hint="eastAsia"/>
          <w:color w:val="auto"/>
          <w:lang w:eastAsia="zh-CN"/>
        </w:rPr>
        <w:t>）</w:t>
      </w:r>
      <w:r>
        <w:rPr>
          <w:rFonts w:hint="eastAsia"/>
          <w:color w:val="auto"/>
          <w:lang w:val="en-US" w:eastAsia="zh-CN"/>
        </w:rPr>
        <w:t>分级</w:t>
      </w:r>
    </w:p>
    <w:p>
      <w:pPr>
        <w:widowControl/>
        <w:tabs>
          <w:tab w:val="left" w:pos="1080"/>
        </w:tabs>
        <w:spacing w:before="120" w:beforeLines="50" w:line="500" w:lineRule="exact"/>
        <w:jc w:val="left"/>
        <w:rPr>
          <w:rFonts w:hint="eastAsia"/>
          <w:b/>
          <w:bCs/>
          <w:color w:val="auto"/>
          <w:u w:val="single"/>
        </w:rPr>
      </w:pPr>
      <w:r>
        <w:rPr>
          <w:rFonts w:hint="eastAsia"/>
          <w:b/>
          <w:bCs/>
          <w:color w:val="auto"/>
          <w:u w:val="single"/>
        </w:rPr>
        <w:t>根据危险物质数量与临界量比值（Q）和行业及生产工艺（M），按照《建设项目环境风险评价技术导则》（HJ/T169-2018）附录</w:t>
      </w:r>
      <w:r>
        <w:rPr>
          <w:rFonts w:hint="eastAsia"/>
          <w:b/>
          <w:bCs/>
          <w:color w:val="auto"/>
          <w:u w:val="single"/>
          <w:lang w:val="en-US" w:eastAsia="zh-CN"/>
        </w:rPr>
        <w:t>表</w:t>
      </w:r>
      <w:r>
        <w:rPr>
          <w:rFonts w:hint="eastAsia"/>
          <w:b/>
          <w:bCs/>
          <w:color w:val="auto"/>
          <w:u w:val="single"/>
        </w:rPr>
        <w:t>C.2确定危险物质及工艺系统危险性等级（P），分别以P1、P2、P3、P4表示。</w:t>
      </w:r>
    </w:p>
    <w:p>
      <w:pPr>
        <w:pStyle w:val="181"/>
        <w:widowControl/>
        <w:tabs>
          <w:tab w:val="left" w:pos="1080"/>
        </w:tabs>
        <w:spacing w:before="120" w:beforeLines="50" w:line="500" w:lineRule="exact"/>
        <w:jc w:val="left"/>
        <w:rPr>
          <w:rFonts w:hint="eastAsia"/>
          <w:color w:val="auto"/>
        </w:rPr>
      </w:pPr>
      <w:r>
        <w:rPr>
          <w:rFonts w:hint="eastAsia"/>
          <w:color w:val="auto"/>
        </w:rPr>
        <w:t>表C.2</w:t>
      </w:r>
      <w:r>
        <w:rPr>
          <w:rFonts w:hint="eastAsia"/>
          <w:color w:val="auto"/>
          <w:lang w:val="en-US" w:eastAsia="zh-CN"/>
        </w:rPr>
        <w:t xml:space="preserve">     </w:t>
      </w:r>
      <w:r>
        <w:rPr>
          <w:rFonts w:hint="eastAsia"/>
          <w:color w:val="auto"/>
        </w:rPr>
        <w:t>危险物质及工艺系统危险性等级判断（P）</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2"/>
        <w:gridCol w:w="1705"/>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Merge w:val="restart"/>
            <w:vAlign w:val="center"/>
          </w:tcPr>
          <w:p>
            <w:pPr>
              <w:pStyle w:val="182"/>
              <w:rPr>
                <w:rFonts w:hint="eastAsia"/>
                <w:b/>
                <w:bCs/>
                <w:color w:val="auto"/>
                <w:u w:val="single"/>
              </w:rPr>
            </w:pPr>
            <w:r>
              <w:rPr>
                <w:rFonts w:hint="eastAsia"/>
                <w:b/>
                <w:bCs/>
                <w:color w:val="auto"/>
                <w:u w:val="single"/>
              </w:rPr>
              <w:t>危险物质数量</w:t>
            </w:r>
          </w:p>
          <w:p>
            <w:pPr>
              <w:pStyle w:val="182"/>
              <w:rPr>
                <w:rFonts w:hint="eastAsia"/>
                <w:b/>
                <w:bCs/>
                <w:color w:val="auto"/>
                <w:u w:val="single"/>
              </w:rPr>
            </w:pPr>
            <w:r>
              <w:rPr>
                <w:rFonts w:hint="eastAsia"/>
                <w:b/>
                <w:bCs/>
                <w:color w:val="auto"/>
                <w:u w:val="single"/>
              </w:rPr>
              <w:t>与临界量比值（Q）</w:t>
            </w:r>
          </w:p>
        </w:tc>
        <w:tc>
          <w:tcPr>
            <w:tcW w:w="4000" w:type="pct"/>
            <w:gridSpan w:val="4"/>
            <w:vAlign w:val="center"/>
          </w:tcPr>
          <w:p>
            <w:pPr>
              <w:pStyle w:val="182"/>
              <w:rPr>
                <w:rFonts w:hint="eastAsia"/>
                <w:b/>
                <w:bCs/>
                <w:color w:val="auto"/>
                <w:u w:val="single"/>
              </w:rPr>
            </w:pPr>
            <w:r>
              <w:rPr>
                <w:rFonts w:hint="eastAsia"/>
                <w:b/>
                <w:bCs/>
                <w:color w:val="auto"/>
                <w:u w:val="single"/>
              </w:rPr>
              <w:t>行业及生产工艺（M）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Merge w:val="continue"/>
            <w:vAlign w:val="center"/>
          </w:tcPr>
          <w:p>
            <w:pPr>
              <w:pStyle w:val="182"/>
              <w:rPr>
                <w:rFonts w:hint="eastAsia"/>
                <w:b/>
                <w:bCs/>
                <w:color w:val="auto"/>
                <w:u w:val="single"/>
              </w:rPr>
            </w:pP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M1</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M2</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M3</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M4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rPr>
                <w:rFonts w:hint="eastAsia"/>
                <w:b/>
                <w:bCs/>
                <w:color w:val="auto"/>
                <w:u w:val="single"/>
              </w:rPr>
            </w:pPr>
            <w:r>
              <w:rPr>
                <w:rFonts w:hint="eastAsia"/>
                <w:b/>
                <w:bCs/>
                <w:color w:val="auto"/>
                <w:u w:val="single"/>
              </w:rPr>
              <w:t>Q≥100</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P1</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P1</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P2</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rPr>
                <w:rFonts w:hint="eastAsia"/>
                <w:b/>
                <w:bCs/>
                <w:color w:val="auto"/>
                <w:u w:val="single"/>
              </w:rPr>
            </w:pPr>
            <w:r>
              <w:rPr>
                <w:rFonts w:hint="eastAsia"/>
                <w:b/>
                <w:bCs/>
                <w:color w:val="auto"/>
                <w:u w:val="single"/>
              </w:rPr>
              <w:t>10≤Q＜100</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P1</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P2</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P3</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rPr>
                <w:rFonts w:hint="eastAsia"/>
                <w:b/>
                <w:bCs/>
                <w:color w:val="auto"/>
                <w:u w:val="single"/>
              </w:rPr>
            </w:pPr>
            <w:r>
              <w:rPr>
                <w:rFonts w:hint="eastAsia"/>
                <w:b/>
                <w:bCs/>
                <w:color w:val="auto"/>
                <w:u w:val="single"/>
              </w:rPr>
              <w:t>1≤Q＜10</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P2</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P3</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P4</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P4</w:t>
            </w:r>
          </w:p>
        </w:tc>
      </w:tr>
    </w:tbl>
    <w:p>
      <w:pPr>
        <w:rPr>
          <w:rFonts w:hint="eastAsia"/>
          <w:b/>
          <w:bCs/>
          <w:color w:val="auto"/>
          <w:u w:val="single"/>
        </w:rPr>
      </w:pPr>
      <w:r>
        <w:rPr>
          <w:rFonts w:hint="eastAsia"/>
          <w:b/>
          <w:bCs/>
          <w:color w:val="auto"/>
          <w:u w:val="single"/>
        </w:rPr>
        <w:t>本项目M=5</w:t>
      </w:r>
      <w:r>
        <w:rPr>
          <w:rFonts w:hint="eastAsia"/>
          <w:b/>
          <w:bCs/>
          <w:color w:val="auto"/>
          <w:u w:val="single"/>
          <w:lang w:eastAsia="zh-CN"/>
        </w:rPr>
        <w:t>，</w:t>
      </w:r>
      <w:r>
        <w:rPr>
          <w:rFonts w:hint="eastAsia"/>
          <w:b/>
          <w:bCs/>
          <w:color w:val="auto"/>
          <w:u w:val="single"/>
          <w:lang w:val="en-US" w:eastAsia="zh-CN"/>
        </w:rPr>
        <w:t>M为M4</w:t>
      </w:r>
      <w:r>
        <w:rPr>
          <w:rFonts w:hint="eastAsia"/>
          <w:b/>
          <w:bCs/>
          <w:color w:val="auto"/>
          <w:u w:val="single"/>
        </w:rPr>
        <w:t>，Q≥100，根据《建设项目环境风险评价技术导则》（HJ/T169- 2018）附录C，本项目的P值为P</w:t>
      </w:r>
      <w:r>
        <w:rPr>
          <w:rFonts w:hint="eastAsia"/>
          <w:b/>
          <w:bCs/>
          <w:color w:val="auto"/>
          <w:u w:val="single"/>
          <w:lang w:val="en-US" w:eastAsia="zh-CN"/>
        </w:rPr>
        <w:t>3</w:t>
      </w:r>
      <w:r>
        <w:rPr>
          <w:rFonts w:hint="eastAsia"/>
          <w:b/>
          <w:bCs/>
          <w:color w:val="auto"/>
          <w:u w:val="single"/>
        </w:rPr>
        <w:t>。</w:t>
      </w:r>
    </w:p>
    <w:p>
      <w:pPr>
        <w:pStyle w:val="10"/>
        <w:bidi w:val="0"/>
        <w:rPr>
          <w:rFonts w:hint="eastAsia"/>
          <w:color w:val="auto"/>
        </w:rPr>
      </w:pPr>
      <w:r>
        <w:rPr>
          <w:rFonts w:hint="eastAsia"/>
          <w:color w:val="auto"/>
          <w:lang w:val="en-US" w:eastAsia="zh-CN"/>
        </w:rPr>
        <w:t>2.5.7</w:t>
      </w:r>
      <w:r>
        <w:rPr>
          <w:rFonts w:hint="eastAsia"/>
          <w:color w:val="auto"/>
        </w:rPr>
        <w:t>.4</w:t>
      </w:r>
      <w:r>
        <w:rPr>
          <w:rFonts w:hint="eastAsia"/>
          <w:color w:val="auto"/>
          <w:lang w:val="en-US" w:eastAsia="zh-CN"/>
        </w:rPr>
        <w:t xml:space="preserve">  </w:t>
      </w:r>
      <w:r>
        <w:rPr>
          <w:rFonts w:hint="eastAsia"/>
          <w:color w:val="auto"/>
        </w:rPr>
        <w:t>环境敏感程度E及评价等级</w:t>
      </w:r>
    </w:p>
    <w:p>
      <w:pPr>
        <w:rPr>
          <w:rFonts w:hint="eastAsia"/>
          <w:b/>
          <w:bCs/>
          <w:color w:val="auto"/>
          <w:u w:val="single"/>
          <w:lang w:eastAsia="zh-CN"/>
        </w:rPr>
      </w:pPr>
      <w:r>
        <w:rPr>
          <w:rFonts w:hint="eastAsia"/>
          <w:b/>
          <w:bCs/>
          <w:color w:val="auto"/>
          <w:u w:val="single"/>
          <w:lang w:eastAsia="zh-CN"/>
        </w:rPr>
        <w:t>（</w:t>
      </w:r>
      <w:r>
        <w:rPr>
          <w:rFonts w:hint="eastAsia"/>
          <w:b/>
          <w:bCs/>
          <w:color w:val="auto"/>
          <w:u w:val="single"/>
          <w:lang w:val="en-US" w:eastAsia="zh-CN"/>
        </w:rPr>
        <w:t>1</w:t>
      </w:r>
      <w:r>
        <w:rPr>
          <w:rFonts w:hint="eastAsia"/>
          <w:b/>
          <w:bCs/>
          <w:color w:val="auto"/>
          <w:u w:val="single"/>
          <w:lang w:eastAsia="zh-CN"/>
        </w:rPr>
        <w:t>）</w:t>
      </w:r>
      <w:r>
        <w:rPr>
          <w:rFonts w:hint="eastAsia"/>
          <w:b/>
          <w:bCs/>
          <w:color w:val="auto"/>
          <w:u w:val="single"/>
        </w:rPr>
        <w:t>大气环境</w:t>
      </w:r>
    </w:p>
    <w:p>
      <w:pPr>
        <w:rPr>
          <w:rFonts w:hint="eastAsia"/>
          <w:b/>
          <w:bCs/>
          <w:color w:val="auto"/>
          <w:u w:val="single"/>
        </w:rPr>
      </w:pPr>
      <w:r>
        <w:rPr>
          <w:rFonts w:hint="eastAsia"/>
          <w:b/>
          <w:bCs/>
          <w:color w:val="auto"/>
          <w:u w:val="single"/>
        </w:rPr>
        <w:t>根据《建设项目环境风险评价技术导则》（HJ/T169- 2018）附录</w:t>
      </w:r>
      <w:r>
        <w:rPr>
          <w:rFonts w:hint="eastAsia"/>
          <w:b/>
          <w:bCs/>
          <w:color w:val="auto"/>
          <w:u w:val="single"/>
          <w:lang w:val="en-US" w:eastAsia="zh-CN"/>
        </w:rPr>
        <w:t>D</w:t>
      </w:r>
      <w:r>
        <w:rPr>
          <w:rFonts w:hint="eastAsia"/>
          <w:b/>
          <w:bCs/>
          <w:color w:val="auto"/>
          <w:u w:val="single"/>
        </w:rPr>
        <w:t>依据环境敏感目标环境敏感性及人口密度划分环境风险受体的敏感性，共分为三种类型，E1为环境高度敏感区，E2为环境中度敏感区，E3为环境低度敏感区，分级原则见表D.1。</w:t>
      </w:r>
    </w:p>
    <w:p>
      <w:pPr>
        <w:pStyle w:val="181"/>
        <w:rPr>
          <w:rFonts w:hint="eastAsia"/>
          <w:color w:val="auto"/>
        </w:rPr>
      </w:pPr>
      <w:r>
        <w:rPr>
          <w:rFonts w:hint="eastAsia"/>
          <w:color w:val="auto"/>
        </w:rPr>
        <w:t xml:space="preserve">表D.1 </w:t>
      </w:r>
      <w:r>
        <w:rPr>
          <w:rFonts w:hint="eastAsia"/>
          <w:color w:val="auto"/>
          <w:lang w:val="en-US" w:eastAsia="zh-CN"/>
        </w:rPr>
        <w:t xml:space="preserve">            </w:t>
      </w:r>
      <w:r>
        <w:rPr>
          <w:rFonts w:hint="eastAsia"/>
          <w:color w:val="auto"/>
        </w:rPr>
        <w:t>大气环境敏感程度分级</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7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vAlign w:val="center"/>
          </w:tcPr>
          <w:p>
            <w:pPr>
              <w:pStyle w:val="182"/>
              <w:rPr>
                <w:rFonts w:hint="default"/>
                <w:b/>
                <w:bCs/>
                <w:color w:val="auto"/>
                <w:vertAlign w:val="baseline"/>
              </w:rPr>
            </w:pPr>
            <w:r>
              <w:rPr>
                <w:rFonts w:hint="default"/>
                <w:b/>
                <w:bCs/>
                <w:color w:val="auto"/>
              </w:rPr>
              <w:t>分级</w:t>
            </w:r>
          </w:p>
        </w:tc>
        <w:tc>
          <w:tcPr>
            <w:tcW w:w="4302" w:type="pct"/>
            <w:vAlign w:val="center"/>
          </w:tcPr>
          <w:p>
            <w:pPr>
              <w:pStyle w:val="182"/>
              <w:rPr>
                <w:rFonts w:hint="default"/>
                <w:b/>
                <w:bCs/>
                <w:color w:val="auto"/>
                <w:vertAlign w:val="baseline"/>
              </w:rPr>
            </w:pPr>
            <w:r>
              <w:rPr>
                <w:rFonts w:hint="default"/>
                <w:b/>
                <w:bCs/>
                <w:color w:val="auto"/>
              </w:rPr>
              <w:t>大气环境敏感性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vAlign w:val="center"/>
          </w:tcPr>
          <w:p>
            <w:pPr>
              <w:pStyle w:val="182"/>
              <w:rPr>
                <w:rFonts w:hint="default" w:eastAsia="宋体"/>
                <w:b/>
                <w:bCs/>
                <w:color w:val="auto"/>
                <w:vertAlign w:val="baseline"/>
                <w:lang w:val="en-US" w:eastAsia="zh-CN"/>
              </w:rPr>
            </w:pPr>
            <w:r>
              <w:rPr>
                <w:rFonts w:hint="default"/>
                <w:b/>
                <w:bCs/>
                <w:color w:val="auto"/>
                <w:vertAlign w:val="baseline"/>
                <w:lang w:val="en-US" w:eastAsia="zh-CN"/>
              </w:rPr>
              <w:t>E1</w:t>
            </w:r>
          </w:p>
        </w:tc>
        <w:tc>
          <w:tcPr>
            <w:tcW w:w="4302" w:type="pct"/>
            <w:vAlign w:val="center"/>
          </w:tcPr>
          <w:p>
            <w:pPr>
              <w:pStyle w:val="182"/>
              <w:rPr>
                <w:rFonts w:hint="default"/>
                <w:b/>
                <w:bCs/>
                <w:color w:val="auto"/>
                <w:vertAlign w:val="baseline"/>
              </w:rPr>
            </w:pPr>
            <w:r>
              <w:rPr>
                <w:rFonts w:hint="default"/>
                <w:b/>
                <w:bCs/>
                <w:color w:val="auto"/>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vAlign w:val="center"/>
          </w:tcPr>
          <w:p>
            <w:pPr>
              <w:pStyle w:val="182"/>
              <w:rPr>
                <w:rFonts w:hint="default" w:eastAsia="宋体"/>
                <w:b/>
                <w:bCs/>
                <w:color w:val="auto"/>
                <w:vertAlign w:val="baseline"/>
                <w:lang w:val="en-US" w:eastAsia="zh-CN"/>
              </w:rPr>
            </w:pPr>
            <w:r>
              <w:rPr>
                <w:rFonts w:hint="default"/>
                <w:b/>
                <w:bCs/>
                <w:color w:val="auto"/>
                <w:vertAlign w:val="baseline"/>
                <w:lang w:val="en-US" w:eastAsia="zh-CN"/>
              </w:rPr>
              <w:t>E2</w:t>
            </w:r>
          </w:p>
        </w:tc>
        <w:tc>
          <w:tcPr>
            <w:tcW w:w="4302" w:type="pct"/>
            <w:vAlign w:val="center"/>
          </w:tcPr>
          <w:p>
            <w:pPr>
              <w:pStyle w:val="182"/>
              <w:rPr>
                <w:rFonts w:hint="default"/>
                <w:b/>
                <w:bCs/>
                <w:color w:val="auto"/>
                <w:vertAlign w:val="baseline"/>
              </w:rPr>
            </w:pPr>
            <w:r>
              <w:rPr>
                <w:rFonts w:hint="default"/>
                <w:b/>
                <w:bCs/>
                <w:color w:val="auto"/>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vAlign w:val="center"/>
          </w:tcPr>
          <w:p>
            <w:pPr>
              <w:pStyle w:val="182"/>
              <w:rPr>
                <w:rFonts w:hint="default" w:eastAsia="宋体"/>
                <w:b/>
                <w:bCs/>
                <w:color w:val="auto"/>
                <w:vertAlign w:val="baseline"/>
                <w:lang w:val="en-US" w:eastAsia="zh-CN"/>
              </w:rPr>
            </w:pPr>
            <w:r>
              <w:rPr>
                <w:rFonts w:hint="default"/>
                <w:b/>
                <w:bCs/>
                <w:color w:val="auto"/>
                <w:vertAlign w:val="baseline"/>
                <w:lang w:val="en-US" w:eastAsia="zh-CN"/>
              </w:rPr>
              <w:t>E3</w:t>
            </w:r>
          </w:p>
        </w:tc>
        <w:tc>
          <w:tcPr>
            <w:tcW w:w="4302" w:type="pct"/>
            <w:vAlign w:val="center"/>
          </w:tcPr>
          <w:p>
            <w:pPr>
              <w:pStyle w:val="182"/>
              <w:rPr>
                <w:rFonts w:hint="default"/>
                <w:b/>
                <w:bCs/>
                <w:color w:val="auto"/>
                <w:vertAlign w:val="baseline"/>
              </w:rPr>
            </w:pPr>
            <w:r>
              <w:rPr>
                <w:rFonts w:hint="default"/>
                <w:b/>
                <w:bCs/>
                <w:color w:val="auto"/>
              </w:rPr>
              <w:t>周边</w:t>
            </w:r>
            <w:r>
              <w:rPr>
                <w:rFonts w:hint="default"/>
                <w:b/>
                <w:bCs/>
                <w:color w:val="auto"/>
                <w:lang w:val="en-US" w:eastAsia="zh-CN"/>
              </w:rPr>
              <w:t>5</w:t>
            </w:r>
            <w:r>
              <w:rPr>
                <w:rFonts w:hint="default"/>
                <w:b/>
                <w:bCs/>
                <w:color w:val="auto"/>
              </w:rPr>
              <w:t>km范围内居住区、医疗卫生、文化教育、科研、行政办公等机构人口总数小于1万人；或周边500m范围内人口总数小于500人；油气、化学品输送管线管段周边200m范围内，每千米管段人口数小于100人</w:t>
            </w:r>
          </w:p>
        </w:tc>
      </w:tr>
    </w:tbl>
    <w:p>
      <w:pPr>
        <w:rPr>
          <w:rFonts w:hint="eastAsia"/>
          <w:b/>
          <w:bCs/>
          <w:color w:val="auto"/>
          <w:u w:val="single"/>
          <w:lang w:eastAsia="zh-CN"/>
        </w:rPr>
      </w:pPr>
      <w:r>
        <w:rPr>
          <w:rFonts w:hint="eastAsia"/>
          <w:b/>
          <w:bCs/>
          <w:color w:val="auto"/>
          <w:u w:val="single"/>
        </w:rPr>
        <w:t>项目周边5 km范围内总人口数为</w:t>
      </w:r>
      <w:r>
        <w:rPr>
          <w:rFonts w:hint="eastAsia"/>
          <w:b/>
          <w:bCs/>
          <w:color w:val="auto"/>
          <w:u w:val="single"/>
          <w:lang w:val="en-US" w:eastAsia="zh-CN"/>
        </w:rPr>
        <w:t>137216</w:t>
      </w:r>
      <w:r>
        <w:rPr>
          <w:rFonts w:hint="eastAsia"/>
          <w:b/>
          <w:bCs/>
          <w:color w:val="auto"/>
          <w:u w:val="single"/>
        </w:rPr>
        <w:t>人，大于5万人，项目大气环境敏感程度为环境高度敏感区E1</w:t>
      </w:r>
      <w:r>
        <w:rPr>
          <w:rFonts w:hint="eastAsia"/>
          <w:b/>
          <w:bCs/>
          <w:color w:val="auto"/>
          <w:u w:val="single"/>
          <w:lang w:eastAsia="zh-CN"/>
        </w:rPr>
        <w:t>。</w:t>
      </w:r>
    </w:p>
    <w:p>
      <w:pPr>
        <w:ind w:firstLine="482" w:firstLineChars="200"/>
        <w:rPr>
          <w:rFonts w:hint="eastAsia"/>
          <w:color w:val="auto"/>
          <w:lang w:eastAsia="zh-CN"/>
        </w:rPr>
      </w:pPr>
      <w:r>
        <w:rPr>
          <w:rFonts w:hint="eastAsia"/>
          <w:b/>
          <w:bCs/>
          <w:color w:val="auto"/>
          <w:u w:val="single"/>
        </w:rPr>
        <w:t>根据建设项目涉及的物质和工艺系统的危险性及其所在地的环境敏感程度，结合事故情形下环境影响途径，对建设项目潜在环境危害程度进行概化分析，按照《建设项目环境风险评价技术导则》（HJ/T169- 2018）表2确定环境风险潜势。</w:t>
      </w:r>
    </w:p>
    <w:p>
      <w:pPr>
        <w:pStyle w:val="181"/>
        <w:rPr>
          <w:rFonts w:hint="eastAsia"/>
          <w:color w:val="auto"/>
        </w:rPr>
      </w:pPr>
      <w:r>
        <w:rPr>
          <w:rFonts w:hint="eastAsia"/>
          <w:color w:val="auto"/>
        </w:rPr>
        <w:t xml:space="preserve">表2 </w:t>
      </w:r>
      <w:r>
        <w:rPr>
          <w:rFonts w:hint="eastAsia"/>
          <w:color w:val="auto"/>
          <w:lang w:val="en-US" w:eastAsia="zh-CN"/>
        </w:rPr>
        <w:t xml:space="preserve">             </w:t>
      </w:r>
      <w:r>
        <w:rPr>
          <w:rFonts w:hint="eastAsia"/>
          <w:color w:val="auto"/>
        </w:rPr>
        <w:t>建设项目环境风险潜势划分</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5"/>
        <w:gridCol w:w="1704"/>
        <w:gridCol w:w="1704"/>
        <w:gridCol w:w="1704"/>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Merge w:val="restart"/>
            <w:vAlign w:val="center"/>
          </w:tcPr>
          <w:p>
            <w:pPr>
              <w:pStyle w:val="182"/>
              <w:rPr>
                <w:rFonts w:hint="eastAsia"/>
                <w:b/>
                <w:bCs/>
                <w:color w:val="auto"/>
                <w:u w:val="single"/>
              </w:rPr>
            </w:pPr>
            <w:r>
              <w:rPr>
                <w:rFonts w:hint="eastAsia"/>
                <w:b/>
                <w:bCs/>
                <w:color w:val="auto"/>
                <w:u w:val="single"/>
              </w:rPr>
              <w:t>环境敏感程度（E）</w:t>
            </w:r>
          </w:p>
        </w:tc>
        <w:tc>
          <w:tcPr>
            <w:tcW w:w="7204" w:type="dxa"/>
            <w:gridSpan w:val="4"/>
            <w:vAlign w:val="center"/>
          </w:tcPr>
          <w:p>
            <w:pPr>
              <w:pStyle w:val="182"/>
              <w:rPr>
                <w:rFonts w:hint="eastAsia"/>
                <w:b/>
                <w:bCs/>
                <w:color w:val="auto"/>
                <w:u w:val="single"/>
              </w:rPr>
            </w:pPr>
            <w:r>
              <w:rPr>
                <w:rFonts w:hint="eastAsia"/>
                <w:b/>
                <w:bCs/>
                <w:color w:val="auto"/>
                <w:u w:val="single"/>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Merge w:val="continue"/>
            <w:vAlign w:val="center"/>
          </w:tcPr>
          <w:p>
            <w:pPr>
              <w:pStyle w:val="182"/>
              <w:rPr>
                <w:rFonts w:hint="eastAsia"/>
                <w:b/>
                <w:bCs/>
                <w:color w:val="auto"/>
                <w:u w:val="single"/>
              </w:rPr>
            </w:pPr>
          </w:p>
        </w:tc>
        <w:tc>
          <w:tcPr>
            <w:tcW w:w="1801" w:type="dxa"/>
            <w:vAlign w:val="center"/>
          </w:tcPr>
          <w:p>
            <w:pPr>
              <w:pStyle w:val="182"/>
              <w:rPr>
                <w:rFonts w:hint="eastAsia"/>
                <w:b/>
                <w:bCs/>
                <w:color w:val="auto"/>
                <w:u w:val="single"/>
              </w:rPr>
            </w:pPr>
            <w:r>
              <w:rPr>
                <w:rFonts w:hint="eastAsia"/>
                <w:b/>
                <w:bCs/>
                <w:color w:val="auto"/>
                <w:u w:val="single"/>
              </w:rPr>
              <w:t>极高危害（P1）</w:t>
            </w:r>
          </w:p>
        </w:tc>
        <w:tc>
          <w:tcPr>
            <w:tcW w:w="1801" w:type="dxa"/>
            <w:vAlign w:val="center"/>
          </w:tcPr>
          <w:p>
            <w:pPr>
              <w:pStyle w:val="182"/>
              <w:rPr>
                <w:rFonts w:hint="eastAsia"/>
                <w:b/>
                <w:bCs/>
                <w:color w:val="auto"/>
                <w:u w:val="single"/>
              </w:rPr>
            </w:pPr>
            <w:r>
              <w:rPr>
                <w:rFonts w:hint="eastAsia"/>
                <w:b/>
                <w:bCs/>
                <w:color w:val="auto"/>
                <w:u w:val="single"/>
              </w:rPr>
              <w:t>高度危害（P2）</w:t>
            </w:r>
          </w:p>
        </w:tc>
        <w:tc>
          <w:tcPr>
            <w:tcW w:w="1801" w:type="dxa"/>
            <w:vAlign w:val="center"/>
          </w:tcPr>
          <w:p>
            <w:pPr>
              <w:pStyle w:val="182"/>
              <w:rPr>
                <w:rFonts w:hint="eastAsia"/>
                <w:b/>
                <w:bCs/>
                <w:color w:val="auto"/>
                <w:u w:val="single"/>
              </w:rPr>
            </w:pPr>
            <w:r>
              <w:rPr>
                <w:rFonts w:hint="eastAsia"/>
                <w:b/>
                <w:bCs/>
                <w:color w:val="auto"/>
                <w:u w:val="single"/>
              </w:rPr>
              <w:t>中度危害（P3）</w:t>
            </w:r>
          </w:p>
        </w:tc>
        <w:tc>
          <w:tcPr>
            <w:tcW w:w="1801" w:type="dxa"/>
            <w:vAlign w:val="center"/>
          </w:tcPr>
          <w:p>
            <w:pPr>
              <w:pStyle w:val="182"/>
              <w:rPr>
                <w:rFonts w:hint="eastAsia"/>
                <w:b/>
                <w:bCs/>
                <w:color w:val="auto"/>
                <w:u w:val="single"/>
              </w:rPr>
            </w:pPr>
            <w:r>
              <w:rPr>
                <w:rFonts w:hint="eastAsia"/>
                <w:b/>
                <w:bCs/>
                <w:color w:val="auto"/>
                <w:u w:val="single"/>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Align w:val="center"/>
          </w:tcPr>
          <w:p>
            <w:pPr>
              <w:pStyle w:val="182"/>
              <w:rPr>
                <w:rFonts w:hint="eastAsia"/>
                <w:b/>
                <w:bCs/>
                <w:color w:val="auto"/>
                <w:u w:val="single"/>
              </w:rPr>
            </w:pPr>
            <w:r>
              <w:rPr>
                <w:rFonts w:hint="eastAsia"/>
                <w:b/>
                <w:bCs/>
                <w:color w:val="auto"/>
                <w:u w:val="single"/>
              </w:rPr>
              <w:t>环境高度敏感区（E1）</w:t>
            </w:r>
          </w:p>
        </w:tc>
        <w:tc>
          <w:tcPr>
            <w:tcW w:w="1801" w:type="dxa"/>
            <w:vAlign w:val="center"/>
          </w:tcPr>
          <w:p>
            <w:pPr>
              <w:pStyle w:val="182"/>
              <w:rPr>
                <w:rFonts w:hint="eastAsia"/>
                <w:b/>
                <w:bCs/>
                <w:color w:val="auto"/>
                <w:u w:val="single"/>
                <w:lang w:val="en-US" w:eastAsia="zh-CN"/>
              </w:rPr>
            </w:pPr>
            <w:r>
              <w:rPr>
                <w:rFonts w:hint="eastAsia"/>
                <w:b/>
                <w:bCs/>
                <w:color w:val="auto"/>
                <w:u w:val="single"/>
              </w:rPr>
              <w:t>Ⅳ</w:t>
            </w:r>
            <w:r>
              <w:rPr>
                <w:rFonts w:hint="eastAsia"/>
                <w:b/>
                <w:bCs/>
                <w:color w:val="auto"/>
                <w:u w:val="single"/>
                <w:lang w:val="en-US" w:eastAsia="zh-CN"/>
              </w:rPr>
              <w:t>+</w:t>
            </w:r>
          </w:p>
        </w:tc>
        <w:tc>
          <w:tcPr>
            <w:tcW w:w="1801" w:type="dxa"/>
            <w:vAlign w:val="center"/>
          </w:tcPr>
          <w:p>
            <w:pPr>
              <w:pStyle w:val="182"/>
              <w:rPr>
                <w:rFonts w:hint="eastAsia"/>
                <w:b/>
                <w:bCs/>
                <w:color w:val="auto"/>
                <w:u w:val="single"/>
              </w:rPr>
            </w:pPr>
            <w:r>
              <w:rPr>
                <w:rFonts w:hint="eastAsia"/>
                <w:b/>
                <w:bCs/>
                <w:color w:val="auto"/>
                <w:u w:val="single"/>
              </w:rPr>
              <w:t>Ⅳ</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Align w:val="center"/>
          </w:tcPr>
          <w:p>
            <w:pPr>
              <w:pStyle w:val="182"/>
              <w:rPr>
                <w:rFonts w:hint="eastAsia"/>
                <w:b/>
                <w:bCs/>
                <w:color w:val="auto"/>
                <w:u w:val="single"/>
              </w:rPr>
            </w:pPr>
            <w:r>
              <w:rPr>
                <w:rFonts w:hint="eastAsia"/>
                <w:b/>
                <w:bCs/>
                <w:color w:val="auto"/>
                <w:u w:val="single"/>
              </w:rPr>
              <w:t>环境中度敏感区（E2）</w:t>
            </w:r>
          </w:p>
        </w:tc>
        <w:tc>
          <w:tcPr>
            <w:tcW w:w="1801" w:type="dxa"/>
            <w:vAlign w:val="center"/>
          </w:tcPr>
          <w:p>
            <w:pPr>
              <w:pStyle w:val="182"/>
              <w:rPr>
                <w:rFonts w:hint="eastAsia"/>
                <w:b/>
                <w:bCs/>
                <w:color w:val="auto"/>
                <w:u w:val="single"/>
              </w:rPr>
            </w:pPr>
            <w:r>
              <w:rPr>
                <w:rFonts w:hint="eastAsia"/>
                <w:b/>
                <w:bCs/>
                <w:color w:val="auto"/>
                <w:u w:val="single"/>
              </w:rPr>
              <w:t>Ⅳ</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Align w:val="center"/>
          </w:tcPr>
          <w:p>
            <w:pPr>
              <w:pStyle w:val="182"/>
              <w:rPr>
                <w:rFonts w:hint="eastAsia"/>
                <w:b/>
                <w:bCs/>
                <w:color w:val="auto"/>
                <w:u w:val="single"/>
              </w:rPr>
            </w:pPr>
            <w:r>
              <w:rPr>
                <w:rFonts w:hint="eastAsia"/>
                <w:b/>
                <w:bCs/>
                <w:color w:val="auto"/>
                <w:u w:val="single"/>
              </w:rPr>
              <w:t>环境低度敏感区（E3）</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Ⅱ</w:t>
            </w:r>
          </w:p>
        </w:tc>
        <w:tc>
          <w:tcPr>
            <w:tcW w:w="1801" w:type="dxa"/>
            <w:vAlign w:val="center"/>
          </w:tcPr>
          <w:p>
            <w:pPr>
              <w:pStyle w:val="182"/>
              <w:rPr>
                <w:rFonts w:hint="default"/>
                <w:b/>
                <w:bCs/>
                <w:color w:val="auto"/>
                <w:u w:val="single"/>
                <w:vertAlign w:val="baseline"/>
              </w:rPr>
            </w:pPr>
            <w:r>
              <w:rPr>
                <w:rFonts w:hint="eastAsia"/>
                <w:b/>
                <w:bCs/>
                <w:color w:val="auto"/>
                <w:u w:val="singl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4" w:type="dxa"/>
            <w:gridSpan w:val="5"/>
            <w:vAlign w:val="center"/>
          </w:tcPr>
          <w:p>
            <w:pPr>
              <w:pStyle w:val="182"/>
              <w:rPr>
                <w:rFonts w:hint="eastAsia"/>
                <w:b/>
                <w:bCs/>
                <w:color w:val="auto"/>
                <w:u w:val="single"/>
              </w:rPr>
            </w:pPr>
            <w:r>
              <w:rPr>
                <w:rFonts w:hint="eastAsia"/>
                <w:b/>
                <w:bCs/>
                <w:color w:val="auto"/>
                <w:u w:val="single"/>
              </w:rPr>
              <w:t>注：Ⅳ+为极高环境风险。</w:t>
            </w:r>
          </w:p>
        </w:tc>
      </w:tr>
    </w:tbl>
    <w:p>
      <w:pPr>
        <w:rPr>
          <w:rFonts w:hint="eastAsia"/>
          <w:b/>
          <w:bCs/>
          <w:color w:val="auto"/>
          <w:u w:val="single"/>
        </w:rPr>
      </w:pPr>
      <w:r>
        <w:rPr>
          <w:rFonts w:hint="eastAsia"/>
          <w:b/>
          <w:bCs/>
          <w:color w:val="auto"/>
          <w:u w:val="single"/>
        </w:rPr>
        <w:t>评价工作等级划分</w:t>
      </w:r>
      <w:r>
        <w:rPr>
          <w:rFonts w:hint="eastAsia"/>
          <w:b/>
          <w:bCs/>
          <w:color w:val="auto"/>
          <w:u w:val="single"/>
          <w:lang w:eastAsia="zh-CN"/>
        </w:rPr>
        <w:t>：</w:t>
      </w:r>
      <w:r>
        <w:rPr>
          <w:rFonts w:hint="eastAsia"/>
          <w:b/>
          <w:bCs/>
          <w:color w:val="auto"/>
          <w:u w:val="single"/>
        </w:rPr>
        <w:t>风险潜势为Ⅳ及以上，进行一级评价；风险潜势为Ⅲ，进行二级评价；风险潜势为Ⅱ，进行三级评价；风险潜势为Ⅰ,可开展简单分析。</w:t>
      </w:r>
    </w:p>
    <w:p>
      <w:pPr>
        <w:pStyle w:val="181"/>
        <w:rPr>
          <w:rFonts w:hint="eastAsia"/>
          <w:color w:val="auto"/>
          <w:u w:val="single"/>
        </w:rPr>
      </w:pPr>
      <w:r>
        <w:rPr>
          <w:rFonts w:hint="eastAsia"/>
          <w:color w:val="auto"/>
          <w:u w:val="single"/>
        </w:rPr>
        <w:t xml:space="preserve">表1 </w:t>
      </w:r>
      <w:r>
        <w:rPr>
          <w:rFonts w:hint="eastAsia"/>
          <w:color w:val="auto"/>
          <w:u w:val="single"/>
          <w:lang w:val="en-US" w:eastAsia="zh-CN"/>
        </w:rPr>
        <w:t xml:space="preserve">                    </w:t>
      </w:r>
      <w:r>
        <w:rPr>
          <w:rFonts w:hint="eastAsia"/>
          <w:color w:val="auto"/>
          <w:u w:val="single"/>
        </w:rPr>
        <w:t>评价工作等级划分</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0"/>
        <w:gridCol w:w="1716"/>
        <w:gridCol w:w="1702"/>
        <w:gridCol w:w="1702"/>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00" w:type="dxa"/>
            <w:vAlign w:val="center"/>
          </w:tcPr>
          <w:p>
            <w:pPr>
              <w:pStyle w:val="182"/>
              <w:rPr>
                <w:rFonts w:hint="eastAsia"/>
                <w:b/>
                <w:bCs/>
                <w:color w:val="auto"/>
                <w:u w:val="single"/>
              </w:rPr>
            </w:pPr>
            <w:r>
              <w:rPr>
                <w:rFonts w:hint="eastAsia"/>
                <w:b/>
                <w:bCs/>
                <w:color w:val="auto"/>
                <w:u w:val="single"/>
              </w:rPr>
              <w:t>环境风险潜势</w:t>
            </w:r>
          </w:p>
        </w:tc>
        <w:tc>
          <w:tcPr>
            <w:tcW w:w="1801" w:type="dxa"/>
            <w:vAlign w:val="center"/>
          </w:tcPr>
          <w:p>
            <w:pPr>
              <w:pStyle w:val="182"/>
              <w:rPr>
                <w:rFonts w:hint="eastAsia" w:eastAsia="宋体"/>
                <w:b/>
                <w:bCs/>
                <w:color w:val="auto"/>
                <w:u w:val="single"/>
                <w:lang w:eastAsia="zh-CN"/>
              </w:rPr>
            </w:pPr>
            <w:r>
              <w:rPr>
                <w:rFonts w:hint="eastAsia"/>
                <w:b/>
                <w:bCs/>
                <w:color w:val="auto"/>
                <w:u w:val="single"/>
              </w:rPr>
              <w:t>Ⅳ、Ⅳ</w:t>
            </w:r>
            <w:r>
              <w:rPr>
                <w:rFonts w:hint="eastAsia"/>
                <w:b/>
                <w:bCs/>
                <w:color w:val="auto"/>
                <w:u w:val="single"/>
                <w:vertAlign w:val="superscript"/>
                <w:lang w:val="en-US" w:eastAsia="zh-CN"/>
              </w:rPr>
              <w:t>+</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Ⅱ</w:t>
            </w:r>
          </w:p>
        </w:tc>
        <w:tc>
          <w:tcPr>
            <w:tcW w:w="1801" w:type="dxa"/>
            <w:vAlign w:val="center"/>
          </w:tcPr>
          <w:p>
            <w:pPr>
              <w:pStyle w:val="182"/>
              <w:rPr>
                <w:rFonts w:hint="eastAsia"/>
                <w:b/>
                <w:bCs/>
                <w:color w:val="auto"/>
                <w:u w:val="single"/>
              </w:rPr>
            </w:pPr>
            <w:r>
              <w:rPr>
                <w:rFonts w:hint="eastAsia"/>
                <w:b/>
                <w:bCs/>
                <w:color w:val="auto"/>
                <w:u w:val="singl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00" w:type="dxa"/>
            <w:vAlign w:val="center"/>
          </w:tcPr>
          <w:p>
            <w:pPr>
              <w:pStyle w:val="182"/>
              <w:rPr>
                <w:rFonts w:hint="eastAsia"/>
                <w:b/>
                <w:bCs/>
                <w:color w:val="auto"/>
                <w:u w:val="single"/>
              </w:rPr>
            </w:pPr>
            <w:r>
              <w:rPr>
                <w:rFonts w:hint="eastAsia"/>
                <w:b/>
                <w:bCs/>
                <w:color w:val="auto"/>
                <w:u w:val="single"/>
              </w:rPr>
              <w:t>评价工作等级</w:t>
            </w:r>
          </w:p>
        </w:tc>
        <w:tc>
          <w:tcPr>
            <w:tcW w:w="1801" w:type="dxa"/>
            <w:vAlign w:val="center"/>
          </w:tcPr>
          <w:p>
            <w:pPr>
              <w:pStyle w:val="182"/>
              <w:rPr>
                <w:rFonts w:hint="eastAsia"/>
                <w:b/>
                <w:bCs/>
                <w:color w:val="auto"/>
                <w:u w:val="single"/>
                <w:lang w:val="en-US" w:eastAsia="zh-CN"/>
              </w:rPr>
            </w:pPr>
            <w:r>
              <w:rPr>
                <w:rFonts w:hint="eastAsia"/>
                <w:b/>
                <w:bCs/>
                <w:color w:val="auto"/>
                <w:u w:val="single"/>
                <w:lang w:val="en-US" w:eastAsia="zh-CN"/>
              </w:rPr>
              <w:t>一</w:t>
            </w:r>
          </w:p>
        </w:tc>
        <w:tc>
          <w:tcPr>
            <w:tcW w:w="1801" w:type="dxa"/>
            <w:vAlign w:val="center"/>
          </w:tcPr>
          <w:p>
            <w:pPr>
              <w:pStyle w:val="182"/>
              <w:rPr>
                <w:rFonts w:hint="eastAsia"/>
                <w:b/>
                <w:bCs/>
                <w:color w:val="auto"/>
                <w:u w:val="single"/>
                <w:lang w:val="en-US" w:eastAsia="zh-CN"/>
              </w:rPr>
            </w:pPr>
            <w:r>
              <w:rPr>
                <w:rFonts w:hint="eastAsia"/>
                <w:b/>
                <w:bCs/>
                <w:color w:val="auto"/>
                <w:u w:val="single"/>
                <w:lang w:val="en-US" w:eastAsia="zh-CN"/>
              </w:rPr>
              <w:t>二</w:t>
            </w:r>
          </w:p>
        </w:tc>
        <w:tc>
          <w:tcPr>
            <w:tcW w:w="1801" w:type="dxa"/>
            <w:vAlign w:val="center"/>
          </w:tcPr>
          <w:p>
            <w:pPr>
              <w:pStyle w:val="182"/>
              <w:rPr>
                <w:rFonts w:hint="eastAsia"/>
                <w:b/>
                <w:bCs/>
                <w:color w:val="auto"/>
                <w:u w:val="single"/>
                <w:lang w:val="en-US" w:eastAsia="zh-CN"/>
              </w:rPr>
            </w:pPr>
            <w:r>
              <w:rPr>
                <w:rFonts w:hint="eastAsia"/>
                <w:b/>
                <w:bCs/>
                <w:color w:val="auto"/>
                <w:u w:val="single"/>
                <w:lang w:val="en-US" w:eastAsia="zh-CN"/>
              </w:rPr>
              <w:t>三</w:t>
            </w:r>
          </w:p>
        </w:tc>
        <w:tc>
          <w:tcPr>
            <w:tcW w:w="1801" w:type="dxa"/>
            <w:vAlign w:val="center"/>
          </w:tcPr>
          <w:p>
            <w:pPr>
              <w:pStyle w:val="182"/>
              <w:rPr>
                <w:rFonts w:hint="eastAsia"/>
                <w:b/>
                <w:bCs/>
                <w:color w:val="auto"/>
                <w:u w:val="single"/>
                <w:lang w:val="en-US" w:eastAsia="zh-CN"/>
              </w:rPr>
            </w:pPr>
            <w:r>
              <w:rPr>
                <w:rFonts w:hint="eastAsia"/>
                <w:b/>
                <w:bCs/>
                <w:color w:val="auto"/>
                <w:u w:val="single"/>
                <w:lang w:val="en-US" w:eastAsia="zh-CN"/>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004" w:type="dxa"/>
            <w:gridSpan w:val="5"/>
            <w:vAlign w:val="center"/>
          </w:tcPr>
          <w:p>
            <w:pPr>
              <w:pStyle w:val="182"/>
              <w:rPr>
                <w:rFonts w:hint="eastAsia"/>
                <w:b/>
                <w:bCs/>
                <w:color w:val="auto"/>
                <w:u w:val="single"/>
              </w:rPr>
            </w:pPr>
            <w:r>
              <w:rPr>
                <w:rFonts w:hint="eastAsia"/>
                <w:b/>
                <w:bCs/>
                <w:color w:val="auto"/>
                <w:u w:val="single"/>
              </w:rPr>
              <w:t>a是相对于详细评价工作内容而言，在描述危险物质、环境影响途径、环境危害后果、风险防范措施等方面给出定性的说明。见附录A。</w:t>
            </w:r>
          </w:p>
        </w:tc>
      </w:tr>
    </w:tbl>
    <w:p>
      <w:pPr>
        <w:ind w:firstLine="482"/>
        <w:rPr>
          <w:rFonts w:hint="eastAsia"/>
          <w:b/>
          <w:bCs/>
          <w:color w:val="auto"/>
          <w:u w:val="single"/>
        </w:rPr>
      </w:pPr>
      <w:r>
        <w:rPr>
          <w:rFonts w:hint="eastAsia"/>
          <w:b/>
          <w:bCs/>
          <w:color w:val="auto"/>
          <w:u w:val="single"/>
        </w:rPr>
        <w:t>本</w:t>
      </w:r>
      <w:r>
        <w:rPr>
          <w:rFonts w:hint="eastAsia"/>
          <w:b/>
          <w:bCs/>
          <w:color w:val="auto"/>
          <w:u w:val="single"/>
          <w:lang w:val="en-US" w:eastAsia="zh-CN"/>
        </w:rPr>
        <w:t>项目</w:t>
      </w:r>
      <w:r>
        <w:rPr>
          <w:rFonts w:hint="eastAsia"/>
          <w:b/>
          <w:bCs/>
          <w:color w:val="auto"/>
          <w:u w:val="single"/>
        </w:rPr>
        <w:t>P值为P</w:t>
      </w:r>
      <w:r>
        <w:rPr>
          <w:rFonts w:hint="eastAsia"/>
          <w:b/>
          <w:bCs/>
          <w:color w:val="auto"/>
          <w:u w:val="single"/>
          <w:lang w:val="en-US" w:eastAsia="zh-CN"/>
        </w:rPr>
        <w:t>3</w:t>
      </w:r>
      <w:r>
        <w:rPr>
          <w:rFonts w:hint="eastAsia"/>
          <w:b/>
          <w:bCs/>
          <w:color w:val="auto"/>
          <w:u w:val="single"/>
        </w:rPr>
        <w:t>，大气环境敏感程度为环境高度敏感区E1</w:t>
      </w:r>
      <w:r>
        <w:rPr>
          <w:rFonts w:hint="eastAsia"/>
          <w:b/>
          <w:bCs/>
          <w:color w:val="auto"/>
          <w:u w:val="single"/>
          <w:lang w:eastAsia="zh-CN"/>
        </w:rPr>
        <w:t>，</w:t>
      </w:r>
      <w:r>
        <w:rPr>
          <w:rFonts w:hint="eastAsia"/>
          <w:b/>
          <w:bCs/>
          <w:color w:val="auto"/>
          <w:u w:val="single"/>
        </w:rPr>
        <w:t>本项目大气环境风险潜势划分等级为Ⅲ，大气环境风险评价工作等级为二级。</w:t>
      </w:r>
    </w:p>
    <w:p>
      <w:pPr>
        <w:bidi w:val="0"/>
        <w:rPr>
          <w:b/>
          <w:bCs/>
          <w:u w:val="single"/>
        </w:rPr>
      </w:pPr>
      <w:r>
        <w:rPr>
          <w:rFonts w:hint="eastAsia"/>
          <w:b/>
          <w:bCs/>
          <w:u w:val="single"/>
          <w:lang w:eastAsia="zh-CN"/>
        </w:rPr>
        <w:t>（</w:t>
      </w:r>
      <w:r>
        <w:rPr>
          <w:rFonts w:hint="eastAsia"/>
          <w:b/>
          <w:bCs/>
          <w:u w:val="single"/>
          <w:lang w:val="en-US" w:eastAsia="zh-CN"/>
        </w:rPr>
        <w:t>2</w:t>
      </w:r>
      <w:r>
        <w:rPr>
          <w:rFonts w:hint="eastAsia"/>
          <w:b/>
          <w:bCs/>
          <w:u w:val="single"/>
          <w:lang w:eastAsia="zh-CN"/>
        </w:rPr>
        <w:t>）</w:t>
      </w:r>
      <w:r>
        <w:rPr>
          <w:b/>
          <w:bCs/>
          <w:u w:val="single"/>
        </w:rPr>
        <w:t>地表水环境</w:t>
      </w:r>
    </w:p>
    <w:p>
      <w:pPr>
        <w:bidi w:val="0"/>
        <w:rPr>
          <w:rFonts w:hint="eastAsia"/>
          <w:b/>
          <w:bCs/>
          <w:u w:val="single"/>
        </w:rPr>
      </w:pPr>
      <w:r>
        <w:rPr>
          <w:rFonts w:hint="eastAsia"/>
          <w:b/>
          <w:bCs/>
          <w:u w:val="single"/>
        </w:rPr>
        <w:t>项目厂区污水经处理达标后经管网排入小店污水处理厂，不直接进入地表水体，且项目周边1km范围内没有地表径流，不存在项目事故情况下发生危险物质泄漏到水体的情况。因此，本项目地表水功能敏感程度属于低敏感F3，环境敏感目标属于S3，则项地表水环境敏感程度分级为E3。根据导则，本项目的地表水环境风险潜势为Ⅰ，因此地表水评价工作等级为简单分析。</w:t>
      </w:r>
    </w:p>
    <w:p>
      <w:pPr>
        <w:numPr>
          <w:ilvl w:val="0"/>
          <w:numId w:val="0"/>
        </w:numPr>
        <w:ind w:firstLine="482" w:firstLineChars="200"/>
        <w:rPr>
          <w:rFonts w:hint="eastAsia"/>
          <w:b/>
          <w:bCs/>
          <w:color w:val="auto"/>
          <w:u w:val="single"/>
        </w:rPr>
      </w:pPr>
      <w:r>
        <w:rPr>
          <w:rFonts w:hint="eastAsia"/>
          <w:b/>
          <w:bCs/>
          <w:color w:val="auto"/>
          <w:u w:val="single"/>
          <w:lang w:eastAsia="zh-CN"/>
        </w:rPr>
        <w:t>（</w:t>
      </w:r>
      <w:r>
        <w:rPr>
          <w:rFonts w:hint="eastAsia"/>
          <w:b/>
          <w:bCs/>
          <w:color w:val="auto"/>
          <w:u w:val="single"/>
          <w:lang w:val="en-US" w:eastAsia="zh-CN"/>
        </w:rPr>
        <w:t>3）</w:t>
      </w:r>
      <w:r>
        <w:rPr>
          <w:rFonts w:hint="eastAsia"/>
          <w:b/>
          <w:bCs/>
          <w:color w:val="auto"/>
          <w:u w:val="single"/>
        </w:rPr>
        <w:t>地下水环境</w:t>
      </w:r>
    </w:p>
    <w:p>
      <w:pPr>
        <w:rPr>
          <w:rFonts w:hint="eastAsia"/>
          <w:b/>
          <w:bCs/>
          <w:color w:val="auto"/>
          <w:u w:val="single"/>
        </w:rPr>
      </w:pPr>
      <w:r>
        <w:rPr>
          <w:rFonts w:hint="eastAsia"/>
          <w:b/>
          <w:bCs/>
          <w:color w:val="auto"/>
          <w:u w:val="single"/>
        </w:rPr>
        <w:t>项目储罐区的地面均采取了防渗措施，在发生泄漏风险事故的情况下，风险物质均可及时回收进入备用罐内，液体与地面接触时间较短，不存在可以短时间内进入包气带的可能性。</w:t>
      </w:r>
    </w:p>
    <w:p>
      <w:pPr>
        <w:rPr>
          <w:rFonts w:hint="eastAsia"/>
          <w:b/>
          <w:bCs/>
          <w:color w:val="auto"/>
          <w:u w:val="single"/>
        </w:rPr>
      </w:pPr>
      <w:r>
        <w:rPr>
          <w:rFonts w:hint="eastAsia"/>
          <w:b/>
          <w:bCs/>
          <w:color w:val="auto"/>
          <w:u w:val="single"/>
        </w:rPr>
        <w:t>本项目所在区域不存在集中式饮用水源地及保护区，项目下游2km范围内也不存在分散式饮用水源，因此本项目地下水功能敏感性分区为不敏感G3。</w:t>
      </w:r>
    </w:p>
    <w:p>
      <w:pPr>
        <w:rPr>
          <w:rFonts w:hint="eastAsia"/>
          <w:b/>
          <w:bCs/>
          <w:color w:val="auto"/>
          <w:u w:val="single"/>
        </w:rPr>
      </w:pPr>
      <w:r>
        <w:rPr>
          <w:rFonts w:hint="eastAsia"/>
          <w:b/>
          <w:bCs/>
          <w:color w:val="auto"/>
          <w:u w:val="single"/>
        </w:rPr>
        <w:t>本项目厂区表层土为粉土，平均厚度1.77m且分布连续、稳定；根据《黄河沉积粉土渗透系数变化研究》（陈勇，单红仙，贾永刚），粉土的垂向渗透系数为1.45×10</w:t>
      </w:r>
      <w:r>
        <w:rPr>
          <w:rFonts w:hint="eastAsia"/>
          <w:b/>
          <w:bCs/>
          <w:color w:val="auto"/>
          <w:u w:val="single"/>
          <w:vertAlign w:val="superscript"/>
        </w:rPr>
        <w:t>-6</w:t>
      </w:r>
      <w:r>
        <w:rPr>
          <w:rFonts w:hint="eastAsia"/>
          <w:b/>
          <w:bCs/>
          <w:color w:val="auto"/>
          <w:u w:val="single"/>
        </w:rPr>
        <w:t>~16.42×10</w:t>
      </w:r>
      <w:r>
        <w:rPr>
          <w:rFonts w:hint="eastAsia"/>
          <w:b/>
          <w:bCs/>
          <w:color w:val="auto"/>
          <w:u w:val="single"/>
          <w:vertAlign w:val="superscript"/>
        </w:rPr>
        <w:t>-6</w:t>
      </w:r>
      <w:r>
        <w:rPr>
          <w:rFonts w:hint="eastAsia"/>
          <w:b/>
          <w:bCs/>
          <w:color w:val="auto"/>
          <w:u w:val="single"/>
        </w:rPr>
        <w:t>，即渗透系数1×10</w:t>
      </w:r>
      <w:r>
        <w:rPr>
          <w:rFonts w:hint="eastAsia"/>
          <w:b/>
          <w:bCs/>
          <w:color w:val="auto"/>
          <w:u w:val="single"/>
          <w:vertAlign w:val="superscript"/>
        </w:rPr>
        <w:t>-6</w:t>
      </w:r>
      <w:r>
        <w:rPr>
          <w:rFonts w:hint="eastAsia"/>
          <w:b/>
          <w:bCs/>
          <w:color w:val="auto"/>
          <w:u w:val="single"/>
        </w:rPr>
        <w:t>&lt;K≤1×10</w:t>
      </w:r>
      <w:r>
        <w:rPr>
          <w:rFonts w:hint="eastAsia"/>
          <w:b/>
          <w:bCs/>
          <w:color w:val="auto"/>
          <w:u w:val="single"/>
          <w:vertAlign w:val="superscript"/>
        </w:rPr>
        <w:t>-4</w:t>
      </w:r>
      <w:r>
        <w:rPr>
          <w:rFonts w:hint="eastAsia"/>
          <w:b/>
          <w:bCs/>
          <w:color w:val="auto"/>
          <w:u w:val="single"/>
        </w:rPr>
        <w:t>，因此本项目包气带防污性能分级属于D2。</w:t>
      </w:r>
    </w:p>
    <w:p>
      <w:pPr>
        <w:rPr>
          <w:rFonts w:hint="eastAsia"/>
          <w:b/>
          <w:bCs/>
          <w:color w:val="auto"/>
          <w:u w:val="single"/>
        </w:rPr>
      </w:pPr>
      <w:r>
        <w:rPr>
          <w:rFonts w:hint="eastAsia"/>
          <w:b/>
          <w:bCs/>
          <w:color w:val="auto"/>
          <w:u w:val="single"/>
        </w:rPr>
        <w:t>综上所述，根据《建设项目环境风险评价技术导则》（HJ169-2018）中的分级判定要求，项目地下水功能敏感分区为不敏感G3，包气带防污性能为D2，则地下水E值为E3，根据要求判定本项目地下水环境风险潜势为I级，地下水环境风险评价等级为简单分析。</w:t>
      </w:r>
    </w:p>
    <w:p>
      <w:pPr>
        <w:pStyle w:val="7"/>
        <w:tabs>
          <w:tab w:val="left" w:pos="396"/>
        </w:tabs>
        <w:spacing w:before="240"/>
        <w:rPr>
          <w:rFonts w:eastAsia="宋体"/>
          <w:b/>
          <w:bCs/>
          <w:color w:val="auto"/>
          <w:lang w:eastAsia="zh-CN"/>
        </w:rPr>
      </w:pPr>
      <w:bookmarkStart w:id="145" w:name="_Toc1282"/>
      <w:bookmarkStart w:id="146" w:name="_Toc106552506"/>
      <w:bookmarkStart w:id="147" w:name="_Toc447114718"/>
      <w:bookmarkStart w:id="148" w:name="_Toc93785888"/>
      <w:bookmarkStart w:id="149" w:name="_Toc50568031"/>
      <w:r>
        <w:rPr>
          <w:rFonts w:hint="eastAsia" w:eastAsia="宋体"/>
          <w:b/>
          <w:bCs/>
          <w:color w:val="auto"/>
          <w:lang w:eastAsia="zh-CN"/>
        </w:rPr>
        <w:t>2.6评价范围</w:t>
      </w:r>
      <w:bookmarkEnd w:id="145"/>
      <w:bookmarkEnd w:id="146"/>
    </w:p>
    <w:p>
      <w:pPr>
        <w:bidi w:val="0"/>
        <w:rPr>
          <w:rFonts w:hint="eastAsia"/>
          <w:color w:val="auto"/>
        </w:rPr>
      </w:pPr>
      <w:r>
        <w:rPr>
          <w:rFonts w:hint="eastAsia"/>
          <w:color w:val="auto"/>
        </w:rPr>
        <w:t>根据评价分级结果，结合工程特点及项目所在区域环境特征，确定各单项环境要素评价范围，具体情况见</w:t>
      </w:r>
      <w:r>
        <w:rPr>
          <w:rFonts w:hint="eastAsia"/>
          <w:color w:val="auto"/>
          <w:lang w:val="en-US" w:eastAsia="zh-CN"/>
        </w:rPr>
        <w:t>下</w:t>
      </w:r>
      <w:r>
        <w:rPr>
          <w:rFonts w:hint="eastAsia"/>
          <w:color w:val="auto"/>
        </w:rPr>
        <w:t>表。</w:t>
      </w:r>
    </w:p>
    <w:p>
      <w:pPr>
        <w:pStyle w:val="181"/>
        <w:bidi w:val="0"/>
        <w:rPr>
          <w:color w:val="auto"/>
        </w:rPr>
      </w:pPr>
      <w:r>
        <w:rPr>
          <w:color w:val="auto"/>
        </w:rPr>
        <w:t>表2</w:t>
      </w:r>
      <w:r>
        <w:rPr>
          <w:rFonts w:hint="eastAsia"/>
          <w:color w:val="auto"/>
          <w:lang w:val="en-US" w:eastAsia="zh-CN"/>
        </w:rPr>
        <w:t>.6</w:t>
      </w:r>
      <w:r>
        <w:rPr>
          <w:color w:val="auto"/>
        </w:rPr>
        <w:t>-1            工程各环境要素的评价范围</w:t>
      </w:r>
    </w:p>
    <w:tbl>
      <w:tblPr>
        <w:tblStyle w:val="32"/>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494"/>
        <w:gridCol w:w="63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94" w:type="pct"/>
            <w:vAlign w:val="center"/>
          </w:tcPr>
          <w:p>
            <w:pPr>
              <w:pStyle w:val="182"/>
              <w:bidi w:val="0"/>
              <w:rPr>
                <w:b/>
                <w:bCs/>
                <w:color w:val="auto"/>
              </w:rPr>
            </w:pPr>
            <w:r>
              <w:rPr>
                <w:rFonts w:hint="eastAsia"/>
                <w:b/>
                <w:bCs/>
                <w:color w:val="auto"/>
              </w:rPr>
              <w:t>序号</w:t>
            </w:r>
          </w:p>
        </w:tc>
        <w:tc>
          <w:tcPr>
            <w:tcW w:w="877" w:type="pct"/>
            <w:vAlign w:val="center"/>
          </w:tcPr>
          <w:p>
            <w:pPr>
              <w:pStyle w:val="182"/>
              <w:bidi w:val="0"/>
              <w:rPr>
                <w:b/>
                <w:bCs/>
                <w:color w:val="auto"/>
              </w:rPr>
            </w:pPr>
            <w:r>
              <w:rPr>
                <w:rFonts w:hint="eastAsia"/>
                <w:b/>
                <w:bCs/>
                <w:color w:val="auto"/>
              </w:rPr>
              <w:t>评价项目</w:t>
            </w:r>
          </w:p>
        </w:tc>
        <w:tc>
          <w:tcPr>
            <w:tcW w:w="3728" w:type="pct"/>
            <w:vAlign w:val="center"/>
          </w:tcPr>
          <w:p>
            <w:pPr>
              <w:pStyle w:val="182"/>
              <w:bidi w:val="0"/>
              <w:rPr>
                <w:b/>
                <w:bCs/>
                <w:color w:val="auto"/>
              </w:rPr>
            </w:pPr>
            <w:r>
              <w:rPr>
                <w:rFonts w:hint="eastAsia"/>
                <w:b/>
                <w:bCs/>
                <w:color w:val="auto"/>
              </w:rPr>
              <w:t>评价范围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pPr>
              <w:pStyle w:val="182"/>
              <w:bidi w:val="0"/>
              <w:rPr>
                <w:color w:val="auto"/>
              </w:rPr>
            </w:pPr>
            <w:r>
              <w:rPr>
                <w:rFonts w:hint="eastAsia"/>
                <w:color w:val="auto"/>
              </w:rPr>
              <w:t>1</w:t>
            </w:r>
          </w:p>
        </w:tc>
        <w:tc>
          <w:tcPr>
            <w:tcW w:w="877" w:type="pct"/>
            <w:vAlign w:val="center"/>
          </w:tcPr>
          <w:p>
            <w:pPr>
              <w:pStyle w:val="182"/>
              <w:bidi w:val="0"/>
              <w:rPr>
                <w:color w:val="auto"/>
              </w:rPr>
            </w:pPr>
            <w:r>
              <w:rPr>
                <w:rFonts w:hint="eastAsia"/>
                <w:color w:val="auto"/>
              </w:rPr>
              <w:t>地表水环境</w:t>
            </w:r>
          </w:p>
        </w:tc>
        <w:tc>
          <w:tcPr>
            <w:tcW w:w="3728" w:type="pct"/>
            <w:vAlign w:val="center"/>
          </w:tcPr>
          <w:p>
            <w:pPr>
              <w:pStyle w:val="182"/>
              <w:bidi w:val="0"/>
              <w:rPr>
                <w:color w:val="auto"/>
              </w:rPr>
            </w:pPr>
            <w:r>
              <w:rPr>
                <w:rFonts w:hint="eastAsia"/>
                <w:color w:val="auto"/>
              </w:rPr>
              <w:t>小店污水处理厂排水入大沙河至水花堡桥断面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pPr>
              <w:pStyle w:val="182"/>
              <w:bidi w:val="0"/>
              <w:rPr>
                <w:color w:val="auto"/>
              </w:rPr>
            </w:pPr>
            <w:r>
              <w:rPr>
                <w:rFonts w:hint="eastAsia"/>
                <w:color w:val="auto"/>
              </w:rPr>
              <w:t>2</w:t>
            </w:r>
          </w:p>
        </w:tc>
        <w:tc>
          <w:tcPr>
            <w:tcW w:w="877" w:type="pct"/>
            <w:vAlign w:val="center"/>
          </w:tcPr>
          <w:p>
            <w:pPr>
              <w:pStyle w:val="182"/>
              <w:bidi w:val="0"/>
              <w:rPr>
                <w:color w:val="auto"/>
              </w:rPr>
            </w:pPr>
            <w:r>
              <w:rPr>
                <w:rFonts w:hint="eastAsia"/>
                <w:color w:val="auto"/>
              </w:rPr>
              <w:t>环境空气</w:t>
            </w:r>
          </w:p>
        </w:tc>
        <w:tc>
          <w:tcPr>
            <w:tcW w:w="3728" w:type="pct"/>
            <w:vAlign w:val="center"/>
          </w:tcPr>
          <w:p>
            <w:pPr>
              <w:pStyle w:val="182"/>
              <w:bidi w:val="0"/>
              <w:rPr>
                <w:color w:val="auto"/>
              </w:rPr>
            </w:pPr>
            <w:r>
              <w:rPr>
                <w:rFonts w:hint="eastAsia"/>
                <w:color w:val="auto"/>
              </w:rPr>
              <w:t>以项目厂址为中心，边长为</w:t>
            </w:r>
            <w:r>
              <w:rPr>
                <w:color w:val="auto"/>
              </w:rPr>
              <w:t>5 km</w:t>
            </w:r>
            <w:r>
              <w:rPr>
                <w:rFonts w:hint="eastAsia"/>
                <w:color w:val="auto"/>
              </w:rPr>
              <w:t>的矩形，评价区总面积</w:t>
            </w:r>
            <w:r>
              <w:rPr>
                <w:color w:val="auto"/>
              </w:rPr>
              <w:t>25 km</w:t>
            </w:r>
            <w:r>
              <w:rPr>
                <w:color w:val="auto"/>
                <w:vertAlign w:val="superscript"/>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4" w:type="pct"/>
            <w:vAlign w:val="center"/>
          </w:tcPr>
          <w:p>
            <w:pPr>
              <w:pStyle w:val="182"/>
              <w:bidi w:val="0"/>
              <w:rPr>
                <w:b/>
                <w:bCs/>
                <w:color w:val="auto"/>
                <w:u w:val="single"/>
              </w:rPr>
            </w:pPr>
            <w:r>
              <w:rPr>
                <w:rFonts w:hint="eastAsia"/>
                <w:b/>
                <w:bCs/>
                <w:color w:val="auto"/>
                <w:u w:val="single"/>
              </w:rPr>
              <w:t>3</w:t>
            </w:r>
          </w:p>
        </w:tc>
        <w:tc>
          <w:tcPr>
            <w:tcW w:w="877" w:type="pct"/>
            <w:vAlign w:val="center"/>
          </w:tcPr>
          <w:p>
            <w:pPr>
              <w:pStyle w:val="182"/>
              <w:bidi w:val="0"/>
              <w:rPr>
                <w:b/>
                <w:bCs/>
                <w:color w:val="auto"/>
                <w:u w:val="single"/>
              </w:rPr>
            </w:pPr>
            <w:r>
              <w:rPr>
                <w:rFonts w:hint="eastAsia"/>
                <w:b/>
                <w:bCs/>
                <w:color w:val="auto"/>
                <w:u w:val="single"/>
              </w:rPr>
              <w:t>地下水环境</w:t>
            </w:r>
          </w:p>
        </w:tc>
        <w:tc>
          <w:tcPr>
            <w:tcW w:w="3728" w:type="pct"/>
            <w:vAlign w:val="center"/>
          </w:tcPr>
          <w:p>
            <w:pPr>
              <w:pStyle w:val="182"/>
              <w:bidi w:val="0"/>
              <w:rPr>
                <w:rFonts w:hint="eastAsia"/>
                <w:b/>
                <w:bCs/>
                <w:color w:val="auto"/>
                <w:u w:val="single"/>
              </w:rPr>
            </w:pPr>
            <w:r>
              <w:rPr>
                <w:rFonts w:hint="eastAsia"/>
                <w:b/>
                <w:bCs/>
                <w:color w:val="auto"/>
                <w:u w:val="single"/>
              </w:rPr>
              <w:t>项目区域浅层地下水，评价范围为6km</w:t>
            </w:r>
            <w:r>
              <w:rPr>
                <w:rFonts w:hint="eastAsia"/>
                <w:b/>
                <w:bCs/>
                <w:color w:val="auto"/>
                <w:u w:val="single"/>
                <w:vertAlign w:val="superscript"/>
              </w:rPr>
              <w:t>2</w:t>
            </w:r>
            <w:r>
              <w:rPr>
                <w:rFonts w:hint="eastAsia"/>
                <w:b/>
                <w:bCs/>
                <w:color w:val="auto"/>
                <w:u w:val="single"/>
              </w:rPr>
              <w:t>，上游及两侧各1km，</w:t>
            </w:r>
          </w:p>
          <w:p>
            <w:pPr>
              <w:pStyle w:val="182"/>
              <w:bidi w:val="0"/>
              <w:rPr>
                <w:b/>
                <w:bCs/>
                <w:color w:val="auto"/>
                <w:u w:val="single"/>
              </w:rPr>
            </w:pPr>
            <w:r>
              <w:rPr>
                <w:rFonts w:hint="eastAsia"/>
                <w:b/>
                <w:bCs/>
                <w:color w:val="auto"/>
                <w:u w:val="single"/>
              </w:rPr>
              <w:t>下游2km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pPr>
              <w:pStyle w:val="182"/>
              <w:bidi w:val="0"/>
              <w:rPr>
                <w:color w:val="auto"/>
              </w:rPr>
            </w:pPr>
            <w:r>
              <w:rPr>
                <w:rFonts w:hint="eastAsia"/>
                <w:color w:val="auto"/>
              </w:rPr>
              <w:t>4</w:t>
            </w:r>
          </w:p>
        </w:tc>
        <w:tc>
          <w:tcPr>
            <w:tcW w:w="877" w:type="pct"/>
            <w:vAlign w:val="center"/>
          </w:tcPr>
          <w:p>
            <w:pPr>
              <w:pStyle w:val="182"/>
              <w:bidi w:val="0"/>
              <w:rPr>
                <w:color w:val="auto"/>
              </w:rPr>
            </w:pPr>
            <w:r>
              <w:rPr>
                <w:rFonts w:hint="eastAsia"/>
                <w:color w:val="auto"/>
              </w:rPr>
              <w:t>声环境</w:t>
            </w:r>
          </w:p>
        </w:tc>
        <w:tc>
          <w:tcPr>
            <w:tcW w:w="3728" w:type="pct"/>
            <w:vAlign w:val="center"/>
          </w:tcPr>
          <w:p>
            <w:pPr>
              <w:pStyle w:val="182"/>
              <w:bidi w:val="0"/>
              <w:rPr>
                <w:color w:val="auto"/>
              </w:rPr>
            </w:pPr>
            <w:r>
              <w:rPr>
                <w:rFonts w:hint="eastAsia"/>
                <w:color w:val="auto"/>
              </w:rPr>
              <w:t>厂界外200</w:t>
            </w:r>
            <w:r>
              <w:rPr>
                <w:color w:val="auto"/>
              </w:rPr>
              <w:t xml:space="preserve"> </w:t>
            </w:r>
            <w:r>
              <w:rPr>
                <w:rFonts w:hint="eastAsia"/>
                <w:color w:val="auto"/>
              </w:rPr>
              <w:t>m范围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pPr>
              <w:pStyle w:val="182"/>
              <w:bidi w:val="0"/>
              <w:rPr>
                <w:rFonts w:hint="eastAsia" w:eastAsia="宋体"/>
                <w:color w:val="auto"/>
                <w:lang w:val="en-US" w:eastAsia="zh-CN"/>
              </w:rPr>
            </w:pPr>
            <w:r>
              <w:rPr>
                <w:rFonts w:hint="eastAsia"/>
                <w:color w:val="auto"/>
                <w:lang w:val="en-US" w:eastAsia="zh-CN"/>
              </w:rPr>
              <w:t>5</w:t>
            </w:r>
          </w:p>
        </w:tc>
        <w:tc>
          <w:tcPr>
            <w:tcW w:w="877" w:type="pct"/>
            <w:vAlign w:val="center"/>
          </w:tcPr>
          <w:p>
            <w:pPr>
              <w:pStyle w:val="182"/>
              <w:bidi w:val="0"/>
              <w:rPr>
                <w:color w:val="auto"/>
              </w:rPr>
            </w:pPr>
            <w:r>
              <w:rPr>
                <w:rFonts w:hint="eastAsia"/>
                <w:color w:val="auto"/>
              </w:rPr>
              <w:t>土壤环境</w:t>
            </w:r>
          </w:p>
        </w:tc>
        <w:tc>
          <w:tcPr>
            <w:tcW w:w="3728" w:type="pct"/>
            <w:vAlign w:val="center"/>
          </w:tcPr>
          <w:p>
            <w:pPr>
              <w:pStyle w:val="182"/>
              <w:bidi w:val="0"/>
              <w:rPr>
                <w:color w:val="auto"/>
              </w:rPr>
            </w:pPr>
            <w:r>
              <w:rPr>
                <w:rFonts w:hint="eastAsia"/>
                <w:color w:val="auto"/>
              </w:rPr>
              <w:t>评价范围为占地范围内及占地范围外</w:t>
            </w:r>
            <w:r>
              <w:rPr>
                <w:color w:val="auto"/>
              </w:rPr>
              <w:t xml:space="preserve">50 </w:t>
            </w:r>
            <w:r>
              <w:rPr>
                <w:rFonts w:hint="eastAsia"/>
                <w:color w:val="auto"/>
              </w:rPr>
              <w:t>m范围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pPr>
              <w:pStyle w:val="182"/>
              <w:bidi w:val="0"/>
              <w:rPr>
                <w:rFonts w:hint="default"/>
                <w:color w:val="auto"/>
                <w:lang w:val="en-US" w:eastAsia="zh-CN"/>
              </w:rPr>
            </w:pPr>
            <w:r>
              <w:rPr>
                <w:rFonts w:hint="eastAsia"/>
                <w:color w:val="auto"/>
                <w:lang w:val="en-US" w:eastAsia="zh-CN"/>
              </w:rPr>
              <w:t>6</w:t>
            </w:r>
          </w:p>
        </w:tc>
        <w:tc>
          <w:tcPr>
            <w:tcW w:w="877" w:type="pct"/>
            <w:vAlign w:val="center"/>
          </w:tcPr>
          <w:p>
            <w:pPr>
              <w:pStyle w:val="182"/>
              <w:bidi w:val="0"/>
              <w:rPr>
                <w:rFonts w:hint="eastAsia"/>
                <w:color w:val="auto"/>
              </w:rPr>
            </w:pPr>
            <w:r>
              <w:rPr>
                <w:color w:val="auto"/>
              </w:rPr>
              <w:t>生态影响</w:t>
            </w:r>
          </w:p>
        </w:tc>
        <w:tc>
          <w:tcPr>
            <w:tcW w:w="3728" w:type="pct"/>
            <w:vAlign w:val="center"/>
          </w:tcPr>
          <w:p>
            <w:pPr>
              <w:pStyle w:val="182"/>
              <w:bidi w:val="0"/>
              <w:rPr>
                <w:rFonts w:hint="default" w:eastAsia="宋体"/>
                <w:color w:val="auto"/>
                <w:lang w:val="en-US" w:eastAsia="zh-CN"/>
              </w:rPr>
            </w:pPr>
            <w:r>
              <w:rPr>
                <w:rFonts w:hint="eastAsia"/>
                <w:color w:val="auto"/>
                <w:lang w:val="en-US" w:eastAsia="zh-CN"/>
              </w:rPr>
              <w:t>简单分析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pPr>
              <w:pStyle w:val="182"/>
              <w:bidi w:val="0"/>
              <w:rPr>
                <w:rFonts w:hint="default"/>
                <w:color w:val="auto"/>
                <w:lang w:val="en-US" w:eastAsia="zh-CN"/>
              </w:rPr>
            </w:pPr>
            <w:r>
              <w:rPr>
                <w:rFonts w:hint="eastAsia"/>
                <w:color w:val="auto"/>
                <w:lang w:val="en-US" w:eastAsia="zh-CN"/>
              </w:rPr>
              <w:t>7</w:t>
            </w:r>
          </w:p>
        </w:tc>
        <w:tc>
          <w:tcPr>
            <w:tcW w:w="877" w:type="pct"/>
            <w:vAlign w:val="center"/>
          </w:tcPr>
          <w:p>
            <w:pPr>
              <w:pStyle w:val="182"/>
              <w:bidi w:val="0"/>
              <w:rPr>
                <w:color w:val="auto"/>
              </w:rPr>
            </w:pPr>
            <w:r>
              <w:rPr>
                <w:color w:val="auto"/>
              </w:rPr>
              <w:t>环境风险评价</w:t>
            </w:r>
          </w:p>
        </w:tc>
        <w:tc>
          <w:tcPr>
            <w:tcW w:w="3728" w:type="pct"/>
            <w:vAlign w:val="center"/>
          </w:tcPr>
          <w:p>
            <w:pPr>
              <w:pStyle w:val="182"/>
              <w:bidi w:val="0"/>
              <w:rPr>
                <w:rFonts w:hint="eastAsia"/>
                <w:color w:val="auto"/>
                <w:lang w:val="en-US" w:eastAsia="zh-CN"/>
              </w:rPr>
            </w:pPr>
            <w:r>
              <w:rPr>
                <w:rFonts w:hint="eastAsia"/>
                <w:color w:val="auto"/>
                <w:lang w:val="en-US" w:eastAsia="zh-CN"/>
              </w:rPr>
              <w:t>简单分析</w:t>
            </w:r>
          </w:p>
        </w:tc>
      </w:tr>
    </w:tbl>
    <w:p>
      <w:pPr>
        <w:pStyle w:val="7"/>
        <w:bidi w:val="0"/>
        <w:rPr>
          <w:color w:val="auto"/>
        </w:rPr>
      </w:pPr>
      <w:bookmarkStart w:id="150" w:name="_Toc23678"/>
      <w:r>
        <w:rPr>
          <w:color w:val="auto"/>
        </w:rPr>
        <w:t>2.</w:t>
      </w:r>
      <w:r>
        <w:rPr>
          <w:rFonts w:hint="eastAsia"/>
          <w:color w:val="auto"/>
          <w:lang w:val="en-US" w:eastAsia="zh-CN"/>
        </w:rPr>
        <w:t>7</w:t>
      </w:r>
      <w:r>
        <w:rPr>
          <w:color w:val="auto"/>
        </w:rPr>
        <w:t>环境保护目标</w:t>
      </w:r>
      <w:bookmarkEnd w:id="147"/>
      <w:bookmarkEnd w:id="148"/>
      <w:bookmarkEnd w:id="149"/>
      <w:bookmarkEnd w:id="150"/>
    </w:p>
    <w:p>
      <w:pPr>
        <w:bidi w:val="0"/>
        <w:rPr>
          <w:color w:val="auto"/>
        </w:rPr>
      </w:pPr>
      <w:r>
        <w:rPr>
          <w:rFonts w:hint="eastAsia"/>
          <w:color w:val="auto"/>
        </w:rPr>
        <w:t>项目周围环境敏感保护目标与厂址的距离、方位见下表。</w:t>
      </w:r>
    </w:p>
    <w:p>
      <w:pPr>
        <w:pStyle w:val="181"/>
        <w:bidi w:val="0"/>
        <w:rPr>
          <w:color w:val="auto"/>
        </w:rPr>
      </w:pPr>
      <w:r>
        <w:rPr>
          <w:color w:val="auto"/>
        </w:rPr>
        <w:t>表</w:t>
      </w:r>
      <w:r>
        <w:rPr>
          <w:rFonts w:hint="eastAsia"/>
          <w:color w:val="auto"/>
        </w:rPr>
        <w:t>2</w:t>
      </w:r>
      <w:r>
        <w:rPr>
          <w:rFonts w:hint="eastAsia"/>
          <w:color w:val="auto"/>
          <w:lang w:val="en-US" w:eastAsia="zh-CN"/>
        </w:rPr>
        <w:t>.7</w:t>
      </w:r>
      <w:r>
        <w:rPr>
          <w:color w:val="auto"/>
        </w:rPr>
        <w:t>-1            评价区域敏感点情况</w:t>
      </w:r>
    </w:p>
    <w:tbl>
      <w:tblPr>
        <w:tblStyle w:val="33"/>
        <w:tblW w:w="50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785"/>
        <w:gridCol w:w="2126"/>
        <w:gridCol w:w="867"/>
        <w:gridCol w:w="1007"/>
        <w:gridCol w:w="736"/>
        <w:gridCol w:w="868"/>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blHeader/>
          <w:jc w:val="center"/>
        </w:trPr>
        <w:tc>
          <w:tcPr>
            <w:tcW w:w="1208" w:type="pct"/>
            <w:gridSpan w:val="2"/>
            <w:vAlign w:val="center"/>
          </w:tcPr>
          <w:p>
            <w:pPr>
              <w:pStyle w:val="182"/>
              <w:bidi w:val="0"/>
              <w:rPr>
                <w:rFonts w:hint="eastAsia"/>
                <w:b/>
                <w:bCs/>
                <w:color w:val="auto"/>
                <w:lang w:val="en-US" w:eastAsia="zh-CN"/>
              </w:rPr>
            </w:pPr>
            <w:r>
              <w:rPr>
                <w:rFonts w:hint="eastAsia"/>
                <w:b/>
                <w:bCs/>
                <w:color w:val="auto"/>
                <w:lang w:val="en-US" w:eastAsia="zh-CN"/>
              </w:rPr>
              <w:t>编号</w:t>
            </w:r>
          </w:p>
        </w:tc>
        <w:tc>
          <w:tcPr>
            <w:tcW w:w="1245" w:type="pct"/>
            <w:vAlign w:val="center"/>
          </w:tcPr>
          <w:p>
            <w:pPr>
              <w:pStyle w:val="182"/>
              <w:bidi w:val="0"/>
              <w:rPr>
                <w:b/>
                <w:bCs/>
                <w:color w:val="auto"/>
              </w:rPr>
            </w:pPr>
            <w:r>
              <w:rPr>
                <w:rFonts w:hint="eastAsia"/>
                <w:b/>
                <w:bCs/>
                <w:color w:val="auto"/>
              </w:rPr>
              <w:t>保护目标</w:t>
            </w:r>
          </w:p>
        </w:tc>
        <w:tc>
          <w:tcPr>
            <w:tcW w:w="508" w:type="pct"/>
            <w:vAlign w:val="center"/>
          </w:tcPr>
          <w:p>
            <w:pPr>
              <w:pStyle w:val="182"/>
              <w:bidi w:val="0"/>
              <w:rPr>
                <w:b/>
                <w:bCs/>
                <w:color w:val="auto"/>
              </w:rPr>
            </w:pPr>
            <w:r>
              <w:rPr>
                <w:rFonts w:hint="eastAsia"/>
                <w:b/>
                <w:bCs/>
                <w:color w:val="auto"/>
              </w:rPr>
              <w:t>保护对象</w:t>
            </w:r>
          </w:p>
        </w:tc>
        <w:tc>
          <w:tcPr>
            <w:tcW w:w="589" w:type="pct"/>
            <w:vAlign w:val="center"/>
          </w:tcPr>
          <w:p>
            <w:pPr>
              <w:pStyle w:val="182"/>
              <w:bidi w:val="0"/>
              <w:rPr>
                <w:b/>
                <w:bCs/>
                <w:color w:val="auto"/>
              </w:rPr>
            </w:pPr>
            <w:r>
              <w:rPr>
                <w:rFonts w:hint="eastAsia"/>
                <w:b/>
                <w:bCs/>
                <w:color w:val="auto"/>
              </w:rPr>
              <w:t>保护内容</w:t>
            </w:r>
          </w:p>
        </w:tc>
        <w:tc>
          <w:tcPr>
            <w:tcW w:w="431" w:type="pct"/>
            <w:vAlign w:val="center"/>
          </w:tcPr>
          <w:p>
            <w:pPr>
              <w:pStyle w:val="182"/>
              <w:bidi w:val="0"/>
              <w:rPr>
                <w:b/>
                <w:bCs/>
                <w:color w:val="auto"/>
              </w:rPr>
            </w:pPr>
            <w:r>
              <w:rPr>
                <w:rFonts w:hint="eastAsia"/>
                <w:b/>
                <w:bCs/>
                <w:color w:val="auto"/>
              </w:rPr>
              <w:t>相对方位</w:t>
            </w:r>
          </w:p>
        </w:tc>
        <w:tc>
          <w:tcPr>
            <w:tcW w:w="508" w:type="pct"/>
            <w:vAlign w:val="center"/>
          </w:tcPr>
          <w:p>
            <w:pPr>
              <w:pStyle w:val="182"/>
              <w:bidi w:val="0"/>
              <w:rPr>
                <w:b/>
                <w:bCs/>
                <w:color w:val="auto"/>
              </w:rPr>
            </w:pPr>
            <w:r>
              <w:rPr>
                <w:rFonts w:hint="eastAsia"/>
                <w:b/>
                <w:bCs/>
                <w:color w:val="auto"/>
              </w:rPr>
              <w:t>距离（m）</w:t>
            </w:r>
          </w:p>
        </w:tc>
        <w:tc>
          <w:tcPr>
            <w:tcW w:w="509" w:type="pct"/>
            <w:vAlign w:val="center"/>
          </w:tcPr>
          <w:p>
            <w:pPr>
              <w:pStyle w:val="182"/>
              <w:bidi w:val="0"/>
              <w:rPr>
                <w:b/>
                <w:bCs/>
                <w:color w:val="auto"/>
              </w:rPr>
            </w:pPr>
            <w:r>
              <w:rPr>
                <w:rFonts w:hint="eastAsia"/>
                <w:b/>
                <w:bCs/>
                <w:color w:val="auto"/>
              </w:rPr>
              <w:t>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restart"/>
            <w:vAlign w:val="center"/>
          </w:tcPr>
          <w:p>
            <w:pPr>
              <w:pStyle w:val="182"/>
              <w:bidi w:val="0"/>
              <w:rPr>
                <w:rFonts w:hint="default" w:eastAsia="宋体"/>
                <w:color w:val="auto"/>
                <w:lang w:val="en-US" w:eastAsia="zh-CN"/>
              </w:rPr>
            </w:pPr>
            <w:r>
              <w:rPr>
                <w:rFonts w:hint="default"/>
                <w:color w:val="auto"/>
              </w:rPr>
              <w:t>环境空气</w:t>
            </w:r>
          </w:p>
        </w:tc>
        <w:tc>
          <w:tcPr>
            <w:tcW w:w="460" w:type="pct"/>
            <w:vAlign w:val="center"/>
          </w:tcPr>
          <w:p>
            <w:pPr>
              <w:pStyle w:val="182"/>
              <w:bidi w:val="0"/>
              <w:rPr>
                <w:rFonts w:hint="eastAsia" w:eastAsia="宋体"/>
                <w:color w:val="auto"/>
                <w:lang w:val="en-US" w:eastAsia="zh-CN"/>
              </w:rPr>
            </w:pPr>
            <w:r>
              <w:rPr>
                <w:rFonts w:hint="eastAsia"/>
                <w:color w:val="auto"/>
                <w:lang w:val="en-US" w:eastAsia="zh-CN"/>
              </w:rPr>
              <w:t>1</w:t>
            </w:r>
          </w:p>
        </w:tc>
        <w:tc>
          <w:tcPr>
            <w:tcW w:w="1245" w:type="pct"/>
            <w:vAlign w:val="center"/>
          </w:tcPr>
          <w:p>
            <w:pPr>
              <w:pStyle w:val="182"/>
              <w:bidi w:val="0"/>
              <w:rPr>
                <w:color w:val="auto"/>
              </w:rPr>
            </w:pPr>
            <w:r>
              <w:rPr>
                <w:rFonts w:hint="eastAsia"/>
                <w:color w:val="auto"/>
              </w:rPr>
              <w:t>大杨庄</w:t>
            </w:r>
          </w:p>
        </w:tc>
        <w:tc>
          <w:tcPr>
            <w:tcW w:w="508" w:type="pct"/>
            <w:vAlign w:val="center"/>
          </w:tcPr>
          <w:p>
            <w:pPr>
              <w:pStyle w:val="182"/>
              <w:bidi w:val="0"/>
              <w:rPr>
                <w:color w:val="auto"/>
              </w:rPr>
            </w:pPr>
            <w:r>
              <w:rPr>
                <w:rFonts w:hint="eastAsia"/>
                <w:color w:val="auto"/>
              </w:rPr>
              <w:t>村庄</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东南</w:t>
            </w:r>
          </w:p>
        </w:tc>
        <w:tc>
          <w:tcPr>
            <w:tcW w:w="508" w:type="pct"/>
            <w:vAlign w:val="center"/>
          </w:tcPr>
          <w:p>
            <w:pPr>
              <w:pStyle w:val="182"/>
              <w:bidi w:val="0"/>
              <w:rPr>
                <w:color w:val="auto"/>
              </w:rPr>
            </w:pPr>
            <w:r>
              <w:rPr>
                <w:color w:val="auto"/>
              </w:rPr>
              <w:t>1</w:t>
            </w:r>
            <w:r>
              <w:rPr>
                <w:rFonts w:hint="eastAsia"/>
                <w:color w:val="auto"/>
                <w:lang w:val="en-US" w:eastAsia="zh-CN"/>
              </w:rPr>
              <w:t>8</w:t>
            </w:r>
            <w:r>
              <w:rPr>
                <w:color w:val="auto"/>
              </w:rPr>
              <w:t>46</w:t>
            </w:r>
          </w:p>
        </w:tc>
        <w:tc>
          <w:tcPr>
            <w:tcW w:w="509" w:type="pct"/>
            <w:vAlign w:val="center"/>
          </w:tcPr>
          <w:p>
            <w:pPr>
              <w:pStyle w:val="182"/>
              <w:bidi w:val="0"/>
              <w:rPr>
                <w:color w:val="auto"/>
              </w:rPr>
            </w:pPr>
            <w:r>
              <w:rPr>
                <w:color w:val="auto"/>
              </w:rPr>
              <w:t>1300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color w:val="auto"/>
              </w:rPr>
            </w:pPr>
            <w:bookmarkStart w:id="151" w:name="_Hlk121079675"/>
          </w:p>
        </w:tc>
        <w:tc>
          <w:tcPr>
            <w:tcW w:w="460" w:type="pct"/>
            <w:vAlign w:val="center"/>
          </w:tcPr>
          <w:p>
            <w:pPr>
              <w:pStyle w:val="182"/>
              <w:bidi w:val="0"/>
              <w:rPr>
                <w:rFonts w:hint="default"/>
                <w:color w:val="auto"/>
                <w:lang w:val="en-US" w:eastAsia="zh-CN"/>
              </w:rPr>
            </w:pPr>
            <w:r>
              <w:rPr>
                <w:rFonts w:hint="eastAsia"/>
                <w:color w:val="auto"/>
                <w:lang w:val="en-US" w:eastAsia="zh-CN"/>
              </w:rPr>
              <w:t>2</w:t>
            </w:r>
          </w:p>
        </w:tc>
        <w:tc>
          <w:tcPr>
            <w:tcW w:w="1245" w:type="pct"/>
            <w:vAlign w:val="center"/>
          </w:tcPr>
          <w:p>
            <w:pPr>
              <w:pStyle w:val="182"/>
              <w:bidi w:val="0"/>
              <w:rPr>
                <w:color w:val="auto"/>
              </w:rPr>
            </w:pPr>
            <w:r>
              <w:rPr>
                <w:rFonts w:hint="eastAsia"/>
                <w:color w:val="auto"/>
              </w:rPr>
              <w:t>姚庄</w:t>
            </w:r>
          </w:p>
        </w:tc>
        <w:tc>
          <w:tcPr>
            <w:tcW w:w="508" w:type="pct"/>
            <w:vAlign w:val="center"/>
          </w:tcPr>
          <w:p>
            <w:pPr>
              <w:pStyle w:val="182"/>
              <w:bidi w:val="0"/>
              <w:rPr>
                <w:color w:val="auto"/>
              </w:rPr>
            </w:pPr>
            <w:r>
              <w:rPr>
                <w:rFonts w:hint="eastAsia"/>
                <w:color w:val="auto"/>
              </w:rPr>
              <w:t>村庄</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西南</w:t>
            </w:r>
          </w:p>
        </w:tc>
        <w:tc>
          <w:tcPr>
            <w:tcW w:w="508" w:type="pct"/>
            <w:vAlign w:val="center"/>
          </w:tcPr>
          <w:p>
            <w:pPr>
              <w:pStyle w:val="182"/>
              <w:bidi w:val="0"/>
              <w:rPr>
                <w:color w:val="auto"/>
              </w:rPr>
            </w:pPr>
            <w:r>
              <w:rPr>
                <w:color w:val="auto"/>
              </w:rPr>
              <w:t>1075</w:t>
            </w:r>
          </w:p>
        </w:tc>
        <w:tc>
          <w:tcPr>
            <w:tcW w:w="509" w:type="pct"/>
            <w:vAlign w:val="center"/>
          </w:tcPr>
          <w:p>
            <w:pPr>
              <w:pStyle w:val="182"/>
              <w:bidi w:val="0"/>
              <w:rPr>
                <w:color w:val="auto"/>
              </w:rPr>
            </w:pPr>
            <w:r>
              <w:rPr>
                <w:color w:val="auto"/>
              </w:rPr>
              <w:t>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pct"/>
            <w:vMerge w:val="continue"/>
            <w:vAlign w:val="center"/>
          </w:tcPr>
          <w:p>
            <w:pPr>
              <w:pStyle w:val="182"/>
              <w:bidi w:val="0"/>
              <w:rPr>
                <w:rFonts w:hint="default" w:eastAsia="宋体"/>
                <w:color w:val="auto"/>
                <w:lang w:val="en-US" w:eastAsia="zh-CN"/>
              </w:rPr>
            </w:pPr>
          </w:p>
        </w:tc>
        <w:tc>
          <w:tcPr>
            <w:tcW w:w="460"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3</w:t>
            </w:r>
          </w:p>
        </w:tc>
        <w:tc>
          <w:tcPr>
            <w:tcW w:w="1245" w:type="pct"/>
            <w:vAlign w:val="center"/>
          </w:tcPr>
          <w:p>
            <w:pPr>
              <w:pStyle w:val="182"/>
              <w:bidi w:val="0"/>
              <w:rPr>
                <w:b/>
                <w:bCs/>
                <w:color w:val="auto"/>
                <w:u w:val="single"/>
              </w:rPr>
            </w:pPr>
            <w:r>
              <w:rPr>
                <w:rFonts w:hint="eastAsia"/>
                <w:b/>
                <w:bCs/>
                <w:color w:val="auto"/>
                <w:u w:val="single"/>
              </w:rPr>
              <w:t>夏庄</w:t>
            </w:r>
          </w:p>
        </w:tc>
        <w:tc>
          <w:tcPr>
            <w:tcW w:w="508" w:type="pct"/>
            <w:vAlign w:val="center"/>
          </w:tcPr>
          <w:p>
            <w:pPr>
              <w:pStyle w:val="182"/>
              <w:bidi w:val="0"/>
              <w:rPr>
                <w:b/>
                <w:bCs/>
                <w:color w:val="auto"/>
                <w:u w:val="single"/>
              </w:rPr>
            </w:pPr>
            <w:r>
              <w:rPr>
                <w:rFonts w:hint="eastAsia"/>
                <w:b/>
                <w:bCs/>
                <w:color w:val="auto"/>
                <w:u w:val="single"/>
              </w:rPr>
              <w:t>村庄</w:t>
            </w:r>
          </w:p>
        </w:tc>
        <w:tc>
          <w:tcPr>
            <w:tcW w:w="589" w:type="pct"/>
            <w:vAlign w:val="center"/>
          </w:tcPr>
          <w:p>
            <w:pPr>
              <w:pStyle w:val="182"/>
              <w:bidi w:val="0"/>
              <w:rPr>
                <w:b/>
                <w:bCs/>
                <w:color w:val="auto"/>
                <w:u w:val="single"/>
              </w:rPr>
            </w:pPr>
            <w:r>
              <w:rPr>
                <w:rFonts w:hint="eastAsia"/>
                <w:b/>
                <w:bCs/>
                <w:color w:val="auto"/>
                <w:u w:val="single"/>
              </w:rPr>
              <w:t>居民</w:t>
            </w:r>
          </w:p>
        </w:tc>
        <w:tc>
          <w:tcPr>
            <w:tcW w:w="431" w:type="pct"/>
            <w:vAlign w:val="center"/>
          </w:tcPr>
          <w:p>
            <w:pPr>
              <w:pStyle w:val="182"/>
              <w:bidi w:val="0"/>
              <w:rPr>
                <w:b/>
                <w:bCs/>
                <w:color w:val="auto"/>
                <w:u w:val="single"/>
              </w:rPr>
            </w:pPr>
            <w:r>
              <w:rPr>
                <w:rFonts w:hint="eastAsia"/>
                <w:b/>
                <w:bCs/>
                <w:color w:val="auto"/>
                <w:u w:val="single"/>
              </w:rPr>
              <w:t>西南</w:t>
            </w:r>
          </w:p>
        </w:tc>
        <w:tc>
          <w:tcPr>
            <w:tcW w:w="50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600</w:t>
            </w:r>
          </w:p>
        </w:tc>
        <w:tc>
          <w:tcPr>
            <w:tcW w:w="509" w:type="pct"/>
            <w:vAlign w:val="center"/>
          </w:tcPr>
          <w:p>
            <w:pPr>
              <w:pStyle w:val="182"/>
              <w:bidi w:val="0"/>
              <w:rPr>
                <w:b/>
                <w:bCs/>
                <w:color w:val="auto"/>
                <w:u w:val="single"/>
              </w:rPr>
            </w:pPr>
            <w:r>
              <w:rPr>
                <w:b/>
                <w:bCs/>
                <w:color w:val="auto"/>
                <w:u w:val="single"/>
              </w:rP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color w:val="auto"/>
              </w:rPr>
            </w:pPr>
          </w:p>
        </w:tc>
        <w:tc>
          <w:tcPr>
            <w:tcW w:w="460" w:type="pct"/>
            <w:vAlign w:val="center"/>
          </w:tcPr>
          <w:p>
            <w:pPr>
              <w:pStyle w:val="182"/>
              <w:bidi w:val="0"/>
              <w:rPr>
                <w:rFonts w:hint="default"/>
                <w:color w:val="auto"/>
                <w:lang w:val="en-US" w:eastAsia="zh-CN"/>
              </w:rPr>
            </w:pPr>
            <w:r>
              <w:rPr>
                <w:rFonts w:hint="eastAsia"/>
                <w:color w:val="auto"/>
                <w:lang w:val="en-US" w:eastAsia="zh-CN"/>
              </w:rPr>
              <w:t>4</w:t>
            </w:r>
          </w:p>
        </w:tc>
        <w:tc>
          <w:tcPr>
            <w:tcW w:w="1245" w:type="pct"/>
            <w:vAlign w:val="center"/>
          </w:tcPr>
          <w:p>
            <w:pPr>
              <w:pStyle w:val="182"/>
              <w:bidi w:val="0"/>
              <w:rPr>
                <w:color w:val="auto"/>
              </w:rPr>
            </w:pPr>
            <w:r>
              <w:rPr>
                <w:rFonts w:hint="eastAsia"/>
                <w:color w:val="auto"/>
              </w:rPr>
              <w:t>北张兴庄</w:t>
            </w:r>
          </w:p>
        </w:tc>
        <w:tc>
          <w:tcPr>
            <w:tcW w:w="508" w:type="pct"/>
            <w:vAlign w:val="center"/>
          </w:tcPr>
          <w:p>
            <w:pPr>
              <w:pStyle w:val="182"/>
              <w:bidi w:val="0"/>
              <w:rPr>
                <w:color w:val="auto"/>
              </w:rPr>
            </w:pPr>
            <w:r>
              <w:rPr>
                <w:rFonts w:hint="eastAsia"/>
                <w:color w:val="auto"/>
              </w:rPr>
              <w:t>村庄</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东北</w:t>
            </w:r>
          </w:p>
        </w:tc>
        <w:tc>
          <w:tcPr>
            <w:tcW w:w="508" w:type="pct"/>
            <w:vAlign w:val="center"/>
          </w:tcPr>
          <w:p>
            <w:pPr>
              <w:pStyle w:val="182"/>
              <w:bidi w:val="0"/>
              <w:rPr>
                <w:color w:val="auto"/>
              </w:rPr>
            </w:pPr>
            <w:r>
              <w:rPr>
                <w:color w:val="auto"/>
              </w:rPr>
              <w:t>1325</w:t>
            </w:r>
          </w:p>
        </w:tc>
        <w:tc>
          <w:tcPr>
            <w:tcW w:w="509" w:type="pct"/>
            <w:vAlign w:val="center"/>
          </w:tcPr>
          <w:p>
            <w:pPr>
              <w:pStyle w:val="182"/>
              <w:bidi w:val="0"/>
              <w:rPr>
                <w:color w:val="auto"/>
              </w:rPr>
            </w:pPr>
            <w:r>
              <w:rPr>
                <w:color w:val="auto"/>
              </w:rPr>
              <w:t>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default" w:eastAsia="宋体"/>
                <w:color w:val="auto"/>
                <w:lang w:val="en-US" w:eastAsia="zh-CN"/>
              </w:rPr>
            </w:pPr>
          </w:p>
        </w:tc>
        <w:tc>
          <w:tcPr>
            <w:tcW w:w="460" w:type="pct"/>
            <w:vAlign w:val="center"/>
          </w:tcPr>
          <w:p>
            <w:pPr>
              <w:pStyle w:val="182"/>
              <w:bidi w:val="0"/>
              <w:rPr>
                <w:rFonts w:hint="eastAsia" w:eastAsia="宋体"/>
                <w:color w:val="auto"/>
                <w:lang w:val="en-US" w:eastAsia="zh-CN"/>
              </w:rPr>
            </w:pPr>
            <w:r>
              <w:rPr>
                <w:rFonts w:hint="eastAsia"/>
                <w:color w:val="auto"/>
                <w:lang w:val="en-US" w:eastAsia="zh-CN"/>
              </w:rPr>
              <w:t>5</w:t>
            </w:r>
          </w:p>
        </w:tc>
        <w:tc>
          <w:tcPr>
            <w:tcW w:w="1245" w:type="pct"/>
            <w:vAlign w:val="center"/>
          </w:tcPr>
          <w:p>
            <w:pPr>
              <w:pStyle w:val="182"/>
              <w:bidi w:val="0"/>
              <w:rPr>
                <w:color w:val="auto"/>
              </w:rPr>
            </w:pPr>
            <w:r>
              <w:rPr>
                <w:rFonts w:hint="eastAsia"/>
                <w:color w:val="auto"/>
              </w:rPr>
              <w:t>贾堤社区</w:t>
            </w:r>
          </w:p>
        </w:tc>
        <w:tc>
          <w:tcPr>
            <w:tcW w:w="508" w:type="pct"/>
            <w:vAlign w:val="center"/>
          </w:tcPr>
          <w:p>
            <w:pPr>
              <w:pStyle w:val="182"/>
              <w:bidi w:val="0"/>
              <w:rPr>
                <w:color w:val="auto"/>
              </w:rPr>
            </w:pPr>
            <w:r>
              <w:rPr>
                <w:rFonts w:hint="eastAsia"/>
                <w:color w:val="auto"/>
              </w:rPr>
              <w:t>村庄</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东北</w:t>
            </w:r>
          </w:p>
        </w:tc>
        <w:tc>
          <w:tcPr>
            <w:tcW w:w="508" w:type="pct"/>
            <w:vAlign w:val="center"/>
          </w:tcPr>
          <w:p>
            <w:pPr>
              <w:pStyle w:val="182"/>
              <w:bidi w:val="0"/>
              <w:rPr>
                <w:color w:val="auto"/>
              </w:rPr>
            </w:pPr>
            <w:r>
              <w:rPr>
                <w:color w:val="auto"/>
              </w:rPr>
              <w:t>1685</w:t>
            </w:r>
          </w:p>
        </w:tc>
        <w:tc>
          <w:tcPr>
            <w:tcW w:w="509" w:type="pct"/>
            <w:vAlign w:val="center"/>
          </w:tcPr>
          <w:p>
            <w:pPr>
              <w:pStyle w:val="182"/>
              <w:bidi w:val="0"/>
              <w:rPr>
                <w:color w:val="auto"/>
              </w:rPr>
            </w:pPr>
            <w:r>
              <w:rPr>
                <w:color w:val="auto"/>
              </w:rPr>
              <w:t>600</w:t>
            </w:r>
          </w:p>
        </w:tc>
      </w:tr>
      <w:bookmarkEnd w:id="15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color w:val="auto"/>
              </w:rPr>
            </w:pPr>
          </w:p>
        </w:tc>
        <w:tc>
          <w:tcPr>
            <w:tcW w:w="460" w:type="pct"/>
            <w:vAlign w:val="center"/>
          </w:tcPr>
          <w:p>
            <w:pPr>
              <w:pStyle w:val="182"/>
              <w:bidi w:val="0"/>
              <w:rPr>
                <w:rFonts w:hint="default"/>
                <w:color w:val="auto"/>
                <w:lang w:val="en-US" w:eastAsia="zh-CN"/>
              </w:rPr>
            </w:pPr>
            <w:r>
              <w:rPr>
                <w:rFonts w:hint="eastAsia"/>
                <w:color w:val="auto"/>
                <w:lang w:val="en-US" w:eastAsia="zh-CN"/>
              </w:rPr>
              <w:t>6</w:t>
            </w:r>
          </w:p>
        </w:tc>
        <w:tc>
          <w:tcPr>
            <w:tcW w:w="1245" w:type="pct"/>
            <w:vAlign w:val="center"/>
          </w:tcPr>
          <w:p>
            <w:pPr>
              <w:pStyle w:val="182"/>
              <w:bidi w:val="0"/>
              <w:rPr>
                <w:color w:val="auto"/>
              </w:rPr>
            </w:pPr>
            <w:r>
              <w:rPr>
                <w:rFonts w:hint="eastAsia"/>
                <w:color w:val="auto"/>
              </w:rPr>
              <w:t>获小庄村</w:t>
            </w:r>
          </w:p>
        </w:tc>
        <w:tc>
          <w:tcPr>
            <w:tcW w:w="508" w:type="pct"/>
            <w:vAlign w:val="center"/>
          </w:tcPr>
          <w:p>
            <w:pPr>
              <w:pStyle w:val="182"/>
              <w:bidi w:val="0"/>
              <w:rPr>
                <w:color w:val="auto"/>
              </w:rPr>
            </w:pPr>
            <w:r>
              <w:rPr>
                <w:rFonts w:hint="eastAsia"/>
                <w:color w:val="auto"/>
              </w:rPr>
              <w:t>村庄</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西南</w:t>
            </w:r>
          </w:p>
        </w:tc>
        <w:tc>
          <w:tcPr>
            <w:tcW w:w="508" w:type="pct"/>
            <w:vAlign w:val="center"/>
          </w:tcPr>
          <w:p>
            <w:pPr>
              <w:pStyle w:val="182"/>
              <w:bidi w:val="0"/>
              <w:rPr>
                <w:color w:val="auto"/>
              </w:rPr>
            </w:pPr>
            <w:r>
              <w:rPr>
                <w:color w:val="auto"/>
              </w:rPr>
              <w:t>2078</w:t>
            </w:r>
          </w:p>
        </w:tc>
        <w:tc>
          <w:tcPr>
            <w:tcW w:w="509" w:type="pct"/>
            <w:vAlign w:val="center"/>
          </w:tcPr>
          <w:p>
            <w:pPr>
              <w:pStyle w:val="182"/>
              <w:bidi w:val="0"/>
              <w:rPr>
                <w:color w:val="auto"/>
              </w:rPr>
            </w:pPr>
            <w:r>
              <w:rPr>
                <w:color w:val="auto"/>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color w:val="auto"/>
              </w:rPr>
            </w:pPr>
          </w:p>
        </w:tc>
        <w:tc>
          <w:tcPr>
            <w:tcW w:w="460" w:type="pct"/>
            <w:vAlign w:val="center"/>
          </w:tcPr>
          <w:p>
            <w:pPr>
              <w:pStyle w:val="182"/>
              <w:bidi w:val="0"/>
              <w:rPr>
                <w:rFonts w:hint="eastAsia" w:eastAsia="宋体"/>
                <w:color w:val="auto"/>
                <w:lang w:val="en-US" w:eastAsia="zh-CN"/>
              </w:rPr>
            </w:pPr>
            <w:r>
              <w:rPr>
                <w:rFonts w:hint="eastAsia"/>
                <w:color w:val="auto"/>
                <w:lang w:val="en-US" w:eastAsia="zh-CN"/>
              </w:rPr>
              <w:t>7</w:t>
            </w:r>
          </w:p>
        </w:tc>
        <w:tc>
          <w:tcPr>
            <w:tcW w:w="1245" w:type="pct"/>
            <w:vAlign w:val="center"/>
          </w:tcPr>
          <w:p>
            <w:pPr>
              <w:pStyle w:val="182"/>
              <w:bidi w:val="0"/>
              <w:rPr>
                <w:color w:val="auto"/>
              </w:rPr>
            </w:pPr>
            <w:r>
              <w:rPr>
                <w:rFonts w:hint="eastAsia"/>
                <w:color w:val="auto"/>
              </w:rPr>
              <w:t>张兴庄村</w:t>
            </w:r>
          </w:p>
        </w:tc>
        <w:tc>
          <w:tcPr>
            <w:tcW w:w="508" w:type="pct"/>
            <w:vAlign w:val="center"/>
          </w:tcPr>
          <w:p>
            <w:pPr>
              <w:pStyle w:val="182"/>
              <w:bidi w:val="0"/>
              <w:rPr>
                <w:color w:val="auto"/>
              </w:rPr>
            </w:pPr>
            <w:r>
              <w:rPr>
                <w:rFonts w:hint="eastAsia"/>
                <w:color w:val="auto"/>
              </w:rPr>
              <w:t>村庄</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color w:val="auto"/>
              </w:rPr>
            </w:pPr>
            <w:r>
              <w:rPr>
                <w:color w:val="auto"/>
              </w:rPr>
              <w:t>1450</w:t>
            </w:r>
          </w:p>
        </w:tc>
        <w:tc>
          <w:tcPr>
            <w:tcW w:w="509" w:type="pct"/>
            <w:vAlign w:val="center"/>
          </w:tcPr>
          <w:p>
            <w:pPr>
              <w:pStyle w:val="182"/>
              <w:bidi w:val="0"/>
              <w:rPr>
                <w:color w:val="auto"/>
              </w:rPr>
            </w:pPr>
            <w:r>
              <w:rPr>
                <w:color w:val="auto"/>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default" w:eastAsia="宋体"/>
                <w:color w:val="auto"/>
                <w:lang w:val="en-US" w:eastAsia="zh-CN"/>
              </w:rPr>
            </w:pPr>
          </w:p>
        </w:tc>
        <w:tc>
          <w:tcPr>
            <w:tcW w:w="460" w:type="pct"/>
            <w:vAlign w:val="center"/>
          </w:tcPr>
          <w:p>
            <w:pPr>
              <w:pStyle w:val="182"/>
              <w:bidi w:val="0"/>
              <w:rPr>
                <w:rFonts w:hint="default"/>
                <w:color w:val="auto"/>
                <w:lang w:val="en-US" w:eastAsia="zh-CN"/>
              </w:rPr>
            </w:pPr>
            <w:r>
              <w:rPr>
                <w:rFonts w:hint="eastAsia"/>
                <w:color w:val="auto"/>
                <w:lang w:val="en-US" w:eastAsia="zh-CN"/>
              </w:rPr>
              <w:t>8</w:t>
            </w:r>
          </w:p>
        </w:tc>
        <w:tc>
          <w:tcPr>
            <w:tcW w:w="1245" w:type="pct"/>
            <w:vAlign w:val="center"/>
          </w:tcPr>
          <w:p>
            <w:pPr>
              <w:pStyle w:val="182"/>
              <w:bidi w:val="0"/>
              <w:rPr>
                <w:rFonts w:hint="default" w:eastAsia="宋体"/>
                <w:color w:val="auto"/>
                <w:lang w:val="en-US" w:eastAsia="zh-CN"/>
              </w:rPr>
            </w:pPr>
            <w:r>
              <w:rPr>
                <w:rFonts w:hint="eastAsia"/>
                <w:color w:val="auto"/>
                <w:lang w:val="en-US" w:eastAsia="zh-CN"/>
              </w:rPr>
              <w:t>河南师范大学平原湖校区</w:t>
            </w:r>
          </w:p>
        </w:tc>
        <w:tc>
          <w:tcPr>
            <w:tcW w:w="508" w:type="pct"/>
            <w:vAlign w:val="center"/>
          </w:tcPr>
          <w:p>
            <w:pPr>
              <w:pStyle w:val="182"/>
              <w:bidi w:val="0"/>
              <w:rPr>
                <w:rFonts w:hint="eastAsia"/>
                <w:color w:val="auto"/>
              </w:rPr>
            </w:pPr>
            <w:r>
              <w:rPr>
                <w:rFonts w:hint="eastAsia"/>
                <w:color w:val="auto"/>
              </w:rPr>
              <w:t>学校</w:t>
            </w:r>
          </w:p>
        </w:tc>
        <w:tc>
          <w:tcPr>
            <w:tcW w:w="589" w:type="pct"/>
            <w:vAlign w:val="center"/>
          </w:tcPr>
          <w:p>
            <w:pPr>
              <w:pStyle w:val="182"/>
              <w:bidi w:val="0"/>
              <w:rPr>
                <w:rFonts w:hint="eastAsia"/>
                <w:color w:val="auto"/>
              </w:rPr>
            </w:pPr>
            <w:r>
              <w:rPr>
                <w:rFonts w:hint="eastAsia"/>
                <w:color w:val="auto"/>
              </w:rPr>
              <w:t>教职工及学生</w:t>
            </w:r>
          </w:p>
        </w:tc>
        <w:tc>
          <w:tcPr>
            <w:tcW w:w="431" w:type="pct"/>
            <w:vAlign w:val="center"/>
          </w:tcPr>
          <w:p>
            <w:pPr>
              <w:pStyle w:val="182"/>
              <w:bidi w:val="0"/>
              <w:rPr>
                <w:rFonts w:hint="eastAsia"/>
                <w:color w:val="auto"/>
              </w:rPr>
            </w:pPr>
            <w:r>
              <w:rPr>
                <w:rFonts w:hint="eastAsia"/>
                <w:color w:val="auto"/>
              </w:rPr>
              <w:t>北</w:t>
            </w:r>
          </w:p>
        </w:tc>
        <w:tc>
          <w:tcPr>
            <w:tcW w:w="508" w:type="pct"/>
            <w:vAlign w:val="center"/>
          </w:tcPr>
          <w:p>
            <w:pPr>
              <w:pStyle w:val="182"/>
              <w:bidi w:val="0"/>
              <w:rPr>
                <w:rFonts w:hint="default" w:eastAsia="宋体"/>
                <w:color w:val="auto"/>
                <w:lang w:val="en-US" w:eastAsia="zh-CN"/>
              </w:rPr>
            </w:pPr>
            <w:r>
              <w:rPr>
                <w:rFonts w:hint="eastAsia"/>
                <w:color w:val="auto"/>
                <w:lang w:val="en-US" w:eastAsia="zh-CN"/>
              </w:rPr>
              <w:t>1625</w:t>
            </w:r>
          </w:p>
        </w:tc>
        <w:tc>
          <w:tcPr>
            <w:tcW w:w="509" w:type="pct"/>
            <w:vAlign w:val="center"/>
          </w:tcPr>
          <w:p>
            <w:pPr>
              <w:pStyle w:val="182"/>
              <w:bidi w:val="0"/>
              <w:rPr>
                <w:color w:val="auto"/>
              </w:rPr>
            </w:pPr>
            <w:r>
              <w:rPr>
                <w:rFonts w:hint="eastAsia"/>
                <w:color w:val="auto"/>
                <w:lang w:val="en-US" w:eastAsia="zh-CN"/>
              </w:rPr>
              <w:t>20</w:t>
            </w:r>
            <w:r>
              <w:rPr>
                <w:color w:val="auto"/>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pct"/>
            <w:vMerge w:val="continue"/>
            <w:vAlign w:val="center"/>
          </w:tcPr>
          <w:p>
            <w:pPr>
              <w:pStyle w:val="182"/>
              <w:bidi w:val="0"/>
              <w:rPr>
                <w:color w:val="auto"/>
              </w:rPr>
            </w:pPr>
          </w:p>
        </w:tc>
        <w:tc>
          <w:tcPr>
            <w:tcW w:w="460" w:type="pct"/>
            <w:vAlign w:val="center"/>
          </w:tcPr>
          <w:p>
            <w:pPr>
              <w:pStyle w:val="182"/>
              <w:bidi w:val="0"/>
              <w:rPr>
                <w:rFonts w:hint="eastAsia" w:eastAsia="宋体"/>
                <w:color w:val="auto"/>
                <w:lang w:val="en-US" w:eastAsia="zh-CN"/>
              </w:rPr>
            </w:pPr>
            <w:r>
              <w:rPr>
                <w:rFonts w:hint="eastAsia"/>
                <w:color w:val="auto"/>
                <w:lang w:val="en-US" w:eastAsia="zh-CN"/>
              </w:rPr>
              <w:t>9</w:t>
            </w:r>
          </w:p>
        </w:tc>
        <w:tc>
          <w:tcPr>
            <w:tcW w:w="1245" w:type="pct"/>
            <w:vAlign w:val="center"/>
          </w:tcPr>
          <w:p>
            <w:pPr>
              <w:pStyle w:val="182"/>
              <w:bidi w:val="0"/>
              <w:rPr>
                <w:color w:val="auto"/>
              </w:rPr>
            </w:pPr>
            <w:r>
              <w:rPr>
                <w:rFonts w:hint="eastAsia"/>
                <w:color w:val="auto"/>
                <w:lang w:val="en-US" w:eastAsia="zh-CN"/>
              </w:rPr>
              <w:t>魏</w:t>
            </w:r>
            <w:r>
              <w:rPr>
                <w:rFonts w:hint="eastAsia"/>
                <w:color w:val="auto"/>
              </w:rPr>
              <w:t>堤社区</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rFonts w:hint="default" w:eastAsia="宋体"/>
                <w:color w:val="auto"/>
                <w:lang w:val="en-US" w:eastAsia="zh-CN"/>
              </w:rPr>
            </w:pPr>
            <w:r>
              <w:rPr>
                <w:rFonts w:hint="eastAsia"/>
                <w:color w:val="auto"/>
                <w:lang w:val="en-US" w:eastAsia="zh-CN"/>
              </w:rPr>
              <w:t>980</w:t>
            </w:r>
          </w:p>
        </w:tc>
        <w:tc>
          <w:tcPr>
            <w:tcW w:w="509" w:type="pct"/>
            <w:vAlign w:val="center"/>
          </w:tcPr>
          <w:p>
            <w:pPr>
              <w:pStyle w:val="182"/>
              <w:bidi w:val="0"/>
              <w:rPr>
                <w:color w:val="auto"/>
              </w:rPr>
            </w:pPr>
            <w:r>
              <w:rPr>
                <w:color w:val="auto"/>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default" w:eastAsia="宋体"/>
                <w:color w:val="auto"/>
                <w:lang w:val="en-US" w:eastAsia="zh-CN"/>
              </w:rPr>
            </w:pPr>
          </w:p>
        </w:tc>
        <w:tc>
          <w:tcPr>
            <w:tcW w:w="460"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10</w:t>
            </w:r>
          </w:p>
        </w:tc>
        <w:tc>
          <w:tcPr>
            <w:tcW w:w="1245" w:type="pct"/>
            <w:vAlign w:val="center"/>
          </w:tcPr>
          <w:p>
            <w:pPr>
              <w:pStyle w:val="182"/>
              <w:bidi w:val="0"/>
              <w:rPr>
                <w:b/>
                <w:bCs/>
                <w:color w:val="auto"/>
                <w:u w:val="single"/>
              </w:rPr>
            </w:pPr>
            <w:r>
              <w:rPr>
                <w:rFonts w:hint="eastAsia"/>
                <w:b/>
                <w:bCs/>
                <w:color w:val="auto"/>
                <w:u w:val="single"/>
              </w:rPr>
              <w:t>冯堤社区</w:t>
            </w:r>
          </w:p>
        </w:tc>
        <w:tc>
          <w:tcPr>
            <w:tcW w:w="508" w:type="pct"/>
            <w:vAlign w:val="center"/>
          </w:tcPr>
          <w:p>
            <w:pPr>
              <w:pStyle w:val="182"/>
              <w:bidi w:val="0"/>
              <w:rPr>
                <w:b/>
                <w:bCs/>
                <w:color w:val="auto"/>
                <w:u w:val="single"/>
              </w:rPr>
            </w:pPr>
            <w:r>
              <w:rPr>
                <w:rFonts w:hint="eastAsia"/>
                <w:b/>
                <w:bCs/>
                <w:color w:val="auto"/>
                <w:u w:val="single"/>
              </w:rPr>
              <w:t>居民区</w:t>
            </w:r>
          </w:p>
        </w:tc>
        <w:tc>
          <w:tcPr>
            <w:tcW w:w="589" w:type="pct"/>
            <w:vAlign w:val="center"/>
          </w:tcPr>
          <w:p>
            <w:pPr>
              <w:pStyle w:val="182"/>
              <w:bidi w:val="0"/>
              <w:rPr>
                <w:b/>
                <w:bCs/>
                <w:color w:val="auto"/>
                <w:u w:val="single"/>
              </w:rPr>
            </w:pPr>
            <w:r>
              <w:rPr>
                <w:rFonts w:hint="eastAsia"/>
                <w:b/>
                <w:bCs/>
                <w:color w:val="auto"/>
                <w:u w:val="single"/>
              </w:rPr>
              <w:t>居民</w:t>
            </w:r>
          </w:p>
        </w:tc>
        <w:tc>
          <w:tcPr>
            <w:tcW w:w="431" w:type="pct"/>
            <w:vAlign w:val="center"/>
          </w:tcPr>
          <w:p>
            <w:pPr>
              <w:pStyle w:val="182"/>
              <w:bidi w:val="0"/>
              <w:rPr>
                <w:b/>
                <w:bCs/>
                <w:color w:val="auto"/>
                <w:u w:val="single"/>
              </w:rPr>
            </w:pPr>
            <w:r>
              <w:rPr>
                <w:rFonts w:hint="eastAsia"/>
                <w:b/>
                <w:bCs/>
                <w:color w:val="auto"/>
                <w:u w:val="single"/>
              </w:rPr>
              <w:t>西北</w:t>
            </w:r>
          </w:p>
        </w:tc>
        <w:tc>
          <w:tcPr>
            <w:tcW w:w="50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1100</w:t>
            </w:r>
          </w:p>
        </w:tc>
        <w:tc>
          <w:tcPr>
            <w:tcW w:w="509" w:type="pct"/>
            <w:vAlign w:val="center"/>
          </w:tcPr>
          <w:p>
            <w:pPr>
              <w:pStyle w:val="182"/>
              <w:bidi w:val="0"/>
              <w:rPr>
                <w:b/>
                <w:bCs/>
                <w:color w:val="auto"/>
                <w:u w:val="single"/>
              </w:rPr>
            </w:pPr>
            <w:r>
              <w:rPr>
                <w:b/>
                <w:bCs/>
                <w:color w:val="auto"/>
                <w:u w:val="single"/>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eastAsia" w:eastAsia="宋体"/>
                <w:color w:val="auto"/>
                <w:lang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11</w:t>
            </w:r>
          </w:p>
        </w:tc>
        <w:tc>
          <w:tcPr>
            <w:tcW w:w="1245" w:type="pct"/>
            <w:vAlign w:val="center"/>
          </w:tcPr>
          <w:p>
            <w:pPr>
              <w:pStyle w:val="182"/>
              <w:bidi w:val="0"/>
              <w:rPr>
                <w:color w:val="auto"/>
              </w:rPr>
            </w:pPr>
            <w:r>
              <w:rPr>
                <w:rFonts w:hint="eastAsia"/>
                <w:color w:val="auto"/>
              </w:rPr>
              <w:t>樊李社区</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color w:val="auto"/>
              </w:rPr>
            </w:pPr>
            <w:r>
              <w:rPr>
                <w:color w:val="auto"/>
              </w:rPr>
              <w:t>1550</w:t>
            </w:r>
          </w:p>
        </w:tc>
        <w:tc>
          <w:tcPr>
            <w:tcW w:w="509" w:type="pct"/>
            <w:vAlign w:val="center"/>
          </w:tcPr>
          <w:p>
            <w:pPr>
              <w:pStyle w:val="182"/>
              <w:bidi w:val="0"/>
              <w:rPr>
                <w:color w:val="auto"/>
              </w:rPr>
            </w:pPr>
            <w:r>
              <w:rPr>
                <w:color w:val="auto"/>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eastAsia" w:eastAsia="宋体"/>
                <w:color w:val="auto"/>
                <w:lang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12</w:t>
            </w:r>
          </w:p>
        </w:tc>
        <w:tc>
          <w:tcPr>
            <w:tcW w:w="1245" w:type="pct"/>
            <w:vAlign w:val="center"/>
          </w:tcPr>
          <w:p>
            <w:pPr>
              <w:pStyle w:val="182"/>
              <w:bidi w:val="0"/>
              <w:rPr>
                <w:color w:val="auto"/>
              </w:rPr>
            </w:pPr>
            <w:r>
              <w:rPr>
                <w:rFonts w:hint="eastAsia"/>
                <w:color w:val="auto"/>
              </w:rPr>
              <w:t>格林小镇北区</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color w:val="auto"/>
              </w:rPr>
            </w:pPr>
            <w:r>
              <w:rPr>
                <w:color w:val="auto"/>
              </w:rPr>
              <w:t>1670</w:t>
            </w:r>
          </w:p>
        </w:tc>
        <w:tc>
          <w:tcPr>
            <w:tcW w:w="509" w:type="pct"/>
            <w:vAlign w:val="center"/>
          </w:tcPr>
          <w:p>
            <w:pPr>
              <w:pStyle w:val="182"/>
              <w:bidi w:val="0"/>
              <w:rPr>
                <w:color w:val="auto"/>
              </w:rPr>
            </w:pPr>
            <w:r>
              <w:rPr>
                <w:color w:val="auto"/>
              </w:rPr>
              <w:t>1900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default" w:eastAsia="宋体"/>
                <w:color w:val="auto"/>
                <w:lang w:val="en-US"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13</w:t>
            </w:r>
          </w:p>
        </w:tc>
        <w:tc>
          <w:tcPr>
            <w:tcW w:w="1245" w:type="pct"/>
            <w:vAlign w:val="center"/>
          </w:tcPr>
          <w:p>
            <w:pPr>
              <w:pStyle w:val="182"/>
              <w:bidi w:val="0"/>
              <w:rPr>
                <w:color w:val="auto"/>
              </w:rPr>
            </w:pPr>
            <w:r>
              <w:rPr>
                <w:rFonts w:hint="eastAsia"/>
                <w:color w:val="auto"/>
              </w:rPr>
              <w:t>新城花园</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北</w:t>
            </w:r>
          </w:p>
        </w:tc>
        <w:tc>
          <w:tcPr>
            <w:tcW w:w="508" w:type="pct"/>
            <w:vAlign w:val="center"/>
          </w:tcPr>
          <w:p>
            <w:pPr>
              <w:pStyle w:val="182"/>
              <w:bidi w:val="0"/>
              <w:rPr>
                <w:color w:val="auto"/>
              </w:rPr>
            </w:pPr>
            <w:r>
              <w:rPr>
                <w:color w:val="auto"/>
              </w:rPr>
              <w:t>1930</w:t>
            </w:r>
          </w:p>
        </w:tc>
        <w:tc>
          <w:tcPr>
            <w:tcW w:w="509" w:type="pct"/>
            <w:vAlign w:val="center"/>
          </w:tcPr>
          <w:p>
            <w:pPr>
              <w:pStyle w:val="182"/>
              <w:bidi w:val="0"/>
              <w:rPr>
                <w:color w:val="auto"/>
              </w:rPr>
            </w:pPr>
            <w:r>
              <w:rPr>
                <w:color w:val="auto"/>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eastAsia" w:eastAsia="宋体"/>
                <w:color w:val="auto"/>
                <w:lang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14</w:t>
            </w:r>
          </w:p>
        </w:tc>
        <w:tc>
          <w:tcPr>
            <w:tcW w:w="1245" w:type="pct"/>
            <w:vAlign w:val="center"/>
          </w:tcPr>
          <w:p>
            <w:pPr>
              <w:pStyle w:val="182"/>
              <w:bidi w:val="0"/>
              <w:rPr>
                <w:color w:val="auto"/>
              </w:rPr>
            </w:pPr>
            <w:r>
              <w:rPr>
                <w:rFonts w:hint="eastAsia"/>
                <w:color w:val="auto"/>
              </w:rPr>
              <w:t>李胡寨村</w:t>
            </w:r>
          </w:p>
        </w:tc>
        <w:tc>
          <w:tcPr>
            <w:tcW w:w="508" w:type="pct"/>
            <w:vAlign w:val="center"/>
          </w:tcPr>
          <w:p>
            <w:pPr>
              <w:pStyle w:val="182"/>
              <w:bidi w:val="0"/>
              <w:rPr>
                <w:color w:val="auto"/>
              </w:rPr>
            </w:pPr>
            <w:r>
              <w:rPr>
                <w:rFonts w:hint="eastAsia"/>
                <w:color w:val="auto"/>
              </w:rPr>
              <w:t>村庄</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rFonts w:hint="default" w:eastAsia="宋体"/>
                <w:color w:val="auto"/>
                <w:lang w:val="en-US" w:eastAsia="zh-CN"/>
              </w:rPr>
            </w:pPr>
            <w:r>
              <w:rPr>
                <w:rFonts w:hint="eastAsia"/>
                <w:color w:val="auto"/>
                <w:lang w:val="en-US" w:eastAsia="zh-CN"/>
              </w:rPr>
              <w:t>2488</w:t>
            </w:r>
          </w:p>
        </w:tc>
        <w:tc>
          <w:tcPr>
            <w:tcW w:w="509" w:type="pct"/>
            <w:vAlign w:val="center"/>
          </w:tcPr>
          <w:p>
            <w:pPr>
              <w:pStyle w:val="182"/>
              <w:bidi w:val="0"/>
              <w:rPr>
                <w:color w:val="auto"/>
              </w:rPr>
            </w:pPr>
            <w:r>
              <w:rPr>
                <w:color w:val="auto"/>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pct"/>
            <w:vMerge w:val="continue"/>
            <w:vAlign w:val="center"/>
          </w:tcPr>
          <w:p>
            <w:pPr>
              <w:pStyle w:val="182"/>
              <w:bidi w:val="0"/>
              <w:rPr>
                <w:rFonts w:hint="default" w:eastAsia="宋体"/>
                <w:color w:val="auto"/>
                <w:lang w:val="en-US"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15</w:t>
            </w:r>
          </w:p>
        </w:tc>
        <w:tc>
          <w:tcPr>
            <w:tcW w:w="1245" w:type="pct"/>
            <w:vAlign w:val="center"/>
          </w:tcPr>
          <w:p>
            <w:pPr>
              <w:pStyle w:val="182"/>
              <w:bidi w:val="0"/>
              <w:rPr>
                <w:color w:val="auto"/>
              </w:rPr>
            </w:pPr>
            <w:r>
              <w:rPr>
                <w:rFonts w:hint="eastAsia"/>
                <w:color w:val="auto"/>
              </w:rPr>
              <w:t>樊庄村</w:t>
            </w:r>
          </w:p>
        </w:tc>
        <w:tc>
          <w:tcPr>
            <w:tcW w:w="508" w:type="pct"/>
            <w:vAlign w:val="center"/>
          </w:tcPr>
          <w:p>
            <w:pPr>
              <w:pStyle w:val="182"/>
              <w:bidi w:val="0"/>
              <w:rPr>
                <w:color w:val="auto"/>
              </w:rPr>
            </w:pPr>
            <w:r>
              <w:rPr>
                <w:rFonts w:hint="eastAsia"/>
                <w:color w:val="auto"/>
              </w:rPr>
              <w:t>村庄</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color w:val="auto"/>
              </w:rPr>
            </w:pPr>
            <w:r>
              <w:rPr>
                <w:color w:val="auto"/>
              </w:rPr>
              <w:t>3410</w:t>
            </w:r>
          </w:p>
        </w:tc>
        <w:tc>
          <w:tcPr>
            <w:tcW w:w="509" w:type="pct"/>
            <w:vAlign w:val="center"/>
          </w:tcPr>
          <w:p>
            <w:pPr>
              <w:pStyle w:val="182"/>
              <w:bidi w:val="0"/>
              <w:rPr>
                <w:color w:val="auto"/>
              </w:rPr>
            </w:pPr>
            <w:r>
              <w:rPr>
                <w:color w:val="auto"/>
              </w:rPr>
              <w:t>1180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eastAsia" w:eastAsia="宋体"/>
                <w:color w:val="auto"/>
                <w:lang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16</w:t>
            </w:r>
          </w:p>
        </w:tc>
        <w:tc>
          <w:tcPr>
            <w:tcW w:w="1245" w:type="pct"/>
            <w:vAlign w:val="center"/>
          </w:tcPr>
          <w:p>
            <w:pPr>
              <w:pStyle w:val="182"/>
              <w:bidi w:val="0"/>
              <w:rPr>
                <w:color w:val="auto"/>
              </w:rPr>
            </w:pPr>
            <w:r>
              <w:rPr>
                <w:rFonts w:hint="eastAsia"/>
                <w:color w:val="auto"/>
              </w:rPr>
              <w:t>孟电观澜壹号</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color w:val="auto"/>
              </w:rPr>
            </w:pPr>
            <w:r>
              <w:rPr>
                <w:color w:val="auto"/>
              </w:rPr>
              <w:t>1950</w:t>
            </w:r>
          </w:p>
        </w:tc>
        <w:tc>
          <w:tcPr>
            <w:tcW w:w="509" w:type="pct"/>
            <w:vAlign w:val="center"/>
          </w:tcPr>
          <w:p>
            <w:pPr>
              <w:pStyle w:val="182"/>
              <w:bidi w:val="0"/>
              <w:rPr>
                <w:color w:val="auto"/>
              </w:rPr>
            </w:pPr>
            <w:r>
              <w:rPr>
                <w:color w:val="auto"/>
              </w:rPr>
              <w:t>8100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eastAsia" w:eastAsia="宋体"/>
                <w:color w:val="auto"/>
                <w:lang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17</w:t>
            </w:r>
          </w:p>
        </w:tc>
        <w:tc>
          <w:tcPr>
            <w:tcW w:w="1245" w:type="pct"/>
            <w:vAlign w:val="center"/>
          </w:tcPr>
          <w:p>
            <w:pPr>
              <w:pStyle w:val="182"/>
              <w:bidi w:val="0"/>
              <w:rPr>
                <w:color w:val="auto"/>
              </w:rPr>
            </w:pPr>
            <w:r>
              <w:rPr>
                <w:rFonts w:hint="eastAsia"/>
                <w:color w:val="auto"/>
              </w:rPr>
              <w:t>润华美丽谷</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rFonts w:hint="default"/>
                <w:color w:val="auto"/>
              </w:rPr>
            </w:pPr>
            <w:r>
              <w:rPr>
                <w:rFonts w:hint="eastAsia"/>
                <w:color w:val="auto"/>
                <w:lang w:eastAsia="zh-CN"/>
              </w:rPr>
              <w:t>1</w:t>
            </w:r>
            <w:r>
              <w:rPr>
                <w:rFonts w:hint="eastAsia"/>
                <w:color w:val="auto"/>
                <w:lang w:val="en-US" w:eastAsia="zh-CN"/>
              </w:rPr>
              <w:t>950</w:t>
            </w:r>
          </w:p>
        </w:tc>
        <w:tc>
          <w:tcPr>
            <w:tcW w:w="509" w:type="pct"/>
            <w:vAlign w:val="center"/>
          </w:tcPr>
          <w:p>
            <w:pPr>
              <w:pStyle w:val="182"/>
              <w:bidi w:val="0"/>
              <w:rPr>
                <w:color w:val="auto"/>
              </w:rPr>
            </w:pPr>
            <w:r>
              <w:rPr>
                <w:color w:val="auto"/>
              </w:rPr>
              <w:t>3100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eastAsia" w:eastAsia="宋体"/>
                <w:color w:val="auto"/>
                <w:lang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18</w:t>
            </w:r>
          </w:p>
        </w:tc>
        <w:tc>
          <w:tcPr>
            <w:tcW w:w="1245" w:type="pct"/>
            <w:vAlign w:val="center"/>
          </w:tcPr>
          <w:p>
            <w:pPr>
              <w:pStyle w:val="182"/>
              <w:bidi w:val="0"/>
              <w:rPr>
                <w:color w:val="auto"/>
              </w:rPr>
            </w:pPr>
            <w:r>
              <w:rPr>
                <w:rFonts w:hint="eastAsia"/>
                <w:color w:val="auto"/>
              </w:rPr>
              <w:t>建业春天里</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rFonts w:hint="default" w:eastAsia="宋体"/>
                <w:color w:val="auto"/>
                <w:lang w:val="en-US" w:eastAsia="zh-CN"/>
              </w:rPr>
            </w:pPr>
            <w:r>
              <w:rPr>
                <w:rFonts w:hint="eastAsia"/>
                <w:color w:val="auto"/>
                <w:lang w:val="en-US" w:eastAsia="zh-CN"/>
              </w:rPr>
              <w:t>2136</w:t>
            </w:r>
          </w:p>
        </w:tc>
        <w:tc>
          <w:tcPr>
            <w:tcW w:w="509" w:type="pct"/>
            <w:vAlign w:val="center"/>
          </w:tcPr>
          <w:p>
            <w:pPr>
              <w:pStyle w:val="182"/>
              <w:bidi w:val="0"/>
              <w:rPr>
                <w:color w:val="auto"/>
              </w:rPr>
            </w:pPr>
            <w:r>
              <w:rPr>
                <w:color w:val="auto"/>
              </w:rPr>
              <w:t>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eastAsia" w:eastAsia="宋体"/>
                <w:color w:val="auto"/>
                <w:lang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19</w:t>
            </w:r>
          </w:p>
        </w:tc>
        <w:tc>
          <w:tcPr>
            <w:tcW w:w="1245" w:type="pct"/>
            <w:vAlign w:val="center"/>
          </w:tcPr>
          <w:p>
            <w:pPr>
              <w:pStyle w:val="182"/>
              <w:bidi w:val="0"/>
              <w:rPr>
                <w:color w:val="auto"/>
              </w:rPr>
            </w:pPr>
            <w:r>
              <w:rPr>
                <w:rFonts w:hint="eastAsia"/>
                <w:color w:val="auto"/>
              </w:rPr>
              <w:t>格林小镇南区</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color w:val="auto"/>
              </w:rPr>
            </w:pPr>
            <w:r>
              <w:rPr>
                <w:color w:val="auto"/>
              </w:rPr>
              <w:t>1410</w:t>
            </w:r>
          </w:p>
        </w:tc>
        <w:tc>
          <w:tcPr>
            <w:tcW w:w="509" w:type="pct"/>
            <w:vAlign w:val="center"/>
          </w:tcPr>
          <w:p>
            <w:pPr>
              <w:pStyle w:val="182"/>
              <w:bidi w:val="0"/>
              <w:rPr>
                <w:color w:val="auto"/>
              </w:rPr>
            </w:pPr>
            <w:r>
              <w:rPr>
                <w:color w:val="auto"/>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eastAsia" w:eastAsia="宋体"/>
                <w:color w:val="auto"/>
                <w:lang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20</w:t>
            </w:r>
          </w:p>
        </w:tc>
        <w:tc>
          <w:tcPr>
            <w:tcW w:w="1245" w:type="pct"/>
            <w:vAlign w:val="center"/>
          </w:tcPr>
          <w:p>
            <w:pPr>
              <w:pStyle w:val="182"/>
              <w:bidi w:val="0"/>
              <w:rPr>
                <w:color w:val="auto"/>
              </w:rPr>
            </w:pPr>
            <w:r>
              <w:rPr>
                <w:rFonts w:hint="eastAsia"/>
                <w:color w:val="auto"/>
              </w:rPr>
              <w:t>靖业云溪九里</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color w:val="auto"/>
              </w:rPr>
            </w:pPr>
            <w:r>
              <w:rPr>
                <w:color w:val="auto"/>
              </w:rPr>
              <w:t>1557</w:t>
            </w:r>
          </w:p>
        </w:tc>
        <w:tc>
          <w:tcPr>
            <w:tcW w:w="509" w:type="pct"/>
            <w:vAlign w:val="center"/>
          </w:tcPr>
          <w:p>
            <w:pPr>
              <w:pStyle w:val="182"/>
              <w:bidi w:val="0"/>
              <w:rPr>
                <w:color w:val="auto"/>
              </w:rPr>
            </w:pPr>
            <w:r>
              <w:rPr>
                <w:color w:val="auto"/>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eastAsia" w:eastAsia="宋体"/>
                <w:color w:val="auto"/>
                <w:lang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21</w:t>
            </w:r>
          </w:p>
        </w:tc>
        <w:tc>
          <w:tcPr>
            <w:tcW w:w="1245" w:type="pct"/>
            <w:vAlign w:val="center"/>
          </w:tcPr>
          <w:p>
            <w:pPr>
              <w:pStyle w:val="182"/>
              <w:bidi w:val="0"/>
              <w:rPr>
                <w:color w:val="auto"/>
              </w:rPr>
            </w:pPr>
            <w:r>
              <w:rPr>
                <w:rFonts w:hint="eastAsia"/>
                <w:color w:val="auto"/>
              </w:rPr>
              <w:t>紫东上院</w:t>
            </w:r>
          </w:p>
        </w:tc>
        <w:tc>
          <w:tcPr>
            <w:tcW w:w="508" w:type="pct"/>
            <w:vAlign w:val="center"/>
          </w:tcPr>
          <w:p>
            <w:pPr>
              <w:pStyle w:val="182"/>
              <w:bidi w:val="0"/>
              <w:rPr>
                <w:color w:val="auto"/>
              </w:rPr>
            </w:pPr>
            <w:r>
              <w:rPr>
                <w:rFonts w:hint="eastAsia"/>
                <w:color w:val="auto"/>
              </w:rPr>
              <w:t>居民区</w:t>
            </w:r>
          </w:p>
        </w:tc>
        <w:tc>
          <w:tcPr>
            <w:tcW w:w="589" w:type="pct"/>
            <w:vAlign w:val="center"/>
          </w:tcPr>
          <w:p>
            <w:pPr>
              <w:pStyle w:val="182"/>
              <w:bidi w:val="0"/>
              <w:rPr>
                <w:color w:val="auto"/>
              </w:rPr>
            </w:pPr>
            <w:r>
              <w:rPr>
                <w:rFonts w:hint="eastAsia"/>
                <w:color w:val="auto"/>
              </w:rPr>
              <w:t>居民</w:t>
            </w:r>
          </w:p>
        </w:tc>
        <w:tc>
          <w:tcPr>
            <w:tcW w:w="431" w:type="pct"/>
            <w:vAlign w:val="center"/>
          </w:tcPr>
          <w:p>
            <w:pPr>
              <w:pStyle w:val="182"/>
              <w:bidi w:val="0"/>
              <w:rPr>
                <w:color w:val="auto"/>
              </w:rPr>
            </w:pPr>
            <w:r>
              <w:rPr>
                <w:rFonts w:hint="eastAsia"/>
                <w:color w:val="auto"/>
              </w:rPr>
              <w:t>西北</w:t>
            </w:r>
          </w:p>
        </w:tc>
        <w:tc>
          <w:tcPr>
            <w:tcW w:w="508" w:type="pct"/>
            <w:vAlign w:val="center"/>
          </w:tcPr>
          <w:p>
            <w:pPr>
              <w:pStyle w:val="182"/>
              <w:bidi w:val="0"/>
              <w:rPr>
                <w:color w:val="auto"/>
              </w:rPr>
            </w:pPr>
            <w:r>
              <w:rPr>
                <w:color w:val="auto"/>
              </w:rPr>
              <w:t>1810</w:t>
            </w:r>
          </w:p>
        </w:tc>
        <w:tc>
          <w:tcPr>
            <w:tcW w:w="509" w:type="pct"/>
            <w:vAlign w:val="center"/>
          </w:tcPr>
          <w:p>
            <w:pPr>
              <w:pStyle w:val="182"/>
              <w:bidi w:val="0"/>
              <w:rPr>
                <w:color w:val="auto"/>
              </w:rPr>
            </w:pPr>
            <w:r>
              <w:rPr>
                <w:color w:val="auto"/>
              </w:rP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p>
        </w:tc>
        <w:tc>
          <w:tcPr>
            <w:tcW w:w="460" w:type="pct"/>
            <w:vAlign w:val="center"/>
          </w:tcPr>
          <w:p>
            <w:pPr>
              <w:pStyle w:val="182"/>
              <w:bidi w:val="0"/>
              <w:ind w:firstLine="0" w:firstLineChars="0"/>
              <w:rPr>
                <w:rFonts w:hint="default"/>
                <w:color w:val="auto"/>
                <w:lang w:val="en-US" w:eastAsia="zh-CN"/>
              </w:rPr>
            </w:pPr>
            <w:r>
              <w:rPr>
                <w:rFonts w:hint="eastAsia"/>
                <w:color w:val="auto"/>
                <w:lang w:val="en-US" w:eastAsia="zh-CN"/>
              </w:rPr>
              <w:t>22</w:t>
            </w:r>
          </w:p>
        </w:tc>
        <w:tc>
          <w:tcPr>
            <w:tcW w:w="1245"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新乡天立学校</w:t>
            </w:r>
          </w:p>
        </w:tc>
        <w:tc>
          <w:tcPr>
            <w:tcW w:w="508"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学校</w:t>
            </w:r>
          </w:p>
        </w:tc>
        <w:tc>
          <w:tcPr>
            <w:tcW w:w="589"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rPr>
              <w:t>教职工及学生</w:t>
            </w:r>
          </w:p>
        </w:tc>
        <w:tc>
          <w:tcPr>
            <w:tcW w:w="431"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rPr>
              <w:t>西北</w:t>
            </w:r>
          </w:p>
        </w:tc>
        <w:tc>
          <w:tcPr>
            <w:tcW w:w="508" w:type="pct"/>
            <w:vAlign w:val="center"/>
          </w:tcPr>
          <w:p>
            <w:pPr>
              <w:pStyle w:val="182"/>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2356</w:t>
            </w:r>
          </w:p>
        </w:tc>
        <w:tc>
          <w:tcPr>
            <w:tcW w:w="509" w:type="pct"/>
            <w:vAlign w:val="center"/>
          </w:tcPr>
          <w:p>
            <w:pPr>
              <w:pStyle w:val="182"/>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default" w:eastAsia="宋体"/>
                <w:color w:val="auto"/>
                <w:lang w:val="en-US" w:eastAsia="zh-CN"/>
              </w:rPr>
            </w:pPr>
          </w:p>
        </w:tc>
        <w:tc>
          <w:tcPr>
            <w:tcW w:w="460" w:type="pct"/>
            <w:vAlign w:val="center"/>
          </w:tcPr>
          <w:p>
            <w:pPr>
              <w:pStyle w:val="182"/>
              <w:bidi w:val="0"/>
              <w:rPr>
                <w:rFonts w:hint="default" w:eastAsia="宋体"/>
                <w:color w:val="auto"/>
                <w:lang w:val="en-US" w:eastAsia="zh-CN"/>
              </w:rPr>
            </w:pPr>
            <w:r>
              <w:rPr>
                <w:rFonts w:hint="eastAsia"/>
                <w:color w:val="auto"/>
                <w:lang w:val="en-US" w:eastAsia="zh-CN"/>
              </w:rPr>
              <w:t>23</w:t>
            </w:r>
          </w:p>
        </w:tc>
        <w:tc>
          <w:tcPr>
            <w:tcW w:w="1245" w:type="pct"/>
            <w:vAlign w:val="center"/>
          </w:tcPr>
          <w:p>
            <w:pPr>
              <w:pStyle w:val="182"/>
              <w:bidi w:val="0"/>
              <w:rPr>
                <w:color w:val="auto"/>
              </w:rPr>
            </w:pPr>
            <w:r>
              <w:rPr>
                <w:rFonts w:hint="eastAsia"/>
                <w:color w:val="auto"/>
              </w:rPr>
              <w:t>新乡职业技术学院</w:t>
            </w:r>
          </w:p>
        </w:tc>
        <w:tc>
          <w:tcPr>
            <w:tcW w:w="508" w:type="pct"/>
            <w:vAlign w:val="center"/>
          </w:tcPr>
          <w:p>
            <w:pPr>
              <w:pStyle w:val="182"/>
              <w:bidi w:val="0"/>
              <w:rPr>
                <w:color w:val="auto"/>
              </w:rPr>
            </w:pPr>
            <w:r>
              <w:rPr>
                <w:rFonts w:hint="eastAsia"/>
                <w:color w:val="auto"/>
              </w:rPr>
              <w:t>学校</w:t>
            </w:r>
          </w:p>
        </w:tc>
        <w:tc>
          <w:tcPr>
            <w:tcW w:w="589" w:type="pct"/>
            <w:vAlign w:val="center"/>
          </w:tcPr>
          <w:p>
            <w:pPr>
              <w:pStyle w:val="182"/>
              <w:bidi w:val="0"/>
              <w:rPr>
                <w:color w:val="auto"/>
              </w:rPr>
            </w:pPr>
            <w:r>
              <w:rPr>
                <w:rFonts w:hint="eastAsia"/>
                <w:color w:val="auto"/>
              </w:rPr>
              <w:t>教职工及学生</w:t>
            </w:r>
          </w:p>
        </w:tc>
        <w:tc>
          <w:tcPr>
            <w:tcW w:w="431" w:type="pct"/>
            <w:vAlign w:val="center"/>
          </w:tcPr>
          <w:p>
            <w:pPr>
              <w:pStyle w:val="182"/>
              <w:bidi w:val="0"/>
              <w:rPr>
                <w:color w:val="auto"/>
              </w:rPr>
            </w:pPr>
            <w:r>
              <w:rPr>
                <w:rFonts w:hint="eastAsia"/>
                <w:color w:val="auto"/>
              </w:rPr>
              <w:t>西</w:t>
            </w:r>
          </w:p>
        </w:tc>
        <w:tc>
          <w:tcPr>
            <w:tcW w:w="508" w:type="pct"/>
            <w:vAlign w:val="center"/>
          </w:tcPr>
          <w:p>
            <w:pPr>
              <w:pStyle w:val="182"/>
              <w:bidi w:val="0"/>
              <w:rPr>
                <w:rFonts w:hint="default" w:eastAsia="宋体"/>
                <w:color w:val="auto"/>
                <w:lang w:val="en-US" w:eastAsia="zh-CN"/>
              </w:rPr>
            </w:pPr>
            <w:r>
              <w:rPr>
                <w:rFonts w:hint="eastAsia"/>
                <w:color w:val="auto"/>
                <w:lang w:val="en-US" w:eastAsia="zh-CN"/>
              </w:rPr>
              <w:t>1660</w:t>
            </w:r>
          </w:p>
        </w:tc>
        <w:tc>
          <w:tcPr>
            <w:tcW w:w="509" w:type="pct"/>
            <w:vAlign w:val="center"/>
          </w:tcPr>
          <w:p>
            <w:pPr>
              <w:pStyle w:val="182"/>
              <w:bidi w:val="0"/>
              <w:rPr>
                <w:color w:val="auto"/>
              </w:rPr>
            </w:pPr>
            <w:r>
              <w:rPr>
                <w:color w:val="auto"/>
              </w:rPr>
              <w:t>12000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Merge w:val="continue"/>
            <w:vAlign w:val="center"/>
          </w:tcPr>
          <w:p>
            <w:pPr>
              <w:pStyle w:val="182"/>
              <w:bidi w:val="0"/>
              <w:rPr>
                <w:rFonts w:hint="default" w:eastAsia="宋体"/>
                <w:color w:val="auto"/>
                <w:lang w:val="en-US" w:eastAsia="zh-CN"/>
              </w:rPr>
            </w:pPr>
          </w:p>
        </w:tc>
        <w:tc>
          <w:tcPr>
            <w:tcW w:w="460" w:type="pct"/>
            <w:vAlign w:val="center"/>
          </w:tcPr>
          <w:p>
            <w:pPr>
              <w:pStyle w:val="182"/>
              <w:bidi w:val="0"/>
              <w:rPr>
                <w:rFonts w:hint="default"/>
                <w:color w:val="auto"/>
                <w:lang w:val="en-US" w:eastAsia="zh-CN"/>
              </w:rPr>
            </w:pPr>
            <w:r>
              <w:rPr>
                <w:rFonts w:hint="eastAsia"/>
                <w:color w:val="auto"/>
                <w:lang w:val="en-US" w:eastAsia="zh-CN"/>
              </w:rPr>
              <w:t>24</w:t>
            </w:r>
          </w:p>
        </w:tc>
        <w:tc>
          <w:tcPr>
            <w:tcW w:w="1245" w:type="pct"/>
            <w:vAlign w:val="center"/>
          </w:tcPr>
          <w:p>
            <w:pPr>
              <w:pStyle w:val="182"/>
              <w:bidi w:val="0"/>
              <w:rPr>
                <w:rFonts w:hint="default" w:eastAsia="宋体"/>
                <w:color w:val="auto"/>
                <w:lang w:val="en-US" w:eastAsia="zh-CN"/>
              </w:rPr>
            </w:pPr>
            <w:r>
              <w:rPr>
                <w:rFonts w:hint="eastAsia"/>
                <w:color w:val="auto"/>
                <w:lang w:val="en-US" w:eastAsia="zh-CN"/>
              </w:rPr>
              <w:t>新乡工业园区中心学校</w:t>
            </w:r>
          </w:p>
        </w:tc>
        <w:tc>
          <w:tcPr>
            <w:tcW w:w="508" w:type="pct"/>
            <w:vAlign w:val="center"/>
          </w:tcPr>
          <w:p>
            <w:pPr>
              <w:pStyle w:val="182"/>
              <w:bidi w:val="0"/>
              <w:rPr>
                <w:rFonts w:hint="eastAsia"/>
                <w:color w:val="auto"/>
              </w:rPr>
            </w:pPr>
            <w:r>
              <w:rPr>
                <w:rFonts w:hint="eastAsia"/>
                <w:color w:val="auto"/>
                <w:lang w:val="en-US" w:eastAsia="zh-CN"/>
              </w:rPr>
              <w:t>学校</w:t>
            </w:r>
          </w:p>
        </w:tc>
        <w:tc>
          <w:tcPr>
            <w:tcW w:w="589" w:type="pct"/>
            <w:vAlign w:val="center"/>
          </w:tcPr>
          <w:p>
            <w:pPr>
              <w:pStyle w:val="182"/>
              <w:bidi w:val="0"/>
              <w:rPr>
                <w:rFonts w:hint="eastAsia"/>
                <w:color w:val="auto"/>
              </w:rPr>
            </w:pPr>
            <w:r>
              <w:rPr>
                <w:rFonts w:hint="eastAsia"/>
                <w:color w:val="auto"/>
              </w:rPr>
              <w:t>教职工及学生</w:t>
            </w:r>
          </w:p>
        </w:tc>
        <w:tc>
          <w:tcPr>
            <w:tcW w:w="431" w:type="pct"/>
            <w:vAlign w:val="center"/>
          </w:tcPr>
          <w:p>
            <w:pPr>
              <w:pStyle w:val="182"/>
              <w:bidi w:val="0"/>
              <w:rPr>
                <w:rFonts w:hint="eastAsia" w:eastAsia="宋体"/>
                <w:color w:val="auto"/>
                <w:lang w:val="en-US" w:eastAsia="zh-CN"/>
              </w:rPr>
            </w:pPr>
            <w:r>
              <w:rPr>
                <w:rFonts w:hint="eastAsia"/>
                <w:color w:val="auto"/>
                <w:lang w:val="en-US" w:eastAsia="zh-CN"/>
              </w:rPr>
              <w:t>西北</w:t>
            </w:r>
          </w:p>
        </w:tc>
        <w:tc>
          <w:tcPr>
            <w:tcW w:w="508" w:type="pct"/>
            <w:vAlign w:val="center"/>
          </w:tcPr>
          <w:p>
            <w:pPr>
              <w:pStyle w:val="182"/>
              <w:bidi w:val="0"/>
              <w:rPr>
                <w:rFonts w:hint="default" w:eastAsia="宋体"/>
                <w:color w:val="auto"/>
                <w:lang w:val="en-US" w:eastAsia="zh-CN"/>
              </w:rPr>
            </w:pPr>
            <w:r>
              <w:rPr>
                <w:rFonts w:hint="eastAsia"/>
                <w:color w:val="auto"/>
                <w:lang w:val="en-US" w:eastAsia="zh-CN"/>
              </w:rPr>
              <w:t>1439</w:t>
            </w:r>
          </w:p>
        </w:tc>
        <w:tc>
          <w:tcPr>
            <w:tcW w:w="509" w:type="pct"/>
            <w:vAlign w:val="center"/>
          </w:tcPr>
          <w:p>
            <w:pPr>
              <w:pStyle w:val="182"/>
              <w:bidi w:val="0"/>
              <w:rPr>
                <w:rFonts w:hint="default" w:eastAsia="宋体"/>
                <w:color w:val="auto"/>
                <w:lang w:val="en-US" w:eastAsia="zh-CN"/>
              </w:rPr>
            </w:pPr>
            <w:r>
              <w:rPr>
                <w:rFonts w:hint="eastAsia"/>
                <w:color w:val="auto"/>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Align w:val="center"/>
          </w:tcPr>
          <w:p>
            <w:pPr>
              <w:pStyle w:val="182"/>
              <w:rPr>
                <w:rFonts w:hint="eastAsia"/>
                <w:color w:val="auto"/>
                <w:lang w:val="en-US" w:eastAsia="zh-CN"/>
              </w:rPr>
            </w:pPr>
            <w:r>
              <w:rPr>
                <w:color w:val="auto"/>
              </w:rPr>
              <w:t>地表水</w:t>
            </w:r>
          </w:p>
        </w:tc>
        <w:tc>
          <w:tcPr>
            <w:tcW w:w="460" w:type="pct"/>
            <w:vAlign w:val="center"/>
          </w:tcPr>
          <w:p>
            <w:pPr>
              <w:pStyle w:val="182"/>
              <w:rPr>
                <w:rFonts w:hint="default"/>
                <w:color w:val="auto"/>
                <w:lang w:val="en-US" w:eastAsia="zh-CN"/>
              </w:rPr>
            </w:pPr>
            <w:r>
              <w:rPr>
                <w:rFonts w:hint="eastAsia"/>
                <w:color w:val="auto"/>
                <w:lang w:val="en-US" w:eastAsia="zh-CN"/>
              </w:rPr>
              <w:t>25</w:t>
            </w:r>
          </w:p>
        </w:tc>
        <w:tc>
          <w:tcPr>
            <w:tcW w:w="2343" w:type="pct"/>
            <w:gridSpan w:val="3"/>
            <w:vAlign w:val="center"/>
          </w:tcPr>
          <w:p>
            <w:pPr>
              <w:pStyle w:val="182"/>
              <w:rPr>
                <w:color w:val="auto"/>
                <w:lang w:val="en-US" w:eastAsia="zh-CN"/>
              </w:rPr>
            </w:pPr>
            <w:r>
              <w:rPr>
                <w:rFonts w:hint="eastAsia"/>
                <w:color w:val="auto"/>
              </w:rPr>
              <w:t>大沙河</w:t>
            </w:r>
          </w:p>
        </w:tc>
        <w:tc>
          <w:tcPr>
            <w:tcW w:w="431" w:type="pct"/>
            <w:vAlign w:val="center"/>
          </w:tcPr>
          <w:p>
            <w:pPr>
              <w:pStyle w:val="182"/>
              <w:rPr>
                <w:rFonts w:hint="default" w:eastAsia="宋体"/>
                <w:color w:val="auto"/>
                <w:lang w:val="en-US" w:eastAsia="zh-CN"/>
              </w:rPr>
            </w:pPr>
            <w:r>
              <w:rPr>
                <w:rFonts w:hint="eastAsia"/>
                <w:color w:val="auto"/>
                <w:lang w:val="en-US" w:eastAsia="zh-CN"/>
              </w:rPr>
              <w:t>北</w:t>
            </w:r>
          </w:p>
        </w:tc>
        <w:tc>
          <w:tcPr>
            <w:tcW w:w="508" w:type="pct"/>
            <w:vAlign w:val="center"/>
          </w:tcPr>
          <w:p>
            <w:pPr>
              <w:pStyle w:val="182"/>
              <w:rPr>
                <w:color w:val="auto"/>
                <w:lang w:val="en-US" w:eastAsia="zh-CN"/>
              </w:rPr>
            </w:pPr>
            <w:r>
              <w:rPr>
                <w:rFonts w:hint="eastAsia"/>
                <w:color w:val="auto"/>
                <w:lang w:val="en-US" w:eastAsia="zh-CN"/>
              </w:rPr>
              <w:t>1450</w:t>
            </w:r>
          </w:p>
        </w:tc>
        <w:tc>
          <w:tcPr>
            <w:tcW w:w="509" w:type="pct"/>
            <w:vAlign w:val="center"/>
          </w:tcPr>
          <w:p>
            <w:pPr>
              <w:pStyle w:val="182"/>
              <w:rPr>
                <w:rFonts w:hint="default"/>
                <w:color w:val="auto"/>
                <w:lang w:val="en-US" w:eastAsia="zh-CN"/>
              </w:rPr>
            </w:pPr>
            <w:r>
              <w:rPr>
                <w:rFonts w:hint="eastAsia"/>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vAlign w:val="center"/>
          </w:tcPr>
          <w:p>
            <w:pPr>
              <w:pStyle w:val="182"/>
              <w:rPr>
                <w:rFonts w:hint="default"/>
                <w:color w:val="auto"/>
                <w:lang w:val="en-US" w:eastAsia="zh-CN"/>
              </w:rPr>
            </w:pPr>
            <w:r>
              <w:rPr>
                <w:rFonts w:hint="eastAsia"/>
                <w:color w:val="auto"/>
                <w:lang w:val="en-US" w:eastAsia="zh-CN"/>
              </w:rPr>
              <w:t>地下水</w:t>
            </w:r>
          </w:p>
        </w:tc>
        <w:tc>
          <w:tcPr>
            <w:tcW w:w="460" w:type="pct"/>
            <w:vAlign w:val="center"/>
          </w:tcPr>
          <w:p>
            <w:pPr>
              <w:pStyle w:val="182"/>
              <w:bidi w:val="0"/>
              <w:rPr>
                <w:rFonts w:hint="default"/>
                <w:color w:val="auto"/>
                <w:lang w:val="en-US" w:eastAsia="zh-CN"/>
              </w:rPr>
            </w:pPr>
            <w:r>
              <w:rPr>
                <w:rFonts w:hint="eastAsia"/>
                <w:color w:val="auto"/>
                <w:lang w:val="en-US" w:eastAsia="zh-CN"/>
              </w:rPr>
              <w:t>26</w:t>
            </w:r>
          </w:p>
        </w:tc>
        <w:tc>
          <w:tcPr>
            <w:tcW w:w="2343" w:type="pct"/>
            <w:gridSpan w:val="3"/>
            <w:vAlign w:val="center"/>
          </w:tcPr>
          <w:p>
            <w:pPr>
              <w:pStyle w:val="182"/>
              <w:bidi w:val="0"/>
              <w:rPr>
                <w:color w:val="auto"/>
              </w:rPr>
            </w:pPr>
            <w:r>
              <w:rPr>
                <w:color w:val="auto"/>
              </w:rPr>
              <w:t>古固寨镇地下水饮用水源</w:t>
            </w:r>
          </w:p>
        </w:tc>
        <w:tc>
          <w:tcPr>
            <w:tcW w:w="431" w:type="pct"/>
            <w:vAlign w:val="center"/>
          </w:tcPr>
          <w:p>
            <w:pPr>
              <w:pStyle w:val="182"/>
              <w:bidi w:val="0"/>
              <w:rPr>
                <w:color w:val="auto"/>
              </w:rPr>
            </w:pPr>
            <w:r>
              <w:rPr>
                <w:color w:val="auto"/>
              </w:rPr>
              <w:t>西南</w:t>
            </w:r>
          </w:p>
        </w:tc>
        <w:tc>
          <w:tcPr>
            <w:tcW w:w="508" w:type="pct"/>
            <w:vAlign w:val="center"/>
          </w:tcPr>
          <w:p>
            <w:pPr>
              <w:pStyle w:val="182"/>
              <w:bidi w:val="0"/>
              <w:rPr>
                <w:color w:val="auto"/>
              </w:rPr>
            </w:pPr>
            <w:r>
              <w:rPr>
                <w:color w:val="auto"/>
              </w:rPr>
              <w:t>7200</w:t>
            </w:r>
          </w:p>
        </w:tc>
        <w:tc>
          <w:tcPr>
            <w:tcW w:w="509" w:type="pct"/>
            <w:vAlign w:val="center"/>
          </w:tcPr>
          <w:p>
            <w:pPr>
              <w:pStyle w:val="182"/>
              <w:bidi w:val="0"/>
              <w:rPr>
                <w:color w:val="auto"/>
              </w:rPr>
            </w:pPr>
            <w:r>
              <w:rPr>
                <w:rFonts w:hint="eastAsia"/>
                <w:color w:val="auto"/>
              </w:rPr>
              <w:t>/</w:t>
            </w:r>
          </w:p>
        </w:tc>
      </w:tr>
    </w:tbl>
    <w:p>
      <w:pPr>
        <w:bidi w:val="0"/>
        <w:ind w:left="0" w:leftChars="0" w:firstLine="0" w:firstLineChars="0"/>
        <w:jc w:val="center"/>
        <w:rPr>
          <w:color w:val="auto"/>
        </w:rPr>
      </w:pPr>
    </w:p>
    <w:p>
      <w:pPr>
        <w:bidi w:val="0"/>
        <w:ind w:left="0" w:leftChars="0" w:firstLine="0" w:firstLineChars="0"/>
        <w:jc w:val="center"/>
        <w:rPr>
          <w:rFonts w:hint="eastAsia"/>
          <w:color w:val="auto"/>
        </w:rPr>
      </w:pPr>
      <w:r>
        <w:drawing>
          <wp:inline distT="0" distB="0" distL="114300" distR="114300">
            <wp:extent cx="5272405" cy="3798570"/>
            <wp:effectExtent l="0" t="0" r="635" b="1143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9"/>
                    <a:stretch>
                      <a:fillRect/>
                    </a:stretch>
                  </pic:blipFill>
                  <pic:spPr>
                    <a:xfrm>
                      <a:off x="0" y="0"/>
                      <a:ext cx="5272405" cy="3798570"/>
                    </a:xfrm>
                    <a:prstGeom prst="rect">
                      <a:avLst/>
                    </a:prstGeom>
                    <a:noFill/>
                    <a:ln>
                      <a:noFill/>
                    </a:ln>
                  </pic:spPr>
                </pic:pic>
              </a:graphicData>
            </a:graphic>
          </wp:inline>
        </w:drawing>
      </w:r>
    </w:p>
    <w:p>
      <w:pPr>
        <w:pStyle w:val="181"/>
        <w:bidi w:val="0"/>
        <w:ind w:left="0" w:leftChars="0" w:firstLine="0" w:firstLineChars="0"/>
        <w:jc w:val="center"/>
        <w:rPr>
          <w:rFonts w:hint="eastAsia"/>
          <w:color w:val="auto"/>
        </w:rPr>
      </w:pPr>
      <w:r>
        <w:rPr>
          <w:rFonts w:hint="eastAsia"/>
          <w:color w:val="auto"/>
        </w:rPr>
        <w:t>图2</w:t>
      </w:r>
      <w:r>
        <w:rPr>
          <w:color w:val="auto"/>
        </w:rPr>
        <w:t>.</w:t>
      </w:r>
      <w:r>
        <w:rPr>
          <w:rFonts w:hint="eastAsia"/>
          <w:color w:val="auto"/>
          <w:lang w:val="en-US" w:eastAsia="zh-CN"/>
        </w:rPr>
        <w:t>7</w:t>
      </w:r>
      <w:r>
        <w:rPr>
          <w:rFonts w:hint="eastAsia"/>
          <w:color w:val="auto"/>
        </w:rPr>
        <w:t>-</w:t>
      </w:r>
      <w:r>
        <w:rPr>
          <w:rFonts w:hint="eastAsia"/>
          <w:color w:val="auto"/>
          <w:lang w:val="en-US" w:eastAsia="zh-CN"/>
        </w:rPr>
        <w:t>1</w:t>
      </w:r>
      <w:r>
        <w:rPr>
          <w:color w:val="auto"/>
        </w:rPr>
        <w:t xml:space="preserve">  </w:t>
      </w:r>
      <w:r>
        <w:rPr>
          <w:rFonts w:hint="eastAsia"/>
          <w:color w:val="auto"/>
        </w:rPr>
        <w:t>环境保护目标与项目位置关系示意图</w:t>
      </w:r>
    </w:p>
    <w:p>
      <w:pPr>
        <w:pStyle w:val="7"/>
        <w:bidi w:val="0"/>
        <w:rPr>
          <w:color w:val="auto"/>
        </w:rPr>
      </w:pPr>
      <w:bookmarkStart w:id="152" w:name="_Toc114"/>
      <w:r>
        <w:rPr>
          <w:color w:val="auto"/>
        </w:rPr>
        <w:t>2.</w:t>
      </w:r>
      <w:r>
        <w:rPr>
          <w:rFonts w:hint="eastAsia"/>
          <w:color w:val="auto"/>
          <w:lang w:val="en-US" w:eastAsia="zh-CN"/>
        </w:rPr>
        <w:t>8</w:t>
      </w:r>
      <w:r>
        <w:rPr>
          <w:color w:val="auto"/>
        </w:rPr>
        <w:t>评价标准</w:t>
      </w:r>
      <w:bookmarkEnd w:id="152"/>
    </w:p>
    <w:p>
      <w:pPr>
        <w:pStyle w:val="9"/>
        <w:bidi w:val="0"/>
        <w:rPr>
          <w:color w:val="auto"/>
        </w:rPr>
      </w:pPr>
      <w:r>
        <w:rPr>
          <w:color w:val="auto"/>
        </w:rPr>
        <w:t>2.</w:t>
      </w:r>
      <w:r>
        <w:rPr>
          <w:rFonts w:hint="eastAsia"/>
          <w:color w:val="auto"/>
          <w:lang w:val="en-US" w:eastAsia="zh-CN"/>
        </w:rPr>
        <w:t>8</w:t>
      </w:r>
      <w:r>
        <w:rPr>
          <w:color w:val="auto"/>
        </w:rPr>
        <w:t>.1环境质量标准</w:t>
      </w:r>
    </w:p>
    <w:p>
      <w:pPr>
        <w:bidi w:val="0"/>
        <w:rPr>
          <w:rFonts w:hint="eastAsia"/>
          <w:color w:val="auto"/>
        </w:rPr>
      </w:pPr>
      <w:r>
        <w:rPr>
          <w:rFonts w:hint="eastAsia"/>
          <w:color w:val="auto"/>
        </w:rPr>
        <w:t>本次评价环境质量标准执行以下标准。</w:t>
      </w:r>
    </w:p>
    <w:p>
      <w:pPr>
        <w:pStyle w:val="181"/>
        <w:bidi w:val="0"/>
        <w:rPr>
          <w:color w:val="auto"/>
        </w:rPr>
      </w:pPr>
      <w:r>
        <w:rPr>
          <w:color w:val="auto"/>
        </w:rPr>
        <w:t>表2</w:t>
      </w:r>
      <w:r>
        <w:rPr>
          <w:rFonts w:hint="eastAsia"/>
          <w:color w:val="auto"/>
          <w:lang w:val="en-US" w:eastAsia="zh-CN"/>
        </w:rPr>
        <w:t>.8</w:t>
      </w:r>
      <w:r>
        <w:rPr>
          <w:color w:val="auto"/>
        </w:rPr>
        <w:t xml:space="preserve">-1         </w:t>
      </w:r>
      <w:r>
        <w:rPr>
          <w:rFonts w:hint="eastAsia"/>
          <w:color w:val="auto"/>
          <w:lang w:val="en-US" w:eastAsia="zh-CN"/>
        </w:rPr>
        <w:t xml:space="preserve">  </w:t>
      </w:r>
      <w:r>
        <w:rPr>
          <w:color w:val="auto"/>
        </w:rPr>
        <w:t xml:space="preserve">    环境质量标准</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2861"/>
        <w:gridCol w:w="1685"/>
        <w:gridCol w:w="1577"/>
        <w:gridCol w:w="1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709" w:type="pct"/>
            <w:shd w:val="clear" w:color="auto" w:fill="auto"/>
            <w:vAlign w:val="center"/>
          </w:tcPr>
          <w:p>
            <w:pPr>
              <w:pStyle w:val="182"/>
              <w:bidi w:val="0"/>
              <w:rPr>
                <w:b/>
                <w:bCs/>
                <w:color w:val="auto"/>
              </w:rPr>
            </w:pPr>
            <w:r>
              <w:rPr>
                <w:b/>
                <w:bCs/>
                <w:color w:val="auto"/>
              </w:rPr>
              <w:t>环境要素</w:t>
            </w:r>
          </w:p>
        </w:tc>
        <w:tc>
          <w:tcPr>
            <w:tcW w:w="1678" w:type="pct"/>
            <w:shd w:val="clear" w:color="auto" w:fill="auto"/>
            <w:vAlign w:val="center"/>
          </w:tcPr>
          <w:p>
            <w:pPr>
              <w:pStyle w:val="182"/>
              <w:bidi w:val="0"/>
              <w:rPr>
                <w:b/>
                <w:bCs/>
                <w:color w:val="auto"/>
              </w:rPr>
            </w:pPr>
            <w:r>
              <w:rPr>
                <w:b/>
                <w:bCs/>
                <w:color w:val="auto"/>
              </w:rPr>
              <w:t>标准名称</w:t>
            </w:r>
          </w:p>
        </w:tc>
        <w:tc>
          <w:tcPr>
            <w:tcW w:w="988" w:type="pct"/>
            <w:shd w:val="clear" w:color="auto" w:fill="auto"/>
            <w:vAlign w:val="center"/>
          </w:tcPr>
          <w:p>
            <w:pPr>
              <w:pStyle w:val="182"/>
              <w:bidi w:val="0"/>
              <w:rPr>
                <w:b/>
                <w:bCs/>
                <w:color w:val="auto"/>
              </w:rPr>
            </w:pPr>
            <w:r>
              <w:rPr>
                <w:b/>
                <w:bCs/>
                <w:color w:val="auto"/>
              </w:rPr>
              <w:t>项目</w:t>
            </w:r>
          </w:p>
        </w:tc>
        <w:tc>
          <w:tcPr>
            <w:tcW w:w="1623" w:type="pct"/>
            <w:gridSpan w:val="2"/>
            <w:shd w:val="clear" w:color="auto" w:fill="auto"/>
            <w:vAlign w:val="center"/>
          </w:tcPr>
          <w:p>
            <w:pPr>
              <w:pStyle w:val="182"/>
              <w:bidi w:val="0"/>
              <w:rPr>
                <w:b/>
                <w:bCs/>
                <w:color w:val="auto"/>
              </w:rPr>
            </w:pPr>
            <w:r>
              <w:rPr>
                <w:b/>
                <w:bCs/>
                <w:color w:val="auto"/>
              </w:rPr>
              <w:t>标准值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pPr>
              <w:pStyle w:val="182"/>
              <w:bidi w:val="0"/>
              <w:rPr>
                <w:color w:val="auto"/>
              </w:rPr>
            </w:pPr>
            <w:r>
              <w:rPr>
                <w:color w:val="auto"/>
              </w:rPr>
              <w:t>地表水</w:t>
            </w:r>
          </w:p>
        </w:tc>
        <w:tc>
          <w:tcPr>
            <w:tcW w:w="1678" w:type="pct"/>
            <w:vMerge w:val="restart"/>
            <w:shd w:val="clear" w:color="auto" w:fill="auto"/>
            <w:vAlign w:val="center"/>
          </w:tcPr>
          <w:p>
            <w:pPr>
              <w:pStyle w:val="182"/>
              <w:bidi w:val="0"/>
              <w:rPr>
                <w:color w:val="auto"/>
              </w:rPr>
            </w:pPr>
            <w:r>
              <w:rPr>
                <w:color w:val="auto"/>
              </w:rPr>
              <w:t>《地表水环境质量标准》（GB3838-2002）</w:t>
            </w:r>
            <w:r>
              <w:rPr>
                <w:rFonts w:hint="eastAsia" w:ascii="宋体" w:hAnsi="宋体" w:eastAsia="宋体" w:cs="宋体"/>
                <w:color w:val="auto"/>
              </w:rPr>
              <w:t>Ⅳ</w:t>
            </w:r>
            <w:r>
              <w:rPr>
                <w:color w:val="auto"/>
              </w:rPr>
              <w:t>类</w:t>
            </w:r>
          </w:p>
          <w:p>
            <w:pPr>
              <w:pStyle w:val="182"/>
              <w:bidi w:val="0"/>
              <w:rPr>
                <w:color w:val="auto"/>
              </w:rPr>
            </w:pPr>
            <w:r>
              <w:rPr>
                <w:color w:val="auto"/>
              </w:rPr>
              <w:t>（大沙河）</w:t>
            </w:r>
          </w:p>
        </w:tc>
        <w:tc>
          <w:tcPr>
            <w:tcW w:w="988" w:type="pct"/>
            <w:shd w:val="clear" w:color="auto" w:fill="auto"/>
            <w:vAlign w:val="center"/>
          </w:tcPr>
          <w:p>
            <w:pPr>
              <w:pStyle w:val="182"/>
              <w:bidi w:val="0"/>
              <w:rPr>
                <w:color w:val="auto"/>
              </w:rPr>
            </w:pPr>
            <w:r>
              <w:rPr>
                <w:color w:val="auto"/>
              </w:rPr>
              <w:t>pH</w:t>
            </w:r>
          </w:p>
        </w:tc>
        <w:tc>
          <w:tcPr>
            <w:tcW w:w="1623" w:type="pct"/>
            <w:gridSpan w:val="2"/>
            <w:shd w:val="clear" w:color="auto" w:fill="auto"/>
            <w:vAlign w:val="center"/>
          </w:tcPr>
          <w:p>
            <w:pPr>
              <w:pStyle w:val="182"/>
              <w:bidi w:val="0"/>
              <w:rPr>
                <w:color w:val="auto"/>
              </w:rPr>
            </w:pPr>
            <w:r>
              <w:rPr>
                <w:color w:val="auto"/>
              </w:rPr>
              <w:t>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COD</w:t>
            </w:r>
          </w:p>
        </w:tc>
        <w:tc>
          <w:tcPr>
            <w:tcW w:w="1623" w:type="pct"/>
            <w:gridSpan w:val="2"/>
            <w:shd w:val="clear" w:color="auto" w:fill="auto"/>
            <w:vAlign w:val="center"/>
          </w:tcPr>
          <w:p>
            <w:pPr>
              <w:pStyle w:val="182"/>
              <w:bidi w:val="0"/>
              <w:rPr>
                <w:color w:val="auto"/>
              </w:rPr>
            </w:pPr>
            <w:r>
              <w:rPr>
                <w:color w:val="auto"/>
              </w:rPr>
              <w:t>30 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BOD</w:t>
            </w:r>
            <w:r>
              <w:rPr>
                <w:color w:val="auto"/>
                <w:vertAlign w:val="subscript"/>
              </w:rPr>
              <w:t>5</w:t>
            </w:r>
          </w:p>
        </w:tc>
        <w:tc>
          <w:tcPr>
            <w:tcW w:w="1623" w:type="pct"/>
            <w:gridSpan w:val="2"/>
            <w:shd w:val="clear" w:color="auto" w:fill="auto"/>
            <w:vAlign w:val="center"/>
          </w:tcPr>
          <w:p>
            <w:pPr>
              <w:pStyle w:val="182"/>
              <w:bidi w:val="0"/>
              <w:rPr>
                <w:color w:val="auto"/>
              </w:rPr>
            </w:pPr>
            <w:r>
              <w:rPr>
                <w:color w:val="auto"/>
              </w:rPr>
              <w:t>6.0 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NH</w:t>
            </w:r>
            <w:r>
              <w:rPr>
                <w:color w:val="auto"/>
                <w:vertAlign w:val="subscript"/>
              </w:rPr>
              <w:t>3</w:t>
            </w:r>
            <w:r>
              <w:rPr>
                <w:color w:val="auto"/>
              </w:rPr>
              <w:t>-N</w:t>
            </w:r>
          </w:p>
        </w:tc>
        <w:tc>
          <w:tcPr>
            <w:tcW w:w="1623" w:type="pct"/>
            <w:gridSpan w:val="2"/>
            <w:shd w:val="clear" w:color="auto" w:fill="auto"/>
            <w:vAlign w:val="center"/>
          </w:tcPr>
          <w:p>
            <w:pPr>
              <w:pStyle w:val="182"/>
              <w:bidi w:val="0"/>
              <w:rPr>
                <w:color w:val="auto"/>
              </w:rPr>
            </w:pPr>
            <w:r>
              <w:rPr>
                <w:color w:val="auto"/>
              </w:rPr>
              <w:t>1.5 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TP</w:t>
            </w:r>
          </w:p>
        </w:tc>
        <w:tc>
          <w:tcPr>
            <w:tcW w:w="1623" w:type="pct"/>
            <w:gridSpan w:val="2"/>
            <w:shd w:val="clear" w:color="auto" w:fill="auto"/>
            <w:vAlign w:val="center"/>
          </w:tcPr>
          <w:p>
            <w:pPr>
              <w:pStyle w:val="182"/>
              <w:bidi w:val="0"/>
              <w:rPr>
                <w:color w:val="auto"/>
              </w:rPr>
            </w:pPr>
            <w:r>
              <w:rPr>
                <w:color w:val="auto"/>
              </w:rPr>
              <w:t>0.3 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TN</w:t>
            </w:r>
          </w:p>
        </w:tc>
        <w:tc>
          <w:tcPr>
            <w:tcW w:w="1623" w:type="pct"/>
            <w:gridSpan w:val="2"/>
            <w:shd w:val="clear" w:color="auto" w:fill="auto"/>
            <w:vAlign w:val="center"/>
          </w:tcPr>
          <w:p>
            <w:pPr>
              <w:pStyle w:val="182"/>
              <w:bidi w:val="0"/>
              <w:rPr>
                <w:color w:val="auto"/>
              </w:rPr>
            </w:pPr>
            <w:r>
              <w:rPr>
                <w:color w:val="auto"/>
              </w:rPr>
              <w:t>1.5 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pPr>
              <w:pStyle w:val="182"/>
              <w:bidi w:val="0"/>
              <w:rPr>
                <w:color w:val="auto"/>
              </w:rPr>
            </w:pPr>
            <w:r>
              <w:rPr>
                <w:color w:val="auto"/>
              </w:rPr>
              <w:t>环境空气</w:t>
            </w:r>
          </w:p>
        </w:tc>
        <w:tc>
          <w:tcPr>
            <w:tcW w:w="1678" w:type="pct"/>
            <w:vMerge w:val="restart"/>
            <w:shd w:val="clear" w:color="auto" w:fill="auto"/>
            <w:vAlign w:val="center"/>
          </w:tcPr>
          <w:p>
            <w:pPr>
              <w:pStyle w:val="182"/>
              <w:bidi w:val="0"/>
              <w:rPr>
                <w:color w:val="auto"/>
              </w:rPr>
            </w:pPr>
            <w:r>
              <w:rPr>
                <w:color w:val="auto"/>
              </w:rPr>
              <w:t>《环境空气质量标准》（GB3095-2012）二级</w:t>
            </w:r>
          </w:p>
        </w:tc>
        <w:tc>
          <w:tcPr>
            <w:tcW w:w="988" w:type="pct"/>
            <w:vMerge w:val="restart"/>
            <w:shd w:val="clear" w:color="auto" w:fill="auto"/>
            <w:vAlign w:val="center"/>
          </w:tcPr>
          <w:p>
            <w:pPr>
              <w:pStyle w:val="182"/>
              <w:bidi w:val="0"/>
              <w:rPr>
                <w:color w:val="auto"/>
              </w:rPr>
            </w:pPr>
            <w:r>
              <w:rPr>
                <w:color w:val="auto"/>
              </w:rPr>
              <w:t>PM</w:t>
            </w:r>
            <w:r>
              <w:rPr>
                <w:color w:val="auto"/>
                <w:vertAlign w:val="subscript"/>
              </w:rPr>
              <w:t>2.5</w:t>
            </w:r>
          </w:p>
        </w:tc>
        <w:tc>
          <w:tcPr>
            <w:tcW w:w="1623" w:type="pct"/>
            <w:gridSpan w:val="2"/>
            <w:shd w:val="clear" w:color="auto" w:fill="auto"/>
            <w:vAlign w:val="center"/>
          </w:tcPr>
          <w:p>
            <w:pPr>
              <w:pStyle w:val="182"/>
              <w:bidi w:val="0"/>
              <w:rPr>
                <w:color w:val="auto"/>
              </w:rPr>
            </w:pPr>
            <w:r>
              <w:rPr>
                <w:color w:val="auto"/>
              </w:rPr>
              <w:t>24小时平均</w:t>
            </w:r>
            <w:r>
              <w:rPr>
                <w:rFonts w:hint="eastAsia"/>
                <w:color w:val="auto"/>
                <w:lang w:eastAsia="zh-CN"/>
              </w:rPr>
              <w:t>：</w:t>
            </w:r>
            <w:r>
              <w:rPr>
                <w:color w:val="auto"/>
              </w:rPr>
              <w:t>75μg/m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color w:val="auto"/>
              </w:rPr>
            </w:pPr>
          </w:p>
        </w:tc>
        <w:tc>
          <w:tcPr>
            <w:tcW w:w="1623" w:type="pct"/>
            <w:gridSpan w:val="2"/>
            <w:shd w:val="clear" w:color="auto" w:fill="auto"/>
            <w:vAlign w:val="center"/>
          </w:tcPr>
          <w:p>
            <w:pPr>
              <w:pStyle w:val="182"/>
              <w:bidi w:val="0"/>
              <w:rPr>
                <w:color w:val="auto"/>
              </w:rPr>
            </w:pPr>
            <w:r>
              <w:rPr>
                <w:color w:val="auto"/>
              </w:rPr>
              <w:t>年平均</w:t>
            </w:r>
            <w:r>
              <w:rPr>
                <w:rFonts w:hint="eastAsia"/>
                <w:color w:val="auto"/>
                <w:lang w:eastAsia="zh-CN"/>
              </w:rPr>
              <w:t>：</w:t>
            </w:r>
            <w:r>
              <w:rPr>
                <w:color w:val="auto"/>
              </w:rPr>
              <w:t>35μg/m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restart"/>
            <w:shd w:val="clear" w:color="auto" w:fill="auto"/>
            <w:vAlign w:val="center"/>
          </w:tcPr>
          <w:p>
            <w:pPr>
              <w:pStyle w:val="182"/>
              <w:bidi w:val="0"/>
              <w:rPr>
                <w:color w:val="auto"/>
              </w:rPr>
            </w:pPr>
            <w:r>
              <w:rPr>
                <w:color w:val="auto"/>
              </w:rPr>
              <w:t>PM</w:t>
            </w:r>
            <w:r>
              <w:rPr>
                <w:color w:val="auto"/>
                <w:vertAlign w:val="subscript"/>
              </w:rPr>
              <w:t>10</w:t>
            </w:r>
          </w:p>
        </w:tc>
        <w:tc>
          <w:tcPr>
            <w:tcW w:w="1623" w:type="pct"/>
            <w:gridSpan w:val="2"/>
            <w:shd w:val="clear" w:color="auto" w:fill="auto"/>
            <w:vAlign w:val="center"/>
          </w:tcPr>
          <w:p>
            <w:pPr>
              <w:pStyle w:val="182"/>
              <w:bidi w:val="0"/>
              <w:rPr>
                <w:color w:val="auto"/>
              </w:rPr>
            </w:pPr>
            <w:r>
              <w:rPr>
                <w:color w:val="auto"/>
              </w:rPr>
              <w:t>24小时平均</w:t>
            </w:r>
            <w:r>
              <w:rPr>
                <w:rFonts w:hint="eastAsia"/>
                <w:color w:val="auto"/>
                <w:lang w:eastAsia="zh-CN"/>
              </w:rPr>
              <w:t>：</w:t>
            </w:r>
            <w:r>
              <w:rPr>
                <w:color w:val="auto"/>
              </w:rPr>
              <w:t>150μg/m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color w:val="auto"/>
              </w:rPr>
            </w:pPr>
          </w:p>
        </w:tc>
        <w:tc>
          <w:tcPr>
            <w:tcW w:w="1623" w:type="pct"/>
            <w:gridSpan w:val="2"/>
            <w:shd w:val="clear" w:color="auto" w:fill="auto"/>
            <w:vAlign w:val="center"/>
          </w:tcPr>
          <w:p>
            <w:pPr>
              <w:pStyle w:val="182"/>
              <w:bidi w:val="0"/>
              <w:rPr>
                <w:color w:val="auto"/>
              </w:rPr>
            </w:pPr>
            <w:r>
              <w:rPr>
                <w:color w:val="auto"/>
              </w:rPr>
              <w:t>年平均</w:t>
            </w:r>
            <w:r>
              <w:rPr>
                <w:rFonts w:hint="eastAsia"/>
                <w:color w:val="auto"/>
                <w:lang w:eastAsia="zh-CN"/>
              </w:rPr>
              <w:t>：</w:t>
            </w:r>
            <w:r>
              <w:rPr>
                <w:color w:val="auto"/>
              </w:rPr>
              <w:t>70μg/m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restart"/>
            <w:shd w:val="clear" w:color="auto" w:fill="auto"/>
            <w:vAlign w:val="center"/>
          </w:tcPr>
          <w:p>
            <w:pPr>
              <w:pStyle w:val="182"/>
              <w:bidi w:val="0"/>
              <w:rPr>
                <w:color w:val="auto"/>
              </w:rPr>
            </w:pPr>
            <w:r>
              <w:rPr>
                <w:color w:val="auto"/>
              </w:rPr>
              <w:t>SO</w:t>
            </w:r>
            <w:r>
              <w:rPr>
                <w:color w:val="auto"/>
                <w:vertAlign w:val="subscript"/>
              </w:rPr>
              <w:t>2</w:t>
            </w:r>
          </w:p>
        </w:tc>
        <w:tc>
          <w:tcPr>
            <w:tcW w:w="1623" w:type="pct"/>
            <w:gridSpan w:val="2"/>
            <w:shd w:val="clear" w:color="auto" w:fill="auto"/>
            <w:vAlign w:val="center"/>
          </w:tcPr>
          <w:p>
            <w:pPr>
              <w:pStyle w:val="182"/>
              <w:bidi w:val="0"/>
              <w:rPr>
                <w:color w:val="auto"/>
              </w:rPr>
            </w:pPr>
            <w:r>
              <w:rPr>
                <w:color w:val="auto"/>
              </w:rPr>
              <w:t>1小时平均</w:t>
            </w:r>
            <w:r>
              <w:rPr>
                <w:rFonts w:hint="eastAsia"/>
                <w:color w:val="auto"/>
                <w:lang w:eastAsia="zh-CN"/>
              </w:rPr>
              <w:t>：</w:t>
            </w:r>
            <w:r>
              <w:rPr>
                <w:color w:val="auto"/>
              </w:rPr>
              <w:t>500μg/m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color w:val="auto"/>
              </w:rPr>
            </w:pPr>
          </w:p>
        </w:tc>
        <w:tc>
          <w:tcPr>
            <w:tcW w:w="1623" w:type="pct"/>
            <w:gridSpan w:val="2"/>
            <w:shd w:val="clear" w:color="auto" w:fill="auto"/>
            <w:vAlign w:val="center"/>
          </w:tcPr>
          <w:p>
            <w:pPr>
              <w:pStyle w:val="182"/>
              <w:bidi w:val="0"/>
              <w:rPr>
                <w:color w:val="auto"/>
              </w:rPr>
            </w:pPr>
            <w:r>
              <w:rPr>
                <w:color w:val="auto"/>
              </w:rPr>
              <w:t>24小时平均</w:t>
            </w:r>
            <w:r>
              <w:rPr>
                <w:rFonts w:hint="eastAsia"/>
                <w:color w:val="auto"/>
                <w:lang w:eastAsia="zh-CN"/>
              </w:rPr>
              <w:t>：</w:t>
            </w:r>
            <w:r>
              <w:rPr>
                <w:color w:val="auto"/>
              </w:rPr>
              <w:t>150μg/m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color w:val="auto"/>
              </w:rPr>
            </w:pPr>
          </w:p>
        </w:tc>
        <w:tc>
          <w:tcPr>
            <w:tcW w:w="1623" w:type="pct"/>
            <w:gridSpan w:val="2"/>
            <w:shd w:val="clear" w:color="auto" w:fill="auto"/>
            <w:vAlign w:val="center"/>
          </w:tcPr>
          <w:p>
            <w:pPr>
              <w:pStyle w:val="182"/>
              <w:bidi w:val="0"/>
              <w:rPr>
                <w:color w:val="auto"/>
              </w:rPr>
            </w:pPr>
            <w:r>
              <w:rPr>
                <w:color w:val="auto"/>
              </w:rPr>
              <w:t>年平均</w:t>
            </w:r>
            <w:r>
              <w:rPr>
                <w:rFonts w:hint="eastAsia"/>
                <w:color w:val="auto"/>
                <w:lang w:eastAsia="zh-CN"/>
              </w:rPr>
              <w:t>：</w:t>
            </w:r>
            <w:r>
              <w:rPr>
                <w:color w:val="auto"/>
              </w:rPr>
              <w:t>60μg/m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restart"/>
            <w:shd w:val="clear" w:color="auto" w:fill="auto"/>
            <w:vAlign w:val="center"/>
          </w:tcPr>
          <w:p>
            <w:pPr>
              <w:pStyle w:val="182"/>
              <w:bidi w:val="0"/>
              <w:rPr>
                <w:color w:val="auto"/>
              </w:rPr>
            </w:pPr>
            <w:r>
              <w:rPr>
                <w:color w:val="auto"/>
              </w:rPr>
              <w:t>NO</w:t>
            </w:r>
            <w:r>
              <w:rPr>
                <w:color w:val="auto"/>
                <w:vertAlign w:val="subscript"/>
              </w:rPr>
              <w:t>2</w:t>
            </w:r>
          </w:p>
        </w:tc>
        <w:tc>
          <w:tcPr>
            <w:tcW w:w="1623" w:type="pct"/>
            <w:gridSpan w:val="2"/>
            <w:shd w:val="clear" w:color="auto" w:fill="auto"/>
            <w:vAlign w:val="center"/>
          </w:tcPr>
          <w:p>
            <w:pPr>
              <w:pStyle w:val="182"/>
              <w:bidi w:val="0"/>
              <w:rPr>
                <w:color w:val="auto"/>
              </w:rPr>
            </w:pPr>
            <w:r>
              <w:rPr>
                <w:color w:val="auto"/>
              </w:rPr>
              <w:t>1小时平均</w:t>
            </w:r>
            <w:r>
              <w:rPr>
                <w:rFonts w:hint="eastAsia"/>
                <w:color w:val="auto"/>
                <w:lang w:eastAsia="zh-CN"/>
              </w:rPr>
              <w:t>：</w:t>
            </w:r>
            <w:r>
              <w:rPr>
                <w:color w:val="auto"/>
              </w:rPr>
              <w:t>200μg/m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color w:val="auto"/>
              </w:rPr>
            </w:pPr>
          </w:p>
        </w:tc>
        <w:tc>
          <w:tcPr>
            <w:tcW w:w="1623" w:type="pct"/>
            <w:gridSpan w:val="2"/>
            <w:shd w:val="clear" w:color="auto" w:fill="auto"/>
            <w:vAlign w:val="center"/>
          </w:tcPr>
          <w:p>
            <w:pPr>
              <w:pStyle w:val="182"/>
              <w:bidi w:val="0"/>
              <w:rPr>
                <w:color w:val="auto"/>
              </w:rPr>
            </w:pPr>
            <w:r>
              <w:rPr>
                <w:color w:val="auto"/>
              </w:rPr>
              <w:t>24小时平均</w:t>
            </w:r>
            <w:r>
              <w:rPr>
                <w:rFonts w:hint="eastAsia"/>
                <w:color w:val="auto"/>
                <w:lang w:eastAsia="zh-CN"/>
              </w:rPr>
              <w:t>：</w:t>
            </w:r>
            <w:r>
              <w:rPr>
                <w:color w:val="auto"/>
              </w:rPr>
              <w:t>80μg/m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color w:val="auto"/>
              </w:rPr>
            </w:pPr>
          </w:p>
        </w:tc>
        <w:tc>
          <w:tcPr>
            <w:tcW w:w="1623" w:type="pct"/>
            <w:gridSpan w:val="2"/>
            <w:shd w:val="clear" w:color="auto" w:fill="auto"/>
            <w:vAlign w:val="center"/>
          </w:tcPr>
          <w:p>
            <w:pPr>
              <w:pStyle w:val="182"/>
              <w:bidi w:val="0"/>
              <w:rPr>
                <w:color w:val="auto"/>
              </w:rPr>
            </w:pPr>
            <w:r>
              <w:rPr>
                <w:color w:val="auto"/>
              </w:rPr>
              <w:t>年平均</w:t>
            </w:r>
            <w:r>
              <w:rPr>
                <w:rFonts w:hint="eastAsia"/>
                <w:color w:val="auto"/>
                <w:lang w:eastAsia="zh-CN"/>
              </w:rPr>
              <w:t>：</w:t>
            </w:r>
            <w:r>
              <w:rPr>
                <w:color w:val="auto"/>
              </w:rPr>
              <w:t>40μg/m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restart"/>
            <w:shd w:val="clear" w:color="auto" w:fill="auto"/>
            <w:vAlign w:val="center"/>
          </w:tcPr>
          <w:p>
            <w:pPr>
              <w:pStyle w:val="182"/>
              <w:bidi w:val="0"/>
              <w:rPr>
                <w:color w:val="auto"/>
              </w:rPr>
            </w:pPr>
            <w:r>
              <w:rPr>
                <w:color w:val="auto"/>
              </w:rPr>
              <w:t>CO</w:t>
            </w:r>
          </w:p>
        </w:tc>
        <w:tc>
          <w:tcPr>
            <w:tcW w:w="1623" w:type="pct"/>
            <w:gridSpan w:val="2"/>
            <w:shd w:val="clear" w:color="auto" w:fill="auto"/>
            <w:vAlign w:val="center"/>
          </w:tcPr>
          <w:p>
            <w:pPr>
              <w:pStyle w:val="182"/>
              <w:bidi w:val="0"/>
              <w:rPr>
                <w:color w:val="auto"/>
              </w:rPr>
            </w:pPr>
            <w:r>
              <w:rPr>
                <w:color w:val="auto"/>
              </w:rPr>
              <w:t>1小时平均</w:t>
            </w:r>
            <w:r>
              <w:rPr>
                <w:rFonts w:hint="eastAsia"/>
                <w:color w:val="auto"/>
                <w:lang w:eastAsia="zh-CN"/>
              </w:rPr>
              <w:t>：</w:t>
            </w:r>
            <w:r>
              <w:rPr>
                <w:color w:val="auto"/>
              </w:rPr>
              <w:t>10mg/m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color w:val="auto"/>
              </w:rPr>
            </w:pPr>
          </w:p>
        </w:tc>
        <w:tc>
          <w:tcPr>
            <w:tcW w:w="1623" w:type="pct"/>
            <w:gridSpan w:val="2"/>
            <w:shd w:val="clear" w:color="auto" w:fill="auto"/>
            <w:vAlign w:val="center"/>
          </w:tcPr>
          <w:p>
            <w:pPr>
              <w:pStyle w:val="182"/>
              <w:bidi w:val="0"/>
              <w:rPr>
                <w:color w:val="auto"/>
              </w:rPr>
            </w:pPr>
            <w:r>
              <w:rPr>
                <w:color w:val="auto"/>
              </w:rPr>
              <w:t>24小时平均</w:t>
            </w:r>
            <w:r>
              <w:rPr>
                <w:rFonts w:hint="eastAsia"/>
                <w:color w:val="auto"/>
                <w:lang w:eastAsia="zh-CN"/>
              </w:rPr>
              <w:t>：</w:t>
            </w:r>
            <w:r>
              <w:rPr>
                <w:color w:val="auto"/>
              </w:rPr>
              <w:t>4mg/m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restart"/>
            <w:shd w:val="clear" w:color="auto" w:fill="auto"/>
            <w:vAlign w:val="center"/>
          </w:tcPr>
          <w:p>
            <w:pPr>
              <w:pStyle w:val="182"/>
              <w:bidi w:val="0"/>
              <w:rPr>
                <w:rFonts w:hint="default" w:eastAsia="宋体"/>
                <w:color w:val="auto"/>
                <w:lang w:val="en-US" w:eastAsia="zh-CN"/>
              </w:rPr>
            </w:pPr>
            <w:r>
              <w:rPr>
                <w:rFonts w:hint="eastAsia"/>
                <w:color w:val="auto"/>
                <w:lang w:val="en-US" w:eastAsia="zh-CN"/>
              </w:rPr>
              <w:t>O</w:t>
            </w:r>
            <w:r>
              <w:rPr>
                <w:rFonts w:hint="eastAsia"/>
                <w:color w:val="auto"/>
                <w:vertAlign w:val="subscript"/>
                <w:lang w:val="en-US" w:eastAsia="zh-CN"/>
              </w:rPr>
              <w:t>3</w:t>
            </w:r>
          </w:p>
        </w:tc>
        <w:tc>
          <w:tcPr>
            <w:tcW w:w="1623" w:type="pct"/>
            <w:gridSpan w:val="2"/>
            <w:shd w:val="clear" w:color="auto" w:fill="auto"/>
            <w:vAlign w:val="center"/>
          </w:tcPr>
          <w:p>
            <w:pPr>
              <w:pStyle w:val="182"/>
              <w:bidi w:val="0"/>
              <w:rPr>
                <w:rFonts w:hint="default" w:eastAsia="宋体"/>
                <w:color w:val="auto"/>
                <w:lang w:val="en-US" w:eastAsia="zh-CN"/>
              </w:rPr>
            </w:pPr>
            <w:r>
              <w:rPr>
                <w:rFonts w:hint="eastAsia"/>
                <w:color w:val="auto"/>
                <w:lang w:val="en-US" w:eastAsia="zh-CN"/>
              </w:rPr>
              <w:t>日最大8小时平均：160</w:t>
            </w:r>
            <w:r>
              <w:rPr>
                <w:color w:val="auto"/>
              </w:rPr>
              <w:t>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color w:val="auto"/>
              </w:rPr>
            </w:pPr>
          </w:p>
        </w:tc>
        <w:tc>
          <w:tcPr>
            <w:tcW w:w="1623" w:type="pct"/>
            <w:gridSpan w:val="2"/>
            <w:shd w:val="clear" w:color="auto" w:fill="auto"/>
            <w:vAlign w:val="center"/>
          </w:tcPr>
          <w:p>
            <w:pPr>
              <w:pStyle w:val="182"/>
              <w:bidi w:val="0"/>
              <w:rPr>
                <w:color w:val="auto"/>
              </w:rPr>
            </w:pPr>
            <w:r>
              <w:rPr>
                <w:color w:val="auto"/>
              </w:rPr>
              <w:t>1小时平均</w:t>
            </w:r>
            <w:r>
              <w:rPr>
                <w:rFonts w:hint="eastAsia"/>
                <w:color w:val="auto"/>
                <w:lang w:eastAsia="zh-CN"/>
              </w:rPr>
              <w:t>：</w:t>
            </w:r>
            <w:r>
              <w:rPr>
                <w:rFonts w:hint="eastAsia"/>
                <w:color w:val="auto"/>
                <w:lang w:val="en-US" w:eastAsia="zh-CN"/>
              </w:rPr>
              <w:t>200</w:t>
            </w:r>
            <w:r>
              <w:rPr>
                <w:color w:val="auto"/>
              </w:rPr>
              <w:t>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restart"/>
            <w:shd w:val="clear" w:color="auto" w:fill="auto"/>
            <w:vAlign w:val="center"/>
          </w:tcPr>
          <w:p>
            <w:pPr>
              <w:pStyle w:val="182"/>
              <w:bidi w:val="0"/>
              <w:rPr>
                <w:rFonts w:hint="default" w:eastAsia="宋体"/>
                <w:color w:val="auto"/>
                <w:lang w:val="en-US" w:eastAsia="zh-CN"/>
              </w:rPr>
            </w:pPr>
            <w:r>
              <w:rPr>
                <w:rFonts w:hint="eastAsia"/>
                <w:color w:val="auto"/>
                <w:lang w:val="en-US" w:eastAsia="zh-CN"/>
              </w:rPr>
              <w:t>TSP</w:t>
            </w:r>
          </w:p>
        </w:tc>
        <w:tc>
          <w:tcPr>
            <w:tcW w:w="1623" w:type="pct"/>
            <w:gridSpan w:val="2"/>
            <w:shd w:val="clear" w:color="auto" w:fill="auto"/>
            <w:vAlign w:val="center"/>
          </w:tcPr>
          <w:p>
            <w:pPr>
              <w:pStyle w:val="182"/>
              <w:bidi w:val="0"/>
              <w:rPr>
                <w:rFonts w:hint="default" w:eastAsia="宋体"/>
                <w:color w:val="auto"/>
                <w:lang w:val="en-US" w:eastAsia="zh-CN"/>
              </w:rPr>
            </w:pPr>
            <w:r>
              <w:rPr>
                <w:rFonts w:hint="eastAsia"/>
                <w:color w:val="auto"/>
                <w:lang w:val="en-US" w:eastAsia="zh-CN"/>
              </w:rPr>
              <w:t>2小时平均：300</w:t>
            </w:r>
            <w:r>
              <w:rPr>
                <w:color w:val="auto"/>
              </w:rPr>
              <w:t>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rFonts w:hint="eastAsia"/>
                <w:color w:val="auto"/>
                <w:lang w:val="en-US" w:eastAsia="zh-CN"/>
              </w:rPr>
            </w:pPr>
          </w:p>
        </w:tc>
        <w:tc>
          <w:tcPr>
            <w:tcW w:w="1623" w:type="pct"/>
            <w:gridSpan w:val="2"/>
            <w:shd w:val="clear" w:color="auto" w:fill="auto"/>
            <w:vAlign w:val="center"/>
          </w:tcPr>
          <w:p>
            <w:pPr>
              <w:pStyle w:val="182"/>
              <w:bidi w:val="0"/>
              <w:rPr>
                <w:color w:val="auto"/>
              </w:rPr>
            </w:pPr>
            <w:r>
              <w:rPr>
                <w:rFonts w:hint="eastAsia"/>
                <w:color w:val="auto"/>
                <w:lang w:val="en-US" w:eastAsia="zh-CN"/>
              </w:rPr>
              <w:t>年</w:t>
            </w:r>
            <w:r>
              <w:rPr>
                <w:color w:val="auto"/>
              </w:rPr>
              <w:t>平均</w:t>
            </w:r>
            <w:r>
              <w:rPr>
                <w:rFonts w:hint="eastAsia"/>
                <w:color w:val="auto"/>
                <w:lang w:eastAsia="zh-CN"/>
              </w:rPr>
              <w:t>：</w:t>
            </w:r>
            <w:r>
              <w:rPr>
                <w:rFonts w:hint="eastAsia"/>
                <w:color w:val="auto"/>
                <w:lang w:val="en-US" w:eastAsia="zh-CN"/>
              </w:rPr>
              <w:t>200</w:t>
            </w:r>
            <w:r>
              <w:rPr>
                <w:color w:val="auto"/>
              </w:rPr>
              <w:t>μg/m</w:t>
            </w:r>
            <w:r>
              <w:rPr>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restart"/>
            <w:shd w:val="clear" w:color="auto" w:fill="auto"/>
            <w:vAlign w:val="center"/>
          </w:tcPr>
          <w:p>
            <w:pPr>
              <w:pStyle w:val="182"/>
              <w:bidi w:val="0"/>
              <w:rPr>
                <w:b/>
                <w:bCs/>
                <w:color w:val="auto"/>
                <w:u w:val="single"/>
              </w:rPr>
            </w:pPr>
            <w:r>
              <w:rPr>
                <w:rFonts w:hint="eastAsia"/>
                <w:b/>
                <w:bCs/>
                <w:color w:val="auto"/>
                <w:u w:val="single"/>
              </w:rPr>
              <w:t>《环境影响评价技术导则 大气环境》（HJ2.2-2018）附录D</w:t>
            </w:r>
          </w:p>
        </w:tc>
        <w:tc>
          <w:tcPr>
            <w:tcW w:w="988" w:type="pct"/>
            <w:vMerge w:val="restart"/>
            <w:shd w:val="clear" w:color="auto" w:fill="auto"/>
            <w:vAlign w:val="center"/>
          </w:tcPr>
          <w:p>
            <w:pPr>
              <w:pStyle w:val="182"/>
              <w:bidi w:val="0"/>
              <w:rPr>
                <w:rFonts w:hint="default"/>
                <w:b/>
                <w:bCs/>
                <w:color w:val="auto"/>
                <w:u w:val="single"/>
                <w:lang w:val="en-US" w:eastAsia="zh-CN"/>
              </w:rPr>
            </w:pPr>
            <w:r>
              <w:rPr>
                <w:rFonts w:hint="eastAsia"/>
                <w:b/>
                <w:bCs/>
                <w:color w:val="auto"/>
                <w:u w:val="single"/>
                <w:lang w:val="en-US" w:eastAsia="zh-CN"/>
              </w:rPr>
              <w:t>硫酸雾</w:t>
            </w:r>
          </w:p>
        </w:tc>
        <w:tc>
          <w:tcPr>
            <w:tcW w:w="1623" w:type="pct"/>
            <w:gridSpan w:val="2"/>
            <w:shd w:val="clear" w:color="auto" w:fill="auto"/>
            <w:vAlign w:val="center"/>
          </w:tcPr>
          <w:p>
            <w:pPr>
              <w:pStyle w:val="182"/>
              <w:bidi w:val="0"/>
              <w:rPr>
                <w:rFonts w:hint="default" w:eastAsia="宋体"/>
                <w:b/>
                <w:bCs/>
                <w:color w:val="auto"/>
                <w:u w:val="single"/>
                <w:lang w:val="en-US" w:eastAsia="zh-CN"/>
              </w:rPr>
            </w:pPr>
            <w:r>
              <w:rPr>
                <w:b/>
                <w:bCs/>
                <w:color w:val="auto"/>
                <w:u w:val="single"/>
              </w:rPr>
              <w:t>1小时平均</w:t>
            </w:r>
            <w:r>
              <w:rPr>
                <w:rFonts w:hint="eastAsia"/>
                <w:b/>
                <w:bCs/>
                <w:color w:val="auto"/>
                <w:u w:val="single"/>
                <w:lang w:eastAsia="zh-CN"/>
              </w:rPr>
              <w:t>：</w:t>
            </w:r>
            <w:r>
              <w:rPr>
                <w:rFonts w:hint="eastAsia"/>
                <w:b/>
                <w:bCs/>
                <w:color w:val="auto"/>
                <w:u w:val="single"/>
                <w:lang w:val="en-US" w:eastAsia="zh-CN"/>
              </w:rPr>
              <w:t>300</w:t>
            </w:r>
            <w:r>
              <w:rPr>
                <w:b/>
                <w:bCs/>
                <w:color w:val="auto"/>
                <w:u w:val="single"/>
              </w:rPr>
              <w:t>μg/m</w:t>
            </w:r>
            <w:r>
              <w:rPr>
                <w:b/>
                <w:bCs/>
                <w:color w:val="auto"/>
                <w:u w:val="single"/>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b/>
                <w:bCs/>
                <w:color w:val="auto"/>
                <w:u w:val="single"/>
              </w:rPr>
            </w:pPr>
          </w:p>
        </w:tc>
        <w:tc>
          <w:tcPr>
            <w:tcW w:w="988" w:type="pct"/>
            <w:vMerge w:val="continue"/>
            <w:shd w:val="clear" w:color="auto" w:fill="auto"/>
            <w:vAlign w:val="center"/>
          </w:tcPr>
          <w:p>
            <w:pPr>
              <w:pStyle w:val="182"/>
              <w:bidi w:val="0"/>
              <w:rPr>
                <w:rFonts w:hint="eastAsia"/>
                <w:b/>
                <w:bCs/>
                <w:color w:val="auto"/>
                <w:u w:val="single"/>
                <w:lang w:val="en-US" w:eastAsia="zh-CN"/>
              </w:rPr>
            </w:pPr>
          </w:p>
        </w:tc>
        <w:tc>
          <w:tcPr>
            <w:tcW w:w="1623" w:type="pct"/>
            <w:gridSpan w:val="2"/>
            <w:shd w:val="clear" w:color="auto" w:fill="auto"/>
            <w:vAlign w:val="center"/>
          </w:tcPr>
          <w:p>
            <w:pPr>
              <w:pStyle w:val="182"/>
              <w:bidi w:val="0"/>
              <w:rPr>
                <w:rFonts w:hint="default" w:eastAsia="宋体"/>
                <w:b/>
                <w:bCs/>
                <w:color w:val="auto"/>
                <w:u w:val="single"/>
                <w:lang w:val="en-US" w:eastAsia="zh-CN"/>
              </w:rPr>
            </w:pPr>
            <w:r>
              <w:rPr>
                <w:rFonts w:hint="eastAsia"/>
                <w:b/>
                <w:bCs/>
                <w:color w:val="auto"/>
                <w:u w:val="single"/>
                <w:lang w:eastAsia="zh-CN"/>
              </w:rPr>
              <w:t>日</w:t>
            </w:r>
            <w:r>
              <w:rPr>
                <w:b/>
                <w:bCs/>
                <w:color w:val="auto"/>
                <w:u w:val="single"/>
              </w:rPr>
              <w:t>平均</w:t>
            </w:r>
            <w:r>
              <w:rPr>
                <w:rFonts w:hint="eastAsia"/>
                <w:b/>
                <w:bCs/>
                <w:color w:val="auto"/>
                <w:u w:val="single"/>
                <w:lang w:eastAsia="zh-CN"/>
              </w:rPr>
              <w:t>：</w:t>
            </w:r>
            <w:r>
              <w:rPr>
                <w:rFonts w:hint="eastAsia"/>
                <w:b/>
                <w:bCs/>
                <w:color w:val="auto"/>
                <w:u w:val="single"/>
                <w:lang w:val="en-US" w:eastAsia="zh-CN"/>
              </w:rPr>
              <w:t>100</w:t>
            </w:r>
            <w:r>
              <w:rPr>
                <w:b/>
                <w:bCs/>
                <w:color w:val="auto"/>
                <w:u w:val="single"/>
              </w:rPr>
              <w:t>μg/m</w:t>
            </w:r>
            <w:r>
              <w:rPr>
                <w:b/>
                <w:bCs/>
                <w:color w:val="auto"/>
                <w:u w:val="single"/>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b/>
                <w:bCs/>
                <w:color w:val="auto"/>
                <w:u w:val="single"/>
              </w:rPr>
            </w:pPr>
          </w:p>
        </w:tc>
        <w:tc>
          <w:tcPr>
            <w:tcW w:w="988" w:type="pct"/>
            <w:shd w:val="clear" w:color="auto" w:fill="auto"/>
            <w:vAlign w:val="center"/>
          </w:tcPr>
          <w:p>
            <w:pPr>
              <w:pStyle w:val="182"/>
              <w:bidi w:val="0"/>
              <w:ind w:firstLine="0" w:firstLineChars="0"/>
              <w:rPr>
                <w:rFonts w:hint="eastAsia"/>
                <w:b/>
                <w:bCs/>
                <w:color w:val="auto"/>
                <w:u w:val="single"/>
                <w:lang w:val="en-US" w:eastAsia="zh-CN"/>
              </w:rPr>
            </w:pPr>
            <w:r>
              <w:rPr>
                <w:rFonts w:hint="eastAsia"/>
                <w:b/>
                <w:bCs/>
                <w:color w:val="auto"/>
                <w:u w:val="single"/>
              </w:rPr>
              <w:t>硫化氢</w:t>
            </w:r>
          </w:p>
        </w:tc>
        <w:tc>
          <w:tcPr>
            <w:tcW w:w="1623" w:type="pct"/>
            <w:gridSpan w:val="2"/>
            <w:shd w:val="clear" w:color="auto" w:fill="auto"/>
            <w:vAlign w:val="center"/>
          </w:tcPr>
          <w:p>
            <w:pPr>
              <w:pStyle w:val="182"/>
              <w:bidi w:val="0"/>
              <w:ind w:firstLine="0" w:firstLineChars="0"/>
              <w:rPr>
                <w:b/>
                <w:bCs/>
                <w:color w:val="auto"/>
                <w:u w:val="single"/>
              </w:rPr>
            </w:pPr>
            <w:r>
              <w:rPr>
                <w:rFonts w:hint="eastAsia"/>
                <w:b/>
                <w:bCs/>
                <w:color w:val="auto"/>
                <w:u w:val="single"/>
              </w:rPr>
              <w:t>1小时平均</w:t>
            </w:r>
            <w:r>
              <w:rPr>
                <w:rFonts w:hint="eastAsia"/>
                <w:b/>
                <w:bCs/>
                <w:color w:val="auto"/>
                <w:u w:val="single"/>
                <w:lang w:eastAsia="zh-CN"/>
              </w:rPr>
              <w:t>：</w:t>
            </w:r>
            <w:r>
              <w:rPr>
                <w:rFonts w:hint="eastAsia"/>
                <w:b/>
                <w:bCs/>
                <w:color w:val="auto"/>
                <w:u w:val="single"/>
                <w:lang w:val="en-US" w:eastAsia="zh-CN"/>
              </w:rPr>
              <w:t>10</w:t>
            </w:r>
            <w:r>
              <w:rPr>
                <w:rFonts w:hint="eastAsia"/>
                <w:b/>
                <w:bCs/>
                <w:color w:val="auto"/>
                <w:u w:val="single"/>
              </w:rPr>
              <w:t>μg/m</w:t>
            </w:r>
            <w:r>
              <w:rPr>
                <w:rFonts w:hint="eastAsia"/>
                <w:b/>
                <w:bCs/>
                <w:color w:val="auto"/>
                <w:u w:val="single"/>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b/>
                <w:bCs/>
                <w:color w:val="auto"/>
                <w:u w:val="single"/>
              </w:rPr>
            </w:pPr>
          </w:p>
        </w:tc>
        <w:tc>
          <w:tcPr>
            <w:tcW w:w="988" w:type="pct"/>
            <w:shd w:val="clear" w:color="auto" w:fill="auto"/>
            <w:vAlign w:val="center"/>
          </w:tcPr>
          <w:p>
            <w:pPr>
              <w:pStyle w:val="182"/>
              <w:bidi w:val="0"/>
              <w:ind w:firstLine="0" w:firstLineChars="0"/>
              <w:rPr>
                <w:rFonts w:hint="eastAsia"/>
                <w:b/>
                <w:bCs/>
                <w:color w:val="auto"/>
                <w:u w:val="single"/>
                <w:lang w:val="en-US" w:eastAsia="zh-CN"/>
              </w:rPr>
            </w:pPr>
            <w:r>
              <w:rPr>
                <w:rFonts w:hint="eastAsia"/>
                <w:b/>
                <w:bCs/>
                <w:color w:val="auto"/>
                <w:u w:val="single"/>
              </w:rPr>
              <w:t>二硫化碳</w:t>
            </w:r>
          </w:p>
        </w:tc>
        <w:tc>
          <w:tcPr>
            <w:tcW w:w="1623" w:type="pct"/>
            <w:gridSpan w:val="2"/>
            <w:shd w:val="clear" w:color="auto" w:fill="auto"/>
            <w:vAlign w:val="center"/>
          </w:tcPr>
          <w:p>
            <w:pPr>
              <w:pStyle w:val="182"/>
              <w:bidi w:val="0"/>
              <w:ind w:firstLine="0" w:firstLineChars="0"/>
              <w:rPr>
                <w:b/>
                <w:bCs/>
                <w:color w:val="auto"/>
                <w:u w:val="single"/>
              </w:rPr>
            </w:pPr>
            <w:r>
              <w:rPr>
                <w:rFonts w:hint="eastAsia"/>
                <w:b/>
                <w:bCs/>
                <w:color w:val="auto"/>
                <w:u w:val="single"/>
              </w:rPr>
              <w:t>1小时平均</w:t>
            </w:r>
            <w:r>
              <w:rPr>
                <w:rFonts w:hint="eastAsia"/>
                <w:b/>
                <w:bCs/>
                <w:color w:val="auto"/>
                <w:u w:val="single"/>
                <w:lang w:eastAsia="zh-CN"/>
              </w:rPr>
              <w:t>：</w:t>
            </w:r>
            <w:r>
              <w:rPr>
                <w:rFonts w:hint="eastAsia"/>
                <w:b/>
                <w:bCs/>
                <w:color w:val="auto"/>
                <w:u w:val="single"/>
                <w:lang w:val="en-US" w:eastAsia="zh-CN"/>
              </w:rPr>
              <w:t>40</w:t>
            </w:r>
            <w:r>
              <w:rPr>
                <w:b/>
                <w:bCs/>
                <w:color w:val="auto"/>
                <w:u w:val="single"/>
              </w:rPr>
              <w:t>μg/m</w:t>
            </w:r>
            <w:r>
              <w:rPr>
                <w:b/>
                <w:bCs/>
                <w:color w:val="auto"/>
                <w:u w:val="single"/>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pPr>
              <w:pStyle w:val="182"/>
              <w:bidi w:val="0"/>
              <w:rPr>
                <w:color w:val="auto"/>
              </w:rPr>
            </w:pPr>
            <w:r>
              <w:rPr>
                <w:color w:val="auto"/>
              </w:rPr>
              <w:t>地下水</w:t>
            </w:r>
          </w:p>
        </w:tc>
        <w:tc>
          <w:tcPr>
            <w:tcW w:w="1678" w:type="pct"/>
            <w:vMerge w:val="restart"/>
            <w:shd w:val="clear" w:color="auto" w:fill="auto"/>
            <w:vAlign w:val="center"/>
          </w:tcPr>
          <w:p>
            <w:pPr>
              <w:pStyle w:val="182"/>
              <w:bidi w:val="0"/>
              <w:rPr>
                <w:color w:val="auto"/>
              </w:rPr>
            </w:pPr>
            <w:r>
              <w:rPr>
                <w:color w:val="auto"/>
              </w:rPr>
              <w:t>《地下水质量标准》（GB/T14848-2017）Ⅲ类</w:t>
            </w:r>
          </w:p>
        </w:tc>
        <w:tc>
          <w:tcPr>
            <w:tcW w:w="988" w:type="pct"/>
            <w:shd w:val="clear" w:color="auto" w:fill="auto"/>
            <w:vAlign w:val="center"/>
          </w:tcPr>
          <w:p>
            <w:pPr>
              <w:pStyle w:val="182"/>
              <w:bidi w:val="0"/>
              <w:rPr>
                <w:color w:val="auto"/>
              </w:rPr>
            </w:pPr>
            <w:r>
              <w:rPr>
                <w:color w:val="auto"/>
              </w:rPr>
              <w:t>pH</w:t>
            </w:r>
          </w:p>
        </w:tc>
        <w:tc>
          <w:tcPr>
            <w:tcW w:w="1623" w:type="pct"/>
            <w:gridSpan w:val="2"/>
            <w:shd w:val="clear" w:color="auto" w:fill="auto"/>
            <w:vAlign w:val="center"/>
          </w:tcPr>
          <w:p>
            <w:pPr>
              <w:pStyle w:val="182"/>
              <w:bidi w:val="0"/>
              <w:rPr>
                <w:color w:val="auto"/>
              </w:rPr>
            </w:pPr>
            <w:r>
              <w:rPr>
                <w:color w:val="auto"/>
              </w:rPr>
              <w:t>6.5-8.5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总硬度</w:t>
            </w:r>
          </w:p>
        </w:tc>
        <w:tc>
          <w:tcPr>
            <w:tcW w:w="1623" w:type="pct"/>
            <w:gridSpan w:val="2"/>
            <w:shd w:val="clear" w:color="auto" w:fill="auto"/>
            <w:vAlign w:val="center"/>
          </w:tcPr>
          <w:p>
            <w:pPr>
              <w:pStyle w:val="182"/>
              <w:bidi w:val="0"/>
              <w:rPr>
                <w:color w:val="auto"/>
              </w:rPr>
            </w:pPr>
            <w:r>
              <w:rPr>
                <w:color w:val="auto"/>
              </w:rPr>
              <w:t>450mg/L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溶解性总固体</w:t>
            </w:r>
          </w:p>
        </w:tc>
        <w:tc>
          <w:tcPr>
            <w:tcW w:w="1623" w:type="pct"/>
            <w:gridSpan w:val="2"/>
            <w:shd w:val="clear" w:color="auto" w:fill="auto"/>
            <w:vAlign w:val="center"/>
          </w:tcPr>
          <w:p>
            <w:pPr>
              <w:pStyle w:val="182"/>
              <w:bidi w:val="0"/>
              <w:rPr>
                <w:color w:val="auto"/>
              </w:rPr>
            </w:pPr>
            <w:r>
              <w:rPr>
                <w:color w:val="auto"/>
              </w:rPr>
              <w:t>1000mg/L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耗氧量（COD</w:t>
            </w:r>
            <w:r>
              <w:rPr>
                <w:color w:val="auto"/>
                <w:vertAlign w:val="subscript"/>
              </w:rPr>
              <w:t>Mn</w:t>
            </w:r>
            <w:r>
              <w:rPr>
                <w:color w:val="auto"/>
              </w:rPr>
              <w:t>法，以O</w:t>
            </w:r>
            <w:r>
              <w:rPr>
                <w:color w:val="auto"/>
                <w:vertAlign w:val="subscript"/>
              </w:rPr>
              <w:t>2</w:t>
            </w:r>
            <w:r>
              <w:rPr>
                <w:color w:val="auto"/>
              </w:rPr>
              <w:t>计）</w:t>
            </w:r>
          </w:p>
        </w:tc>
        <w:tc>
          <w:tcPr>
            <w:tcW w:w="1623" w:type="pct"/>
            <w:gridSpan w:val="2"/>
            <w:shd w:val="clear" w:color="auto" w:fill="auto"/>
            <w:vAlign w:val="center"/>
          </w:tcPr>
          <w:p>
            <w:pPr>
              <w:pStyle w:val="182"/>
              <w:bidi w:val="0"/>
              <w:rPr>
                <w:color w:val="auto"/>
              </w:rPr>
            </w:pPr>
            <w:r>
              <w:rPr>
                <w:color w:val="auto"/>
              </w:rPr>
              <w:t>3.0mg/L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氨氮</w:t>
            </w:r>
          </w:p>
        </w:tc>
        <w:tc>
          <w:tcPr>
            <w:tcW w:w="1623" w:type="pct"/>
            <w:gridSpan w:val="2"/>
            <w:shd w:val="clear" w:color="auto" w:fill="auto"/>
            <w:vAlign w:val="center"/>
          </w:tcPr>
          <w:p>
            <w:pPr>
              <w:pStyle w:val="182"/>
              <w:bidi w:val="0"/>
              <w:rPr>
                <w:color w:val="auto"/>
              </w:rPr>
            </w:pPr>
            <w:r>
              <w:rPr>
                <w:color w:val="auto"/>
              </w:rPr>
              <w:t>0.5mg/L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氯化物</w:t>
            </w:r>
          </w:p>
        </w:tc>
        <w:tc>
          <w:tcPr>
            <w:tcW w:w="1623" w:type="pct"/>
            <w:gridSpan w:val="2"/>
            <w:shd w:val="clear" w:color="auto" w:fill="auto"/>
            <w:vAlign w:val="center"/>
          </w:tcPr>
          <w:p>
            <w:pPr>
              <w:pStyle w:val="182"/>
              <w:bidi w:val="0"/>
              <w:rPr>
                <w:color w:val="auto"/>
              </w:rPr>
            </w:pPr>
            <w:r>
              <w:rPr>
                <w:color w:val="auto"/>
              </w:rPr>
              <w:t>250mg/L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硫酸盐</w:t>
            </w:r>
          </w:p>
        </w:tc>
        <w:tc>
          <w:tcPr>
            <w:tcW w:w="1623" w:type="pct"/>
            <w:gridSpan w:val="2"/>
            <w:shd w:val="clear" w:color="auto" w:fill="auto"/>
            <w:vAlign w:val="center"/>
          </w:tcPr>
          <w:p>
            <w:pPr>
              <w:pStyle w:val="182"/>
              <w:bidi w:val="0"/>
              <w:rPr>
                <w:color w:val="auto"/>
              </w:rPr>
            </w:pPr>
            <w:r>
              <w:rPr>
                <w:color w:val="auto"/>
              </w:rPr>
              <w:t>250mg/L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ind w:firstLine="0" w:firstLineChars="0"/>
              <w:rPr>
                <w:color w:val="auto"/>
              </w:rPr>
            </w:pPr>
            <w:r>
              <w:rPr>
                <w:rFonts w:hint="eastAsia"/>
                <w:b/>
                <w:bCs/>
                <w:color w:val="auto"/>
                <w:kern w:val="2"/>
                <w:szCs w:val="24"/>
                <w:u w:val="single"/>
                <w:lang w:bidi="ar"/>
              </w:rPr>
              <w:t>硫化物</w:t>
            </w:r>
          </w:p>
        </w:tc>
        <w:tc>
          <w:tcPr>
            <w:tcW w:w="1623" w:type="pct"/>
            <w:gridSpan w:val="2"/>
            <w:shd w:val="clear" w:color="auto" w:fill="auto"/>
            <w:vAlign w:val="center"/>
          </w:tcPr>
          <w:p>
            <w:pPr>
              <w:pStyle w:val="182"/>
              <w:ind w:firstLine="0" w:firstLineChars="0"/>
              <w:rPr>
                <w:b/>
                <w:bCs/>
                <w:color w:val="auto"/>
                <w:u w:val="single"/>
              </w:rPr>
            </w:pPr>
            <w:r>
              <w:rPr>
                <w:rFonts w:hint="eastAsia"/>
                <w:b/>
                <w:bCs/>
                <w:color w:val="auto"/>
                <w:szCs w:val="24"/>
                <w:u w:val="single"/>
                <w:lang w:val="en-US" w:eastAsia="zh-CN"/>
              </w:rPr>
              <w:t>0.02</w:t>
            </w:r>
            <w:r>
              <w:rPr>
                <w:b/>
                <w:bCs/>
                <w:color w:val="auto"/>
                <w:u w:val="single"/>
              </w:rPr>
              <w:t>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ind w:firstLine="0" w:firstLineChars="0"/>
              <w:rPr>
                <w:color w:val="auto"/>
              </w:rPr>
            </w:pPr>
            <w:r>
              <w:rPr>
                <w:rFonts w:hint="eastAsia"/>
                <w:b/>
                <w:bCs/>
                <w:color w:val="auto"/>
                <w:kern w:val="2"/>
                <w:szCs w:val="24"/>
                <w:u w:val="single"/>
                <w:lang w:bidi="ar"/>
              </w:rPr>
              <w:t>硝酸盐</w:t>
            </w:r>
          </w:p>
        </w:tc>
        <w:tc>
          <w:tcPr>
            <w:tcW w:w="1623" w:type="pct"/>
            <w:gridSpan w:val="2"/>
            <w:shd w:val="clear" w:color="auto" w:fill="auto"/>
            <w:vAlign w:val="center"/>
          </w:tcPr>
          <w:p>
            <w:pPr>
              <w:pStyle w:val="182"/>
              <w:ind w:firstLine="0" w:firstLineChars="0"/>
              <w:rPr>
                <w:b/>
                <w:bCs/>
                <w:color w:val="auto"/>
                <w:u w:val="single"/>
              </w:rPr>
            </w:pPr>
            <w:r>
              <w:rPr>
                <w:rFonts w:hint="eastAsia"/>
                <w:b/>
                <w:bCs/>
                <w:color w:val="auto"/>
                <w:szCs w:val="24"/>
                <w:u w:val="single"/>
                <w:lang w:val="en-US" w:eastAsia="zh-CN"/>
              </w:rPr>
              <w:t>20.0</w:t>
            </w:r>
            <w:r>
              <w:rPr>
                <w:b/>
                <w:bCs/>
                <w:color w:val="auto"/>
                <w:u w:val="single"/>
              </w:rPr>
              <w:t>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ind w:firstLine="0" w:firstLineChars="0"/>
              <w:rPr>
                <w:color w:val="auto"/>
              </w:rPr>
            </w:pPr>
            <w:r>
              <w:rPr>
                <w:rFonts w:hint="eastAsia"/>
                <w:b/>
                <w:bCs/>
                <w:color w:val="auto"/>
                <w:kern w:val="2"/>
                <w:szCs w:val="24"/>
                <w:u w:val="single"/>
                <w:lang w:bidi="ar"/>
              </w:rPr>
              <w:t>亚硝酸盐</w:t>
            </w:r>
          </w:p>
        </w:tc>
        <w:tc>
          <w:tcPr>
            <w:tcW w:w="1623" w:type="pct"/>
            <w:gridSpan w:val="2"/>
            <w:shd w:val="clear" w:color="auto" w:fill="auto"/>
            <w:vAlign w:val="center"/>
          </w:tcPr>
          <w:p>
            <w:pPr>
              <w:pStyle w:val="182"/>
              <w:ind w:firstLine="0" w:firstLineChars="0"/>
              <w:rPr>
                <w:b/>
                <w:bCs/>
                <w:color w:val="auto"/>
                <w:u w:val="single"/>
              </w:rPr>
            </w:pPr>
            <w:r>
              <w:rPr>
                <w:rFonts w:hint="eastAsia"/>
                <w:b/>
                <w:bCs/>
                <w:color w:val="auto"/>
                <w:szCs w:val="24"/>
                <w:u w:val="single"/>
                <w:lang w:val="en-US" w:eastAsia="zh-CN"/>
              </w:rPr>
              <w:t>1.0</w:t>
            </w:r>
            <w:r>
              <w:rPr>
                <w:b/>
                <w:bCs/>
                <w:color w:val="auto"/>
                <w:u w:val="single"/>
              </w:rPr>
              <w:t>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pPr>
              <w:pStyle w:val="182"/>
              <w:bidi w:val="0"/>
              <w:rPr>
                <w:color w:val="auto"/>
              </w:rPr>
            </w:pPr>
            <w:r>
              <w:rPr>
                <w:color w:val="auto"/>
              </w:rPr>
              <w:t>声环境</w:t>
            </w:r>
          </w:p>
        </w:tc>
        <w:tc>
          <w:tcPr>
            <w:tcW w:w="1678" w:type="pct"/>
            <w:vMerge w:val="restart"/>
            <w:shd w:val="clear" w:color="auto" w:fill="auto"/>
            <w:vAlign w:val="center"/>
          </w:tcPr>
          <w:p>
            <w:pPr>
              <w:pStyle w:val="182"/>
              <w:bidi w:val="0"/>
              <w:rPr>
                <w:color w:val="auto"/>
              </w:rPr>
            </w:pPr>
            <w:r>
              <w:rPr>
                <w:color w:val="auto"/>
              </w:rPr>
              <w:t>《声环境质量标准》（GB3096-2008）3类</w:t>
            </w:r>
          </w:p>
        </w:tc>
        <w:tc>
          <w:tcPr>
            <w:tcW w:w="988" w:type="pct"/>
            <w:vMerge w:val="restart"/>
            <w:shd w:val="clear" w:color="auto" w:fill="auto"/>
            <w:vAlign w:val="center"/>
          </w:tcPr>
          <w:p>
            <w:pPr>
              <w:pStyle w:val="182"/>
              <w:bidi w:val="0"/>
              <w:rPr>
                <w:color w:val="auto"/>
              </w:rPr>
            </w:pPr>
            <w:r>
              <w:rPr>
                <w:color w:val="auto"/>
              </w:rPr>
              <w:t>Leq(A)</w:t>
            </w:r>
          </w:p>
        </w:tc>
        <w:tc>
          <w:tcPr>
            <w:tcW w:w="925" w:type="pct"/>
            <w:shd w:val="clear" w:color="auto" w:fill="auto"/>
            <w:vAlign w:val="center"/>
          </w:tcPr>
          <w:p>
            <w:pPr>
              <w:pStyle w:val="182"/>
              <w:bidi w:val="0"/>
              <w:rPr>
                <w:color w:val="auto"/>
              </w:rPr>
            </w:pPr>
            <w:r>
              <w:rPr>
                <w:color w:val="auto"/>
              </w:rPr>
              <w:t>昼间</w:t>
            </w:r>
          </w:p>
        </w:tc>
        <w:tc>
          <w:tcPr>
            <w:tcW w:w="698" w:type="pct"/>
            <w:shd w:val="clear" w:color="auto" w:fill="auto"/>
            <w:vAlign w:val="center"/>
          </w:tcPr>
          <w:p>
            <w:pPr>
              <w:pStyle w:val="182"/>
              <w:bidi w:val="0"/>
              <w:rPr>
                <w:color w:val="auto"/>
              </w:rPr>
            </w:pPr>
            <w:r>
              <w:rPr>
                <w:color w:val="auto"/>
              </w:rPr>
              <w:t>65dB(A)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vMerge w:val="continue"/>
            <w:shd w:val="clear" w:color="auto" w:fill="auto"/>
            <w:vAlign w:val="center"/>
          </w:tcPr>
          <w:p>
            <w:pPr>
              <w:pStyle w:val="182"/>
              <w:bidi w:val="0"/>
              <w:rPr>
                <w:color w:val="auto"/>
              </w:rPr>
            </w:pPr>
          </w:p>
        </w:tc>
        <w:tc>
          <w:tcPr>
            <w:tcW w:w="925" w:type="pct"/>
            <w:shd w:val="clear" w:color="auto" w:fill="auto"/>
            <w:vAlign w:val="center"/>
          </w:tcPr>
          <w:p>
            <w:pPr>
              <w:pStyle w:val="182"/>
              <w:bidi w:val="0"/>
              <w:rPr>
                <w:color w:val="auto"/>
              </w:rPr>
            </w:pPr>
            <w:r>
              <w:rPr>
                <w:color w:val="auto"/>
              </w:rPr>
              <w:t>夜间</w:t>
            </w:r>
          </w:p>
        </w:tc>
        <w:tc>
          <w:tcPr>
            <w:tcW w:w="698" w:type="pct"/>
            <w:shd w:val="clear" w:color="auto" w:fill="auto"/>
            <w:vAlign w:val="center"/>
          </w:tcPr>
          <w:p>
            <w:pPr>
              <w:pStyle w:val="182"/>
              <w:bidi w:val="0"/>
              <w:rPr>
                <w:color w:val="auto"/>
              </w:rPr>
            </w:pPr>
            <w:r>
              <w:rPr>
                <w:color w:val="auto"/>
              </w:rPr>
              <w:t>55dB(A)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pPr>
              <w:pStyle w:val="182"/>
              <w:bidi w:val="0"/>
              <w:rPr>
                <w:color w:val="auto"/>
              </w:rPr>
            </w:pPr>
            <w:r>
              <w:rPr>
                <w:color w:val="auto"/>
              </w:rPr>
              <w:t>土壤环境</w:t>
            </w:r>
          </w:p>
        </w:tc>
        <w:tc>
          <w:tcPr>
            <w:tcW w:w="1678" w:type="pct"/>
            <w:vMerge w:val="restart"/>
            <w:shd w:val="clear" w:color="auto" w:fill="auto"/>
            <w:vAlign w:val="center"/>
          </w:tcPr>
          <w:p>
            <w:pPr>
              <w:pStyle w:val="182"/>
              <w:bidi w:val="0"/>
              <w:rPr>
                <w:color w:val="auto"/>
              </w:rPr>
            </w:pPr>
            <w:r>
              <w:rPr>
                <w:color w:val="auto"/>
              </w:rPr>
              <w:t>《土壤环境质量 建设用地土壤污染风险管控标准（试行）》（GB36600-2018）表1基本项目第二类用地筛选值</w:t>
            </w:r>
          </w:p>
        </w:tc>
        <w:tc>
          <w:tcPr>
            <w:tcW w:w="988" w:type="pct"/>
            <w:shd w:val="clear" w:color="auto" w:fill="auto"/>
            <w:vAlign w:val="center"/>
          </w:tcPr>
          <w:p>
            <w:pPr>
              <w:pStyle w:val="182"/>
              <w:bidi w:val="0"/>
              <w:rPr>
                <w:color w:val="auto"/>
              </w:rPr>
            </w:pPr>
            <w:r>
              <w:rPr>
                <w:color w:val="auto"/>
              </w:rPr>
              <w:t>砷</w:t>
            </w:r>
          </w:p>
        </w:tc>
        <w:tc>
          <w:tcPr>
            <w:tcW w:w="1623" w:type="pct"/>
            <w:gridSpan w:val="2"/>
            <w:shd w:val="clear" w:color="auto" w:fill="auto"/>
            <w:vAlign w:val="center"/>
          </w:tcPr>
          <w:p>
            <w:pPr>
              <w:pStyle w:val="182"/>
              <w:bidi w:val="0"/>
              <w:rPr>
                <w:color w:val="auto"/>
              </w:rPr>
            </w:pPr>
            <w:r>
              <w:rPr>
                <w:color w:val="auto"/>
              </w:rPr>
              <w:t>60mg/kg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镉</w:t>
            </w:r>
          </w:p>
        </w:tc>
        <w:tc>
          <w:tcPr>
            <w:tcW w:w="1623" w:type="pct"/>
            <w:gridSpan w:val="2"/>
            <w:shd w:val="clear" w:color="auto" w:fill="auto"/>
            <w:vAlign w:val="center"/>
          </w:tcPr>
          <w:p>
            <w:pPr>
              <w:pStyle w:val="182"/>
              <w:bidi w:val="0"/>
              <w:rPr>
                <w:color w:val="auto"/>
              </w:rPr>
            </w:pPr>
            <w:r>
              <w:rPr>
                <w:color w:val="auto"/>
              </w:rPr>
              <w:t>65mg/kg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铬（六价）</w:t>
            </w:r>
          </w:p>
        </w:tc>
        <w:tc>
          <w:tcPr>
            <w:tcW w:w="1623" w:type="pct"/>
            <w:gridSpan w:val="2"/>
            <w:shd w:val="clear" w:color="auto" w:fill="auto"/>
            <w:vAlign w:val="center"/>
          </w:tcPr>
          <w:p>
            <w:pPr>
              <w:pStyle w:val="182"/>
              <w:bidi w:val="0"/>
              <w:rPr>
                <w:color w:val="auto"/>
              </w:rPr>
            </w:pPr>
            <w:r>
              <w:rPr>
                <w:color w:val="auto"/>
              </w:rPr>
              <w:t>5.7mg/kg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铜</w:t>
            </w:r>
          </w:p>
        </w:tc>
        <w:tc>
          <w:tcPr>
            <w:tcW w:w="1623" w:type="pct"/>
            <w:gridSpan w:val="2"/>
            <w:shd w:val="clear" w:color="auto" w:fill="auto"/>
            <w:vAlign w:val="center"/>
          </w:tcPr>
          <w:p>
            <w:pPr>
              <w:pStyle w:val="182"/>
              <w:bidi w:val="0"/>
              <w:rPr>
                <w:color w:val="auto"/>
              </w:rPr>
            </w:pPr>
            <w:r>
              <w:rPr>
                <w:color w:val="auto"/>
              </w:rPr>
              <w:t>18000mg/kg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铅</w:t>
            </w:r>
          </w:p>
        </w:tc>
        <w:tc>
          <w:tcPr>
            <w:tcW w:w="1623" w:type="pct"/>
            <w:gridSpan w:val="2"/>
            <w:shd w:val="clear" w:color="auto" w:fill="auto"/>
            <w:vAlign w:val="center"/>
          </w:tcPr>
          <w:p>
            <w:pPr>
              <w:pStyle w:val="182"/>
              <w:bidi w:val="0"/>
              <w:rPr>
                <w:color w:val="auto"/>
              </w:rPr>
            </w:pPr>
            <w:r>
              <w:rPr>
                <w:color w:val="auto"/>
              </w:rPr>
              <w:t>800mg/kg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汞</w:t>
            </w:r>
          </w:p>
        </w:tc>
        <w:tc>
          <w:tcPr>
            <w:tcW w:w="1623" w:type="pct"/>
            <w:gridSpan w:val="2"/>
            <w:shd w:val="clear" w:color="auto" w:fill="auto"/>
            <w:vAlign w:val="center"/>
          </w:tcPr>
          <w:p>
            <w:pPr>
              <w:pStyle w:val="182"/>
              <w:bidi w:val="0"/>
              <w:rPr>
                <w:color w:val="auto"/>
              </w:rPr>
            </w:pPr>
            <w:r>
              <w:rPr>
                <w:color w:val="auto"/>
              </w:rPr>
              <w:t>38mg/kg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镍</w:t>
            </w:r>
          </w:p>
        </w:tc>
        <w:tc>
          <w:tcPr>
            <w:tcW w:w="1623" w:type="pct"/>
            <w:gridSpan w:val="2"/>
            <w:shd w:val="clear" w:color="auto" w:fill="auto"/>
            <w:vAlign w:val="center"/>
          </w:tcPr>
          <w:p>
            <w:pPr>
              <w:pStyle w:val="182"/>
              <w:bidi w:val="0"/>
              <w:rPr>
                <w:color w:val="auto"/>
              </w:rPr>
            </w:pPr>
            <w:r>
              <w:rPr>
                <w:color w:val="auto"/>
              </w:rPr>
              <w:t>900mg/kg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四氯化碳</w:t>
            </w:r>
          </w:p>
        </w:tc>
        <w:tc>
          <w:tcPr>
            <w:tcW w:w="1623" w:type="pct"/>
            <w:gridSpan w:val="2"/>
            <w:shd w:val="clear" w:color="auto" w:fill="auto"/>
            <w:vAlign w:val="center"/>
          </w:tcPr>
          <w:p>
            <w:pPr>
              <w:pStyle w:val="182"/>
              <w:bidi w:val="0"/>
              <w:rPr>
                <w:color w:val="auto"/>
              </w:rPr>
            </w:pPr>
            <w:r>
              <w:rPr>
                <w:color w:val="auto"/>
              </w:rPr>
              <w:t>2.8mg/kg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氯仿</w:t>
            </w:r>
          </w:p>
        </w:tc>
        <w:tc>
          <w:tcPr>
            <w:tcW w:w="1623" w:type="pct"/>
            <w:gridSpan w:val="2"/>
            <w:shd w:val="clear" w:color="auto" w:fill="auto"/>
            <w:vAlign w:val="center"/>
          </w:tcPr>
          <w:p>
            <w:pPr>
              <w:pStyle w:val="182"/>
              <w:bidi w:val="0"/>
              <w:rPr>
                <w:color w:val="auto"/>
              </w:rPr>
            </w:pPr>
            <w:r>
              <w:rPr>
                <w:color w:val="auto"/>
              </w:rPr>
              <w:t>0.9mg/kg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氯甲烷</w:t>
            </w:r>
          </w:p>
        </w:tc>
        <w:tc>
          <w:tcPr>
            <w:tcW w:w="1623" w:type="pct"/>
            <w:gridSpan w:val="2"/>
            <w:shd w:val="clear" w:color="auto" w:fill="auto"/>
            <w:vAlign w:val="center"/>
          </w:tcPr>
          <w:p>
            <w:pPr>
              <w:pStyle w:val="182"/>
              <w:bidi w:val="0"/>
              <w:rPr>
                <w:color w:val="auto"/>
              </w:rPr>
            </w:pPr>
            <w:r>
              <w:rPr>
                <w:color w:val="auto"/>
              </w:rPr>
              <w:t>37mg/kg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1,1</w:t>
            </w:r>
            <w:r>
              <w:rPr>
                <w:rFonts w:hint="eastAsia"/>
                <w:color w:val="auto"/>
                <w:lang w:eastAsia="zh-CN"/>
              </w:rPr>
              <w:t>－</w:t>
            </w:r>
            <w:r>
              <w:rPr>
                <w:color w:val="auto"/>
              </w:rPr>
              <w:t>二氯乙烷</w:t>
            </w:r>
          </w:p>
        </w:tc>
        <w:tc>
          <w:tcPr>
            <w:tcW w:w="1623" w:type="pct"/>
            <w:gridSpan w:val="2"/>
            <w:shd w:val="clear" w:color="auto" w:fill="auto"/>
            <w:vAlign w:val="center"/>
          </w:tcPr>
          <w:p>
            <w:pPr>
              <w:pStyle w:val="182"/>
              <w:bidi w:val="0"/>
              <w:rPr>
                <w:color w:val="auto"/>
              </w:rPr>
            </w:pPr>
            <w:r>
              <w:rPr>
                <w:color w:val="auto"/>
              </w:rPr>
              <w:t>9mg/kg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1,2</w:t>
            </w:r>
            <w:r>
              <w:rPr>
                <w:rFonts w:hint="eastAsia"/>
                <w:color w:val="auto"/>
                <w:lang w:eastAsia="zh-CN"/>
              </w:rPr>
              <w:t>－</w:t>
            </w:r>
            <w:r>
              <w:rPr>
                <w:color w:val="auto"/>
              </w:rPr>
              <w:t>二氯乙烷</w:t>
            </w:r>
          </w:p>
        </w:tc>
        <w:tc>
          <w:tcPr>
            <w:tcW w:w="1623" w:type="pct"/>
            <w:gridSpan w:val="2"/>
            <w:shd w:val="clear" w:color="auto" w:fill="auto"/>
            <w:vAlign w:val="center"/>
          </w:tcPr>
          <w:p>
            <w:pPr>
              <w:pStyle w:val="182"/>
              <w:bidi w:val="0"/>
              <w:rPr>
                <w:color w:val="auto"/>
              </w:rPr>
            </w:pPr>
            <w:r>
              <w:rPr>
                <w:color w:val="auto"/>
              </w:rPr>
              <w:t>5mg/kg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1,1</w:t>
            </w:r>
            <w:r>
              <w:rPr>
                <w:rFonts w:hint="eastAsia"/>
                <w:color w:val="auto"/>
                <w:lang w:eastAsia="zh-CN"/>
              </w:rPr>
              <w:t>－</w:t>
            </w:r>
            <w:r>
              <w:rPr>
                <w:color w:val="auto"/>
              </w:rPr>
              <w:t>二氯乙烯</w:t>
            </w:r>
          </w:p>
        </w:tc>
        <w:tc>
          <w:tcPr>
            <w:tcW w:w="1623" w:type="pct"/>
            <w:gridSpan w:val="2"/>
            <w:shd w:val="clear" w:color="auto" w:fill="auto"/>
            <w:vAlign w:val="center"/>
          </w:tcPr>
          <w:p>
            <w:pPr>
              <w:pStyle w:val="182"/>
              <w:bidi w:val="0"/>
              <w:rPr>
                <w:color w:val="auto"/>
              </w:rPr>
            </w:pPr>
            <w:r>
              <w:rPr>
                <w:color w:val="auto"/>
              </w:rPr>
              <w:t>66mg/kg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顺1,2</w:t>
            </w:r>
            <w:r>
              <w:rPr>
                <w:rFonts w:hint="eastAsia"/>
                <w:color w:val="auto"/>
                <w:lang w:eastAsia="zh-CN"/>
              </w:rPr>
              <w:t>－</w:t>
            </w:r>
            <w:r>
              <w:rPr>
                <w:color w:val="auto"/>
              </w:rPr>
              <w:t>二氯乙烯</w:t>
            </w:r>
          </w:p>
        </w:tc>
        <w:tc>
          <w:tcPr>
            <w:tcW w:w="1623" w:type="pct"/>
            <w:gridSpan w:val="2"/>
            <w:shd w:val="clear" w:color="auto" w:fill="auto"/>
            <w:vAlign w:val="center"/>
          </w:tcPr>
          <w:p>
            <w:pPr>
              <w:pStyle w:val="182"/>
              <w:bidi w:val="0"/>
              <w:rPr>
                <w:color w:val="auto"/>
              </w:rPr>
            </w:pPr>
            <w:r>
              <w:rPr>
                <w:color w:val="auto"/>
              </w:rPr>
              <w:t>596mg/kg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反1,2</w:t>
            </w:r>
            <w:r>
              <w:rPr>
                <w:rFonts w:hint="eastAsia"/>
                <w:color w:val="auto"/>
                <w:lang w:eastAsia="zh-CN"/>
              </w:rPr>
              <w:t>－</w:t>
            </w:r>
            <w:r>
              <w:rPr>
                <w:color w:val="auto"/>
              </w:rPr>
              <w:t>二氯乙烯</w:t>
            </w:r>
          </w:p>
        </w:tc>
        <w:tc>
          <w:tcPr>
            <w:tcW w:w="1623" w:type="pct"/>
            <w:gridSpan w:val="2"/>
            <w:shd w:val="clear" w:color="auto" w:fill="auto"/>
            <w:vAlign w:val="center"/>
          </w:tcPr>
          <w:p>
            <w:pPr>
              <w:pStyle w:val="182"/>
              <w:bidi w:val="0"/>
              <w:rPr>
                <w:color w:val="auto"/>
              </w:rPr>
            </w:pPr>
            <w:r>
              <w:rPr>
                <w:color w:val="auto"/>
              </w:rPr>
              <w:t>54mg/kg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二氯甲烷</w:t>
            </w:r>
          </w:p>
        </w:tc>
        <w:tc>
          <w:tcPr>
            <w:tcW w:w="1623" w:type="pct"/>
            <w:gridSpan w:val="2"/>
            <w:shd w:val="clear" w:color="auto" w:fill="auto"/>
            <w:vAlign w:val="center"/>
          </w:tcPr>
          <w:p>
            <w:pPr>
              <w:pStyle w:val="182"/>
              <w:bidi w:val="0"/>
              <w:rPr>
                <w:color w:val="auto"/>
              </w:rPr>
            </w:pPr>
            <w:r>
              <w:rPr>
                <w:color w:val="auto"/>
              </w:rPr>
              <w:t>616mg/kg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1,2</w:t>
            </w:r>
            <w:r>
              <w:rPr>
                <w:rFonts w:hint="eastAsia"/>
                <w:color w:val="auto"/>
                <w:lang w:eastAsia="zh-CN"/>
              </w:rPr>
              <w:t>－</w:t>
            </w:r>
            <w:r>
              <w:rPr>
                <w:color w:val="auto"/>
              </w:rPr>
              <w:t>二氯丙烷</w:t>
            </w:r>
          </w:p>
        </w:tc>
        <w:tc>
          <w:tcPr>
            <w:tcW w:w="1623" w:type="pct"/>
            <w:gridSpan w:val="2"/>
            <w:shd w:val="clear" w:color="auto" w:fill="auto"/>
            <w:vAlign w:val="center"/>
          </w:tcPr>
          <w:p>
            <w:pPr>
              <w:pStyle w:val="182"/>
              <w:bidi w:val="0"/>
              <w:rPr>
                <w:color w:val="auto"/>
              </w:rPr>
            </w:pPr>
            <w:r>
              <w:rPr>
                <w:color w:val="auto"/>
              </w:rPr>
              <w:t>5mg/kg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1,1,1,2</w:t>
            </w:r>
            <w:r>
              <w:rPr>
                <w:rFonts w:hint="eastAsia"/>
                <w:color w:val="auto"/>
                <w:lang w:eastAsia="zh-CN"/>
              </w:rPr>
              <w:t>－</w:t>
            </w:r>
            <w:r>
              <w:rPr>
                <w:color w:val="auto"/>
              </w:rPr>
              <w:t>四氯乙烷</w:t>
            </w:r>
          </w:p>
        </w:tc>
        <w:tc>
          <w:tcPr>
            <w:tcW w:w="1623" w:type="pct"/>
            <w:gridSpan w:val="2"/>
            <w:shd w:val="clear" w:color="auto" w:fill="auto"/>
            <w:vAlign w:val="center"/>
          </w:tcPr>
          <w:p>
            <w:pPr>
              <w:pStyle w:val="182"/>
              <w:bidi w:val="0"/>
              <w:rPr>
                <w:color w:val="auto"/>
              </w:rPr>
            </w:pPr>
            <w:r>
              <w:rPr>
                <w:color w:val="auto"/>
              </w:rPr>
              <w:t>10mg/kg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1,1,2,2</w:t>
            </w:r>
            <w:r>
              <w:rPr>
                <w:rFonts w:hint="eastAsia"/>
                <w:color w:val="auto"/>
                <w:lang w:eastAsia="zh-CN"/>
              </w:rPr>
              <w:t>－</w:t>
            </w:r>
            <w:r>
              <w:rPr>
                <w:color w:val="auto"/>
              </w:rPr>
              <w:t>四氯乙烷</w:t>
            </w:r>
          </w:p>
        </w:tc>
        <w:tc>
          <w:tcPr>
            <w:tcW w:w="1623" w:type="pct"/>
            <w:gridSpan w:val="2"/>
            <w:shd w:val="clear" w:color="auto" w:fill="auto"/>
            <w:vAlign w:val="center"/>
          </w:tcPr>
          <w:p>
            <w:pPr>
              <w:pStyle w:val="182"/>
              <w:bidi w:val="0"/>
              <w:rPr>
                <w:color w:val="auto"/>
              </w:rPr>
            </w:pPr>
            <w:r>
              <w:rPr>
                <w:color w:val="auto"/>
              </w:rPr>
              <w:t>6.8mg/kg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四氯乙烯</w:t>
            </w:r>
          </w:p>
        </w:tc>
        <w:tc>
          <w:tcPr>
            <w:tcW w:w="1623" w:type="pct"/>
            <w:gridSpan w:val="2"/>
            <w:shd w:val="clear" w:color="auto" w:fill="auto"/>
            <w:vAlign w:val="center"/>
          </w:tcPr>
          <w:p>
            <w:pPr>
              <w:pStyle w:val="182"/>
              <w:bidi w:val="0"/>
              <w:rPr>
                <w:color w:val="auto"/>
              </w:rPr>
            </w:pPr>
            <w:r>
              <w:rPr>
                <w:color w:val="auto"/>
              </w:rPr>
              <w:t>53mg/kg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1,1,1</w:t>
            </w:r>
            <w:r>
              <w:rPr>
                <w:rFonts w:hint="eastAsia"/>
                <w:color w:val="auto"/>
                <w:lang w:eastAsia="zh-CN"/>
              </w:rPr>
              <w:t>－</w:t>
            </w:r>
            <w:r>
              <w:rPr>
                <w:color w:val="auto"/>
              </w:rPr>
              <w:t>三氯乙烷</w:t>
            </w:r>
          </w:p>
        </w:tc>
        <w:tc>
          <w:tcPr>
            <w:tcW w:w="1623" w:type="pct"/>
            <w:gridSpan w:val="2"/>
            <w:shd w:val="clear" w:color="auto" w:fill="auto"/>
            <w:vAlign w:val="center"/>
          </w:tcPr>
          <w:p>
            <w:pPr>
              <w:pStyle w:val="182"/>
              <w:bidi w:val="0"/>
              <w:rPr>
                <w:color w:val="auto"/>
              </w:rPr>
            </w:pPr>
            <w:r>
              <w:rPr>
                <w:color w:val="auto"/>
              </w:rPr>
              <w:t>840mg/kg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1,1,2</w:t>
            </w:r>
            <w:r>
              <w:rPr>
                <w:rFonts w:hint="eastAsia"/>
                <w:color w:val="auto"/>
                <w:lang w:eastAsia="zh-CN"/>
              </w:rPr>
              <w:t>－</w:t>
            </w:r>
            <w:r>
              <w:rPr>
                <w:color w:val="auto"/>
              </w:rPr>
              <w:t>三氯乙烷</w:t>
            </w:r>
          </w:p>
        </w:tc>
        <w:tc>
          <w:tcPr>
            <w:tcW w:w="1623" w:type="pct"/>
            <w:gridSpan w:val="2"/>
            <w:shd w:val="clear" w:color="auto" w:fill="auto"/>
            <w:vAlign w:val="center"/>
          </w:tcPr>
          <w:p>
            <w:pPr>
              <w:pStyle w:val="182"/>
              <w:bidi w:val="0"/>
              <w:rPr>
                <w:color w:val="auto"/>
              </w:rPr>
            </w:pPr>
            <w:r>
              <w:rPr>
                <w:color w:val="auto"/>
              </w:rPr>
              <w:t>2.8mg/kg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pPr>
              <w:pStyle w:val="182"/>
              <w:bidi w:val="0"/>
              <w:rPr>
                <w:color w:val="auto"/>
              </w:rPr>
            </w:pPr>
          </w:p>
        </w:tc>
        <w:tc>
          <w:tcPr>
            <w:tcW w:w="1678" w:type="pct"/>
            <w:vMerge w:val="continue"/>
            <w:shd w:val="clear" w:color="auto" w:fill="auto"/>
            <w:vAlign w:val="center"/>
          </w:tcPr>
          <w:p>
            <w:pPr>
              <w:pStyle w:val="182"/>
              <w:bidi w:val="0"/>
              <w:rPr>
                <w:color w:val="auto"/>
              </w:rPr>
            </w:pPr>
          </w:p>
        </w:tc>
        <w:tc>
          <w:tcPr>
            <w:tcW w:w="988" w:type="pct"/>
            <w:shd w:val="clear" w:color="auto" w:fill="auto"/>
            <w:vAlign w:val="center"/>
          </w:tcPr>
          <w:p>
            <w:pPr>
              <w:pStyle w:val="182"/>
              <w:bidi w:val="0"/>
              <w:rPr>
                <w:color w:val="auto"/>
              </w:rPr>
            </w:pPr>
            <w:r>
              <w:rPr>
                <w:color w:val="auto"/>
              </w:rPr>
              <w:t>三氯乙烯</w:t>
            </w:r>
          </w:p>
        </w:tc>
        <w:tc>
          <w:tcPr>
            <w:tcW w:w="1623" w:type="pct"/>
            <w:gridSpan w:val="2"/>
            <w:shd w:val="clear" w:color="auto" w:fill="auto"/>
            <w:vAlign w:val="center"/>
          </w:tcPr>
          <w:p>
            <w:pPr>
              <w:pStyle w:val="182"/>
              <w:bidi w:val="0"/>
              <w:rPr>
                <w:color w:val="auto"/>
              </w:rPr>
            </w:pPr>
            <w:r>
              <w:rPr>
                <w:color w:val="auto"/>
              </w:rPr>
              <w:t>2.8mg/kg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1,2,3</w:t>
            </w:r>
            <w:r>
              <w:rPr>
                <w:rFonts w:hint="eastAsia"/>
                <w:color w:val="auto"/>
                <w:lang w:eastAsia="zh-CN"/>
              </w:rPr>
              <w:t>－</w:t>
            </w:r>
            <w:r>
              <w:rPr>
                <w:color w:val="auto"/>
              </w:rPr>
              <w:t>三氯丙烷</w:t>
            </w:r>
          </w:p>
        </w:tc>
        <w:tc>
          <w:tcPr>
            <w:tcW w:w="1623" w:type="pct"/>
            <w:gridSpan w:val="2"/>
            <w:vAlign w:val="center"/>
          </w:tcPr>
          <w:p>
            <w:pPr>
              <w:pStyle w:val="182"/>
              <w:bidi w:val="0"/>
              <w:rPr>
                <w:color w:val="auto"/>
              </w:rPr>
            </w:pPr>
            <w:r>
              <w:rPr>
                <w:color w:val="auto"/>
              </w:rPr>
              <w:t>0.5mg/kg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氯乙烯</w:t>
            </w:r>
          </w:p>
        </w:tc>
        <w:tc>
          <w:tcPr>
            <w:tcW w:w="1623" w:type="pct"/>
            <w:gridSpan w:val="2"/>
            <w:vAlign w:val="center"/>
          </w:tcPr>
          <w:p>
            <w:pPr>
              <w:pStyle w:val="182"/>
              <w:bidi w:val="0"/>
              <w:rPr>
                <w:color w:val="auto"/>
              </w:rPr>
            </w:pPr>
            <w:r>
              <w:rPr>
                <w:color w:val="auto"/>
              </w:rPr>
              <w:t>0.43mg/kg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苯</w:t>
            </w:r>
          </w:p>
        </w:tc>
        <w:tc>
          <w:tcPr>
            <w:tcW w:w="1623" w:type="pct"/>
            <w:gridSpan w:val="2"/>
            <w:vAlign w:val="center"/>
          </w:tcPr>
          <w:p>
            <w:pPr>
              <w:pStyle w:val="182"/>
              <w:bidi w:val="0"/>
              <w:rPr>
                <w:color w:val="auto"/>
              </w:rPr>
            </w:pPr>
            <w:r>
              <w:rPr>
                <w:color w:val="auto"/>
              </w:rPr>
              <w:t>4mg/kg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氯苯</w:t>
            </w:r>
          </w:p>
        </w:tc>
        <w:tc>
          <w:tcPr>
            <w:tcW w:w="1623" w:type="pct"/>
            <w:gridSpan w:val="2"/>
            <w:vAlign w:val="center"/>
          </w:tcPr>
          <w:p>
            <w:pPr>
              <w:pStyle w:val="182"/>
              <w:bidi w:val="0"/>
              <w:rPr>
                <w:color w:val="auto"/>
              </w:rPr>
            </w:pPr>
            <w:r>
              <w:rPr>
                <w:color w:val="auto"/>
              </w:rPr>
              <w:t>270mg/kg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1,2</w:t>
            </w:r>
            <w:r>
              <w:rPr>
                <w:rFonts w:hint="eastAsia"/>
                <w:color w:val="auto"/>
                <w:lang w:eastAsia="zh-CN"/>
              </w:rPr>
              <w:t>－</w:t>
            </w:r>
            <w:r>
              <w:rPr>
                <w:color w:val="auto"/>
              </w:rPr>
              <w:t>二氯苯</w:t>
            </w:r>
          </w:p>
        </w:tc>
        <w:tc>
          <w:tcPr>
            <w:tcW w:w="1623" w:type="pct"/>
            <w:gridSpan w:val="2"/>
            <w:vAlign w:val="center"/>
          </w:tcPr>
          <w:p>
            <w:pPr>
              <w:pStyle w:val="182"/>
              <w:bidi w:val="0"/>
              <w:rPr>
                <w:color w:val="auto"/>
              </w:rPr>
            </w:pPr>
            <w:r>
              <w:rPr>
                <w:color w:val="auto"/>
              </w:rPr>
              <w:t>560mg/kg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1,4</w:t>
            </w:r>
            <w:r>
              <w:rPr>
                <w:rFonts w:hint="eastAsia"/>
                <w:color w:val="auto"/>
                <w:lang w:eastAsia="zh-CN"/>
              </w:rPr>
              <w:t>－</w:t>
            </w:r>
            <w:r>
              <w:rPr>
                <w:color w:val="auto"/>
              </w:rPr>
              <w:t>二氯苯</w:t>
            </w:r>
          </w:p>
        </w:tc>
        <w:tc>
          <w:tcPr>
            <w:tcW w:w="1623" w:type="pct"/>
            <w:gridSpan w:val="2"/>
            <w:vAlign w:val="center"/>
          </w:tcPr>
          <w:p>
            <w:pPr>
              <w:pStyle w:val="182"/>
              <w:bidi w:val="0"/>
              <w:rPr>
                <w:color w:val="auto"/>
              </w:rPr>
            </w:pPr>
            <w:r>
              <w:rPr>
                <w:color w:val="auto"/>
              </w:rPr>
              <w:t>20mg/kg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乙苯</w:t>
            </w:r>
          </w:p>
        </w:tc>
        <w:tc>
          <w:tcPr>
            <w:tcW w:w="1623" w:type="pct"/>
            <w:gridSpan w:val="2"/>
            <w:vAlign w:val="center"/>
          </w:tcPr>
          <w:p>
            <w:pPr>
              <w:pStyle w:val="182"/>
              <w:bidi w:val="0"/>
              <w:rPr>
                <w:color w:val="auto"/>
              </w:rPr>
            </w:pPr>
            <w:r>
              <w:rPr>
                <w:color w:val="auto"/>
              </w:rPr>
              <w:t>28mg/kg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苯乙烯</w:t>
            </w:r>
          </w:p>
        </w:tc>
        <w:tc>
          <w:tcPr>
            <w:tcW w:w="1623" w:type="pct"/>
            <w:gridSpan w:val="2"/>
            <w:vAlign w:val="center"/>
          </w:tcPr>
          <w:p>
            <w:pPr>
              <w:pStyle w:val="182"/>
              <w:bidi w:val="0"/>
              <w:rPr>
                <w:color w:val="auto"/>
              </w:rPr>
            </w:pPr>
            <w:r>
              <w:rPr>
                <w:color w:val="auto"/>
              </w:rPr>
              <w:t>1290mg/kg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甲苯</w:t>
            </w:r>
          </w:p>
        </w:tc>
        <w:tc>
          <w:tcPr>
            <w:tcW w:w="1623" w:type="pct"/>
            <w:gridSpan w:val="2"/>
            <w:vAlign w:val="center"/>
          </w:tcPr>
          <w:p>
            <w:pPr>
              <w:pStyle w:val="182"/>
              <w:bidi w:val="0"/>
              <w:rPr>
                <w:color w:val="auto"/>
              </w:rPr>
            </w:pPr>
            <w:r>
              <w:rPr>
                <w:color w:val="auto"/>
              </w:rPr>
              <w:t>1200mg/kg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间二甲苯+对二甲苯</w:t>
            </w:r>
          </w:p>
        </w:tc>
        <w:tc>
          <w:tcPr>
            <w:tcW w:w="1623" w:type="pct"/>
            <w:gridSpan w:val="2"/>
            <w:vAlign w:val="center"/>
          </w:tcPr>
          <w:p>
            <w:pPr>
              <w:pStyle w:val="182"/>
              <w:bidi w:val="0"/>
              <w:rPr>
                <w:color w:val="auto"/>
              </w:rPr>
            </w:pPr>
            <w:r>
              <w:rPr>
                <w:color w:val="auto"/>
              </w:rPr>
              <w:t>570mg/kg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邻二甲苯</w:t>
            </w:r>
          </w:p>
        </w:tc>
        <w:tc>
          <w:tcPr>
            <w:tcW w:w="1623" w:type="pct"/>
            <w:gridSpan w:val="2"/>
            <w:vAlign w:val="center"/>
          </w:tcPr>
          <w:p>
            <w:pPr>
              <w:pStyle w:val="182"/>
              <w:bidi w:val="0"/>
              <w:rPr>
                <w:color w:val="auto"/>
              </w:rPr>
            </w:pPr>
            <w:r>
              <w:rPr>
                <w:color w:val="auto"/>
              </w:rPr>
              <w:t>640mg/kg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硝基苯</w:t>
            </w:r>
          </w:p>
        </w:tc>
        <w:tc>
          <w:tcPr>
            <w:tcW w:w="1623" w:type="pct"/>
            <w:gridSpan w:val="2"/>
            <w:vAlign w:val="center"/>
          </w:tcPr>
          <w:p>
            <w:pPr>
              <w:pStyle w:val="182"/>
              <w:bidi w:val="0"/>
              <w:rPr>
                <w:color w:val="auto"/>
              </w:rPr>
            </w:pPr>
            <w:r>
              <w:rPr>
                <w:color w:val="auto"/>
              </w:rPr>
              <w:t>76mg/kg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苯胺</w:t>
            </w:r>
          </w:p>
        </w:tc>
        <w:tc>
          <w:tcPr>
            <w:tcW w:w="1623" w:type="pct"/>
            <w:gridSpan w:val="2"/>
            <w:vAlign w:val="center"/>
          </w:tcPr>
          <w:p>
            <w:pPr>
              <w:pStyle w:val="182"/>
              <w:bidi w:val="0"/>
              <w:rPr>
                <w:color w:val="auto"/>
              </w:rPr>
            </w:pPr>
            <w:r>
              <w:rPr>
                <w:color w:val="auto"/>
              </w:rPr>
              <w:t>260mg/kg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2</w:t>
            </w:r>
            <w:r>
              <w:rPr>
                <w:rFonts w:hint="eastAsia"/>
                <w:color w:val="auto"/>
                <w:lang w:eastAsia="zh-CN"/>
              </w:rPr>
              <w:t>－</w:t>
            </w:r>
            <w:r>
              <w:rPr>
                <w:color w:val="auto"/>
              </w:rPr>
              <w:t>氯酚</w:t>
            </w:r>
          </w:p>
        </w:tc>
        <w:tc>
          <w:tcPr>
            <w:tcW w:w="1623" w:type="pct"/>
            <w:gridSpan w:val="2"/>
            <w:vAlign w:val="center"/>
          </w:tcPr>
          <w:p>
            <w:pPr>
              <w:pStyle w:val="182"/>
              <w:bidi w:val="0"/>
              <w:rPr>
                <w:color w:val="auto"/>
              </w:rPr>
            </w:pPr>
            <w:r>
              <w:rPr>
                <w:color w:val="auto"/>
              </w:rPr>
              <w:t>2256mg/kg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苯并[a]蒽</w:t>
            </w:r>
          </w:p>
        </w:tc>
        <w:tc>
          <w:tcPr>
            <w:tcW w:w="1623" w:type="pct"/>
            <w:gridSpan w:val="2"/>
            <w:vAlign w:val="center"/>
          </w:tcPr>
          <w:p>
            <w:pPr>
              <w:pStyle w:val="182"/>
              <w:bidi w:val="0"/>
              <w:rPr>
                <w:color w:val="auto"/>
              </w:rPr>
            </w:pPr>
            <w:r>
              <w:rPr>
                <w:color w:val="auto"/>
              </w:rPr>
              <w:t>15mg/kg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苯并[a]芘</w:t>
            </w:r>
          </w:p>
        </w:tc>
        <w:tc>
          <w:tcPr>
            <w:tcW w:w="1623" w:type="pct"/>
            <w:gridSpan w:val="2"/>
            <w:vAlign w:val="center"/>
          </w:tcPr>
          <w:p>
            <w:pPr>
              <w:pStyle w:val="182"/>
              <w:bidi w:val="0"/>
              <w:rPr>
                <w:color w:val="auto"/>
              </w:rPr>
            </w:pPr>
            <w:r>
              <w:rPr>
                <w:color w:val="auto"/>
              </w:rPr>
              <w:t>1.5mg/kg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苯并[b]荧蒽</w:t>
            </w:r>
          </w:p>
        </w:tc>
        <w:tc>
          <w:tcPr>
            <w:tcW w:w="1623" w:type="pct"/>
            <w:gridSpan w:val="2"/>
            <w:vAlign w:val="center"/>
          </w:tcPr>
          <w:p>
            <w:pPr>
              <w:pStyle w:val="182"/>
              <w:bidi w:val="0"/>
              <w:rPr>
                <w:color w:val="auto"/>
              </w:rPr>
            </w:pPr>
            <w:r>
              <w:rPr>
                <w:color w:val="auto"/>
              </w:rPr>
              <w:t>15mg/kg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苯并[k]荧蒽</w:t>
            </w:r>
          </w:p>
        </w:tc>
        <w:tc>
          <w:tcPr>
            <w:tcW w:w="1623" w:type="pct"/>
            <w:gridSpan w:val="2"/>
            <w:vAlign w:val="center"/>
          </w:tcPr>
          <w:p>
            <w:pPr>
              <w:pStyle w:val="182"/>
              <w:bidi w:val="0"/>
              <w:rPr>
                <w:color w:val="auto"/>
              </w:rPr>
            </w:pPr>
            <w:r>
              <w:rPr>
                <w:color w:val="auto"/>
              </w:rPr>
              <w:t>151mg/kg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崫</w:t>
            </w:r>
          </w:p>
        </w:tc>
        <w:tc>
          <w:tcPr>
            <w:tcW w:w="1623" w:type="pct"/>
            <w:gridSpan w:val="2"/>
            <w:vAlign w:val="center"/>
          </w:tcPr>
          <w:p>
            <w:pPr>
              <w:pStyle w:val="182"/>
              <w:bidi w:val="0"/>
              <w:rPr>
                <w:color w:val="auto"/>
              </w:rPr>
            </w:pPr>
            <w:r>
              <w:rPr>
                <w:color w:val="auto"/>
              </w:rPr>
              <w:t>1293mg/kg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二苯并[a,h]蒽</w:t>
            </w:r>
          </w:p>
        </w:tc>
        <w:tc>
          <w:tcPr>
            <w:tcW w:w="1623" w:type="pct"/>
            <w:gridSpan w:val="2"/>
            <w:vAlign w:val="center"/>
          </w:tcPr>
          <w:p>
            <w:pPr>
              <w:pStyle w:val="182"/>
              <w:bidi w:val="0"/>
              <w:rPr>
                <w:color w:val="auto"/>
              </w:rPr>
            </w:pPr>
            <w:r>
              <w:rPr>
                <w:color w:val="auto"/>
              </w:rPr>
              <w:t>1.5mg/kg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茚并[1,2,3-cd]芘</w:t>
            </w:r>
          </w:p>
        </w:tc>
        <w:tc>
          <w:tcPr>
            <w:tcW w:w="1623" w:type="pct"/>
            <w:gridSpan w:val="2"/>
            <w:vAlign w:val="center"/>
          </w:tcPr>
          <w:p>
            <w:pPr>
              <w:pStyle w:val="182"/>
              <w:bidi w:val="0"/>
              <w:rPr>
                <w:color w:val="auto"/>
              </w:rPr>
            </w:pPr>
            <w:r>
              <w:rPr>
                <w:color w:val="auto"/>
              </w:rPr>
              <w:t>15mg/kg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pPr>
              <w:pStyle w:val="182"/>
              <w:bidi w:val="0"/>
              <w:rPr>
                <w:color w:val="auto"/>
              </w:rPr>
            </w:pPr>
          </w:p>
        </w:tc>
        <w:tc>
          <w:tcPr>
            <w:tcW w:w="1678" w:type="pct"/>
            <w:vMerge w:val="continue"/>
            <w:vAlign w:val="center"/>
          </w:tcPr>
          <w:p>
            <w:pPr>
              <w:pStyle w:val="182"/>
              <w:bidi w:val="0"/>
              <w:rPr>
                <w:color w:val="auto"/>
              </w:rPr>
            </w:pPr>
          </w:p>
        </w:tc>
        <w:tc>
          <w:tcPr>
            <w:tcW w:w="988" w:type="pct"/>
            <w:vAlign w:val="center"/>
          </w:tcPr>
          <w:p>
            <w:pPr>
              <w:pStyle w:val="182"/>
              <w:bidi w:val="0"/>
              <w:rPr>
                <w:color w:val="auto"/>
              </w:rPr>
            </w:pPr>
            <w:r>
              <w:rPr>
                <w:color w:val="auto"/>
              </w:rPr>
              <w:t>萘</w:t>
            </w:r>
          </w:p>
        </w:tc>
        <w:tc>
          <w:tcPr>
            <w:tcW w:w="1623" w:type="pct"/>
            <w:gridSpan w:val="2"/>
            <w:vAlign w:val="center"/>
          </w:tcPr>
          <w:p>
            <w:pPr>
              <w:pStyle w:val="182"/>
              <w:bidi w:val="0"/>
              <w:rPr>
                <w:color w:val="auto"/>
              </w:rPr>
            </w:pPr>
            <w:r>
              <w:rPr>
                <w:color w:val="auto"/>
              </w:rPr>
              <w:t>70mg/kg</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397" w:hRule="atLeast"/>
          <w:jc w:val="center"/>
        </w:trPr>
        <w:tc>
          <w:tcPr>
            <w:tcW w:w="709" w:type="pct"/>
            <w:vMerge w:val="continue"/>
            <w:vAlign w:val="center"/>
          </w:tcPr>
          <w:p>
            <w:pPr>
              <w:pStyle w:val="182"/>
              <w:bidi w:val="0"/>
              <w:rPr>
                <w:color w:val="auto"/>
              </w:rPr>
            </w:pPr>
          </w:p>
        </w:tc>
        <w:tc>
          <w:tcPr>
            <w:tcW w:w="1678" w:type="pct"/>
            <w:vAlign w:val="center"/>
          </w:tcPr>
          <w:p>
            <w:pPr>
              <w:pStyle w:val="182"/>
              <w:bidi w:val="0"/>
              <w:rPr>
                <w:color w:val="auto"/>
              </w:rPr>
            </w:pPr>
            <w:r>
              <w:rPr>
                <w:rFonts w:hint="eastAsia"/>
                <w:color w:val="auto"/>
              </w:rPr>
              <w:t>《</w:t>
            </w:r>
            <w:r>
              <w:rPr>
                <w:rFonts w:hint="eastAsia"/>
                <w:color w:val="auto"/>
                <w:lang w:eastAsia="zh-CN"/>
              </w:rPr>
              <w:t>土壤环境质量 建设用地土壤污染风险管控标准（试行）</w:t>
            </w:r>
            <w:r>
              <w:rPr>
                <w:rFonts w:hint="eastAsia"/>
                <w:color w:val="auto"/>
              </w:rPr>
              <w:t>》（</w:t>
            </w:r>
            <w:r>
              <w:rPr>
                <w:color w:val="auto"/>
              </w:rPr>
              <w:t>GB36600-2018</w:t>
            </w:r>
            <w:r>
              <w:rPr>
                <w:rFonts w:hint="eastAsia"/>
                <w:color w:val="auto"/>
              </w:rPr>
              <w:t>）表</w:t>
            </w:r>
            <w:r>
              <w:rPr>
                <w:color w:val="auto"/>
              </w:rPr>
              <w:t>2</w:t>
            </w:r>
            <w:r>
              <w:rPr>
                <w:rFonts w:hint="eastAsia"/>
                <w:color w:val="auto"/>
              </w:rPr>
              <w:t>其他项目</w:t>
            </w:r>
            <w:r>
              <w:rPr>
                <w:rFonts w:hint="eastAsia"/>
                <w:color w:val="auto"/>
                <w:lang w:eastAsia="zh-CN"/>
              </w:rPr>
              <w:t>－</w:t>
            </w:r>
            <w:r>
              <w:rPr>
                <w:rFonts w:hint="eastAsia"/>
                <w:color w:val="auto"/>
              </w:rPr>
              <w:t>第二类用地筛选值</w:t>
            </w:r>
          </w:p>
        </w:tc>
        <w:tc>
          <w:tcPr>
            <w:tcW w:w="988" w:type="pct"/>
            <w:vAlign w:val="center"/>
          </w:tcPr>
          <w:p>
            <w:pPr>
              <w:pStyle w:val="182"/>
              <w:bidi w:val="0"/>
              <w:rPr>
                <w:color w:val="auto"/>
              </w:rPr>
            </w:pPr>
            <w:r>
              <w:rPr>
                <w:rFonts w:hint="eastAsia"/>
                <w:color w:val="auto"/>
              </w:rPr>
              <w:t>石油烃</w:t>
            </w:r>
          </w:p>
        </w:tc>
        <w:tc>
          <w:tcPr>
            <w:tcW w:w="1623" w:type="pct"/>
            <w:gridSpan w:val="2"/>
            <w:vAlign w:val="center"/>
          </w:tcPr>
          <w:p>
            <w:pPr>
              <w:pStyle w:val="182"/>
              <w:bidi w:val="0"/>
              <w:rPr>
                <w:color w:val="auto"/>
              </w:rPr>
            </w:pPr>
            <w:r>
              <w:rPr>
                <w:color w:val="auto"/>
              </w:rPr>
              <w:t>4500 mg/kg</w:t>
            </w:r>
          </w:p>
        </w:tc>
      </w:tr>
    </w:tbl>
    <w:p>
      <w:pPr>
        <w:pStyle w:val="9"/>
        <w:bidi w:val="0"/>
        <w:rPr>
          <w:color w:val="auto"/>
        </w:rPr>
      </w:pPr>
      <w:bookmarkStart w:id="153" w:name="_Toc15702"/>
      <w:r>
        <w:rPr>
          <w:rFonts w:hint="eastAsia"/>
          <w:color w:val="auto"/>
        </w:rPr>
        <w:t>2.</w:t>
      </w:r>
      <w:r>
        <w:rPr>
          <w:rFonts w:hint="eastAsia"/>
          <w:color w:val="auto"/>
          <w:lang w:val="en-US" w:eastAsia="zh-CN"/>
        </w:rPr>
        <w:t>8</w:t>
      </w:r>
      <w:r>
        <w:rPr>
          <w:rFonts w:hint="eastAsia"/>
          <w:color w:val="auto"/>
        </w:rPr>
        <w:t>.2</w:t>
      </w:r>
      <w:r>
        <w:rPr>
          <w:color w:val="auto"/>
        </w:rPr>
        <w:t>污染物排放标准</w:t>
      </w:r>
      <w:bookmarkEnd w:id="153"/>
    </w:p>
    <w:p>
      <w:pPr>
        <w:pStyle w:val="181"/>
        <w:bidi w:val="0"/>
        <w:rPr>
          <w:color w:val="auto"/>
        </w:rPr>
      </w:pPr>
      <w:r>
        <w:rPr>
          <w:color w:val="auto"/>
        </w:rPr>
        <w:t>表2</w:t>
      </w:r>
      <w:r>
        <w:rPr>
          <w:rFonts w:hint="eastAsia"/>
          <w:color w:val="auto"/>
          <w:lang w:val="en-US" w:eastAsia="zh-CN"/>
        </w:rPr>
        <w:t>.8</w:t>
      </w:r>
      <w:r>
        <w:rPr>
          <w:color w:val="auto"/>
        </w:rPr>
        <w:t>-</w:t>
      </w:r>
      <w:r>
        <w:rPr>
          <w:rFonts w:hint="eastAsia"/>
          <w:color w:val="auto"/>
          <w:lang w:val="en-US" w:eastAsia="zh-CN"/>
        </w:rPr>
        <w:t>2</w:t>
      </w:r>
      <w:r>
        <w:rPr>
          <w:color w:val="auto"/>
        </w:rPr>
        <w:t xml:space="preserve"> </w:t>
      </w:r>
      <w:r>
        <w:rPr>
          <w:rFonts w:hint="eastAsia"/>
          <w:color w:val="auto"/>
        </w:rPr>
        <w:t xml:space="preserve">            污染物排放标准</w:t>
      </w:r>
    </w:p>
    <w:tbl>
      <w:tblPr>
        <w:tblStyle w:val="32"/>
        <w:tblW w:w="5000"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881"/>
        <w:gridCol w:w="2388"/>
        <w:gridCol w:w="1166"/>
        <w:gridCol w:w="1206"/>
        <w:gridCol w:w="2779"/>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tblHeader/>
          <w:jc w:val="center"/>
        </w:trPr>
        <w:tc>
          <w:tcPr>
            <w:tcW w:w="523" w:type="pct"/>
            <w:shd w:val="clear" w:color="auto" w:fill="auto"/>
            <w:tcMar>
              <w:top w:w="11" w:type="dxa"/>
              <w:left w:w="57" w:type="dxa"/>
              <w:bottom w:w="11" w:type="dxa"/>
              <w:right w:w="57" w:type="dxa"/>
            </w:tcMar>
            <w:vAlign w:val="center"/>
          </w:tcPr>
          <w:p>
            <w:pPr>
              <w:pStyle w:val="182"/>
              <w:bidi w:val="0"/>
              <w:rPr>
                <w:b/>
                <w:bCs/>
                <w:color w:val="auto"/>
              </w:rPr>
            </w:pPr>
            <w:r>
              <w:rPr>
                <w:b/>
                <w:bCs/>
                <w:color w:val="auto"/>
              </w:rPr>
              <w:t>污染</w:t>
            </w:r>
          </w:p>
          <w:p>
            <w:pPr>
              <w:pStyle w:val="182"/>
              <w:bidi w:val="0"/>
              <w:rPr>
                <w:b/>
                <w:bCs/>
                <w:color w:val="auto"/>
              </w:rPr>
            </w:pPr>
            <w:r>
              <w:rPr>
                <w:b/>
                <w:bCs/>
                <w:color w:val="auto"/>
              </w:rPr>
              <w:t>类别</w:t>
            </w:r>
          </w:p>
        </w:tc>
        <w:tc>
          <w:tcPr>
            <w:tcW w:w="1418" w:type="pct"/>
            <w:shd w:val="clear" w:color="auto" w:fill="auto"/>
            <w:tcMar>
              <w:top w:w="11" w:type="dxa"/>
              <w:left w:w="57" w:type="dxa"/>
              <w:bottom w:w="11" w:type="dxa"/>
              <w:right w:w="57" w:type="dxa"/>
            </w:tcMar>
            <w:vAlign w:val="center"/>
          </w:tcPr>
          <w:p>
            <w:pPr>
              <w:pStyle w:val="182"/>
              <w:bidi w:val="0"/>
              <w:rPr>
                <w:b/>
                <w:bCs/>
                <w:color w:val="auto"/>
              </w:rPr>
            </w:pPr>
            <w:r>
              <w:rPr>
                <w:b/>
                <w:bCs/>
                <w:color w:val="auto"/>
              </w:rPr>
              <w:t>执行标准</w:t>
            </w:r>
          </w:p>
        </w:tc>
        <w:tc>
          <w:tcPr>
            <w:tcW w:w="692" w:type="pct"/>
            <w:shd w:val="clear" w:color="auto" w:fill="auto"/>
            <w:tcMar>
              <w:top w:w="11" w:type="dxa"/>
              <w:left w:w="57" w:type="dxa"/>
              <w:bottom w:w="11" w:type="dxa"/>
              <w:right w:w="57" w:type="dxa"/>
            </w:tcMar>
            <w:vAlign w:val="center"/>
          </w:tcPr>
          <w:p>
            <w:pPr>
              <w:pStyle w:val="182"/>
              <w:bidi w:val="0"/>
              <w:rPr>
                <w:b/>
                <w:bCs/>
                <w:color w:val="auto"/>
              </w:rPr>
            </w:pPr>
            <w:r>
              <w:rPr>
                <w:b/>
                <w:bCs/>
                <w:color w:val="auto"/>
              </w:rPr>
              <w:t>级</w:t>
            </w:r>
            <w:r>
              <w:rPr>
                <w:rFonts w:hint="eastAsia"/>
                <w:b/>
                <w:bCs/>
                <w:color w:val="auto"/>
                <w:lang w:eastAsia="zh-CN"/>
              </w:rPr>
              <w:t>（</w:t>
            </w:r>
            <w:r>
              <w:rPr>
                <w:b/>
                <w:bCs/>
                <w:color w:val="auto"/>
              </w:rPr>
              <w:t>类</w:t>
            </w:r>
            <w:r>
              <w:rPr>
                <w:rFonts w:hint="eastAsia"/>
                <w:b/>
                <w:bCs/>
                <w:color w:val="auto"/>
                <w:lang w:eastAsia="zh-CN"/>
              </w:rPr>
              <w:t>）</w:t>
            </w:r>
            <w:r>
              <w:rPr>
                <w:b/>
                <w:bCs/>
                <w:color w:val="auto"/>
              </w:rPr>
              <w:t>别</w:t>
            </w:r>
          </w:p>
        </w:tc>
        <w:tc>
          <w:tcPr>
            <w:tcW w:w="716" w:type="pct"/>
            <w:shd w:val="clear" w:color="auto" w:fill="auto"/>
            <w:tcMar>
              <w:top w:w="11" w:type="dxa"/>
              <w:left w:w="57" w:type="dxa"/>
              <w:bottom w:w="11" w:type="dxa"/>
              <w:right w:w="57" w:type="dxa"/>
            </w:tcMar>
            <w:vAlign w:val="center"/>
          </w:tcPr>
          <w:p>
            <w:pPr>
              <w:pStyle w:val="182"/>
              <w:bidi w:val="0"/>
              <w:rPr>
                <w:b/>
                <w:bCs/>
                <w:color w:val="auto"/>
              </w:rPr>
            </w:pPr>
            <w:r>
              <w:rPr>
                <w:b/>
                <w:bCs/>
                <w:color w:val="auto"/>
              </w:rPr>
              <w:t>污染因子</w:t>
            </w:r>
          </w:p>
        </w:tc>
        <w:tc>
          <w:tcPr>
            <w:tcW w:w="1650" w:type="pct"/>
            <w:shd w:val="clear" w:color="auto" w:fill="auto"/>
            <w:tcMar>
              <w:top w:w="11" w:type="dxa"/>
              <w:left w:w="57" w:type="dxa"/>
              <w:bottom w:w="11" w:type="dxa"/>
              <w:right w:w="57" w:type="dxa"/>
            </w:tcMar>
            <w:vAlign w:val="center"/>
          </w:tcPr>
          <w:p>
            <w:pPr>
              <w:pStyle w:val="182"/>
              <w:bidi w:val="0"/>
              <w:rPr>
                <w:b/>
                <w:bCs/>
                <w:color w:val="auto"/>
              </w:rPr>
            </w:pPr>
            <w:r>
              <w:rPr>
                <w:b/>
                <w:bCs/>
                <w:color w:val="auto"/>
              </w:rPr>
              <w:t>标准</w:t>
            </w:r>
            <w:r>
              <w:rPr>
                <w:rFonts w:hint="eastAsia"/>
                <w:b/>
                <w:bCs/>
                <w:color w:val="auto"/>
              </w:rPr>
              <w:t>限</w:t>
            </w:r>
            <w:r>
              <w:rPr>
                <w:b/>
                <w:bCs/>
                <w:color w:val="auto"/>
              </w:rPr>
              <w:t>值</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679" w:hRule="atLeast"/>
          <w:jc w:val="center"/>
        </w:trPr>
        <w:tc>
          <w:tcPr>
            <w:tcW w:w="523" w:type="pct"/>
            <w:vMerge w:val="restart"/>
            <w:shd w:val="clear" w:color="auto" w:fill="auto"/>
            <w:tcMar>
              <w:top w:w="11" w:type="dxa"/>
              <w:left w:w="57" w:type="dxa"/>
              <w:bottom w:w="11" w:type="dxa"/>
              <w:right w:w="57" w:type="dxa"/>
            </w:tcMar>
            <w:vAlign w:val="center"/>
          </w:tcPr>
          <w:p>
            <w:pPr>
              <w:pStyle w:val="182"/>
              <w:bidi w:val="0"/>
              <w:rPr>
                <w:rFonts w:hint="eastAsia"/>
                <w:b/>
                <w:bCs/>
                <w:color w:val="auto"/>
                <w:u w:val="single"/>
              </w:rPr>
            </w:pPr>
            <w:r>
              <w:rPr>
                <w:rFonts w:hint="eastAsia"/>
                <w:b/>
                <w:bCs/>
                <w:color w:val="auto"/>
                <w:u w:val="single"/>
              </w:rPr>
              <w:t>大气污染物</w:t>
            </w:r>
          </w:p>
        </w:tc>
        <w:tc>
          <w:tcPr>
            <w:tcW w:w="1418" w:type="pct"/>
            <w:vMerge w:val="restart"/>
            <w:shd w:val="clear" w:color="auto" w:fill="auto"/>
            <w:tcMar>
              <w:top w:w="11" w:type="dxa"/>
              <w:left w:w="57" w:type="dxa"/>
              <w:bottom w:w="11" w:type="dxa"/>
              <w:right w:w="57" w:type="dxa"/>
            </w:tcMar>
            <w:vAlign w:val="center"/>
          </w:tcPr>
          <w:p>
            <w:pPr>
              <w:pStyle w:val="182"/>
              <w:bidi w:val="0"/>
              <w:rPr>
                <w:rFonts w:hint="eastAsia"/>
                <w:b/>
                <w:bCs/>
                <w:color w:val="auto"/>
                <w:u w:val="single"/>
              </w:rPr>
            </w:pPr>
            <w:r>
              <w:rPr>
                <w:rFonts w:hint="eastAsia"/>
                <w:b/>
                <w:bCs/>
                <w:color w:val="auto"/>
                <w:u w:val="single"/>
              </w:rPr>
              <w:t>《大气污染物综合排放标准》（GB16297-1996）表2</w:t>
            </w:r>
            <w:r>
              <w:rPr>
                <w:rFonts w:hint="eastAsia"/>
                <w:b/>
                <w:bCs/>
                <w:color w:val="auto"/>
                <w:sz w:val="21"/>
                <w:szCs w:val="21"/>
                <w:u w:val="single"/>
              </w:rPr>
              <w:t>无组织排放监控浓度限值</w:t>
            </w:r>
          </w:p>
        </w:tc>
        <w:tc>
          <w:tcPr>
            <w:tcW w:w="692" w:type="pct"/>
            <w:vMerge w:val="restart"/>
            <w:shd w:val="clear" w:color="auto" w:fill="auto"/>
            <w:tcMar>
              <w:top w:w="11" w:type="dxa"/>
              <w:left w:w="57" w:type="dxa"/>
              <w:bottom w:w="11" w:type="dxa"/>
              <w:right w:w="57" w:type="dxa"/>
            </w:tcMar>
            <w:vAlign w:val="center"/>
          </w:tcPr>
          <w:p>
            <w:pPr>
              <w:pStyle w:val="182"/>
              <w:bidi w:val="0"/>
              <w:rPr>
                <w:rFonts w:hint="eastAsia"/>
                <w:b/>
                <w:bCs/>
                <w:color w:val="auto"/>
                <w:u w:val="single"/>
              </w:rPr>
            </w:pPr>
            <w:r>
              <w:rPr>
                <w:rFonts w:hint="eastAsia"/>
                <w:b/>
                <w:bCs/>
                <w:color w:val="auto"/>
                <w:u w:val="single"/>
              </w:rPr>
              <w:t>二级</w:t>
            </w:r>
          </w:p>
        </w:tc>
        <w:tc>
          <w:tcPr>
            <w:tcW w:w="716" w:type="pct"/>
            <w:shd w:val="clear" w:color="auto" w:fill="auto"/>
            <w:tcMar>
              <w:top w:w="11" w:type="dxa"/>
              <w:left w:w="57" w:type="dxa"/>
              <w:bottom w:w="11" w:type="dxa"/>
              <w:right w:w="57" w:type="dxa"/>
            </w:tcMar>
            <w:vAlign w:val="center"/>
          </w:tcPr>
          <w:p>
            <w:pPr>
              <w:pStyle w:val="182"/>
              <w:bidi w:val="0"/>
              <w:rPr>
                <w:rFonts w:hint="default"/>
                <w:b/>
                <w:bCs/>
                <w:color w:val="auto"/>
                <w:u w:val="single"/>
                <w:lang w:val="en-US" w:eastAsia="zh-CN"/>
              </w:rPr>
            </w:pPr>
            <w:r>
              <w:rPr>
                <w:rFonts w:hint="eastAsia"/>
                <w:b/>
                <w:bCs/>
                <w:color w:val="auto"/>
                <w:u w:val="single"/>
                <w:lang w:val="en-US" w:eastAsia="zh-CN"/>
              </w:rPr>
              <w:t>颗粒物</w:t>
            </w:r>
          </w:p>
        </w:tc>
        <w:tc>
          <w:tcPr>
            <w:tcW w:w="1650" w:type="pct"/>
            <w:shd w:val="clear" w:color="auto" w:fill="auto"/>
            <w:tcMar>
              <w:top w:w="11" w:type="dxa"/>
              <w:left w:w="57" w:type="dxa"/>
              <w:bottom w:w="11" w:type="dxa"/>
              <w:right w:w="57" w:type="dxa"/>
            </w:tcMar>
            <w:vAlign w:val="center"/>
          </w:tcPr>
          <w:p>
            <w:pPr>
              <w:pStyle w:val="182"/>
              <w:bidi w:val="0"/>
              <w:rPr>
                <w:rFonts w:hint="eastAsia" w:eastAsia="宋体"/>
                <w:b/>
                <w:bCs/>
                <w:color w:val="auto"/>
                <w:u w:val="single"/>
                <w:lang w:eastAsia="zh-CN"/>
              </w:rPr>
            </w:pPr>
            <w:r>
              <w:rPr>
                <w:rFonts w:hint="eastAsia"/>
                <w:b/>
                <w:bCs/>
                <w:color w:val="auto"/>
                <w:u w:val="single"/>
                <w:lang w:val="en-US" w:eastAsia="zh-CN"/>
              </w:rPr>
              <w:t>1.0</w:t>
            </w:r>
            <w:r>
              <w:rPr>
                <w:rFonts w:hint="eastAsia"/>
                <w:b/>
                <w:bCs/>
                <w:color w:val="auto"/>
                <w:u w:val="single"/>
              </w:rPr>
              <w:t xml:space="preserve"> mg/m</w:t>
            </w:r>
            <w:r>
              <w:rPr>
                <w:rFonts w:hint="eastAsia"/>
                <w:b/>
                <w:bCs/>
                <w:color w:val="auto"/>
                <w:u w:val="single"/>
                <w:vertAlign w:val="superscript"/>
              </w:rPr>
              <w:t>3</w:t>
            </w:r>
            <w:r>
              <w:rPr>
                <w:rFonts w:hint="eastAsia"/>
                <w:b/>
                <w:bCs/>
                <w:color w:val="auto"/>
                <w:u w:val="single"/>
                <w:vertAlign w:val="baseline"/>
                <w:lang w:eastAsia="zh-CN"/>
              </w:rPr>
              <w:t>（</w:t>
            </w:r>
            <w:r>
              <w:rPr>
                <w:rFonts w:hint="eastAsia"/>
                <w:b/>
                <w:bCs/>
                <w:color w:val="auto"/>
                <w:u w:val="single"/>
                <w:vertAlign w:val="baseline"/>
                <w:lang w:val="en-US" w:eastAsia="zh-CN"/>
              </w:rPr>
              <w:t>无组织</w:t>
            </w:r>
            <w:r>
              <w:rPr>
                <w:rFonts w:hint="eastAsia"/>
                <w:b/>
                <w:bCs/>
                <w:color w:val="auto"/>
                <w:u w:val="single"/>
                <w:vertAlign w:val="baseline"/>
                <w:lang w:eastAsia="zh-CN"/>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23" w:type="pct"/>
            <w:vMerge w:val="continue"/>
            <w:shd w:val="clear" w:color="auto" w:fill="auto"/>
            <w:tcMar>
              <w:top w:w="11" w:type="dxa"/>
              <w:left w:w="57" w:type="dxa"/>
              <w:bottom w:w="11" w:type="dxa"/>
              <w:right w:w="57" w:type="dxa"/>
            </w:tcMar>
            <w:vAlign w:val="center"/>
          </w:tcPr>
          <w:p>
            <w:pPr>
              <w:pStyle w:val="182"/>
              <w:bidi w:val="0"/>
              <w:rPr>
                <w:rFonts w:hint="eastAsia"/>
                <w:b/>
                <w:bCs/>
                <w:color w:val="auto"/>
                <w:u w:val="single"/>
              </w:rPr>
            </w:pPr>
          </w:p>
        </w:tc>
        <w:tc>
          <w:tcPr>
            <w:tcW w:w="1418" w:type="pct"/>
            <w:vMerge w:val="continue"/>
            <w:shd w:val="clear" w:color="auto" w:fill="auto"/>
            <w:tcMar>
              <w:top w:w="11" w:type="dxa"/>
              <w:left w:w="57" w:type="dxa"/>
              <w:bottom w:w="11" w:type="dxa"/>
              <w:right w:w="57" w:type="dxa"/>
            </w:tcMar>
            <w:vAlign w:val="center"/>
          </w:tcPr>
          <w:p>
            <w:pPr>
              <w:pStyle w:val="182"/>
              <w:bidi w:val="0"/>
              <w:rPr>
                <w:rFonts w:hint="eastAsia"/>
                <w:b/>
                <w:bCs/>
                <w:color w:val="auto"/>
                <w:u w:val="single"/>
              </w:rPr>
            </w:pPr>
          </w:p>
        </w:tc>
        <w:tc>
          <w:tcPr>
            <w:tcW w:w="692" w:type="pct"/>
            <w:vMerge w:val="continue"/>
            <w:shd w:val="clear" w:color="auto" w:fill="auto"/>
            <w:tcMar>
              <w:top w:w="11" w:type="dxa"/>
              <w:left w:w="57" w:type="dxa"/>
              <w:bottom w:w="11" w:type="dxa"/>
              <w:right w:w="57" w:type="dxa"/>
            </w:tcMar>
            <w:vAlign w:val="center"/>
          </w:tcPr>
          <w:p>
            <w:pPr>
              <w:pStyle w:val="182"/>
              <w:bidi w:val="0"/>
              <w:rPr>
                <w:rFonts w:hint="eastAsia"/>
                <w:b/>
                <w:bCs/>
                <w:color w:val="auto"/>
                <w:u w:val="single"/>
              </w:rPr>
            </w:pPr>
          </w:p>
        </w:tc>
        <w:tc>
          <w:tcPr>
            <w:tcW w:w="716" w:type="pct"/>
            <w:shd w:val="clear" w:color="auto" w:fill="auto"/>
            <w:tcMar>
              <w:top w:w="11" w:type="dxa"/>
              <w:left w:w="57" w:type="dxa"/>
              <w:bottom w:w="11" w:type="dxa"/>
              <w:right w:w="57" w:type="dxa"/>
            </w:tcMar>
            <w:vAlign w:val="center"/>
          </w:tcPr>
          <w:p>
            <w:pPr>
              <w:pStyle w:val="182"/>
              <w:bidi w:val="0"/>
              <w:rPr>
                <w:rFonts w:hint="eastAsia"/>
                <w:b/>
                <w:bCs/>
                <w:color w:val="auto"/>
                <w:u w:val="single"/>
              </w:rPr>
            </w:pPr>
            <w:r>
              <w:rPr>
                <w:rFonts w:hint="eastAsia"/>
                <w:b/>
                <w:bCs/>
                <w:color w:val="auto"/>
                <w:u w:val="single"/>
                <w:lang w:val="en-US" w:eastAsia="zh-CN"/>
              </w:rPr>
              <w:t>硫酸雾</w:t>
            </w:r>
          </w:p>
        </w:tc>
        <w:tc>
          <w:tcPr>
            <w:tcW w:w="1650" w:type="pct"/>
            <w:shd w:val="clear" w:color="auto" w:fill="auto"/>
            <w:tcMar>
              <w:top w:w="11" w:type="dxa"/>
              <w:left w:w="57" w:type="dxa"/>
              <w:bottom w:w="11" w:type="dxa"/>
              <w:right w:w="57" w:type="dxa"/>
            </w:tcMar>
            <w:vAlign w:val="center"/>
          </w:tcPr>
          <w:p>
            <w:pPr>
              <w:pStyle w:val="182"/>
              <w:bidi w:val="0"/>
              <w:rPr>
                <w:rFonts w:hint="eastAsia"/>
                <w:b/>
                <w:bCs/>
                <w:color w:val="auto"/>
                <w:sz w:val="21"/>
                <w:szCs w:val="21"/>
                <w:u w:val="single"/>
              </w:rPr>
            </w:pPr>
            <w:r>
              <w:rPr>
                <w:rFonts w:hint="eastAsia"/>
                <w:b/>
                <w:bCs/>
                <w:color w:val="auto"/>
                <w:u w:val="single"/>
              </w:rPr>
              <w:t>周界外浓度最高点</w:t>
            </w:r>
            <w:r>
              <w:rPr>
                <w:rFonts w:hint="eastAsia"/>
                <w:b/>
                <w:bCs/>
                <w:color w:val="auto"/>
                <w:u w:val="single"/>
                <w:lang w:val="en-US" w:eastAsia="zh-CN"/>
              </w:rPr>
              <w:t>1.2</w:t>
            </w:r>
            <w:r>
              <w:rPr>
                <w:rFonts w:hint="eastAsia"/>
                <w:b/>
                <w:bCs/>
                <w:color w:val="auto"/>
                <w:u w:val="single"/>
              </w:rPr>
              <w:t xml:space="preserve"> mg/m</w:t>
            </w:r>
            <w:r>
              <w:rPr>
                <w:rFonts w:hint="eastAsia"/>
                <w:b/>
                <w:bCs/>
                <w:color w:val="auto"/>
                <w:u w:val="single"/>
                <w:vertAlign w:val="superscript"/>
              </w:rPr>
              <w:t>3</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076" w:hRule="atLeast"/>
          <w:jc w:val="center"/>
        </w:trPr>
        <w:tc>
          <w:tcPr>
            <w:tcW w:w="523" w:type="pct"/>
            <w:vMerge w:val="continue"/>
            <w:shd w:val="clear" w:color="auto" w:fill="auto"/>
            <w:tcMar>
              <w:top w:w="11" w:type="dxa"/>
              <w:left w:w="57" w:type="dxa"/>
              <w:bottom w:w="11" w:type="dxa"/>
              <w:right w:w="57" w:type="dxa"/>
            </w:tcMar>
            <w:vAlign w:val="center"/>
          </w:tcPr>
          <w:p>
            <w:pPr>
              <w:pStyle w:val="182"/>
              <w:bidi w:val="0"/>
              <w:rPr>
                <w:b/>
                <w:bCs/>
                <w:color w:val="auto"/>
                <w:u w:val="single"/>
              </w:rPr>
            </w:pPr>
          </w:p>
        </w:tc>
        <w:tc>
          <w:tcPr>
            <w:tcW w:w="1418" w:type="pct"/>
            <w:tcBorders>
              <w:top w:val="single" w:color="auto" w:sz="4" w:space="0"/>
            </w:tcBorders>
            <w:shd w:val="clear" w:color="auto" w:fill="auto"/>
            <w:tcMar>
              <w:top w:w="11" w:type="dxa"/>
              <w:left w:w="57" w:type="dxa"/>
              <w:bottom w:w="11" w:type="dxa"/>
              <w:right w:w="57" w:type="dxa"/>
            </w:tcMar>
            <w:vAlign w:val="center"/>
          </w:tcPr>
          <w:p>
            <w:pPr>
              <w:pStyle w:val="182"/>
              <w:bidi w:val="0"/>
              <w:rPr>
                <w:b/>
                <w:bCs/>
                <w:color w:val="auto"/>
                <w:u w:val="single"/>
              </w:rPr>
            </w:pPr>
            <w:r>
              <w:rPr>
                <w:b/>
                <w:bCs/>
                <w:color w:val="auto"/>
                <w:u w:val="single"/>
              </w:rPr>
              <w:t>《新乡市生态环境局关于进一步规范工业企业颗粒物排放限值的通知》</w:t>
            </w:r>
          </w:p>
        </w:tc>
        <w:tc>
          <w:tcPr>
            <w:tcW w:w="692" w:type="pct"/>
            <w:tcBorders>
              <w:top w:val="single" w:color="auto" w:sz="4" w:space="0"/>
            </w:tcBorders>
            <w:shd w:val="clear" w:color="auto" w:fill="auto"/>
            <w:tcMar>
              <w:top w:w="11" w:type="dxa"/>
              <w:left w:w="57" w:type="dxa"/>
              <w:bottom w:w="11" w:type="dxa"/>
              <w:right w:w="57" w:type="dxa"/>
            </w:tcMar>
            <w:vAlign w:val="center"/>
          </w:tcPr>
          <w:p>
            <w:pPr>
              <w:pStyle w:val="182"/>
              <w:bidi w:val="0"/>
              <w:rPr>
                <w:b/>
                <w:bCs/>
                <w:color w:val="auto"/>
                <w:u w:val="single"/>
                <w:lang w:val="en-US" w:eastAsia="zh-CN"/>
              </w:rPr>
            </w:pPr>
            <w:r>
              <w:rPr>
                <w:b/>
                <w:bCs/>
                <w:color w:val="auto"/>
                <w:u w:val="single"/>
                <w:lang w:val="en-US" w:eastAsia="zh-CN"/>
              </w:rPr>
              <w:t>其他涉气</w:t>
            </w:r>
            <w:r>
              <w:rPr>
                <w:b/>
                <w:bCs/>
                <w:color w:val="auto"/>
                <w:u w:val="single"/>
              </w:rPr>
              <w:t>工业企业</w:t>
            </w:r>
          </w:p>
        </w:tc>
        <w:tc>
          <w:tcPr>
            <w:tcW w:w="716" w:type="pct"/>
            <w:shd w:val="clear" w:color="auto" w:fill="auto"/>
            <w:tcMar>
              <w:top w:w="11" w:type="dxa"/>
              <w:left w:w="57" w:type="dxa"/>
              <w:bottom w:w="11" w:type="dxa"/>
              <w:right w:w="57" w:type="dxa"/>
            </w:tcMar>
            <w:vAlign w:val="center"/>
          </w:tcPr>
          <w:p>
            <w:pPr>
              <w:pStyle w:val="182"/>
              <w:bidi w:val="0"/>
              <w:rPr>
                <w:b/>
                <w:bCs/>
                <w:color w:val="auto"/>
                <w:u w:val="single"/>
              </w:rPr>
            </w:pPr>
            <w:r>
              <w:rPr>
                <w:b/>
                <w:bCs/>
                <w:color w:val="auto"/>
                <w:u w:val="single"/>
              </w:rPr>
              <w:t>颗粒物</w:t>
            </w:r>
          </w:p>
        </w:tc>
        <w:tc>
          <w:tcPr>
            <w:tcW w:w="1650" w:type="pct"/>
            <w:tcBorders>
              <w:bottom w:val="single" w:color="auto" w:sz="4" w:space="0"/>
            </w:tcBorders>
            <w:shd w:val="clear" w:color="auto" w:fill="auto"/>
            <w:tcMar>
              <w:top w:w="11" w:type="dxa"/>
              <w:left w:w="57" w:type="dxa"/>
              <w:bottom w:w="11" w:type="dxa"/>
              <w:right w:w="57" w:type="dxa"/>
            </w:tcMar>
            <w:vAlign w:val="center"/>
          </w:tcPr>
          <w:p>
            <w:pPr>
              <w:pStyle w:val="182"/>
              <w:bidi w:val="0"/>
              <w:rPr>
                <w:rFonts w:hint="eastAsia" w:eastAsia="宋体"/>
                <w:b/>
                <w:bCs/>
                <w:color w:val="auto"/>
                <w:u w:val="single"/>
                <w:lang w:eastAsia="zh-CN"/>
              </w:rPr>
            </w:pPr>
            <w:r>
              <w:rPr>
                <w:b/>
                <w:bCs/>
                <w:color w:val="auto"/>
                <w:u w:val="single"/>
              </w:rPr>
              <w:t>10 mg/m</w:t>
            </w:r>
            <w:r>
              <w:rPr>
                <w:b/>
                <w:bCs/>
                <w:color w:val="auto"/>
                <w:u w:val="single"/>
                <w:vertAlign w:val="superscript"/>
              </w:rPr>
              <w:t>3</w:t>
            </w:r>
            <w:r>
              <w:rPr>
                <w:rFonts w:hint="eastAsia"/>
                <w:b/>
                <w:bCs/>
                <w:color w:val="auto"/>
                <w:u w:val="single"/>
                <w:vertAlign w:val="baseline"/>
                <w:lang w:eastAsia="zh-CN"/>
              </w:rPr>
              <w:t>（</w:t>
            </w:r>
            <w:r>
              <w:rPr>
                <w:b/>
                <w:bCs/>
                <w:color w:val="auto"/>
                <w:u w:val="single"/>
              </w:rPr>
              <w:t>有组织</w:t>
            </w:r>
            <w:r>
              <w:rPr>
                <w:rFonts w:hint="eastAsia"/>
                <w:b/>
                <w:bCs/>
                <w:color w:val="auto"/>
                <w:u w:val="single"/>
                <w:vertAlign w:val="baseline"/>
                <w:lang w:eastAsia="zh-CN"/>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restart"/>
            <w:shd w:val="clear" w:color="auto" w:fill="auto"/>
            <w:vAlign w:val="center"/>
          </w:tcPr>
          <w:p>
            <w:pPr>
              <w:pStyle w:val="182"/>
              <w:bidi w:val="0"/>
              <w:rPr>
                <w:b/>
                <w:bCs/>
                <w:color w:val="auto"/>
                <w:u w:val="single"/>
              </w:rPr>
            </w:pPr>
            <w:r>
              <w:rPr>
                <w:b/>
                <w:bCs/>
                <w:color w:val="auto"/>
                <w:u w:val="single"/>
              </w:rPr>
              <w:t>水污染物</w:t>
            </w:r>
          </w:p>
        </w:tc>
        <w:tc>
          <w:tcPr>
            <w:tcW w:w="1418" w:type="pct"/>
            <w:vMerge w:val="restart"/>
            <w:shd w:val="clear" w:color="auto" w:fill="auto"/>
            <w:vAlign w:val="center"/>
          </w:tcPr>
          <w:p>
            <w:pPr>
              <w:pStyle w:val="182"/>
              <w:bidi w:val="0"/>
              <w:rPr>
                <w:rFonts w:hint="eastAsia"/>
                <w:b/>
                <w:bCs/>
                <w:color w:val="auto"/>
                <w:u w:val="single"/>
              </w:rPr>
            </w:pPr>
            <w:r>
              <w:rPr>
                <w:rFonts w:hint="eastAsia"/>
                <w:b/>
                <w:bCs/>
                <w:color w:val="auto"/>
                <w:u w:val="single"/>
              </w:rPr>
              <w:t>《污水综合排放标准》（GB8978-1996）表4</w:t>
            </w:r>
            <w:r>
              <w:rPr>
                <w:rFonts w:hint="eastAsia"/>
                <w:b/>
                <w:bCs/>
                <w:color w:val="auto"/>
                <w:u w:val="single"/>
                <w:lang w:val="en-US" w:eastAsia="zh-CN"/>
              </w:rPr>
              <w:t>二级（</w:t>
            </w:r>
            <w:r>
              <w:rPr>
                <w:rFonts w:hint="eastAsia"/>
                <w:b/>
                <w:bCs/>
                <w:color w:val="auto"/>
                <w:u w:val="single"/>
              </w:rPr>
              <w:t>化学浆粕行业</w:t>
            </w:r>
            <w:r>
              <w:rPr>
                <w:rFonts w:hint="eastAsia"/>
                <w:b/>
                <w:bCs/>
                <w:color w:val="auto"/>
                <w:u w:val="single"/>
                <w:lang w:val="en-US" w:eastAsia="zh-CN"/>
              </w:rPr>
              <w:t>）</w:t>
            </w:r>
          </w:p>
        </w:tc>
        <w:tc>
          <w:tcPr>
            <w:tcW w:w="692" w:type="pct"/>
            <w:vMerge w:val="restart"/>
            <w:shd w:val="clear" w:color="auto" w:fill="auto"/>
            <w:vAlign w:val="center"/>
          </w:tcPr>
          <w:p>
            <w:pPr>
              <w:pStyle w:val="182"/>
              <w:bidi w:val="0"/>
              <w:rPr>
                <w:rFonts w:hint="eastAsia"/>
                <w:b/>
                <w:bCs/>
                <w:color w:val="auto"/>
                <w:u w:val="single"/>
                <w:lang w:val="en-US" w:eastAsia="zh-CN"/>
              </w:rPr>
            </w:pPr>
            <w:r>
              <w:rPr>
                <w:rFonts w:hint="eastAsia"/>
                <w:b/>
                <w:bCs/>
                <w:color w:val="auto"/>
                <w:u w:val="single"/>
                <w:lang w:val="en-US" w:eastAsia="zh-CN"/>
              </w:rPr>
              <w:t>化纤浆粕工业</w:t>
            </w:r>
          </w:p>
        </w:tc>
        <w:tc>
          <w:tcPr>
            <w:tcW w:w="716"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COD</w:t>
            </w:r>
          </w:p>
        </w:tc>
        <w:tc>
          <w:tcPr>
            <w:tcW w:w="1650"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300mg</w:t>
            </w:r>
            <w:r>
              <w:rPr>
                <w:rFonts w:hint="eastAsia"/>
                <w:b/>
                <w:bCs/>
                <w:color w:val="auto"/>
                <w:u w:val="single"/>
              </w:rPr>
              <w:t>/L</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pPr>
              <w:pStyle w:val="182"/>
              <w:bidi w:val="0"/>
              <w:rPr>
                <w:b/>
                <w:bCs/>
                <w:color w:val="auto"/>
                <w:u w:val="single"/>
              </w:rPr>
            </w:pPr>
          </w:p>
        </w:tc>
        <w:tc>
          <w:tcPr>
            <w:tcW w:w="1418" w:type="pct"/>
            <w:vMerge w:val="continue"/>
            <w:shd w:val="clear" w:color="auto" w:fill="auto"/>
            <w:vAlign w:val="center"/>
          </w:tcPr>
          <w:p>
            <w:pPr>
              <w:pStyle w:val="182"/>
              <w:bidi w:val="0"/>
              <w:rPr>
                <w:rFonts w:hint="eastAsia"/>
                <w:b/>
                <w:bCs/>
                <w:color w:val="auto"/>
                <w:u w:val="single"/>
              </w:rPr>
            </w:pPr>
          </w:p>
        </w:tc>
        <w:tc>
          <w:tcPr>
            <w:tcW w:w="692" w:type="pct"/>
            <w:vMerge w:val="continue"/>
            <w:shd w:val="clear" w:color="auto" w:fill="auto"/>
            <w:vAlign w:val="center"/>
          </w:tcPr>
          <w:p>
            <w:pPr>
              <w:pStyle w:val="182"/>
              <w:bidi w:val="0"/>
              <w:rPr>
                <w:rFonts w:hint="eastAsia"/>
                <w:b/>
                <w:bCs/>
                <w:color w:val="auto"/>
                <w:u w:val="single"/>
                <w:lang w:val="en-US" w:eastAsia="zh-CN"/>
              </w:rPr>
            </w:pPr>
          </w:p>
        </w:tc>
        <w:tc>
          <w:tcPr>
            <w:tcW w:w="716"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BOD</w:t>
            </w:r>
            <w:r>
              <w:rPr>
                <w:b/>
                <w:bCs/>
                <w:color w:val="auto"/>
                <w:u w:val="single"/>
                <w:vertAlign w:val="subscript"/>
              </w:rPr>
              <w:t>5</w:t>
            </w:r>
          </w:p>
        </w:tc>
        <w:tc>
          <w:tcPr>
            <w:tcW w:w="1650"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100</w:t>
            </w:r>
            <w:r>
              <w:rPr>
                <w:b/>
                <w:bCs/>
                <w:color w:val="auto"/>
                <w:u w:val="single"/>
              </w:rPr>
              <w:t>mg/L</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pPr>
              <w:pStyle w:val="182"/>
              <w:bidi w:val="0"/>
              <w:rPr>
                <w:b/>
                <w:bCs/>
                <w:color w:val="auto"/>
                <w:u w:val="single"/>
              </w:rPr>
            </w:pPr>
          </w:p>
        </w:tc>
        <w:tc>
          <w:tcPr>
            <w:tcW w:w="1418" w:type="pct"/>
            <w:vMerge w:val="continue"/>
            <w:shd w:val="clear" w:color="auto" w:fill="auto"/>
            <w:vAlign w:val="center"/>
          </w:tcPr>
          <w:p>
            <w:pPr>
              <w:pStyle w:val="182"/>
              <w:bidi w:val="0"/>
              <w:rPr>
                <w:rFonts w:hint="eastAsia"/>
                <w:b/>
                <w:bCs/>
                <w:color w:val="auto"/>
                <w:u w:val="single"/>
              </w:rPr>
            </w:pPr>
          </w:p>
        </w:tc>
        <w:tc>
          <w:tcPr>
            <w:tcW w:w="692" w:type="pct"/>
            <w:shd w:val="clear" w:color="auto" w:fill="auto"/>
            <w:vAlign w:val="center"/>
          </w:tcPr>
          <w:p>
            <w:pPr>
              <w:pStyle w:val="182"/>
              <w:bidi w:val="0"/>
              <w:rPr>
                <w:rFonts w:hint="eastAsia"/>
                <w:b/>
                <w:bCs/>
                <w:color w:val="auto"/>
                <w:u w:val="single"/>
                <w:lang w:val="en-US" w:eastAsia="zh-CN"/>
              </w:rPr>
            </w:pPr>
            <w:r>
              <w:rPr>
                <w:rFonts w:hint="eastAsia"/>
                <w:b/>
                <w:bCs/>
                <w:color w:val="auto"/>
                <w:u w:val="single"/>
                <w:lang w:val="en-US" w:eastAsia="zh-CN"/>
              </w:rPr>
              <w:t>其他排污单位</w:t>
            </w:r>
          </w:p>
        </w:tc>
        <w:tc>
          <w:tcPr>
            <w:tcW w:w="716"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SS</w:t>
            </w:r>
          </w:p>
        </w:tc>
        <w:tc>
          <w:tcPr>
            <w:tcW w:w="1650"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150</w:t>
            </w:r>
            <w:r>
              <w:rPr>
                <w:b/>
                <w:bCs/>
                <w:color w:val="auto"/>
                <w:u w:val="single"/>
              </w:rPr>
              <w:t>mg/L</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pPr>
              <w:pStyle w:val="182"/>
              <w:bidi w:val="0"/>
              <w:rPr>
                <w:b/>
                <w:bCs/>
                <w:color w:val="auto"/>
                <w:u w:val="single"/>
              </w:rPr>
            </w:pPr>
          </w:p>
        </w:tc>
        <w:tc>
          <w:tcPr>
            <w:tcW w:w="1418" w:type="pct"/>
            <w:vMerge w:val="continue"/>
            <w:shd w:val="clear" w:color="auto" w:fill="auto"/>
            <w:vAlign w:val="center"/>
          </w:tcPr>
          <w:p>
            <w:pPr>
              <w:pStyle w:val="182"/>
              <w:bidi w:val="0"/>
              <w:rPr>
                <w:rFonts w:hint="eastAsia"/>
                <w:b/>
                <w:bCs/>
                <w:color w:val="auto"/>
                <w:u w:val="single"/>
              </w:rPr>
            </w:pPr>
          </w:p>
        </w:tc>
        <w:tc>
          <w:tcPr>
            <w:tcW w:w="692" w:type="pct"/>
            <w:vMerge w:val="restart"/>
            <w:shd w:val="clear" w:color="auto" w:fill="auto"/>
            <w:vAlign w:val="center"/>
          </w:tcPr>
          <w:p>
            <w:pPr>
              <w:pStyle w:val="182"/>
              <w:bidi w:val="0"/>
              <w:rPr>
                <w:rFonts w:hint="eastAsia"/>
                <w:b/>
                <w:bCs/>
                <w:color w:val="auto"/>
                <w:u w:val="single"/>
                <w:lang w:val="en-US" w:eastAsia="zh-CN"/>
              </w:rPr>
            </w:pPr>
            <w:r>
              <w:rPr>
                <w:rFonts w:hint="eastAsia"/>
                <w:b/>
                <w:bCs/>
                <w:color w:val="auto"/>
                <w:u w:val="single"/>
                <w:lang w:val="en-US" w:eastAsia="zh-CN"/>
              </w:rPr>
              <w:t>一切排污单位</w:t>
            </w:r>
          </w:p>
        </w:tc>
        <w:tc>
          <w:tcPr>
            <w:tcW w:w="716"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pH</w:t>
            </w:r>
          </w:p>
        </w:tc>
        <w:tc>
          <w:tcPr>
            <w:tcW w:w="1650"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6～9</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pPr>
              <w:pStyle w:val="182"/>
              <w:bidi w:val="0"/>
              <w:rPr>
                <w:b/>
                <w:bCs/>
                <w:color w:val="auto"/>
                <w:u w:val="single"/>
              </w:rPr>
            </w:pPr>
          </w:p>
        </w:tc>
        <w:tc>
          <w:tcPr>
            <w:tcW w:w="1418" w:type="pct"/>
            <w:vMerge w:val="continue"/>
            <w:shd w:val="clear" w:color="auto" w:fill="auto"/>
            <w:vAlign w:val="center"/>
          </w:tcPr>
          <w:p>
            <w:pPr>
              <w:pStyle w:val="182"/>
              <w:bidi w:val="0"/>
              <w:rPr>
                <w:rFonts w:hint="eastAsia"/>
                <w:b/>
                <w:bCs/>
                <w:color w:val="auto"/>
                <w:u w:val="single"/>
              </w:rPr>
            </w:pPr>
          </w:p>
        </w:tc>
        <w:tc>
          <w:tcPr>
            <w:tcW w:w="692" w:type="pct"/>
            <w:vMerge w:val="continue"/>
            <w:shd w:val="clear" w:color="auto" w:fill="auto"/>
            <w:vAlign w:val="center"/>
          </w:tcPr>
          <w:p>
            <w:pPr>
              <w:pStyle w:val="182"/>
              <w:bidi w:val="0"/>
              <w:rPr>
                <w:rFonts w:hint="eastAsia"/>
                <w:b/>
                <w:bCs/>
                <w:color w:val="auto"/>
                <w:u w:val="single"/>
                <w:lang w:val="en-US" w:eastAsia="zh-CN"/>
              </w:rPr>
            </w:pPr>
          </w:p>
        </w:tc>
        <w:tc>
          <w:tcPr>
            <w:tcW w:w="716"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TP</w:t>
            </w:r>
          </w:p>
        </w:tc>
        <w:tc>
          <w:tcPr>
            <w:tcW w:w="1650"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1</w:t>
            </w:r>
            <w:r>
              <w:rPr>
                <w:rFonts w:hint="eastAsia"/>
                <w:b/>
                <w:bCs/>
                <w:color w:val="auto"/>
                <w:u w:val="single"/>
              </w:rPr>
              <w:t>.0</w:t>
            </w:r>
            <w:r>
              <w:rPr>
                <w:b/>
                <w:bCs/>
                <w:color w:val="auto"/>
                <w:u w:val="single"/>
              </w:rPr>
              <w:t>mg/L</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pPr>
              <w:pStyle w:val="182"/>
              <w:bidi w:val="0"/>
              <w:rPr>
                <w:b/>
                <w:bCs/>
                <w:color w:val="auto"/>
                <w:u w:val="single"/>
              </w:rPr>
            </w:pPr>
          </w:p>
        </w:tc>
        <w:tc>
          <w:tcPr>
            <w:tcW w:w="2110" w:type="pct"/>
            <w:gridSpan w:val="2"/>
            <w:shd w:val="clear" w:color="auto" w:fill="auto"/>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化纤厂</w:t>
            </w:r>
            <w:r>
              <w:rPr>
                <w:b/>
                <w:bCs/>
                <w:color w:val="auto"/>
                <w:u w:val="single"/>
              </w:rPr>
              <w:t>新厂区排污许可证废水最高允许排放浓度</w:t>
            </w:r>
          </w:p>
        </w:tc>
        <w:tc>
          <w:tcPr>
            <w:tcW w:w="716"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NH</w:t>
            </w:r>
            <w:r>
              <w:rPr>
                <w:b/>
                <w:bCs/>
                <w:color w:val="auto"/>
                <w:u w:val="single"/>
                <w:vertAlign w:val="subscript"/>
              </w:rPr>
              <w:t>3</w:t>
            </w:r>
            <w:r>
              <w:rPr>
                <w:b/>
                <w:bCs/>
                <w:color w:val="auto"/>
                <w:u w:val="single"/>
              </w:rPr>
              <w:t>-N</w:t>
            </w:r>
          </w:p>
        </w:tc>
        <w:tc>
          <w:tcPr>
            <w:tcW w:w="1650" w:type="pct"/>
            <w:shd w:val="clear" w:color="auto" w:fill="auto"/>
            <w:tcMar>
              <w:top w:w="11" w:type="dxa"/>
              <w:left w:w="57" w:type="dxa"/>
              <w:bottom w:w="11" w:type="dxa"/>
              <w:right w:w="57"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15</w:t>
            </w:r>
            <w:r>
              <w:rPr>
                <w:b/>
                <w:bCs/>
                <w:color w:val="auto"/>
                <w:u w:val="single"/>
              </w:rPr>
              <w:t>mg/L</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pPr>
              <w:pStyle w:val="182"/>
              <w:bidi w:val="0"/>
              <w:rPr>
                <w:b/>
                <w:bCs/>
                <w:color w:val="auto"/>
                <w:u w:val="single"/>
              </w:rPr>
            </w:pPr>
          </w:p>
        </w:tc>
        <w:tc>
          <w:tcPr>
            <w:tcW w:w="2110" w:type="pct"/>
            <w:gridSpan w:val="2"/>
            <w:shd w:val="clear" w:color="auto" w:fill="auto"/>
            <w:vAlign w:val="center"/>
          </w:tcPr>
          <w:p>
            <w:pPr>
              <w:pStyle w:val="182"/>
              <w:bidi w:val="0"/>
              <w:ind w:firstLine="0" w:firstLineChars="0"/>
              <w:rPr>
                <w:rFonts w:ascii="Times New Roman" w:hAnsi="Times New Roman" w:eastAsia="宋体" w:cs="Times New Roman"/>
                <w:b/>
                <w:bCs/>
                <w:color w:val="auto"/>
                <w:kern w:val="2"/>
                <w:sz w:val="21"/>
                <w:szCs w:val="21"/>
                <w:u w:val="single"/>
                <w:lang w:val="en-US" w:eastAsia="zh-CN" w:bidi="ar-SA"/>
              </w:rPr>
            </w:pPr>
            <w:r>
              <w:rPr>
                <w:rFonts w:hint="eastAsia"/>
                <w:b/>
                <w:bCs/>
                <w:color w:val="auto"/>
                <w:u w:val="single"/>
              </w:rPr>
              <w:t>小店污水处理厂收水标准</w:t>
            </w:r>
          </w:p>
        </w:tc>
        <w:tc>
          <w:tcPr>
            <w:tcW w:w="716" w:type="pct"/>
            <w:shd w:val="clear" w:color="auto" w:fill="auto"/>
            <w:tcMar>
              <w:top w:w="11" w:type="dxa"/>
              <w:left w:w="57" w:type="dxa"/>
              <w:bottom w:w="11" w:type="dxa"/>
              <w:right w:w="57" w:type="dxa"/>
            </w:tcMar>
            <w:vAlign w:val="center"/>
          </w:tcPr>
          <w:p>
            <w:pPr>
              <w:pStyle w:val="182"/>
              <w:bidi w:val="0"/>
              <w:ind w:firstLine="0" w:firstLineChars="0"/>
              <w:rPr>
                <w:rFonts w:ascii="Times New Roman" w:hAnsi="Times New Roman" w:eastAsia="宋体" w:cs="Times New Roman"/>
                <w:b/>
                <w:bCs/>
                <w:color w:val="auto"/>
                <w:kern w:val="2"/>
                <w:sz w:val="21"/>
                <w:szCs w:val="21"/>
                <w:u w:val="single"/>
                <w:lang w:val="en-US" w:eastAsia="zh-CN" w:bidi="ar-SA"/>
              </w:rPr>
            </w:pPr>
            <w:r>
              <w:rPr>
                <w:rFonts w:hint="eastAsia"/>
                <w:b/>
                <w:bCs/>
                <w:color w:val="auto"/>
                <w:u w:val="single"/>
              </w:rPr>
              <w:t>TN</w:t>
            </w:r>
          </w:p>
        </w:tc>
        <w:tc>
          <w:tcPr>
            <w:tcW w:w="1650" w:type="pct"/>
            <w:shd w:val="clear" w:color="auto" w:fill="auto"/>
            <w:tcMar>
              <w:top w:w="11" w:type="dxa"/>
              <w:left w:w="57" w:type="dxa"/>
              <w:bottom w:w="11" w:type="dxa"/>
              <w:right w:w="57" w:type="dxa"/>
            </w:tcMar>
            <w:vAlign w:val="center"/>
          </w:tcPr>
          <w:p>
            <w:pPr>
              <w:pStyle w:val="182"/>
              <w:bidi w:val="0"/>
              <w:ind w:firstLine="0" w:firstLineChars="0"/>
              <w:rPr>
                <w:rFonts w:ascii="Times New Roman" w:hAnsi="Times New Roman" w:eastAsia="宋体" w:cs="Times New Roman"/>
                <w:b/>
                <w:bCs/>
                <w:color w:val="auto"/>
                <w:kern w:val="2"/>
                <w:sz w:val="21"/>
                <w:szCs w:val="21"/>
                <w:u w:val="single"/>
                <w:lang w:val="en-US" w:eastAsia="zh-CN" w:bidi="ar-SA"/>
              </w:rPr>
            </w:pPr>
            <w:r>
              <w:rPr>
                <w:rFonts w:hint="eastAsia"/>
                <w:b/>
                <w:bCs/>
                <w:color w:val="auto"/>
                <w:u w:val="single"/>
              </w:rPr>
              <w:t>40mg/L</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restart"/>
            <w:shd w:val="clear" w:color="auto" w:fill="auto"/>
            <w:vAlign w:val="center"/>
          </w:tcPr>
          <w:p>
            <w:pPr>
              <w:pStyle w:val="182"/>
              <w:bidi w:val="0"/>
              <w:rPr>
                <w:color w:val="auto"/>
              </w:rPr>
            </w:pPr>
            <w:r>
              <w:rPr>
                <w:color w:val="auto"/>
              </w:rPr>
              <w:t>噪声</w:t>
            </w:r>
          </w:p>
        </w:tc>
        <w:tc>
          <w:tcPr>
            <w:tcW w:w="1418" w:type="pct"/>
            <w:vMerge w:val="restart"/>
            <w:shd w:val="clear" w:color="auto" w:fill="auto"/>
            <w:vAlign w:val="center"/>
          </w:tcPr>
          <w:p>
            <w:pPr>
              <w:pStyle w:val="182"/>
              <w:bidi w:val="0"/>
              <w:rPr>
                <w:color w:val="auto"/>
              </w:rPr>
            </w:pPr>
            <w:r>
              <w:rPr>
                <w:color w:val="auto"/>
              </w:rPr>
              <w:t>《工业企业厂界环境噪声排放标准》</w:t>
            </w:r>
            <w:r>
              <w:rPr>
                <w:rFonts w:hint="eastAsia"/>
                <w:color w:val="auto"/>
              </w:rPr>
              <w:t>（</w:t>
            </w:r>
            <w:r>
              <w:rPr>
                <w:color w:val="auto"/>
              </w:rPr>
              <w:t>GB12348-2008</w:t>
            </w:r>
            <w:r>
              <w:rPr>
                <w:rFonts w:hint="eastAsia"/>
                <w:color w:val="auto"/>
              </w:rPr>
              <w:t>）</w:t>
            </w:r>
          </w:p>
        </w:tc>
        <w:tc>
          <w:tcPr>
            <w:tcW w:w="692" w:type="pct"/>
            <w:vMerge w:val="restart"/>
            <w:shd w:val="clear" w:color="auto" w:fill="auto"/>
            <w:vAlign w:val="center"/>
          </w:tcPr>
          <w:p>
            <w:pPr>
              <w:pStyle w:val="182"/>
              <w:bidi w:val="0"/>
              <w:rPr>
                <w:color w:val="auto"/>
              </w:rPr>
            </w:pPr>
            <w:r>
              <w:rPr>
                <w:rFonts w:hint="eastAsia"/>
                <w:color w:val="auto"/>
              </w:rPr>
              <w:t>3</w:t>
            </w:r>
            <w:r>
              <w:rPr>
                <w:color w:val="auto"/>
              </w:rPr>
              <w:t>类</w:t>
            </w:r>
          </w:p>
        </w:tc>
        <w:tc>
          <w:tcPr>
            <w:tcW w:w="716" w:type="pct"/>
            <w:vMerge w:val="restart"/>
            <w:shd w:val="clear" w:color="auto" w:fill="auto"/>
            <w:tcMar>
              <w:top w:w="11" w:type="dxa"/>
              <w:left w:w="57" w:type="dxa"/>
              <w:bottom w:w="11" w:type="dxa"/>
              <w:right w:w="57" w:type="dxa"/>
            </w:tcMar>
            <w:vAlign w:val="center"/>
          </w:tcPr>
          <w:p>
            <w:pPr>
              <w:pStyle w:val="182"/>
              <w:bidi w:val="0"/>
              <w:rPr>
                <w:color w:val="auto"/>
              </w:rPr>
            </w:pPr>
            <w:r>
              <w:rPr>
                <w:rFonts w:hint="eastAsia"/>
                <w:color w:val="auto"/>
              </w:rPr>
              <w:t>噪声</w:t>
            </w:r>
          </w:p>
        </w:tc>
        <w:tc>
          <w:tcPr>
            <w:tcW w:w="1650" w:type="pct"/>
            <w:shd w:val="clear" w:color="auto" w:fill="auto"/>
            <w:tcMar>
              <w:top w:w="11" w:type="dxa"/>
              <w:left w:w="57" w:type="dxa"/>
              <w:bottom w:w="11" w:type="dxa"/>
              <w:right w:w="57" w:type="dxa"/>
            </w:tcMar>
            <w:vAlign w:val="center"/>
          </w:tcPr>
          <w:p>
            <w:pPr>
              <w:pStyle w:val="182"/>
              <w:bidi w:val="0"/>
              <w:rPr>
                <w:color w:val="auto"/>
              </w:rPr>
            </w:pPr>
            <w:r>
              <w:rPr>
                <w:color w:val="auto"/>
              </w:rPr>
              <w:t>昼6</w:t>
            </w:r>
            <w:r>
              <w:rPr>
                <w:rFonts w:hint="eastAsia"/>
                <w:color w:val="auto"/>
              </w:rPr>
              <w:t>5</w:t>
            </w:r>
            <w:r>
              <w:rPr>
                <w:color w:val="auto"/>
              </w:rPr>
              <w:t>dB(A)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pPr>
              <w:pStyle w:val="182"/>
              <w:bidi w:val="0"/>
              <w:rPr>
                <w:color w:val="auto"/>
              </w:rPr>
            </w:pPr>
          </w:p>
        </w:tc>
        <w:tc>
          <w:tcPr>
            <w:tcW w:w="1418" w:type="pct"/>
            <w:vMerge w:val="continue"/>
            <w:shd w:val="clear" w:color="auto" w:fill="auto"/>
            <w:vAlign w:val="center"/>
          </w:tcPr>
          <w:p>
            <w:pPr>
              <w:pStyle w:val="182"/>
              <w:bidi w:val="0"/>
              <w:rPr>
                <w:color w:val="auto"/>
              </w:rPr>
            </w:pPr>
          </w:p>
        </w:tc>
        <w:tc>
          <w:tcPr>
            <w:tcW w:w="692" w:type="pct"/>
            <w:vMerge w:val="continue"/>
            <w:shd w:val="clear" w:color="auto" w:fill="auto"/>
            <w:vAlign w:val="center"/>
          </w:tcPr>
          <w:p>
            <w:pPr>
              <w:pStyle w:val="182"/>
              <w:bidi w:val="0"/>
              <w:rPr>
                <w:color w:val="auto"/>
              </w:rPr>
            </w:pPr>
          </w:p>
        </w:tc>
        <w:tc>
          <w:tcPr>
            <w:tcW w:w="716" w:type="pct"/>
            <w:vMerge w:val="continue"/>
            <w:shd w:val="clear" w:color="auto" w:fill="auto"/>
            <w:tcMar>
              <w:top w:w="11" w:type="dxa"/>
              <w:left w:w="57" w:type="dxa"/>
              <w:bottom w:w="11" w:type="dxa"/>
              <w:right w:w="57" w:type="dxa"/>
            </w:tcMar>
            <w:vAlign w:val="center"/>
          </w:tcPr>
          <w:p>
            <w:pPr>
              <w:pStyle w:val="182"/>
              <w:bidi w:val="0"/>
              <w:rPr>
                <w:color w:val="auto"/>
              </w:rPr>
            </w:pPr>
          </w:p>
        </w:tc>
        <w:tc>
          <w:tcPr>
            <w:tcW w:w="1650" w:type="pct"/>
            <w:shd w:val="clear" w:color="auto" w:fill="auto"/>
            <w:tcMar>
              <w:top w:w="11" w:type="dxa"/>
              <w:left w:w="57" w:type="dxa"/>
              <w:bottom w:w="11" w:type="dxa"/>
              <w:right w:w="57" w:type="dxa"/>
            </w:tcMar>
            <w:vAlign w:val="center"/>
          </w:tcPr>
          <w:p>
            <w:pPr>
              <w:pStyle w:val="182"/>
              <w:bidi w:val="0"/>
              <w:rPr>
                <w:color w:val="auto"/>
              </w:rPr>
            </w:pPr>
            <w:r>
              <w:rPr>
                <w:color w:val="auto"/>
              </w:rPr>
              <w:t>夜5</w:t>
            </w:r>
            <w:r>
              <w:rPr>
                <w:rFonts w:hint="eastAsia"/>
                <w:color w:val="auto"/>
              </w:rPr>
              <w:t>5</w:t>
            </w:r>
            <w:r>
              <w:rPr>
                <w:color w:val="auto"/>
              </w:rPr>
              <w:t>dB(A)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pPr>
              <w:pStyle w:val="182"/>
              <w:bidi w:val="0"/>
              <w:rPr>
                <w:color w:val="auto"/>
              </w:rPr>
            </w:pPr>
          </w:p>
        </w:tc>
        <w:tc>
          <w:tcPr>
            <w:tcW w:w="1418" w:type="pct"/>
            <w:vMerge w:val="restart"/>
            <w:shd w:val="clear" w:color="auto" w:fill="auto"/>
            <w:vAlign w:val="center"/>
          </w:tcPr>
          <w:p>
            <w:pPr>
              <w:pStyle w:val="182"/>
              <w:bidi w:val="0"/>
              <w:rPr>
                <w:color w:val="auto"/>
              </w:rPr>
            </w:pPr>
            <w:r>
              <w:rPr>
                <w:color w:val="auto"/>
              </w:rPr>
              <w:t>《</w:t>
            </w:r>
            <w:r>
              <w:rPr>
                <w:rFonts w:hint="eastAsia"/>
                <w:color w:val="auto"/>
                <w:lang w:eastAsia="zh-CN"/>
              </w:rPr>
              <w:t>建筑施工场界环境噪声排放标准</w:t>
            </w:r>
            <w:r>
              <w:rPr>
                <w:color w:val="auto"/>
              </w:rPr>
              <w:t>》</w:t>
            </w:r>
            <w:r>
              <w:rPr>
                <w:rFonts w:hint="eastAsia"/>
                <w:color w:val="auto"/>
              </w:rPr>
              <w:t>（</w:t>
            </w:r>
            <w:r>
              <w:rPr>
                <w:color w:val="auto"/>
              </w:rPr>
              <w:t>GB</w:t>
            </w:r>
            <w:r>
              <w:rPr>
                <w:rFonts w:hint="eastAsia"/>
                <w:color w:val="auto"/>
              </w:rPr>
              <w:t>12523</w:t>
            </w:r>
            <w:r>
              <w:rPr>
                <w:color w:val="auto"/>
              </w:rPr>
              <w:t>-</w:t>
            </w:r>
            <w:r>
              <w:rPr>
                <w:rFonts w:hint="eastAsia"/>
                <w:color w:val="auto"/>
              </w:rPr>
              <w:t>2011）</w:t>
            </w:r>
          </w:p>
        </w:tc>
        <w:tc>
          <w:tcPr>
            <w:tcW w:w="692" w:type="pct"/>
            <w:vMerge w:val="restart"/>
            <w:shd w:val="clear" w:color="auto" w:fill="auto"/>
            <w:vAlign w:val="center"/>
          </w:tcPr>
          <w:p>
            <w:pPr>
              <w:pStyle w:val="182"/>
              <w:bidi w:val="0"/>
              <w:rPr>
                <w:color w:val="auto"/>
              </w:rPr>
            </w:pPr>
            <w:r>
              <w:rPr>
                <w:rFonts w:hint="eastAsia"/>
                <w:color w:val="auto"/>
              </w:rPr>
              <w:t>/</w:t>
            </w:r>
          </w:p>
        </w:tc>
        <w:tc>
          <w:tcPr>
            <w:tcW w:w="716" w:type="pct"/>
            <w:vMerge w:val="restart"/>
            <w:shd w:val="clear" w:color="auto" w:fill="auto"/>
            <w:tcMar>
              <w:top w:w="11" w:type="dxa"/>
              <w:left w:w="57" w:type="dxa"/>
              <w:bottom w:w="11" w:type="dxa"/>
              <w:right w:w="57" w:type="dxa"/>
            </w:tcMar>
            <w:vAlign w:val="center"/>
          </w:tcPr>
          <w:p>
            <w:pPr>
              <w:pStyle w:val="182"/>
              <w:bidi w:val="0"/>
              <w:rPr>
                <w:color w:val="auto"/>
              </w:rPr>
            </w:pPr>
            <w:r>
              <w:rPr>
                <w:rFonts w:hint="eastAsia"/>
                <w:color w:val="auto"/>
              </w:rPr>
              <w:t>噪声</w:t>
            </w:r>
          </w:p>
        </w:tc>
        <w:tc>
          <w:tcPr>
            <w:tcW w:w="1650" w:type="pct"/>
            <w:shd w:val="clear" w:color="auto" w:fill="auto"/>
            <w:tcMar>
              <w:top w:w="11" w:type="dxa"/>
              <w:left w:w="57" w:type="dxa"/>
              <w:bottom w:w="11" w:type="dxa"/>
              <w:right w:w="57" w:type="dxa"/>
            </w:tcMar>
            <w:vAlign w:val="center"/>
          </w:tcPr>
          <w:p>
            <w:pPr>
              <w:pStyle w:val="182"/>
              <w:bidi w:val="0"/>
              <w:rPr>
                <w:color w:val="auto"/>
              </w:rPr>
            </w:pPr>
            <w:r>
              <w:rPr>
                <w:color w:val="auto"/>
              </w:rPr>
              <w:t>昼</w:t>
            </w:r>
            <w:r>
              <w:rPr>
                <w:rFonts w:hint="eastAsia"/>
                <w:color w:val="auto"/>
              </w:rPr>
              <w:t>70</w:t>
            </w:r>
            <w:r>
              <w:rPr>
                <w:color w:val="auto"/>
              </w:rPr>
              <w:t>dB(A)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pPr>
              <w:pStyle w:val="182"/>
              <w:bidi w:val="0"/>
              <w:rPr>
                <w:color w:val="auto"/>
              </w:rPr>
            </w:pPr>
          </w:p>
        </w:tc>
        <w:tc>
          <w:tcPr>
            <w:tcW w:w="1418" w:type="pct"/>
            <w:vMerge w:val="continue"/>
            <w:shd w:val="clear" w:color="auto" w:fill="auto"/>
            <w:vAlign w:val="center"/>
          </w:tcPr>
          <w:p>
            <w:pPr>
              <w:pStyle w:val="182"/>
              <w:bidi w:val="0"/>
              <w:rPr>
                <w:color w:val="auto"/>
              </w:rPr>
            </w:pPr>
          </w:p>
        </w:tc>
        <w:tc>
          <w:tcPr>
            <w:tcW w:w="692" w:type="pct"/>
            <w:vMerge w:val="continue"/>
            <w:shd w:val="clear" w:color="auto" w:fill="auto"/>
            <w:vAlign w:val="center"/>
          </w:tcPr>
          <w:p>
            <w:pPr>
              <w:pStyle w:val="182"/>
              <w:bidi w:val="0"/>
              <w:rPr>
                <w:color w:val="auto"/>
              </w:rPr>
            </w:pPr>
          </w:p>
        </w:tc>
        <w:tc>
          <w:tcPr>
            <w:tcW w:w="716" w:type="pct"/>
            <w:vMerge w:val="continue"/>
            <w:shd w:val="clear" w:color="auto" w:fill="auto"/>
            <w:tcMar>
              <w:top w:w="11" w:type="dxa"/>
              <w:left w:w="57" w:type="dxa"/>
              <w:bottom w:w="11" w:type="dxa"/>
              <w:right w:w="57" w:type="dxa"/>
            </w:tcMar>
            <w:vAlign w:val="center"/>
          </w:tcPr>
          <w:p>
            <w:pPr>
              <w:pStyle w:val="182"/>
              <w:bidi w:val="0"/>
              <w:rPr>
                <w:color w:val="auto"/>
              </w:rPr>
            </w:pPr>
          </w:p>
        </w:tc>
        <w:tc>
          <w:tcPr>
            <w:tcW w:w="1650" w:type="pct"/>
            <w:shd w:val="clear" w:color="auto" w:fill="auto"/>
            <w:tcMar>
              <w:top w:w="11" w:type="dxa"/>
              <w:left w:w="57" w:type="dxa"/>
              <w:bottom w:w="11" w:type="dxa"/>
              <w:right w:w="57" w:type="dxa"/>
            </w:tcMar>
            <w:vAlign w:val="center"/>
          </w:tcPr>
          <w:p>
            <w:pPr>
              <w:pStyle w:val="182"/>
              <w:bidi w:val="0"/>
              <w:rPr>
                <w:color w:val="auto"/>
              </w:rPr>
            </w:pPr>
            <w:r>
              <w:rPr>
                <w:color w:val="auto"/>
              </w:rPr>
              <w:t>夜5</w:t>
            </w:r>
            <w:r>
              <w:rPr>
                <w:rFonts w:hint="eastAsia"/>
                <w:color w:val="auto"/>
              </w:rPr>
              <w:t>5</w:t>
            </w:r>
            <w:r>
              <w:rPr>
                <w:color w:val="auto"/>
              </w:rPr>
              <w:t>dB(A)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restart"/>
            <w:shd w:val="clear" w:color="auto" w:fill="auto"/>
            <w:tcMar>
              <w:top w:w="11" w:type="dxa"/>
              <w:left w:w="57" w:type="dxa"/>
              <w:bottom w:w="11" w:type="dxa"/>
              <w:right w:w="57" w:type="dxa"/>
            </w:tcMar>
            <w:vAlign w:val="center"/>
          </w:tcPr>
          <w:p>
            <w:pPr>
              <w:pStyle w:val="182"/>
              <w:bidi w:val="0"/>
              <w:rPr>
                <w:color w:val="auto"/>
              </w:rPr>
            </w:pPr>
            <w:r>
              <w:rPr>
                <w:color w:val="auto"/>
              </w:rPr>
              <w:t>固体</w:t>
            </w:r>
          </w:p>
          <w:p>
            <w:pPr>
              <w:pStyle w:val="182"/>
              <w:bidi w:val="0"/>
              <w:rPr>
                <w:color w:val="auto"/>
              </w:rPr>
            </w:pPr>
            <w:r>
              <w:rPr>
                <w:color w:val="auto"/>
              </w:rPr>
              <w:t>废物</w:t>
            </w:r>
          </w:p>
        </w:tc>
        <w:tc>
          <w:tcPr>
            <w:tcW w:w="4476" w:type="pct"/>
            <w:gridSpan w:val="4"/>
            <w:shd w:val="clear" w:color="auto" w:fill="auto"/>
            <w:tcMar>
              <w:top w:w="11" w:type="dxa"/>
              <w:left w:w="57" w:type="dxa"/>
              <w:bottom w:w="11" w:type="dxa"/>
              <w:right w:w="57" w:type="dxa"/>
            </w:tcMar>
            <w:vAlign w:val="center"/>
          </w:tcPr>
          <w:p>
            <w:pPr>
              <w:pStyle w:val="182"/>
              <w:bidi w:val="0"/>
              <w:rPr>
                <w:color w:val="auto"/>
              </w:rPr>
            </w:pPr>
            <w:r>
              <w:rPr>
                <w:rFonts w:hint="eastAsia"/>
                <w:color w:val="auto"/>
              </w:rPr>
              <w:t>《一般工业固体废物贮存和填埋污染控制标准》（GB18599-2020）中防渗漏、防雨淋、防扬尘等环境保护要求</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tcMar>
              <w:top w:w="11" w:type="dxa"/>
              <w:left w:w="57" w:type="dxa"/>
              <w:bottom w:w="11" w:type="dxa"/>
              <w:right w:w="57" w:type="dxa"/>
            </w:tcMar>
            <w:vAlign w:val="center"/>
          </w:tcPr>
          <w:p>
            <w:pPr>
              <w:pStyle w:val="182"/>
              <w:bidi w:val="0"/>
              <w:rPr>
                <w:color w:val="auto"/>
              </w:rPr>
            </w:pPr>
          </w:p>
        </w:tc>
        <w:tc>
          <w:tcPr>
            <w:tcW w:w="4476" w:type="pct"/>
            <w:gridSpan w:val="4"/>
            <w:shd w:val="clear" w:color="auto" w:fill="auto"/>
            <w:tcMar>
              <w:top w:w="11" w:type="dxa"/>
              <w:left w:w="57" w:type="dxa"/>
              <w:bottom w:w="11" w:type="dxa"/>
              <w:right w:w="57" w:type="dxa"/>
            </w:tcMar>
            <w:vAlign w:val="center"/>
          </w:tcPr>
          <w:p>
            <w:pPr>
              <w:pStyle w:val="182"/>
              <w:bidi w:val="0"/>
              <w:rPr>
                <w:color w:val="auto"/>
              </w:rPr>
            </w:pPr>
            <w:r>
              <w:rPr>
                <w:rFonts w:hint="eastAsia"/>
                <w:b/>
                <w:bCs/>
                <w:color w:val="auto"/>
                <w:u w:val="single"/>
              </w:rPr>
              <w:t>《危险废物贮存污染控制标准》（GB 18597-2023）</w:t>
            </w:r>
          </w:p>
        </w:tc>
      </w:tr>
    </w:tbl>
    <w:p>
      <w:pPr>
        <w:pStyle w:val="7"/>
        <w:tabs>
          <w:tab w:val="left" w:pos="396"/>
        </w:tabs>
        <w:spacing w:before="240"/>
        <w:rPr>
          <w:rFonts w:eastAsia="宋体"/>
          <w:b/>
          <w:bCs/>
          <w:color w:val="auto"/>
          <w:lang w:eastAsia="zh-CN"/>
        </w:rPr>
      </w:pPr>
      <w:bookmarkStart w:id="154" w:name="_Toc106552509"/>
      <w:bookmarkStart w:id="155" w:name="_Toc22994"/>
      <w:r>
        <w:rPr>
          <w:rFonts w:hint="eastAsia" w:eastAsia="宋体"/>
          <w:b/>
          <w:bCs/>
          <w:color w:val="auto"/>
          <w:lang w:eastAsia="zh-CN"/>
        </w:rPr>
        <w:t>2.9环境功能区划</w:t>
      </w:r>
      <w:bookmarkEnd w:id="154"/>
      <w:bookmarkEnd w:id="155"/>
    </w:p>
    <w:p>
      <w:pPr>
        <w:pStyle w:val="9"/>
        <w:bidi w:val="0"/>
        <w:rPr>
          <w:color w:val="auto"/>
        </w:rPr>
      </w:pPr>
      <w:r>
        <w:rPr>
          <w:color w:val="auto"/>
        </w:rPr>
        <w:t>2.9.1</w:t>
      </w:r>
      <w:r>
        <w:rPr>
          <w:rFonts w:hint="eastAsia"/>
          <w:color w:val="auto"/>
        </w:rPr>
        <w:t>环境空气</w:t>
      </w:r>
    </w:p>
    <w:p>
      <w:pPr>
        <w:bidi w:val="0"/>
        <w:rPr>
          <w:color w:val="auto"/>
        </w:rPr>
      </w:pPr>
      <w:r>
        <w:rPr>
          <w:color w:val="auto"/>
        </w:rPr>
        <w:t>评价范围内</w:t>
      </w:r>
      <w:r>
        <w:rPr>
          <w:rFonts w:hint="eastAsia"/>
          <w:color w:val="auto"/>
        </w:rPr>
        <w:t>环境空气</w:t>
      </w:r>
      <w:r>
        <w:rPr>
          <w:color w:val="auto"/>
        </w:rPr>
        <w:t>属二类环境功能区。</w:t>
      </w:r>
    </w:p>
    <w:p>
      <w:pPr>
        <w:pStyle w:val="9"/>
        <w:bidi w:val="0"/>
        <w:rPr>
          <w:color w:val="auto"/>
        </w:rPr>
      </w:pPr>
      <w:r>
        <w:rPr>
          <w:color w:val="auto"/>
        </w:rPr>
        <w:t>2.9.</w:t>
      </w:r>
      <w:r>
        <w:rPr>
          <w:rFonts w:hint="eastAsia"/>
          <w:color w:val="auto"/>
        </w:rPr>
        <w:t>2地表水</w:t>
      </w:r>
    </w:p>
    <w:p>
      <w:pPr>
        <w:bidi w:val="0"/>
        <w:rPr>
          <w:color w:val="auto"/>
        </w:rPr>
      </w:pPr>
      <w:r>
        <w:rPr>
          <w:color w:val="auto"/>
        </w:rPr>
        <w:t>项目纳污水体为大沙河，根据新乡市地表水水域功能区划，属Ⅳ类水环境功能区。</w:t>
      </w:r>
    </w:p>
    <w:p>
      <w:pPr>
        <w:pStyle w:val="9"/>
        <w:bidi w:val="0"/>
        <w:rPr>
          <w:color w:val="auto"/>
        </w:rPr>
      </w:pPr>
      <w:r>
        <w:rPr>
          <w:color w:val="auto"/>
        </w:rPr>
        <w:t>2.9.</w:t>
      </w:r>
      <w:r>
        <w:rPr>
          <w:rFonts w:hint="eastAsia"/>
          <w:color w:val="auto"/>
        </w:rPr>
        <w:t>3声环境</w:t>
      </w:r>
    </w:p>
    <w:p>
      <w:pPr>
        <w:bidi w:val="0"/>
        <w:rPr>
          <w:color w:val="auto"/>
        </w:rPr>
      </w:pPr>
      <w:r>
        <w:rPr>
          <w:color w:val="auto"/>
        </w:rPr>
        <w:t>按照区域环境功能，项目所在地属于环境噪声</w:t>
      </w:r>
      <w:r>
        <w:rPr>
          <w:rFonts w:hint="eastAsia"/>
          <w:color w:val="auto"/>
        </w:rPr>
        <w:t>3</w:t>
      </w:r>
      <w:r>
        <w:rPr>
          <w:color w:val="auto"/>
        </w:rPr>
        <w:t>类功能区。</w:t>
      </w:r>
    </w:p>
    <w:p>
      <w:pPr>
        <w:pStyle w:val="9"/>
        <w:bidi w:val="0"/>
        <w:rPr>
          <w:color w:val="auto"/>
        </w:rPr>
      </w:pPr>
      <w:r>
        <w:rPr>
          <w:color w:val="auto"/>
        </w:rPr>
        <w:t>2.9.</w:t>
      </w:r>
      <w:r>
        <w:rPr>
          <w:rFonts w:hint="eastAsia"/>
          <w:color w:val="auto"/>
        </w:rPr>
        <w:t>4环境质量现状</w:t>
      </w:r>
    </w:p>
    <w:p>
      <w:pPr>
        <w:bidi w:val="0"/>
        <w:rPr>
          <w:color w:val="auto"/>
        </w:rPr>
      </w:pPr>
      <w:r>
        <w:rPr>
          <w:b/>
          <w:bCs/>
          <w:color w:val="auto"/>
        </w:rPr>
        <w:t>环境空气质量：</w:t>
      </w:r>
      <w:r>
        <w:rPr>
          <w:color w:val="auto"/>
        </w:rPr>
        <w:t>评价区基本污染物（SO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、PM</w:t>
      </w:r>
      <w:r>
        <w:rPr>
          <w:color w:val="auto"/>
          <w:vertAlign w:val="subscript"/>
        </w:rPr>
        <w:t>2.5</w:t>
      </w:r>
      <w:r>
        <w:rPr>
          <w:color w:val="auto"/>
        </w:rPr>
        <w:t>、CO、O</w:t>
      </w:r>
      <w:r>
        <w:rPr>
          <w:color w:val="auto"/>
          <w:vertAlign w:val="subscript"/>
        </w:rPr>
        <w:t>3</w:t>
      </w:r>
      <w:r>
        <w:rPr>
          <w:rFonts w:hint="eastAsia"/>
          <w:color w:val="auto"/>
          <w:vertAlign w:val="baseline"/>
          <w:lang w:eastAsia="zh-CN"/>
        </w:rPr>
        <w:t>、</w:t>
      </w:r>
      <w:r>
        <w:rPr>
          <w:rFonts w:hint="eastAsia"/>
          <w:b/>
          <w:bCs/>
          <w:color w:val="auto"/>
          <w:u w:val="single"/>
          <w:vertAlign w:val="baseline"/>
          <w:lang w:eastAsia="zh-CN"/>
        </w:rPr>
        <w:t>硫化氢、二硫化碳、氨</w:t>
      </w:r>
      <w:r>
        <w:rPr>
          <w:color w:val="auto"/>
        </w:rPr>
        <w:t>）环境质量现状监测结果不能全部满足《环境空气质量标准》（GB</w:t>
      </w:r>
      <w:r>
        <w:rPr>
          <w:rFonts w:hint="eastAsia"/>
          <w:color w:val="auto"/>
          <w:lang w:val="en-US" w:eastAsia="zh-CN"/>
        </w:rPr>
        <w:t xml:space="preserve"> </w:t>
      </w:r>
      <w:r>
        <w:rPr>
          <w:color w:val="auto"/>
        </w:rPr>
        <w:t>3095-2012）二级标准要求，属于不达标区。</w:t>
      </w:r>
      <w:r>
        <w:rPr>
          <w:rFonts w:hint="eastAsia"/>
          <w:color w:val="auto"/>
        </w:rPr>
        <w:t>评价区其他污染物：</w:t>
      </w:r>
      <w:r>
        <w:rPr>
          <w:rFonts w:hint="eastAsia"/>
          <w:color w:val="auto"/>
          <w:lang w:val="en-US" w:eastAsia="zh-CN"/>
        </w:rPr>
        <w:t>无组织颗粒物</w:t>
      </w:r>
      <w:r>
        <w:rPr>
          <w:rFonts w:hint="eastAsia"/>
          <w:color w:val="auto"/>
        </w:rPr>
        <w:t>环境质量现状能满足《环境空气质量标准》（GB3095-2012）二级的限值要求；</w:t>
      </w:r>
      <w:r>
        <w:rPr>
          <w:rFonts w:hint="eastAsia"/>
          <w:color w:val="auto"/>
          <w:lang w:val="en-US" w:eastAsia="zh-CN"/>
        </w:rPr>
        <w:t>硫酸雾</w:t>
      </w:r>
      <w:r>
        <w:rPr>
          <w:rFonts w:hint="eastAsia"/>
          <w:color w:val="auto"/>
        </w:rPr>
        <w:t>能够满足《环境影响评价技术导则</w:t>
      </w:r>
      <w:r>
        <w:rPr>
          <w:rFonts w:hint="eastAsia"/>
          <w:color w:val="auto"/>
          <w:lang w:val="en-US" w:eastAsia="zh-CN"/>
        </w:rPr>
        <w:t xml:space="preserve"> </w:t>
      </w:r>
      <w:r>
        <w:rPr>
          <w:rFonts w:hint="eastAsia"/>
          <w:color w:val="auto"/>
        </w:rPr>
        <w:t>大气环境》（HJ2.2-2018）附录D的标准要求。</w:t>
      </w:r>
    </w:p>
    <w:p>
      <w:pPr>
        <w:bidi w:val="0"/>
        <w:rPr>
          <w:color w:val="auto"/>
        </w:rPr>
      </w:pPr>
      <w:r>
        <w:rPr>
          <w:b/>
          <w:bCs/>
          <w:color w:val="auto"/>
        </w:rPr>
        <w:t>地表水环境：</w:t>
      </w:r>
      <w:r>
        <w:rPr>
          <w:color w:val="auto"/>
        </w:rPr>
        <w:t>该项目纳污水体为大沙河，功能区划类别为Ⅳ类，根据新乡市环境监测站编制的监测通报，2021年以来大沙河</w:t>
      </w:r>
      <w:r>
        <w:rPr>
          <w:rFonts w:hint="eastAsia"/>
          <w:color w:val="auto"/>
        </w:rPr>
        <w:t>废水</w:t>
      </w:r>
      <w:r>
        <w:rPr>
          <w:color w:val="auto"/>
        </w:rPr>
        <w:t>各因子均能满足《地表水环境质量标准》（GB</w:t>
      </w:r>
      <w:r>
        <w:rPr>
          <w:rFonts w:hint="eastAsia"/>
          <w:color w:val="auto"/>
          <w:lang w:val="en-US" w:eastAsia="zh-CN"/>
        </w:rPr>
        <w:t xml:space="preserve"> </w:t>
      </w:r>
      <w:r>
        <w:rPr>
          <w:color w:val="auto"/>
        </w:rPr>
        <w:t>3838-2002）Ⅳ类标准，水环境质量现状良好。</w:t>
      </w:r>
    </w:p>
    <w:p>
      <w:pPr>
        <w:bidi w:val="0"/>
        <w:rPr>
          <w:color w:val="auto"/>
        </w:rPr>
      </w:pPr>
      <w:r>
        <w:rPr>
          <w:b/>
          <w:bCs/>
          <w:color w:val="auto"/>
        </w:rPr>
        <w:t>地下水环境：</w:t>
      </w:r>
      <w:r>
        <w:rPr>
          <w:color w:val="auto"/>
        </w:rPr>
        <w:t>根据监测结果，评价区地下水pH、耗氧量、氨氮</w:t>
      </w:r>
      <w:r>
        <w:rPr>
          <w:rFonts w:hint="eastAsia"/>
          <w:color w:val="auto"/>
          <w:lang w:eastAsia="zh-CN"/>
        </w:rPr>
        <w:t>、</w:t>
      </w:r>
      <w:r>
        <w:rPr>
          <w:rFonts w:hint="eastAsia"/>
          <w:b/>
          <w:bCs/>
          <w:color w:val="auto"/>
          <w:u w:val="single"/>
          <w:lang w:eastAsia="zh-CN"/>
        </w:rPr>
        <w:t>硫化物、硝酸盐、亚硝酸</w:t>
      </w:r>
      <w:r>
        <w:rPr>
          <w:rFonts w:hint="eastAsia"/>
          <w:color w:val="auto"/>
          <w:lang w:eastAsia="zh-CN"/>
        </w:rPr>
        <w:t>盐</w:t>
      </w:r>
      <w:r>
        <w:rPr>
          <w:color w:val="auto"/>
        </w:rPr>
        <w:t>等指标均能满足《地下水质量标准》（GB/T</w:t>
      </w:r>
      <w:r>
        <w:rPr>
          <w:rFonts w:hint="eastAsia"/>
          <w:color w:val="auto"/>
          <w:lang w:val="en-US" w:eastAsia="zh-CN"/>
        </w:rPr>
        <w:t xml:space="preserve"> </w:t>
      </w:r>
      <w:r>
        <w:rPr>
          <w:color w:val="auto"/>
        </w:rPr>
        <w:t>14848-2017）Ⅲ类的标准要求。</w:t>
      </w:r>
    </w:p>
    <w:p>
      <w:pPr>
        <w:bidi w:val="0"/>
        <w:rPr>
          <w:color w:val="auto"/>
        </w:rPr>
      </w:pPr>
      <w:r>
        <w:rPr>
          <w:b/>
          <w:bCs/>
          <w:color w:val="auto"/>
        </w:rPr>
        <w:t>声环境：</w:t>
      </w:r>
      <w:r>
        <w:rPr>
          <w:color w:val="auto"/>
        </w:rPr>
        <w:t>项目周围声环境质量能达到《声环境质量标准》（GB</w:t>
      </w:r>
      <w:r>
        <w:rPr>
          <w:rFonts w:hint="eastAsia"/>
          <w:color w:val="auto"/>
          <w:lang w:val="en-US" w:eastAsia="zh-CN"/>
        </w:rPr>
        <w:t xml:space="preserve"> </w:t>
      </w:r>
      <w:r>
        <w:rPr>
          <w:color w:val="auto"/>
        </w:rPr>
        <w:t>3096-2008）3类标准。</w:t>
      </w:r>
    </w:p>
    <w:p>
      <w:pPr>
        <w:bidi w:val="0"/>
        <w:rPr>
          <w:color w:val="auto"/>
        </w:rPr>
      </w:pPr>
      <w:r>
        <w:rPr>
          <w:b/>
          <w:bCs/>
          <w:color w:val="auto"/>
        </w:rPr>
        <w:t>土壤环境：</w:t>
      </w:r>
      <w:r>
        <w:rPr>
          <w:rFonts w:hint="eastAsia"/>
          <w:color w:val="auto"/>
        </w:rPr>
        <w:t>项目厂址区域土壤中各监测点位的各监测因子均能满足《土壤环境质量</w:t>
      </w:r>
      <w:r>
        <w:rPr>
          <w:color w:val="auto"/>
        </w:rPr>
        <w:t xml:space="preserve"> </w:t>
      </w:r>
      <w:r>
        <w:rPr>
          <w:rFonts w:hint="eastAsia"/>
          <w:color w:val="auto"/>
        </w:rPr>
        <w:t>建设用地土壤污染风险管控标准（试行）》（</w:t>
      </w:r>
      <w:r>
        <w:rPr>
          <w:color w:val="auto"/>
        </w:rPr>
        <w:t>GB</w:t>
      </w:r>
      <w:r>
        <w:rPr>
          <w:rFonts w:hint="eastAsia"/>
          <w:color w:val="auto"/>
          <w:lang w:val="en-US" w:eastAsia="zh-CN"/>
        </w:rPr>
        <w:t xml:space="preserve"> </w:t>
      </w:r>
      <w:r>
        <w:rPr>
          <w:color w:val="auto"/>
        </w:rPr>
        <w:t>36600-2018</w:t>
      </w:r>
      <w:r>
        <w:rPr>
          <w:rFonts w:hint="eastAsia"/>
          <w:color w:val="auto"/>
        </w:rPr>
        <w:t>）表1第二类用地筛选值要求。</w:t>
      </w:r>
    </w:p>
    <w:p>
      <w:pPr>
        <w:pStyle w:val="7"/>
        <w:bidi w:val="0"/>
        <w:rPr>
          <w:color w:val="auto"/>
        </w:rPr>
      </w:pPr>
      <w:bookmarkStart w:id="156" w:name="_Toc28844"/>
      <w:r>
        <w:rPr>
          <w:rFonts w:hint="eastAsia"/>
          <w:color w:val="auto"/>
        </w:rPr>
        <w:t>2</w:t>
      </w:r>
      <w:r>
        <w:rPr>
          <w:color w:val="auto"/>
        </w:rPr>
        <w:t>.</w:t>
      </w:r>
      <w:r>
        <w:rPr>
          <w:rFonts w:hint="eastAsia"/>
          <w:color w:val="auto"/>
          <w:lang w:val="en-US" w:eastAsia="zh-CN"/>
        </w:rPr>
        <w:t>10</w:t>
      </w:r>
      <w:r>
        <w:rPr>
          <w:rFonts w:hint="eastAsia"/>
          <w:color w:val="auto"/>
        </w:rPr>
        <w:t>与规划相符性分析</w:t>
      </w:r>
      <w:bookmarkEnd w:id="156"/>
    </w:p>
    <w:p>
      <w:pPr>
        <w:pStyle w:val="9"/>
        <w:bidi w:val="0"/>
        <w:rPr>
          <w:color w:val="auto"/>
        </w:rPr>
      </w:pPr>
      <w:r>
        <w:rPr>
          <w:rFonts w:hint="eastAsia"/>
          <w:color w:val="auto"/>
        </w:rPr>
        <w:t>2</w:t>
      </w:r>
      <w:r>
        <w:rPr>
          <w:color w:val="auto"/>
        </w:rPr>
        <w:t>.</w:t>
      </w:r>
      <w:r>
        <w:rPr>
          <w:rFonts w:hint="eastAsia"/>
          <w:color w:val="auto"/>
          <w:lang w:val="en-US" w:eastAsia="zh-CN"/>
        </w:rPr>
        <w:t>10</w:t>
      </w:r>
      <w:r>
        <w:rPr>
          <w:color w:val="auto"/>
        </w:rPr>
        <w:t>.1</w:t>
      </w:r>
      <w:r>
        <w:rPr>
          <w:rFonts w:hint="eastAsia"/>
          <w:color w:val="auto"/>
        </w:rPr>
        <w:t>新乡市城市总体规划（</w:t>
      </w:r>
      <w:r>
        <w:rPr>
          <w:color w:val="auto"/>
        </w:rPr>
        <w:t>2011</w:t>
      </w:r>
      <w:r>
        <w:rPr>
          <w:rFonts w:hint="eastAsia"/>
          <w:color w:val="auto"/>
          <w:lang w:eastAsia="zh-CN"/>
        </w:rPr>
        <w:t>—</w:t>
      </w:r>
      <w:r>
        <w:rPr>
          <w:color w:val="auto"/>
        </w:rPr>
        <w:t>2020</w:t>
      </w:r>
      <w:r>
        <w:rPr>
          <w:rFonts w:hint="eastAsia"/>
          <w:color w:val="auto"/>
        </w:rPr>
        <w:t>年）（</w:t>
      </w:r>
      <w:r>
        <w:rPr>
          <w:color w:val="auto"/>
        </w:rPr>
        <w:t>2016</w:t>
      </w:r>
      <w:r>
        <w:rPr>
          <w:rFonts w:hint="eastAsia"/>
          <w:color w:val="auto"/>
        </w:rPr>
        <w:t>年修改）</w:t>
      </w:r>
    </w:p>
    <w:p>
      <w:pPr>
        <w:pStyle w:val="10"/>
        <w:bidi w:val="0"/>
        <w:rPr>
          <w:color w:val="auto"/>
        </w:rPr>
      </w:pPr>
      <w:r>
        <w:rPr>
          <w:rFonts w:hint="eastAsia"/>
          <w:color w:val="auto"/>
        </w:rPr>
        <w:t>2.</w:t>
      </w:r>
      <w:r>
        <w:rPr>
          <w:rFonts w:hint="eastAsia"/>
          <w:color w:val="auto"/>
          <w:lang w:val="en-US" w:eastAsia="zh-CN"/>
        </w:rPr>
        <w:t>10</w:t>
      </w:r>
      <w:r>
        <w:rPr>
          <w:rFonts w:hint="eastAsia"/>
          <w:color w:val="auto"/>
        </w:rPr>
        <w:t>.1.1规划目标</w:t>
      </w:r>
    </w:p>
    <w:p>
      <w:pPr>
        <w:bidi w:val="0"/>
        <w:rPr>
          <w:color w:val="auto"/>
        </w:rPr>
      </w:pPr>
      <w:r>
        <w:rPr>
          <w:rFonts w:hint="eastAsia"/>
          <w:color w:val="auto"/>
        </w:rPr>
        <w:t>把新乡市建设成为具有区域性中心城市职能和产业特色的制造业基地；建成功能完善，布局合理，生态友好的中原宜居城市；建成具有文化特色，享有良好知名度的文明城市；努力搞好社会主义新农村建设，实现区域内城乡协调发展，</w:t>
      </w:r>
      <w:r>
        <w:rPr>
          <w:rFonts w:hint="eastAsia"/>
          <w:color w:val="auto"/>
          <w:lang w:eastAsia="zh-CN"/>
        </w:rPr>
        <w:t>全面建成小康社会</w:t>
      </w:r>
      <w:r>
        <w:rPr>
          <w:rFonts w:hint="eastAsia"/>
          <w:color w:val="auto"/>
        </w:rPr>
        <w:t>。</w:t>
      </w:r>
    </w:p>
    <w:p>
      <w:pPr>
        <w:pStyle w:val="10"/>
        <w:bidi w:val="0"/>
        <w:rPr>
          <w:color w:val="auto"/>
        </w:rPr>
      </w:pPr>
      <w:r>
        <w:rPr>
          <w:rFonts w:hint="eastAsia"/>
          <w:color w:val="auto"/>
        </w:rPr>
        <w:t>2.</w:t>
      </w:r>
      <w:r>
        <w:rPr>
          <w:rFonts w:hint="eastAsia"/>
          <w:color w:val="auto"/>
          <w:lang w:val="en-US" w:eastAsia="zh-CN"/>
        </w:rPr>
        <w:t>10</w:t>
      </w:r>
      <w:r>
        <w:rPr>
          <w:rFonts w:hint="eastAsia"/>
          <w:color w:val="auto"/>
        </w:rPr>
        <w:t>.1.2城市性质</w:t>
      </w:r>
    </w:p>
    <w:p>
      <w:pPr>
        <w:bidi w:val="0"/>
        <w:rPr>
          <w:color w:val="auto"/>
        </w:rPr>
      </w:pPr>
      <w:r>
        <w:rPr>
          <w:rFonts w:hint="eastAsia"/>
          <w:color w:val="auto"/>
        </w:rPr>
        <w:t>豫北地区重要的中心城市。</w:t>
      </w:r>
    </w:p>
    <w:p>
      <w:pPr>
        <w:pStyle w:val="10"/>
        <w:bidi w:val="0"/>
        <w:rPr>
          <w:color w:val="auto"/>
        </w:rPr>
      </w:pPr>
      <w:r>
        <w:rPr>
          <w:rFonts w:hint="eastAsia"/>
          <w:color w:val="auto"/>
        </w:rPr>
        <w:t>2.</w:t>
      </w:r>
      <w:r>
        <w:rPr>
          <w:rFonts w:hint="eastAsia"/>
          <w:color w:val="auto"/>
          <w:lang w:val="en-US" w:eastAsia="zh-CN"/>
        </w:rPr>
        <w:t>10</w:t>
      </w:r>
      <w:r>
        <w:rPr>
          <w:rFonts w:hint="eastAsia"/>
          <w:color w:val="auto"/>
        </w:rPr>
        <w:t>.1.3人口规模</w:t>
      </w:r>
    </w:p>
    <w:p>
      <w:pPr>
        <w:bidi w:val="0"/>
        <w:rPr>
          <w:color w:val="auto"/>
        </w:rPr>
      </w:pPr>
      <w:r>
        <w:rPr>
          <w:rFonts w:hint="eastAsia"/>
          <w:color w:val="auto"/>
        </w:rPr>
        <w:t>规划2020年中心城区城市人口155万人。</w:t>
      </w:r>
    </w:p>
    <w:p>
      <w:pPr>
        <w:pStyle w:val="10"/>
        <w:bidi w:val="0"/>
        <w:rPr>
          <w:color w:val="auto"/>
        </w:rPr>
      </w:pPr>
      <w:r>
        <w:rPr>
          <w:rFonts w:hint="eastAsia"/>
          <w:color w:val="auto"/>
        </w:rPr>
        <w:t>2.</w:t>
      </w:r>
      <w:r>
        <w:rPr>
          <w:rFonts w:hint="eastAsia"/>
          <w:color w:val="auto"/>
          <w:lang w:val="en-US" w:eastAsia="zh-CN"/>
        </w:rPr>
        <w:t>10</w:t>
      </w:r>
      <w:r>
        <w:rPr>
          <w:rFonts w:hint="eastAsia"/>
          <w:color w:val="auto"/>
        </w:rPr>
        <w:t>.1.4用地规模</w:t>
      </w:r>
    </w:p>
    <w:p>
      <w:pPr>
        <w:bidi w:val="0"/>
        <w:rPr>
          <w:color w:val="auto"/>
        </w:rPr>
      </w:pPr>
      <w:r>
        <w:rPr>
          <w:rFonts w:hint="eastAsia"/>
          <w:color w:val="auto"/>
        </w:rPr>
        <w:t>规划2020年中心城区城市建设用地137平方千米。</w:t>
      </w:r>
    </w:p>
    <w:p>
      <w:pPr>
        <w:pStyle w:val="10"/>
        <w:bidi w:val="0"/>
        <w:rPr>
          <w:color w:val="auto"/>
        </w:rPr>
      </w:pPr>
      <w:r>
        <w:rPr>
          <w:rFonts w:hint="eastAsia"/>
          <w:color w:val="auto"/>
        </w:rPr>
        <w:t>2.</w:t>
      </w:r>
      <w:r>
        <w:rPr>
          <w:rFonts w:hint="eastAsia"/>
          <w:color w:val="auto"/>
          <w:lang w:val="en-US" w:eastAsia="zh-CN"/>
        </w:rPr>
        <w:t>10</w:t>
      </w:r>
      <w:r>
        <w:rPr>
          <w:rFonts w:hint="eastAsia"/>
          <w:color w:val="auto"/>
        </w:rPr>
        <w:t>.1.5市域空间布局结构</w:t>
      </w:r>
    </w:p>
    <w:p>
      <w:pPr>
        <w:bidi w:val="0"/>
        <w:rPr>
          <w:color w:val="auto"/>
        </w:rPr>
      </w:pPr>
      <w:r>
        <w:rPr>
          <w:rFonts w:hint="eastAsia"/>
          <w:color w:val="auto"/>
        </w:rPr>
        <w:t>构建“一核、两带、三片区”的市域城镇空间布局结构。</w:t>
      </w:r>
    </w:p>
    <w:p>
      <w:pPr>
        <w:bidi w:val="0"/>
        <w:rPr>
          <w:color w:val="auto"/>
        </w:rPr>
      </w:pPr>
      <w:r>
        <w:rPr>
          <w:rFonts w:hint="eastAsia"/>
          <w:color w:val="auto"/>
        </w:rPr>
        <w:t>一核：指包括主城区和凤泉、小冀、小店三个外围城市组团构成的城镇、产业发展核心部分，即一城三区范围。</w:t>
      </w:r>
    </w:p>
    <w:p>
      <w:pPr>
        <w:bidi w:val="0"/>
        <w:rPr>
          <w:color w:val="auto"/>
        </w:rPr>
      </w:pPr>
      <w:r>
        <w:rPr>
          <w:rFonts w:hint="eastAsia"/>
          <w:color w:val="auto"/>
        </w:rPr>
        <w:t>两带：依托京港澳高速和京广铁路客运专线等快速交通廊道构成的纵向城镇连绵发展带；依托长济高速和新月新菏铁路等交通廊道构成的横向城镇连绵发展带。</w:t>
      </w:r>
    </w:p>
    <w:p>
      <w:pPr>
        <w:bidi w:val="0"/>
        <w:rPr>
          <w:color w:val="auto"/>
        </w:rPr>
      </w:pPr>
      <w:r>
        <w:rPr>
          <w:rFonts w:hint="eastAsia"/>
          <w:color w:val="auto"/>
        </w:rPr>
        <w:t>三片区：指新乡市域城乡空间三大片经济发展区。即以发展生态旅游和新能源产业为主的西北部生态旅游和新能源发展区；以发展先进制造业为主的中部城镇和产业发展密集区；以发展现代生态农业和农副产品精深加工为主的东南部现代生态农业发展区。</w:t>
      </w:r>
    </w:p>
    <w:p>
      <w:pPr>
        <w:pStyle w:val="10"/>
        <w:bidi w:val="0"/>
        <w:rPr>
          <w:color w:val="auto"/>
        </w:rPr>
      </w:pPr>
      <w:r>
        <w:rPr>
          <w:rFonts w:hint="eastAsia"/>
          <w:color w:val="auto"/>
        </w:rPr>
        <w:t>2.</w:t>
      </w:r>
      <w:r>
        <w:rPr>
          <w:rFonts w:hint="eastAsia"/>
          <w:color w:val="auto"/>
          <w:lang w:val="en-US" w:eastAsia="zh-CN"/>
        </w:rPr>
        <w:t>10</w:t>
      </w:r>
      <w:r>
        <w:rPr>
          <w:rFonts w:hint="eastAsia"/>
          <w:color w:val="auto"/>
        </w:rPr>
        <w:t>.1.6功能分布</w:t>
      </w:r>
    </w:p>
    <w:p>
      <w:pPr>
        <w:bidi w:val="0"/>
        <w:rPr>
          <w:color w:val="auto"/>
        </w:rPr>
      </w:pPr>
      <w:r>
        <w:rPr>
          <w:rFonts w:hint="eastAsia"/>
          <w:color w:val="auto"/>
        </w:rPr>
        <w:t>根据自然分区和功能划分，规划将中心城区划分为7个片区。</w:t>
      </w:r>
    </w:p>
    <w:p>
      <w:pPr>
        <w:bidi w:val="0"/>
        <w:rPr>
          <w:color w:val="auto"/>
        </w:rPr>
      </w:pPr>
      <w:r>
        <w:rPr>
          <w:rFonts w:hint="eastAsia"/>
          <w:color w:val="auto"/>
        </w:rPr>
        <w:t>（1）中心片区：是城市的核心功能集聚区，承担城市主要的商贸、居住和文化服务等功能。</w:t>
      </w:r>
    </w:p>
    <w:p>
      <w:pPr>
        <w:bidi w:val="0"/>
        <w:rPr>
          <w:color w:val="auto"/>
        </w:rPr>
      </w:pPr>
      <w:r>
        <w:rPr>
          <w:rFonts w:hint="eastAsia"/>
          <w:color w:val="auto"/>
        </w:rPr>
        <w:t>（2）东部新区：是规划期内重点发展的市级行政中心、商业和文化中心以及综合客运交通枢纽。该区域是城市的重点建设区域，随着城市的发展，东部新区将逐渐承接并完善提升主要的城市中心功能，到规划期末，东部新区将与中心片区一起共同构成城市的核心功能区。</w:t>
      </w:r>
    </w:p>
    <w:p>
      <w:pPr>
        <w:bidi w:val="0"/>
        <w:rPr>
          <w:color w:val="auto"/>
        </w:rPr>
      </w:pPr>
      <w:r>
        <w:rPr>
          <w:rFonts w:hint="eastAsia"/>
          <w:color w:val="auto"/>
        </w:rPr>
        <w:t>（3）卫北片区：规划保留该区域为主城区内主要的集中工业用地，通过推动国企现代化改造，促进产业结构升级和产品档次提高，将卫北片区改造为具有新乡特色的现代化工业园区。</w:t>
      </w:r>
    </w:p>
    <w:p>
      <w:pPr>
        <w:bidi w:val="0"/>
        <w:rPr>
          <w:color w:val="auto"/>
        </w:rPr>
      </w:pPr>
      <w:r>
        <w:rPr>
          <w:rFonts w:hint="eastAsia"/>
          <w:color w:val="auto"/>
        </w:rPr>
        <w:t>（4）铁西片区：规划结合周边产业集聚区和工业园的发展，大力发展现代服务业，并通过对卫河、镜高涝河、西孟姜女和三支渠的河道整治和景观绿化，打造新乡市的生态商贸城，水岸宜居地。</w:t>
      </w:r>
    </w:p>
    <w:p>
      <w:pPr>
        <w:bidi w:val="0"/>
        <w:rPr>
          <w:color w:val="auto"/>
        </w:rPr>
      </w:pPr>
      <w:r>
        <w:rPr>
          <w:rFonts w:hint="eastAsia"/>
          <w:color w:val="auto"/>
        </w:rPr>
        <w:t>（5）南部新区：规划期内利用该区域的交通、环境和基础设施等优势条件，使开发区保持良好的发展势头，注重居住区和片区公共服务设施建设，</w:t>
      </w:r>
      <w:r>
        <w:rPr>
          <w:rFonts w:hint="eastAsia"/>
          <w:color w:val="auto"/>
          <w:lang w:eastAsia="zh-CN"/>
        </w:rPr>
        <w:t>未开发区</w:t>
      </w:r>
      <w:r>
        <w:rPr>
          <w:rFonts w:hint="eastAsia"/>
          <w:color w:val="auto"/>
        </w:rPr>
        <w:t>提供完善的居住及公共服务配套。</w:t>
      </w:r>
    </w:p>
    <w:p>
      <w:pPr>
        <w:bidi w:val="0"/>
        <w:rPr>
          <w:color w:val="auto"/>
        </w:rPr>
      </w:pPr>
      <w:r>
        <w:rPr>
          <w:rFonts w:hint="eastAsia"/>
          <w:color w:val="auto"/>
        </w:rPr>
        <w:t>（6）新东片区：是本次规划确定的主城区重点发展片区，该区域位于城市的主要发展方向，是规划期内承接城市功能传递的重要节点。新城定位为综合配套服务片区，接纳部分中心片区分离和新建的工业项目，同时为工业园区提供综合配套服务，最终形成以工业、物流、商贸服务、居住配套为主的综合性城市拓展区，逐步承担新乡城市的副中心功能。</w:t>
      </w:r>
    </w:p>
    <w:p>
      <w:pPr>
        <w:bidi w:val="0"/>
        <w:rPr>
          <w:color w:val="auto"/>
        </w:rPr>
      </w:pPr>
      <w:r>
        <w:rPr>
          <w:rFonts w:hint="eastAsia"/>
          <w:color w:val="auto"/>
        </w:rPr>
        <w:t>（7）凤泉组团：规划确定该片区的主要任务是传统制造业的技术更新和原有企业的产业升级，原则上不再扩大工业用地规模。依托现状和资源特点，布置化纤纺织产业园、新型材料产业园。规划期内逐渐降低凤泉组团对主城区的依赖，提高片区公共服务水平，改善居住用地环境品质，同时配合凤凰山森林公园的建设补充都市旅游服务功能。</w:t>
      </w:r>
    </w:p>
    <w:p>
      <w:pPr>
        <w:bidi w:val="0"/>
        <w:rPr>
          <w:color w:val="auto"/>
        </w:rPr>
      </w:pPr>
      <w:r>
        <w:rPr>
          <w:rFonts w:hint="eastAsia"/>
          <w:color w:val="auto"/>
        </w:rPr>
        <w:t>对于中心片区内的污染严重及安全性较差的二、三类工业，应积极推进用地置换，引导工业企业向城区外围工业组团、工业园区聚集。</w:t>
      </w:r>
    </w:p>
    <w:p>
      <w:pPr>
        <w:pStyle w:val="10"/>
        <w:bidi w:val="0"/>
        <w:rPr>
          <w:color w:val="auto"/>
        </w:rPr>
      </w:pPr>
      <w:r>
        <w:rPr>
          <w:rFonts w:hint="eastAsia"/>
          <w:color w:val="auto"/>
        </w:rPr>
        <w:t>2.</w:t>
      </w:r>
      <w:r>
        <w:rPr>
          <w:rFonts w:hint="eastAsia"/>
          <w:color w:val="auto"/>
          <w:lang w:val="en-US" w:eastAsia="zh-CN"/>
        </w:rPr>
        <w:t>10</w:t>
      </w:r>
      <w:r>
        <w:rPr>
          <w:rFonts w:hint="eastAsia"/>
          <w:color w:val="auto"/>
        </w:rPr>
        <w:t>.1.7市政基础设施</w:t>
      </w:r>
    </w:p>
    <w:p>
      <w:pPr>
        <w:bidi w:val="0"/>
        <w:rPr>
          <w:color w:val="auto"/>
        </w:rPr>
      </w:pPr>
      <w:r>
        <w:rPr>
          <w:rFonts w:hint="eastAsia"/>
          <w:color w:val="auto"/>
        </w:rPr>
        <w:t>（一）给水</w:t>
      </w:r>
    </w:p>
    <w:p>
      <w:pPr>
        <w:bidi w:val="0"/>
        <w:rPr>
          <w:color w:val="auto"/>
        </w:rPr>
      </w:pPr>
      <w:r>
        <w:rPr>
          <w:rFonts w:hint="eastAsia"/>
          <w:color w:val="auto"/>
        </w:rPr>
        <w:t>（1）水源：供水水源采用黄河水和南水北调水。</w:t>
      </w:r>
    </w:p>
    <w:p>
      <w:pPr>
        <w:bidi w:val="0"/>
        <w:rPr>
          <w:color w:val="auto"/>
        </w:rPr>
      </w:pPr>
      <w:r>
        <w:rPr>
          <w:rFonts w:hint="eastAsia"/>
          <w:color w:val="auto"/>
        </w:rPr>
        <w:t>（2）供水能力：2020年中心城区最高日需水量为75万立方米/日，由高村水厂、孟营水厂、新区水厂、新东水厂、凤泉水厂和老道井水厂供给。</w:t>
      </w:r>
    </w:p>
    <w:p>
      <w:pPr>
        <w:bidi w:val="0"/>
        <w:rPr>
          <w:color w:val="auto"/>
        </w:rPr>
      </w:pPr>
      <w:r>
        <w:rPr>
          <w:rFonts w:hint="eastAsia"/>
          <w:color w:val="auto"/>
        </w:rPr>
        <w:t>（3）水厂建设：规划新建新东水厂，2020年供水规模为10万立方米/日；规划新建老道井水厂，供水规模为12万立方米/日；规划建设新区水厂二期工程，供水规模为12万立方米/日。正在建设新乡市兴鹭水务有限公司10万立方/日一期工程（5万立方/日）。</w:t>
      </w:r>
    </w:p>
    <w:p>
      <w:pPr>
        <w:bidi w:val="0"/>
        <w:rPr>
          <w:color w:val="auto"/>
        </w:rPr>
      </w:pPr>
      <w:r>
        <w:rPr>
          <w:rFonts w:hint="eastAsia"/>
          <w:color w:val="auto"/>
        </w:rPr>
        <w:t>（4）输配水工程：规划敷设由南水北调总干渠分别至荣校东路以北调蓄池、高村水厂、新东水厂、孟营水厂和新乡县小冀水厂五条输水干管。新乡市兴鹭水务有限公司水厂取水黄河，输水管线经由原阳到达经开区。</w:t>
      </w:r>
    </w:p>
    <w:p>
      <w:pPr>
        <w:bidi w:val="0"/>
        <w:rPr>
          <w:color w:val="auto"/>
        </w:rPr>
      </w:pPr>
      <w:r>
        <w:rPr>
          <w:rFonts w:hint="eastAsia"/>
          <w:color w:val="auto"/>
        </w:rPr>
        <w:t>（5）供水安全保障体系：建立与完善水质监测体系，加强给水输水管道的安全监管，确保出厂水达到《生活饮用水卫生标准》（GB5749）及世界卫生组织《饮用水水质规则》的规定。加强对城市危旧管网的改造更新，加强管网暗漏检测，加强管网的科学管理，提高管网自动化控制水平。</w:t>
      </w:r>
    </w:p>
    <w:p>
      <w:pPr>
        <w:bidi w:val="0"/>
        <w:rPr>
          <w:color w:val="auto"/>
        </w:rPr>
      </w:pPr>
      <w:r>
        <w:rPr>
          <w:rFonts w:hint="eastAsia"/>
          <w:color w:val="auto"/>
        </w:rPr>
        <w:t>（二）排水</w:t>
      </w:r>
    </w:p>
    <w:p>
      <w:pPr>
        <w:bidi w:val="0"/>
        <w:rPr>
          <w:color w:val="auto"/>
        </w:rPr>
      </w:pPr>
      <w:r>
        <w:rPr>
          <w:rFonts w:hint="eastAsia"/>
          <w:color w:val="auto"/>
        </w:rPr>
        <w:t>（1）排水体制：规划采用雨污分流制。</w:t>
      </w:r>
    </w:p>
    <w:p>
      <w:pPr>
        <w:bidi w:val="0"/>
        <w:rPr>
          <w:color w:val="auto"/>
        </w:rPr>
      </w:pPr>
      <w:r>
        <w:rPr>
          <w:rFonts w:hint="eastAsia"/>
          <w:color w:val="auto"/>
        </w:rPr>
        <w:t>（2）目标：2020年污水处理能力达到105万立方米/日。城市污水处理率为100%。</w:t>
      </w:r>
    </w:p>
    <w:p>
      <w:pPr>
        <w:bidi w:val="0"/>
        <w:rPr>
          <w:color w:val="auto"/>
        </w:rPr>
      </w:pPr>
      <w:r>
        <w:rPr>
          <w:rFonts w:hint="eastAsia"/>
          <w:color w:val="auto"/>
        </w:rPr>
        <w:t>（3）污水处理设施：2020年中心城区共有8座污水处理厂。</w:t>
      </w:r>
    </w:p>
    <w:p>
      <w:pPr>
        <w:bidi w:val="0"/>
        <w:rPr>
          <w:color w:val="auto"/>
        </w:rPr>
      </w:pPr>
      <w:r>
        <w:rPr>
          <w:rFonts w:hint="eastAsia"/>
          <w:color w:val="auto"/>
        </w:rPr>
        <w:t>规划保留骆驼湾污水处理厂和小尚庄污水处理厂；扩建小店污水处理厂和小店污水处理厂；新建铁西北污水处理厂、铁西南污水处理厂、东部污水处理厂和凤泉污水处理厂。</w:t>
      </w:r>
    </w:p>
    <w:p>
      <w:pPr>
        <w:bidi w:val="0"/>
        <w:rPr>
          <w:color w:val="auto"/>
        </w:rPr>
      </w:pPr>
      <w:r>
        <w:rPr>
          <w:rFonts w:hint="eastAsia"/>
          <w:color w:val="auto"/>
        </w:rPr>
        <w:t>提高污水处理设施设置标准，扩建及新建污水处理厂的尾水排放应达到国家一级标准。</w:t>
      </w:r>
    </w:p>
    <w:p>
      <w:pPr>
        <w:bidi w:val="0"/>
        <w:rPr>
          <w:color w:val="auto"/>
        </w:rPr>
      </w:pPr>
      <w:r>
        <w:rPr>
          <w:rFonts w:hint="eastAsia"/>
          <w:color w:val="auto"/>
        </w:rPr>
        <w:t>（4）雨水排放：雨水按照就近排入自然水体的原则，规划将中心城区划分为31个雨水排放分区，中心城区雨水通过管道、泵站提升后分别排入卫河、共产主义渠、赵定排、东孟姜女河、西孟姜女河、大沙河。</w:t>
      </w:r>
    </w:p>
    <w:p>
      <w:pPr>
        <w:bidi w:val="0"/>
        <w:rPr>
          <w:color w:val="auto"/>
        </w:rPr>
      </w:pPr>
      <w:r>
        <w:rPr>
          <w:rFonts w:hint="eastAsia"/>
          <w:color w:val="auto"/>
        </w:rPr>
        <w:t>本项目位于规划中的新东片区，供水由新乡市水厂联网提供，排水经厂区污水处理站处理后由园区管网排入小店污水处理厂进一步处理。符合规划要求。</w:t>
      </w:r>
    </w:p>
    <w:p>
      <w:pPr>
        <w:pStyle w:val="9"/>
        <w:bidi w:val="0"/>
        <w:rPr>
          <w:color w:val="auto"/>
        </w:rPr>
      </w:pPr>
      <w:r>
        <w:rPr>
          <w:rFonts w:hint="eastAsia"/>
          <w:color w:val="auto"/>
        </w:rPr>
        <w:t>2.</w:t>
      </w:r>
      <w:r>
        <w:rPr>
          <w:rFonts w:hint="eastAsia"/>
          <w:color w:val="auto"/>
          <w:lang w:val="en-US" w:eastAsia="zh-CN"/>
        </w:rPr>
        <w:t>10</w:t>
      </w:r>
      <w:r>
        <w:rPr>
          <w:rFonts w:hint="eastAsia"/>
          <w:color w:val="auto"/>
        </w:rPr>
        <w:t>.2《新乡市大东区空间发展协同总体规划（2016-2035）》</w:t>
      </w:r>
    </w:p>
    <w:p>
      <w:pPr>
        <w:pStyle w:val="10"/>
        <w:bidi w:val="0"/>
        <w:rPr>
          <w:color w:val="auto"/>
        </w:rPr>
      </w:pPr>
      <w:r>
        <w:rPr>
          <w:rFonts w:hint="eastAsia"/>
          <w:color w:val="auto"/>
        </w:rPr>
        <w:t>2</w:t>
      </w:r>
      <w:r>
        <w:rPr>
          <w:rFonts w:hint="eastAsia"/>
          <w:color w:val="auto"/>
          <w:lang w:val="en-US" w:eastAsia="zh-CN"/>
        </w:rPr>
        <w:t>10</w:t>
      </w:r>
      <w:r>
        <w:rPr>
          <w:rFonts w:hint="eastAsia"/>
          <w:color w:val="auto"/>
        </w:rPr>
        <w:t>.2.1规划范围</w:t>
      </w:r>
    </w:p>
    <w:p>
      <w:pPr>
        <w:bidi w:val="0"/>
        <w:rPr>
          <w:color w:val="auto"/>
        </w:rPr>
      </w:pPr>
      <w:r>
        <w:rPr>
          <w:rFonts w:hint="eastAsia"/>
          <w:color w:val="auto"/>
        </w:rPr>
        <w:t>大东区规划范围分为核心区和拓展区，总面积636平方公里，涉及卫辉市、新乡县、延津县、红旗区、牧野区及高新区、经开区，一市、两县、两区及两个市政府派出机构共七个辖区。</w:t>
      </w:r>
    </w:p>
    <w:p>
      <w:pPr>
        <w:bidi w:val="0"/>
        <w:rPr>
          <w:color w:val="auto"/>
        </w:rPr>
      </w:pPr>
      <w:r>
        <w:rPr>
          <w:rFonts w:hint="eastAsia"/>
          <w:color w:val="auto"/>
        </w:rPr>
        <w:t>核心区面积376平方公里，包括高新区、经开区、电源产业园、新东聚集区、延津节能环保园，新乡县古固寨镇，延津县东屯镇及延津县辖区内与新乡市黄河故道森林公园、延津县国有林场</w:t>
      </w:r>
      <w:r>
        <w:rPr>
          <w:rFonts w:hint="eastAsia"/>
          <w:color w:val="auto"/>
          <w:lang w:eastAsia="zh-CN"/>
        </w:rPr>
        <w:t>邻近</w:t>
      </w:r>
      <w:r>
        <w:rPr>
          <w:rFonts w:hint="eastAsia"/>
          <w:color w:val="auto"/>
        </w:rPr>
        <w:t>的榆林乡、石婆固镇、胙城乡部分村庄，红旗区小店镇及红旗区辖区内大学城、正在规划建设的市商务中心区，牧野区辖区内的新乡高铁站、定国湖周边区域等。</w:t>
      </w:r>
    </w:p>
    <w:p>
      <w:pPr>
        <w:bidi w:val="0"/>
        <w:rPr>
          <w:color w:val="auto"/>
        </w:rPr>
      </w:pPr>
      <w:r>
        <w:rPr>
          <w:rFonts w:hint="eastAsia"/>
          <w:color w:val="auto"/>
        </w:rPr>
        <w:t>拓展区面积260平方公里，包括卫辉市孙杏村镇、柳庄乡及延津县榆林乡、石婆固镇、胙城乡的其他村庄。</w:t>
      </w:r>
    </w:p>
    <w:p>
      <w:pPr>
        <w:pStyle w:val="10"/>
        <w:bidi w:val="0"/>
        <w:rPr>
          <w:color w:val="auto"/>
        </w:rPr>
      </w:pPr>
      <w:r>
        <w:rPr>
          <w:rFonts w:hint="eastAsia"/>
          <w:color w:val="auto"/>
        </w:rPr>
        <w:t>2.</w:t>
      </w:r>
      <w:r>
        <w:rPr>
          <w:rFonts w:hint="eastAsia"/>
          <w:color w:val="auto"/>
          <w:lang w:val="en-US" w:eastAsia="zh-CN"/>
        </w:rPr>
        <w:t>10</w:t>
      </w:r>
      <w:r>
        <w:rPr>
          <w:rFonts w:hint="eastAsia"/>
          <w:color w:val="auto"/>
        </w:rPr>
        <w:t>.2.2规划期限</w:t>
      </w:r>
    </w:p>
    <w:p>
      <w:pPr>
        <w:bidi w:val="0"/>
        <w:rPr>
          <w:color w:val="auto"/>
        </w:rPr>
      </w:pPr>
      <w:r>
        <w:rPr>
          <w:rFonts w:hint="eastAsia"/>
          <w:color w:val="auto"/>
        </w:rPr>
        <w:t>本次规划的期限为2016年</w:t>
      </w:r>
      <w:r>
        <w:rPr>
          <w:rFonts w:hint="eastAsia"/>
          <w:color w:val="auto"/>
          <w:lang w:eastAsia="zh-CN"/>
        </w:rPr>
        <w:t>—</w:t>
      </w:r>
      <w:r>
        <w:rPr>
          <w:rFonts w:hint="eastAsia"/>
          <w:color w:val="auto"/>
        </w:rPr>
        <w:t>2035年。</w:t>
      </w:r>
    </w:p>
    <w:p>
      <w:pPr>
        <w:pStyle w:val="10"/>
        <w:bidi w:val="0"/>
        <w:rPr>
          <w:color w:val="auto"/>
        </w:rPr>
      </w:pPr>
      <w:r>
        <w:rPr>
          <w:rFonts w:hint="eastAsia"/>
          <w:color w:val="auto"/>
        </w:rPr>
        <w:t>2.</w:t>
      </w:r>
      <w:r>
        <w:rPr>
          <w:rFonts w:hint="eastAsia"/>
          <w:color w:val="auto"/>
          <w:lang w:val="en-US" w:eastAsia="zh-CN"/>
        </w:rPr>
        <w:t>10</w:t>
      </w:r>
      <w:r>
        <w:rPr>
          <w:rFonts w:hint="eastAsia"/>
          <w:color w:val="auto"/>
        </w:rPr>
        <w:t>.2.3发展定位</w:t>
      </w:r>
    </w:p>
    <w:p>
      <w:pPr>
        <w:bidi w:val="0"/>
        <w:rPr>
          <w:color w:val="auto"/>
        </w:rPr>
      </w:pPr>
      <w:r>
        <w:rPr>
          <w:rFonts w:hint="eastAsia"/>
          <w:color w:val="auto"/>
        </w:rPr>
        <w:t>未来大东区在新时代新乡发展中的定位为：“一核心、两示范、四基地”。</w:t>
      </w:r>
    </w:p>
    <w:p>
      <w:pPr>
        <w:bidi w:val="0"/>
        <w:rPr>
          <w:color w:val="auto"/>
        </w:rPr>
      </w:pPr>
      <w:r>
        <w:rPr>
          <w:rFonts w:hint="eastAsia"/>
          <w:color w:val="auto"/>
        </w:rPr>
        <w:t>一核心：以“自主创新、协同创新、开放创新”带动产业提质升级的引领核心。</w:t>
      </w:r>
    </w:p>
    <w:p>
      <w:pPr>
        <w:bidi w:val="0"/>
        <w:rPr>
          <w:color w:val="auto"/>
        </w:rPr>
      </w:pPr>
      <w:r>
        <w:rPr>
          <w:rFonts w:hint="eastAsia"/>
          <w:color w:val="auto"/>
        </w:rPr>
        <w:t>两示范：生态文明的示范区、产城融合的示范区。</w:t>
      </w:r>
    </w:p>
    <w:p>
      <w:pPr>
        <w:bidi w:val="0"/>
        <w:rPr>
          <w:color w:val="auto"/>
        </w:rPr>
      </w:pPr>
      <w:r>
        <w:rPr>
          <w:rFonts w:hint="eastAsia"/>
          <w:color w:val="auto"/>
        </w:rPr>
        <w:t>四基地：先进制造业基地、战略新兴产业基地、科研教育基地、休闲农业基地。</w:t>
      </w:r>
    </w:p>
    <w:p>
      <w:pPr>
        <w:pStyle w:val="10"/>
        <w:bidi w:val="0"/>
        <w:rPr>
          <w:color w:val="auto"/>
        </w:rPr>
      </w:pPr>
      <w:r>
        <w:rPr>
          <w:rFonts w:hint="eastAsia"/>
          <w:color w:val="auto"/>
        </w:rPr>
        <w:t>2.</w:t>
      </w:r>
      <w:r>
        <w:rPr>
          <w:rFonts w:hint="eastAsia"/>
          <w:color w:val="auto"/>
          <w:lang w:val="en-US" w:eastAsia="zh-CN"/>
        </w:rPr>
        <w:t>10</w:t>
      </w:r>
      <w:r>
        <w:rPr>
          <w:rFonts w:hint="eastAsia"/>
          <w:color w:val="auto"/>
        </w:rPr>
        <w:t>.2.4空间结构</w:t>
      </w:r>
    </w:p>
    <w:p>
      <w:pPr>
        <w:bidi w:val="0"/>
        <w:rPr>
          <w:color w:val="auto"/>
        </w:rPr>
      </w:pPr>
      <w:r>
        <w:rPr>
          <w:rFonts w:hint="eastAsia"/>
          <w:color w:val="auto"/>
        </w:rPr>
        <w:t>规划形成“一心、四区、八大组团；一廊、四轴，生态网络”的空间结构。</w:t>
      </w:r>
    </w:p>
    <w:p>
      <w:pPr>
        <w:bidi w:val="0"/>
        <w:rPr>
          <w:color w:val="auto"/>
        </w:rPr>
      </w:pPr>
      <w:r>
        <w:rPr>
          <w:rFonts w:hint="eastAsia"/>
          <w:color w:val="auto"/>
        </w:rPr>
        <w:t>“一心”：由东湖和平原湖共同组成的城市绿心。</w:t>
      </w:r>
    </w:p>
    <w:p>
      <w:pPr>
        <w:bidi w:val="0"/>
        <w:rPr>
          <w:color w:val="auto"/>
        </w:rPr>
      </w:pPr>
      <w:r>
        <w:rPr>
          <w:rFonts w:hint="eastAsia"/>
          <w:color w:val="auto"/>
        </w:rPr>
        <w:t>“四区”：城市科技创新区、城市创智创新区、城市先进制造创新集群区、旅游度假健康养生区。</w:t>
      </w:r>
    </w:p>
    <w:p>
      <w:pPr>
        <w:bidi w:val="0"/>
        <w:rPr>
          <w:color w:val="auto"/>
        </w:rPr>
      </w:pPr>
      <w:r>
        <w:rPr>
          <w:rFonts w:hint="eastAsia"/>
          <w:color w:val="auto"/>
        </w:rPr>
        <w:t>“八大组团”：电池、电子组团、大学城组团、新能源汽车组团、现代服务组团、光电组团、生物新医药组团、高端装备组团、环保组团。</w:t>
      </w:r>
    </w:p>
    <w:p>
      <w:pPr>
        <w:bidi w:val="0"/>
        <w:rPr>
          <w:color w:val="auto"/>
        </w:rPr>
      </w:pPr>
      <w:r>
        <w:rPr>
          <w:rFonts w:hint="eastAsia"/>
          <w:color w:val="auto"/>
        </w:rPr>
        <w:t>“一廊”：京广发展复合走廊，以京广高铁、京港澳高速公路、107国道为依托，是郑新融合发展的联动主轴。</w:t>
      </w:r>
    </w:p>
    <w:p>
      <w:pPr>
        <w:bidi w:val="0"/>
        <w:rPr>
          <w:color w:val="auto"/>
        </w:rPr>
      </w:pPr>
      <w:r>
        <w:rPr>
          <w:rFonts w:hint="eastAsia"/>
          <w:color w:val="auto"/>
        </w:rPr>
        <w:t>“四轴”：平原路——金穗大道城市复合发展轴，新中大道——东环路城市发展轴；郑新快速路和新107国道（107东移）两条郑新融合发展联动次轴。城市先进制造创新集群区：新乡市先进制造业集中区。重点发展高端装备制造、高科技绿色纤维纺织服装和节能环保产业</w:t>
      </w:r>
    </w:p>
    <w:p>
      <w:pPr>
        <w:pStyle w:val="10"/>
        <w:bidi w:val="0"/>
        <w:rPr>
          <w:color w:val="auto"/>
        </w:rPr>
      </w:pPr>
      <w:r>
        <w:rPr>
          <w:rFonts w:hint="eastAsia"/>
          <w:color w:val="auto"/>
        </w:rPr>
        <w:t>2.</w:t>
      </w:r>
      <w:r>
        <w:rPr>
          <w:rFonts w:hint="eastAsia"/>
          <w:color w:val="auto"/>
          <w:lang w:val="en-US" w:eastAsia="zh-CN"/>
        </w:rPr>
        <w:t>10</w:t>
      </w:r>
      <w:r>
        <w:rPr>
          <w:rFonts w:hint="eastAsia"/>
          <w:color w:val="auto"/>
        </w:rPr>
        <w:t>.2.5高端产业聚焦战略</w:t>
      </w:r>
    </w:p>
    <w:p>
      <w:pPr>
        <w:bidi w:val="0"/>
        <w:rPr>
          <w:color w:val="auto"/>
        </w:rPr>
      </w:pPr>
      <w:r>
        <w:rPr>
          <w:rFonts w:hint="eastAsia"/>
          <w:color w:val="auto"/>
        </w:rPr>
        <w:t>强力推进新型工业化：</w:t>
      </w:r>
    </w:p>
    <w:p>
      <w:pPr>
        <w:bidi w:val="0"/>
        <w:rPr>
          <w:color w:val="auto"/>
        </w:rPr>
      </w:pPr>
      <w:r>
        <w:rPr>
          <w:rFonts w:hint="eastAsia"/>
          <w:color w:val="auto"/>
        </w:rPr>
        <w:t>全面对接《中国制造2025》，突出</w:t>
      </w:r>
      <w:r>
        <w:rPr>
          <w:rFonts w:hint="eastAsia"/>
          <w:color w:val="auto"/>
          <w:lang w:eastAsia="zh-CN"/>
        </w:rPr>
        <w:t>供给侧结构性</w:t>
      </w:r>
      <w:r>
        <w:rPr>
          <w:rFonts w:hint="eastAsia"/>
          <w:color w:val="auto"/>
        </w:rPr>
        <w:t>改革，优化提升装备制造、纺织服装两大优势产业，做强做精生物新医药、电池电动车两大特色产业，培育壮大电子信息、节能环保两大战略新兴产业，构建布局合理、技术先进、优势突出、特色鲜明、竞争力强的现代产业体系。</w:t>
      </w:r>
    </w:p>
    <w:p>
      <w:pPr>
        <w:bidi w:val="0"/>
        <w:rPr>
          <w:color w:val="auto"/>
        </w:rPr>
      </w:pPr>
      <w:r>
        <w:rPr>
          <w:rFonts w:hint="eastAsia"/>
          <w:color w:val="auto"/>
        </w:rPr>
        <w:t>推动纺织服装业绿色化发展：</w:t>
      </w:r>
    </w:p>
    <w:p>
      <w:pPr>
        <w:bidi w:val="0"/>
        <w:rPr>
          <w:color w:val="auto"/>
        </w:rPr>
      </w:pPr>
      <w:r>
        <w:rPr>
          <w:rFonts w:hint="eastAsia"/>
          <w:color w:val="auto"/>
        </w:rPr>
        <w:t>以新乡经开区高科技纺织服装产业园为基础，以新乡化纤为重点，积极引导大东区纺织服装企业进行科技创新和品牌建设，重点扩大新型纤维、中高档面料、高端家纺、研发设计等产业配套发展，严格控制污染类纺织产业发展，建设和郑州中高端服装协同发展的出口型纺织服装基地。</w:t>
      </w:r>
    </w:p>
    <w:p>
      <w:pPr>
        <w:bidi w:val="0"/>
        <w:rPr>
          <w:color w:val="auto"/>
        </w:rPr>
      </w:pPr>
      <w:r>
        <w:rPr>
          <w:rFonts w:hint="eastAsia"/>
          <w:color w:val="auto"/>
        </w:rPr>
        <w:t>经对照《新乡市大东区空间发展协同总体规划（2016-2035）》功能结构规划图，本项目位于新乡大东区高端装备组团内，属于高科技纺织产业，本项目产品生物质纤维属于本规划中的新型纤维，符合大东区高端产业聚焦战略规划。</w:t>
      </w:r>
    </w:p>
    <w:p>
      <w:pPr>
        <w:pStyle w:val="10"/>
        <w:bidi w:val="0"/>
        <w:rPr>
          <w:color w:val="auto"/>
        </w:rPr>
      </w:pPr>
      <w:r>
        <w:rPr>
          <w:rFonts w:hint="eastAsia"/>
          <w:color w:val="auto"/>
        </w:rPr>
        <w:t>2.</w:t>
      </w:r>
      <w:r>
        <w:rPr>
          <w:rFonts w:hint="eastAsia"/>
          <w:color w:val="auto"/>
          <w:lang w:val="en-US" w:eastAsia="zh-CN"/>
        </w:rPr>
        <w:t>10</w:t>
      </w:r>
      <w:r>
        <w:rPr>
          <w:rFonts w:hint="eastAsia"/>
          <w:color w:val="auto"/>
        </w:rPr>
        <w:t>.2.6市政基础设施规划</w:t>
      </w:r>
    </w:p>
    <w:p>
      <w:pPr>
        <w:bidi w:val="0"/>
        <w:rPr>
          <w:color w:val="auto"/>
        </w:rPr>
      </w:pPr>
      <w:r>
        <w:rPr>
          <w:rFonts w:hint="eastAsia"/>
          <w:color w:val="auto"/>
        </w:rPr>
        <w:t>（一）给水工程规划</w:t>
      </w:r>
    </w:p>
    <w:p>
      <w:pPr>
        <w:bidi w:val="0"/>
        <w:rPr>
          <w:color w:val="auto"/>
        </w:rPr>
      </w:pPr>
      <w:r>
        <w:rPr>
          <w:rFonts w:hint="eastAsia"/>
          <w:color w:val="auto"/>
        </w:rPr>
        <w:t>（1）需水量预测：2035年需水量76.6万立方米/日。大东区包含新乡市中心城区人口为75.43万人，建设用地为68.06平方公里。则大东区内新乡市中心城区范围内的用水量为35.86万平方米/日。则需要另外新增水量为40.74万立方米/日。</w:t>
      </w:r>
    </w:p>
    <w:p>
      <w:pPr>
        <w:bidi w:val="0"/>
        <w:rPr>
          <w:color w:val="auto"/>
        </w:rPr>
      </w:pPr>
      <w:r>
        <w:rPr>
          <w:rFonts w:hint="eastAsia"/>
          <w:color w:val="auto"/>
        </w:rPr>
        <w:t>（2）供水水源规划：新乡市中心城区水源以南水北调水为主，黄河水为补充。可将原有的引黄水作为古固寨水厂、小店生活水厂和榆东水厂的水源。规划以南水北调水、黄河水作为大东区主要供水水源，地下水作为应急水源。</w:t>
      </w:r>
    </w:p>
    <w:p>
      <w:pPr>
        <w:bidi w:val="0"/>
        <w:rPr>
          <w:color w:val="auto"/>
        </w:rPr>
      </w:pPr>
      <w:r>
        <w:rPr>
          <w:rFonts w:hint="eastAsia"/>
          <w:color w:val="auto"/>
        </w:rPr>
        <w:t>（3）水厂规划：规划保留高村、孟营和新区三座水厂，新建七座水厂（含三座工业水厂）。</w:t>
      </w:r>
    </w:p>
    <w:p>
      <w:pPr>
        <w:bidi w:val="0"/>
        <w:rPr>
          <w:color w:val="auto"/>
        </w:rPr>
      </w:pPr>
      <w:r>
        <w:rPr>
          <w:rFonts w:hint="eastAsia"/>
          <w:color w:val="auto"/>
        </w:rPr>
        <w:t>①规划新建小店生活水厂，设计供水能力5万立方米/日。总占地面积3.5公顷，以黄河水作为水源。</w:t>
      </w:r>
    </w:p>
    <w:p>
      <w:pPr>
        <w:bidi w:val="0"/>
        <w:rPr>
          <w:color w:val="auto"/>
        </w:rPr>
      </w:pPr>
      <w:r>
        <w:rPr>
          <w:rFonts w:hint="eastAsia"/>
          <w:color w:val="auto"/>
        </w:rPr>
        <w:t>②规划新建小店工业水厂，设计供水能力10万立方米/日。与小店污水处理厂合建，共占地21公顷，以污水处理厂尾水作为水源。</w:t>
      </w:r>
    </w:p>
    <w:p>
      <w:pPr>
        <w:bidi w:val="0"/>
        <w:rPr>
          <w:color w:val="auto"/>
        </w:rPr>
      </w:pPr>
      <w:r>
        <w:rPr>
          <w:rFonts w:hint="eastAsia"/>
          <w:color w:val="auto"/>
        </w:rPr>
        <w:t>③规划新建纺织园区工业水厂，设计供水能力3万立方米/日。与纺织园区污水处理厂合建，共占地7.32公顷，以尾水作为水源。</w:t>
      </w:r>
    </w:p>
    <w:p>
      <w:pPr>
        <w:bidi w:val="0"/>
        <w:rPr>
          <w:color w:val="auto"/>
        </w:rPr>
      </w:pPr>
      <w:r>
        <w:rPr>
          <w:rFonts w:hint="eastAsia"/>
          <w:color w:val="auto"/>
        </w:rPr>
        <w:t>（二）排水工程规划</w:t>
      </w:r>
    </w:p>
    <w:p>
      <w:pPr>
        <w:bidi w:val="0"/>
        <w:rPr>
          <w:color w:val="auto"/>
        </w:rPr>
      </w:pPr>
      <w:r>
        <w:rPr>
          <w:rFonts w:hint="eastAsia"/>
          <w:color w:val="auto"/>
        </w:rPr>
        <w:t>规划采取</w:t>
      </w:r>
      <w:r>
        <w:rPr>
          <w:rFonts w:hint="eastAsia"/>
          <w:color w:val="auto"/>
          <w:lang w:eastAsia="zh-CN"/>
        </w:rPr>
        <w:t>雨污水</w:t>
      </w:r>
      <w:r>
        <w:rPr>
          <w:rFonts w:hint="eastAsia"/>
          <w:color w:val="auto"/>
        </w:rPr>
        <w:t>分流制，按照统一规划、分期实施、合理布局、雨水就近排放、污水集中处理的原则规划。</w:t>
      </w:r>
    </w:p>
    <w:p>
      <w:pPr>
        <w:bidi w:val="0"/>
        <w:rPr>
          <w:color w:val="auto"/>
        </w:rPr>
      </w:pPr>
      <w:r>
        <w:rPr>
          <w:rFonts w:hint="eastAsia"/>
          <w:color w:val="auto"/>
        </w:rPr>
        <w:t>污水排放量预测：远期污水排放总量61.28万立方米/日。</w:t>
      </w:r>
    </w:p>
    <w:p>
      <w:pPr>
        <w:bidi w:val="0"/>
        <w:rPr>
          <w:color w:val="auto"/>
        </w:rPr>
      </w:pPr>
      <w:r>
        <w:rPr>
          <w:rFonts w:hint="eastAsia"/>
          <w:color w:val="auto"/>
        </w:rPr>
        <w:t>污水处理厂规划：规划保留6座</w:t>
      </w:r>
      <w:r>
        <w:rPr>
          <w:rFonts w:hint="eastAsia"/>
          <w:color w:val="auto"/>
          <w:lang w:eastAsia="zh-CN"/>
        </w:rPr>
        <w:t>污水处理厂</w:t>
      </w:r>
      <w:r>
        <w:rPr>
          <w:rFonts w:hint="eastAsia"/>
          <w:color w:val="auto"/>
        </w:rPr>
        <w:t>（扩建小店、贾屯、古固寨</w:t>
      </w:r>
      <w:r>
        <w:rPr>
          <w:rFonts w:hint="eastAsia"/>
          <w:color w:val="auto"/>
          <w:lang w:eastAsia="zh-CN"/>
        </w:rPr>
        <w:t>污水处理厂</w:t>
      </w:r>
      <w:r>
        <w:rPr>
          <w:rFonts w:hint="eastAsia"/>
          <w:color w:val="auto"/>
        </w:rPr>
        <w:t>），新建3座</w:t>
      </w:r>
      <w:r>
        <w:rPr>
          <w:rFonts w:hint="eastAsia"/>
          <w:color w:val="auto"/>
          <w:lang w:eastAsia="zh-CN"/>
        </w:rPr>
        <w:t>污水处理厂</w:t>
      </w:r>
      <w:r>
        <w:rPr>
          <w:rFonts w:hint="eastAsia"/>
          <w:color w:val="auto"/>
        </w:rPr>
        <w:t>，在建1座</w:t>
      </w:r>
      <w:r>
        <w:rPr>
          <w:rFonts w:hint="eastAsia"/>
          <w:color w:val="auto"/>
          <w:lang w:eastAsia="zh-CN"/>
        </w:rPr>
        <w:t>污水处理厂</w:t>
      </w:r>
      <w:r>
        <w:rPr>
          <w:rFonts w:hint="eastAsia"/>
          <w:color w:val="auto"/>
        </w:rPr>
        <w:t>。其他未覆盖区域规划设置小型污水处理设施。</w:t>
      </w:r>
    </w:p>
    <w:p>
      <w:pPr>
        <w:bidi w:val="0"/>
        <w:rPr>
          <w:color w:val="auto"/>
        </w:rPr>
      </w:pPr>
      <w:r>
        <w:rPr>
          <w:rFonts w:hint="eastAsia"/>
          <w:color w:val="auto"/>
        </w:rPr>
        <w:t>新建纺织园区污水处理厂，位于经开区东南部，科隆大道北侧，规划路东侧，设计污水处理能力5万立方米/日，占地7.32公顷（与纺织园区工业水厂合建）。</w:t>
      </w:r>
    </w:p>
    <w:p>
      <w:pPr>
        <w:bidi w:val="0"/>
        <w:rPr>
          <w:color w:val="auto"/>
        </w:rPr>
      </w:pPr>
      <w:r>
        <w:rPr>
          <w:rFonts w:hint="eastAsia"/>
          <w:color w:val="auto"/>
        </w:rPr>
        <w:t>（三）供热工程规划</w:t>
      </w:r>
    </w:p>
    <w:p>
      <w:pPr>
        <w:bidi w:val="0"/>
        <w:rPr>
          <w:color w:val="auto"/>
        </w:rPr>
      </w:pPr>
      <w:r>
        <w:rPr>
          <w:rFonts w:hint="eastAsia"/>
          <w:color w:val="auto"/>
        </w:rPr>
        <w:t>集中供热的规划原则为：城市集中供热和单位自供（或联供）并存，以城市集中供热为主。在发展城市集中供热热源的基础上，逐步取消单位自备10吨/小时以下的小型锅炉，对10吨/小时以上的单位自备锅炉予以保留或提高热源规模，形成区域供热热源。预测大东区内集中供热负荷预测为4412.41兆瓦。</w:t>
      </w:r>
    </w:p>
    <w:p>
      <w:pPr>
        <w:bidi w:val="0"/>
        <w:rPr>
          <w:color w:val="auto"/>
        </w:rPr>
      </w:pPr>
      <w:r>
        <w:rPr>
          <w:rFonts w:hint="eastAsia"/>
          <w:color w:val="auto"/>
        </w:rPr>
        <w:t>热源规划：</w:t>
      </w:r>
    </w:p>
    <w:p>
      <w:pPr>
        <w:bidi w:val="0"/>
        <w:rPr>
          <w:color w:val="auto"/>
        </w:rPr>
      </w:pPr>
      <w:r>
        <w:rPr>
          <w:rFonts w:hint="eastAsia"/>
          <w:color w:val="auto"/>
        </w:rPr>
        <w:t>现状新乡化纤有自备热电厂，装机容量6.8万千瓦，供热规模332吨/小时热蒸气，供生产自用和经开区使用。</w:t>
      </w:r>
    </w:p>
    <w:p>
      <w:pPr>
        <w:bidi w:val="0"/>
        <w:rPr>
          <w:color w:val="auto"/>
        </w:rPr>
      </w:pPr>
      <w:r>
        <w:rPr>
          <w:rFonts w:hint="eastAsia"/>
          <w:color w:val="auto"/>
        </w:rPr>
        <w:t>新奥燃气供热厂，建设规模2×35吨/小时热蒸气，供热范围为经开区和榆东工业区。</w:t>
      </w:r>
    </w:p>
    <w:p>
      <w:pPr>
        <w:bidi w:val="0"/>
        <w:rPr>
          <w:color w:val="auto"/>
        </w:rPr>
      </w:pPr>
      <w:bookmarkStart w:id="157" w:name="_Hlk120369620"/>
      <w:r>
        <w:rPr>
          <w:rFonts w:hint="eastAsia"/>
          <w:color w:val="auto"/>
        </w:rPr>
        <w:t>本项目给水由新乡市兴鹭水务有限公司提供</w:t>
      </w:r>
      <w:bookmarkEnd w:id="157"/>
      <w:r>
        <w:rPr>
          <w:rFonts w:hint="eastAsia"/>
          <w:color w:val="auto"/>
        </w:rPr>
        <w:t>；排水依托新乡化纤股份有限公司新厂区3.8万t/d污水处理站处理后排入小店污水处理厂进一步处理；供热依托园区调整后的热源点</w:t>
      </w:r>
      <w:bookmarkStart w:id="158" w:name="_Hlk120374459"/>
      <w:r>
        <w:rPr>
          <w:rFonts w:hint="eastAsia"/>
          <w:color w:val="auto"/>
        </w:rPr>
        <w:t>新乡化纤股份有限公司拟建的360t/h锅炉供给，</w:t>
      </w:r>
      <w:bookmarkEnd w:id="158"/>
      <w:r>
        <w:rPr>
          <w:rFonts w:hint="eastAsia"/>
          <w:color w:val="auto"/>
        </w:rPr>
        <w:t>新乡经开区的供热规划已调整，新乡化纤拟建360t/h锅炉属于经开区供热热源点。</w:t>
      </w:r>
    </w:p>
    <w:p>
      <w:pPr>
        <w:pStyle w:val="9"/>
        <w:rPr>
          <w:rFonts w:hint="eastAsia"/>
          <w:color w:val="auto"/>
          <w:u w:val="single"/>
        </w:rPr>
      </w:pPr>
      <w:r>
        <w:rPr>
          <w:rFonts w:hint="eastAsia"/>
          <w:color w:val="auto"/>
          <w:u w:val="single"/>
        </w:rPr>
        <w:t>2.10.3新乡经济技术开发区发展规划（2009-2020）及《新乡经济技术开发区发展规划（2009-2020）环境影响跟踪评价报告书》</w:t>
      </w:r>
    </w:p>
    <w:p>
      <w:pPr>
        <w:bidi w:val="0"/>
        <w:rPr>
          <w:color w:val="auto"/>
        </w:rPr>
      </w:pPr>
      <w:r>
        <w:rPr>
          <w:rFonts w:hint="eastAsia"/>
          <w:color w:val="auto"/>
        </w:rPr>
        <w:t>新乡经济技术开发区为河南省确定的首批180个产业集聚区之一，位于新乡市区东部，距新乡市中心城区行政中心8km，北至济东高速公路，南至新延公路，西至东三干渠，东与延津县相连，规划区面积22.8km</w:t>
      </w:r>
      <w:r>
        <w:rPr>
          <w:rFonts w:hint="eastAsia"/>
          <w:color w:val="auto"/>
          <w:vertAlign w:val="superscript"/>
        </w:rPr>
        <w:t>2</w:t>
      </w:r>
      <w:r>
        <w:rPr>
          <w:rFonts w:hint="eastAsia"/>
          <w:color w:val="auto"/>
        </w:rPr>
        <w:t>。新乡经济技术开发区是在河南新乡工业园区的基础上设立的，该园区始建于2003年元月；2005年12月园区环境影响评价经过省环保厅批复；2006年4月，经国家发改委、建设部、国土资源部审核，省政府批准，正式被确立为省级开发区，名称为新乡工业园区；2012年7月30日，经国务院批准，升级为国家级经济技术开发区，定名为“新乡经济技术开发区”。新乡经济技术开发区位于新乡市区东部的黄河故道区，区内80%的土地为沙荒地。</w:t>
      </w:r>
    </w:p>
    <w:p>
      <w:pPr>
        <w:bidi w:val="0"/>
        <w:rPr>
          <w:rFonts w:hint="eastAsia"/>
          <w:color w:val="auto"/>
        </w:rPr>
      </w:pPr>
      <w:r>
        <w:rPr>
          <w:rFonts w:hint="eastAsia"/>
          <w:color w:val="auto"/>
        </w:rPr>
        <w:t>《新乡工业产业集聚区（后更名为国家新乡经济技术开发区）发展规划环境影响报告书》于2010年由新乡市环境保护科学设计研究院编制完成，该规划环评2011年1月已取得河南省环保厅的批复（豫环审[2011]2号）。</w:t>
      </w:r>
    </w:p>
    <w:p>
      <w:pPr>
        <w:ind w:firstLine="482" w:firstLineChars="200"/>
        <w:rPr>
          <w:b/>
          <w:bCs/>
          <w:color w:val="auto"/>
          <w:u w:val="single"/>
        </w:rPr>
      </w:pPr>
      <w:r>
        <w:rPr>
          <w:rFonts w:hint="eastAsia"/>
          <w:b/>
          <w:bCs/>
          <w:color w:val="auto"/>
          <w:u w:val="single"/>
        </w:rPr>
        <w:t>根据《河南省环境保护厅关于全面加强产业园区规划环境影响评价工作的通知》（豫环文[2016]174号）要求，新乡经济技术开发区开展了跟踪环境影响评价工作。《新乡经济技术开发区发展规划（2009-2020）环境影响跟踪评价报告书》由济源蓝天科技有限责任公司编制完成，并于2020年6月取得河南省生态环境厅的审核意见（豫环函</w:t>
      </w:r>
      <w:r>
        <w:rPr>
          <w:rFonts w:hint="eastAsia"/>
          <w:b/>
          <w:bCs/>
          <w:color w:val="auto"/>
          <w:u w:val="single"/>
          <w:lang w:eastAsia="zh-CN"/>
        </w:rPr>
        <w:t>〔</w:t>
      </w:r>
      <w:r>
        <w:rPr>
          <w:rFonts w:hint="eastAsia"/>
          <w:b/>
          <w:bCs/>
          <w:color w:val="auto"/>
          <w:u w:val="single"/>
        </w:rPr>
        <w:t>2020</w:t>
      </w:r>
      <w:r>
        <w:rPr>
          <w:rFonts w:hint="eastAsia"/>
          <w:b/>
          <w:bCs/>
          <w:color w:val="auto"/>
          <w:u w:val="single"/>
          <w:lang w:eastAsia="zh-CN"/>
        </w:rPr>
        <w:t>〕</w:t>
      </w:r>
      <w:r>
        <w:rPr>
          <w:rFonts w:hint="eastAsia"/>
          <w:b/>
          <w:bCs/>
          <w:color w:val="auto"/>
          <w:u w:val="single"/>
        </w:rPr>
        <w:t>105号），跟踪评价给出了园区后续规划实施的产业发展负面清单和环境准入要求。</w:t>
      </w:r>
    </w:p>
    <w:p>
      <w:pPr>
        <w:pStyle w:val="10"/>
        <w:bidi w:val="0"/>
        <w:rPr>
          <w:color w:val="auto"/>
        </w:rPr>
      </w:pPr>
      <w:r>
        <w:rPr>
          <w:rFonts w:hint="eastAsia"/>
          <w:color w:val="auto"/>
        </w:rPr>
        <w:t>2.</w:t>
      </w:r>
      <w:r>
        <w:rPr>
          <w:rFonts w:hint="eastAsia"/>
          <w:color w:val="auto"/>
          <w:lang w:val="en-US" w:eastAsia="zh-CN"/>
        </w:rPr>
        <w:t>10</w:t>
      </w:r>
      <w:r>
        <w:rPr>
          <w:rFonts w:hint="eastAsia"/>
          <w:color w:val="auto"/>
        </w:rPr>
        <w:t>.3.1规划范围和期限</w:t>
      </w:r>
    </w:p>
    <w:p>
      <w:pPr>
        <w:bidi w:val="0"/>
        <w:rPr>
          <w:color w:val="auto"/>
        </w:rPr>
      </w:pPr>
      <w:r>
        <w:rPr>
          <w:rFonts w:hint="eastAsia"/>
          <w:color w:val="auto"/>
        </w:rPr>
        <w:t>规划范围：经开区位于新乡市中心城区东部，北至纬九路（与市区平原路连接），南至新延路，西北至经一路和东三干渠，东至延津县界，总面积2280公顷。</w:t>
      </w:r>
    </w:p>
    <w:p>
      <w:pPr>
        <w:bidi w:val="0"/>
        <w:rPr>
          <w:color w:val="auto"/>
        </w:rPr>
      </w:pPr>
      <w:r>
        <w:rPr>
          <w:rFonts w:hint="eastAsia"/>
          <w:color w:val="auto"/>
        </w:rPr>
        <w:t>规划期限：规划分三期。其中近期为2009～2012年；中期为2013～2015年；远期为2016～2020年。</w:t>
      </w:r>
    </w:p>
    <w:p>
      <w:pPr>
        <w:pStyle w:val="10"/>
        <w:bidi w:val="0"/>
        <w:rPr>
          <w:color w:val="auto"/>
        </w:rPr>
      </w:pPr>
      <w:r>
        <w:rPr>
          <w:rFonts w:hint="eastAsia"/>
          <w:color w:val="auto"/>
        </w:rPr>
        <w:t>2.</w:t>
      </w:r>
      <w:r>
        <w:rPr>
          <w:rFonts w:hint="eastAsia"/>
          <w:color w:val="auto"/>
          <w:lang w:val="en-US" w:eastAsia="zh-CN"/>
        </w:rPr>
        <w:t>10</w:t>
      </w:r>
      <w:r>
        <w:rPr>
          <w:rFonts w:hint="eastAsia"/>
          <w:color w:val="auto"/>
        </w:rPr>
        <w:t>.3.2发展定位与目标</w:t>
      </w:r>
    </w:p>
    <w:p>
      <w:pPr>
        <w:bidi w:val="0"/>
        <w:rPr>
          <w:color w:val="auto"/>
        </w:rPr>
      </w:pPr>
      <w:r>
        <w:rPr>
          <w:rFonts w:hint="eastAsia"/>
          <w:color w:val="auto"/>
        </w:rPr>
        <w:t>集聚区发展定位：豫北地区先进制造业基地；职业技术培训和人力资源输出基地；以发展化纤纺织、汽车及零部件和装备制造产业为主的工业新区。</w:t>
      </w:r>
    </w:p>
    <w:p>
      <w:pPr>
        <w:bidi w:val="0"/>
        <w:rPr>
          <w:color w:val="auto"/>
        </w:rPr>
      </w:pPr>
      <w:r>
        <w:rPr>
          <w:rFonts w:hint="eastAsia"/>
          <w:color w:val="auto"/>
        </w:rPr>
        <w:t>集聚区发展目标：产业集聚区到2020年将实现地区生产总值（GDP）200亿，居住人口12.5万人；用地指标2280公顷，成为新乡市的综合性城市拓展区。</w:t>
      </w:r>
    </w:p>
    <w:p>
      <w:pPr>
        <w:pStyle w:val="10"/>
        <w:bidi w:val="0"/>
        <w:rPr>
          <w:color w:val="auto"/>
        </w:rPr>
      </w:pPr>
      <w:r>
        <w:rPr>
          <w:rFonts w:hint="eastAsia"/>
          <w:color w:val="auto"/>
        </w:rPr>
        <w:t>2.</w:t>
      </w:r>
      <w:r>
        <w:rPr>
          <w:rFonts w:hint="eastAsia"/>
          <w:color w:val="auto"/>
          <w:lang w:val="en-US" w:eastAsia="zh-CN"/>
        </w:rPr>
        <w:t>10</w:t>
      </w:r>
      <w:r>
        <w:rPr>
          <w:rFonts w:hint="eastAsia"/>
          <w:color w:val="auto"/>
        </w:rPr>
        <w:t>.3.3产业规划</w:t>
      </w:r>
    </w:p>
    <w:p>
      <w:pPr>
        <w:bidi w:val="0"/>
        <w:rPr>
          <w:color w:val="auto"/>
        </w:rPr>
      </w:pPr>
      <w:r>
        <w:rPr>
          <w:rFonts w:hint="eastAsia"/>
          <w:color w:val="auto"/>
        </w:rPr>
        <w:t>规划的产业类别为化纤纺织、汽车及零部件、装备制造、化工医药</w:t>
      </w:r>
      <w:r>
        <w:rPr>
          <w:rFonts w:hint="eastAsia"/>
          <w:color w:val="auto"/>
          <w:lang w:eastAsia="zh-CN"/>
        </w:rPr>
        <w:t>和其他</w:t>
      </w:r>
      <w:r>
        <w:rPr>
          <w:rFonts w:hint="eastAsia"/>
          <w:color w:val="auto"/>
        </w:rPr>
        <w:t>一类用地的轻污染产业。规划环评中建议限制化纤纺织业中水污染较重的印染业发展，同时调整化纤产业结构，大力开发化纤纺织下游加工类产品；鉴于化工医药业在集聚区开发过程中已经形成一定的集聚，建议限制其发展，不再扩大规模。</w:t>
      </w:r>
    </w:p>
    <w:p>
      <w:pPr>
        <w:bidi w:val="0"/>
        <w:rPr>
          <w:color w:val="auto"/>
        </w:rPr>
      </w:pPr>
      <w:r>
        <w:rPr>
          <w:rFonts w:hint="eastAsia"/>
          <w:color w:val="auto"/>
        </w:rPr>
        <w:t>经开区规划的主导产业为：化纤纺织、汽车及零部件和装备制造产业。</w:t>
      </w:r>
    </w:p>
    <w:p>
      <w:pPr>
        <w:pStyle w:val="10"/>
        <w:bidi w:val="0"/>
        <w:rPr>
          <w:color w:val="auto"/>
        </w:rPr>
      </w:pPr>
      <w:r>
        <w:rPr>
          <w:rFonts w:hint="eastAsia"/>
          <w:color w:val="auto"/>
        </w:rPr>
        <w:t>2.</w:t>
      </w:r>
      <w:r>
        <w:rPr>
          <w:rFonts w:hint="eastAsia"/>
          <w:color w:val="auto"/>
          <w:lang w:val="en-US" w:eastAsia="zh-CN"/>
        </w:rPr>
        <w:t>10</w:t>
      </w:r>
      <w:r>
        <w:rPr>
          <w:rFonts w:hint="eastAsia"/>
          <w:color w:val="auto"/>
        </w:rPr>
        <w:t>.3.4空间结构</w:t>
      </w:r>
    </w:p>
    <w:p>
      <w:pPr>
        <w:bidi w:val="0"/>
        <w:rPr>
          <w:color w:val="auto"/>
        </w:rPr>
      </w:pPr>
      <w:r>
        <w:rPr>
          <w:rFonts w:hint="eastAsia"/>
          <w:color w:val="auto"/>
        </w:rPr>
        <w:t>集聚区空间结构为：“一心、三轴、三带、三区”。</w:t>
      </w:r>
    </w:p>
    <w:p>
      <w:pPr>
        <w:bidi w:val="0"/>
        <w:rPr>
          <w:color w:val="auto"/>
        </w:rPr>
      </w:pPr>
      <w:r>
        <w:rPr>
          <w:rFonts w:hint="eastAsia"/>
          <w:color w:val="auto"/>
        </w:rPr>
        <w:t>“一心”：在新长北线与经三路两条发展轴交汇的节点处，规划为本产业集聚区的中央商务区，也是本产业集聚区的行政中心。</w:t>
      </w:r>
    </w:p>
    <w:p>
      <w:pPr>
        <w:bidi w:val="0"/>
        <w:rPr>
          <w:color w:val="auto"/>
        </w:rPr>
      </w:pPr>
      <w:r>
        <w:rPr>
          <w:rFonts w:hint="eastAsia"/>
          <w:color w:val="auto"/>
        </w:rPr>
        <w:t>“三轴”：即以纬九路（与中心城区平原路对接）、经三路（与新乡县古固寨镇对接）、新长北线（与中心城区金穗大道对接）为产业集聚区的三条发展轴线，布置集聚区各类建设项目。</w:t>
      </w:r>
    </w:p>
    <w:p>
      <w:pPr>
        <w:bidi w:val="0"/>
        <w:rPr>
          <w:color w:val="auto"/>
        </w:rPr>
      </w:pPr>
      <w:r>
        <w:rPr>
          <w:rFonts w:hint="eastAsia"/>
          <w:color w:val="auto"/>
        </w:rPr>
        <w:t>“三带”：即大沙河、东三干渠和济东高速三条景观带。</w:t>
      </w:r>
    </w:p>
    <w:p>
      <w:pPr>
        <w:bidi w:val="0"/>
        <w:rPr>
          <w:color w:val="auto"/>
        </w:rPr>
      </w:pPr>
      <w:r>
        <w:rPr>
          <w:rFonts w:hint="eastAsia"/>
          <w:color w:val="auto"/>
        </w:rPr>
        <w:t>“三区”：以大沙河、新长北线为界，将集聚区划分为三个功能区。大沙河以东为工业项目集聚区，大沙河以西、新长北线以南为职业教育院校集聚区，大沙河以西、新长北线以北为商务办公居住等集聚区。</w:t>
      </w:r>
    </w:p>
    <w:p>
      <w:pPr>
        <w:pStyle w:val="10"/>
        <w:bidi w:val="0"/>
        <w:rPr>
          <w:b/>
          <w:bCs w:val="0"/>
          <w:color w:val="auto"/>
          <w:u w:val="single"/>
        </w:rPr>
      </w:pPr>
      <w:r>
        <w:rPr>
          <w:rFonts w:hint="eastAsia"/>
          <w:b/>
          <w:bCs w:val="0"/>
          <w:color w:val="auto"/>
          <w:u w:val="single"/>
        </w:rPr>
        <w:t>2.</w:t>
      </w:r>
      <w:r>
        <w:rPr>
          <w:rFonts w:hint="eastAsia"/>
          <w:b/>
          <w:bCs w:val="0"/>
          <w:color w:val="auto"/>
          <w:u w:val="single"/>
          <w:lang w:val="en-US" w:eastAsia="zh-CN"/>
        </w:rPr>
        <w:t>10</w:t>
      </w:r>
      <w:r>
        <w:rPr>
          <w:rFonts w:hint="eastAsia"/>
          <w:b/>
          <w:bCs w:val="0"/>
          <w:color w:val="auto"/>
          <w:u w:val="single"/>
        </w:rPr>
        <w:t>.3.5基础设施规划</w:t>
      </w:r>
    </w:p>
    <w:p>
      <w:pPr>
        <w:bidi w:val="0"/>
        <w:rPr>
          <w:b/>
          <w:bCs w:val="0"/>
          <w:color w:val="auto"/>
          <w:u w:val="single"/>
        </w:rPr>
      </w:pPr>
      <w:r>
        <w:rPr>
          <w:rFonts w:hint="eastAsia"/>
          <w:b/>
          <w:bCs w:val="0"/>
          <w:color w:val="auto"/>
          <w:u w:val="single"/>
        </w:rPr>
        <w:t>（一）给水：规划新建新东水厂，位于小店新城关屯南部，设计供水能力10万立方米/日，总占地面积5.0万平方米。近期建设一期工程，设计供水能力5万立方米/日，以黄河水作为水源。远期建设二期工程，供水能力5万立方米/日，以南水北调水作为水源。以满足区域发展需水量要求。</w:t>
      </w:r>
    </w:p>
    <w:p>
      <w:pPr>
        <w:bidi w:val="0"/>
        <w:rPr>
          <w:b/>
          <w:bCs w:val="0"/>
          <w:color w:val="auto"/>
          <w:u w:val="single"/>
        </w:rPr>
      </w:pPr>
      <w:r>
        <w:rPr>
          <w:rFonts w:hint="eastAsia"/>
          <w:b/>
          <w:bCs w:val="0"/>
          <w:color w:val="auto"/>
          <w:u w:val="single"/>
        </w:rPr>
        <w:t>本项目给水规划由新乡市兴鹭水务有限公司供水。其日供水10万立方米/日的一期工程（5万立方米/日）正在建设。</w:t>
      </w:r>
    </w:p>
    <w:p>
      <w:pPr>
        <w:bidi w:val="0"/>
        <w:rPr>
          <w:b/>
          <w:bCs w:val="0"/>
          <w:color w:val="auto"/>
          <w:u w:val="single"/>
        </w:rPr>
      </w:pPr>
      <w:r>
        <w:rPr>
          <w:rFonts w:hint="eastAsia"/>
          <w:b/>
          <w:bCs w:val="0"/>
          <w:color w:val="auto"/>
          <w:u w:val="single"/>
        </w:rPr>
        <w:t>（二）排水：经济技术开发区规划采取雨污分流的排水体制，经开区工业和生活污水各自经预处理后，由小店污水处理厂处理。小店污水处理厂（位于新长北线以北、东三干渠以西，紧邻规划区东边界）设计污水处理能力10万m</w:t>
      </w:r>
      <w:r>
        <w:rPr>
          <w:rFonts w:hint="eastAsia"/>
          <w:b/>
          <w:bCs w:val="0"/>
          <w:color w:val="auto"/>
          <w:u w:val="single"/>
          <w:vertAlign w:val="superscript"/>
        </w:rPr>
        <w:t>3</w:t>
      </w:r>
      <w:r>
        <w:rPr>
          <w:rFonts w:hint="eastAsia"/>
          <w:b/>
          <w:bCs w:val="0"/>
          <w:color w:val="auto"/>
          <w:u w:val="single"/>
        </w:rPr>
        <w:t>/d，分二期建设，一期5万m</w:t>
      </w:r>
      <w:r>
        <w:rPr>
          <w:rFonts w:hint="eastAsia"/>
          <w:b/>
          <w:bCs w:val="0"/>
          <w:color w:val="auto"/>
          <w:u w:val="single"/>
          <w:vertAlign w:val="superscript"/>
        </w:rPr>
        <w:t>3</w:t>
      </w:r>
      <w:r>
        <w:rPr>
          <w:rFonts w:hint="eastAsia"/>
          <w:b/>
          <w:bCs w:val="0"/>
          <w:color w:val="auto"/>
          <w:u w:val="single"/>
        </w:rPr>
        <w:t>/d目前已运行多年，二期工程也已经于2018年投入运行。小店污水处理厂的收水范围为小店新城生活污水、新乡市经济技术开发区的工业和生活污水，本项目属于小店污水处理厂的收水范围。本项目废水经污水处理站处理后，排入小店污水处理厂进一步处理。目前，小店污水处理厂剩余处理规模约为2.19万m</w:t>
      </w:r>
      <w:r>
        <w:rPr>
          <w:rFonts w:hint="eastAsia"/>
          <w:b/>
          <w:bCs w:val="0"/>
          <w:color w:val="auto"/>
          <w:u w:val="single"/>
          <w:vertAlign w:val="superscript"/>
        </w:rPr>
        <w:t>3</w:t>
      </w:r>
      <w:r>
        <w:rPr>
          <w:rFonts w:hint="eastAsia"/>
          <w:b/>
          <w:bCs w:val="0"/>
          <w:color w:val="auto"/>
          <w:u w:val="single"/>
        </w:rPr>
        <w:t>/d，本项目新增外排废水</w:t>
      </w:r>
      <w:r>
        <w:rPr>
          <w:b/>
          <w:bCs w:val="0"/>
          <w:color w:val="auto"/>
          <w:u w:val="single"/>
        </w:rPr>
        <w:t>1540.8</w:t>
      </w:r>
      <w:r>
        <w:rPr>
          <w:rFonts w:hint="eastAsia"/>
          <w:b/>
          <w:bCs w:val="0"/>
          <w:color w:val="auto"/>
          <w:u w:val="single"/>
        </w:rPr>
        <w:t>m</w:t>
      </w:r>
      <w:r>
        <w:rPr>
          <w:rFonts w:hint="eastAsia"/>
          <w:b/>
          <w:bCs w:val="0"/>
          <w:color w:val="auto"/>
          <w:u w:val="single"/>
          <w:vertAlign w:val="superscript"/>
        </w:rPr>
        <w:t>3</w:t>
      </w:r>
      <w:r>
        <w:rPr>
          <w:rFonts w:hint="eastAsia"/>
          <w:b/>
          <w:bCs w:val="0"/>
          <w:color w:val="auto"/>
          <w:u w:val="single"/>
        </w:rPr>
        <w:t>/d，满足项目处理的要求。</w:t>
      </w:r>
    </w:p>
    <w:p>
      <w:pPr>
        <w:bidi w:val="0"/>
        <w:rPr>
          <w:b/>
          <w:bCs w:val="0"/>
          <w:color w:val="auto"/>
          <w:u w:val="single"/>
        </w:rPr>
      </w:pPr>
      <w:r>
        <w:rPr>
          <w:rFonts w:hint="eastAsia"/>
          <w:b/>
          <w:bCs w:val="0"/>
          <w:color w:val="auto"/>
          <w:u w:val="single"/>
        </w:rPr>
        <w:t>（三）供电：集聚区现状有三处变电站，即110KV彩虹变、110KV化纤厂变和110KV白鹭变，电源接自220KV古固寨变，可以为进区企业提供生产、生活用电。</w:t>
      </w:r>
    </w:p>
    <w:p>
      <w:pPr>
        <w:bidi w:val="0"/>
        <w:rPr>
          <w:b/>
          <w:bCs w:val="0"/>
          <w:color w:val="auto"/>
          <w:u w:val="single"/>
        </w:rPr>
      </w:pPr>
      <w:r>
        <w:rPr>
          <w:rFonts w:hint="eastAsia"/>
          <w:b/>
          <w:bCs w:val="0"/>
          <w:color w:val="auto"/>
          <w:u w:val="single"/>
        </w:rPr>
        <w:t>（四）供热：集聚区采用集中供热系统，热源由新乡化纤股份有限公司和新奥集团供热厂提供，规划环评要求扩建集聚区内新奥集团供热厂，使集聚区集中供热规模近期达到403t/h，远期达到742t/h，满足集聚区用热需求。</w:t>
      </w:r>
    </w:p>
    <w:p>
      <w:pPr>
        <w:bidi w:val="0"/>
        <w:rPr>
          <w:b/>
          <w:bCs w:val="0"/>
          <w:color w:val="auto"/>
          <w:u w:val="single"/>
        </w:rPr>
      </w:pPr>
      <w:r>
        <w:rPr>
          <w:rFonts w:hint="eastAsia"/>
          <w:b/>
          <w:bCs w:val="0"/>
          <w:color w:val="auto"/>
          <w:u w:val="single"/>
        </w:rPr>
        <w:t>随着经开区的发展和园区供热需求，目前实际建设情况，经开区的两个集中供热热源点分别为新奥集团供热厂和新乡化纤股份有限公司，现状新奥集团供热厂供热锅炉为1台15t/h的燃气锅炉，新乡化纤股份有限公司供热锅炉为2台170t/h锅炉，1台75t/h锅炉，供热能力为“2×170t/h+75t/h”。</w:t>
      </w:r>
    </w:p>
    <w:p>
      <w:pPr>
        <w:bidi w:val="0"/>
        <w:rPr>
          <w:b/>
          <w:bCs w:val="0"/>
          <w:color w:val="auto"/>
          <w:u w:val="single"/>
        </w:rPr>
      </w:pPr>
      <w:r>
        <w:rPr>
          <w:rFonts w:hint="eastAsia"/>
          <w:b/>
          <w:bCs w:val="0"/>
          <w:color w:val="auto"/>
          <w:u w:val="single"/>
        </w:rPr>
        <w:t>考虑园区工业对高温高压蒸汽的需求，新乡经济技术开发区于2020年6月对园区供热规划进行了调整，调整规划中提出热源建设方案，近期拟实施新乡化纤股份有限公司新建一台360t/h高温高压锅炉实现集中供热，预计建成时间为202</w:t>
      </w:r>
      <w:r>
        <w:rPr>
          <w:b/>
          <w:bCs w:val="0"/>
          <w:color w:val="auto"/>
          <w:u w:val="single"/>
        </w:rPr>
        <w:t>3</w:t>
      </w:r>
      <w:r>
        <w:rPr>
          <w:rFonts w:hint="eastAsia"/>
          <w:b/>
          <w:bCs w:val="0"/>
          <w:color w:val="auto"/>
          <w:u w:val="single"/>
        </w:rPr>
        <w:t>年10月。</w:t>
      </w:r>
    </w:p>
    <w:p>
      <w:pPr>
        <w:bidi w:val="0"/>
        <w:rPr>
          <w:b/>
          <w:bCs w:val="0"/>
          <w:color w:val="auto"/>
          <w:u w:val="single"/>
        </w:rPr>
      </w:pPr>
      <w:r>
        <w:rPr>
          <w:rFonts w:hint="eastAsia"/>
          <w:b/>
          <w:bCs w:val="0"/>
          <w:color w:val="auto"/>
          <w:u w:val="single"/>
        </w:rPr>
        <w:t>本项目建设需要的高温高压蒸汽量为</w:t>
      </w:r>
      <w:r>
        <w:rPr>
          <w:b/>
          <w:bCs w:val="0"/>
          <w:color w:val="auto"/>
          <w:u w:val="single"/>
        </w:rPr>
        <w:t>4.5</w:t>
      </w:r>
      <w:r>
        <w:rPr>
          <w:rFonts w:hint="eastAsia"/>
          <w:b/>
          <w:bCs w:val="0"/>
          <w:color w:val="auto"/>
          <w:u w:val="single"/>
        </w:rPr>
        <w:t>t/h，仅占360t/h高温高压蒸汽锅炉产汽量的</w:t>
      </w:r>
      <w:r>
        <w:rPr>
          <w:b/>
          <w:bCs w:val="0"/>
          <w:color w:val="auto"/>
          <w:u w:val="single"/>
        </w:rPr>
        <w:t>1.25</w:t>
      </w:r>
      <w:r>
        <w:rPr>
          <w:rFonts w:hint="eastAsia"/>
          <w:b/>
          <w:bCs w:val="0"/>
          <w:color w:val="auto"/>
          <w:u w:val="single"/>
        </w:rPr>
        <w:t>%，本项目建成时间为202</w:t>
      </w:r>
      <w:r>
        <w:rPr>
          <w:b/>
          <w:bCs w:val="0"/>
          <w:color w:val="auto"/>
          <w:u w:val="single"/>
        </w:rPr>
        <w:t>3</w:t>
      </w:r>
      <w:r>
        <w:rPr>
          <w:rFonts w:hint="eastAsia"/>
          <w:b/>
          <w:bCs w:val="0"/>
          <w:color w:val="auto"/>
          <w:u w:val="single"/>
        </w:rPr>
        <w:t>年</w:t>
      </w:r>
      <w:r>
        <w:rPr>
          <w:rFonts w:hint="eastAsia"/>
          <w:b/>
          <w:bCs w:val="0"/>
          <w:color w:val="auto"/>
          <w:u w:val="single"/>
          <w:lang w:val="en-US" w:eastAsia="zh-CN"/>
        </w:rPr>
        <w:t>11</w:t>
      </w:r>
      <w:r>
        <w:rPr>
          <w:rFonts w:hint="eastAsia"/>
          <w:b/>
          <w:bCs w:val="0"/>
          <w:color w:val="auto"/>
          <w:u w:val="single"/>
        </w:rPr>
        <w:t>月，届时360t/h高温高压锅炉项目也预计建成，故本项目用热依托园区拟建的热源点360t/h高温高压锅炉是可行的。</w:t>
      </w:r>
    </w:p>
    <w:p>
      <w:pPr>
        <w:bidi w:val="0"/>
        <w:rPr>
          <w:b/>
          <w:bCs w:val="0"/>
          <w:color w:val="auto"/>
          <w:u w:val="single"/>
        </w:rPr>
      </w:pPr>
      <w:r>
        <w:rPr>
          <w:rFonts w:hint="eastAsia"/>
          <w:b/>
          <w:bCs w:val="0"/>
          <w:color w:val="auto"/>
          <w:u w:val="single"/>
        </w:rPr>
        <w:t>固废：经开区内垃圾处理实现无害化、资源化、减量化，主要依托新乡市城市生活垃圾处理场进行处理。</w:t>
      </w:r>
    </w:p>
    <w:p>
      <w:pPr>
        <w:pStyle w:val="10"/>
        <w:bidi w:val="0"/>
        <w:rPr>
          <w:color w:val="auto"/>
        </w:rPr>
      </w:pPr>
      <w:r>
        <w:rPr>
          <w:rFonts w:hint="eastAsia"/>
          <w:color w:val="auto"/>
        </w:rPr>
        <w:t>2.</w:t>
      </w:r>
      <w:r>
        <w:rPr>
          <w:rFonts w:hint="eastAsia"/>
          <w:color w:val="auto"/>
          <w:lang w:val="en-US" w:eastAsia="zh-CN"/>
        </w:rPr>
        <w:t>10</w:t>
      </w:r>
      <w:r>
        <w:rPr>
          <w:rFonts w:hint="eastAsia"/>
          <w:color w:val="auto"/>
        </w:rPr>
        <w:t>.3.6产业布局与主导产业</w:t>
      </w:r>
    </w:p>
    <w:p>
      <w:pPr>
        <w:bidi w:val="0"/>
        <w:rPr>
          <w:color w:val="auto"/>
        </w:rPr>
      </w:pPr>
      <w:r>
        <w:rPr>
          <w:rFonts w:hint="eastAsia"/>
          <w:color w:val="auto"/>
        </w:rPr>
        <w:t>以园区现有工业为基础，优化产业结构，提升产业能级，发展高新技术和先进制造业，主要引导产业为化纤纺织、汽车配件、机械加工、现代物流业，形成以工业为主导生产性服务业和高新技术产业为支撑，房地产、商业于一体的园区产业体系。建成产业特色鲜明、投资环境优良、经济具有活力的现代工业园区。集聚区规划结合现有产业基础和各类工业企业布局状况，形成化纤纺织产业集中区、汽车及零部件产业集中区、装备制造业集中区、化工医药产业集中区以及与三大主导产业</w:t>
      </w:r>
      <w:r>
        <w:rPr>
          <w:rFonts w:hint="eastAsia"/>
          <w:color w:val="auto"/>
          <w:lang w:eastAsia="zh-CN"/>
        </w:rPr>
        <w:t>相关的其他</w:t>
      </w:r>
      <w:r>
        <w:rPr>
          <w:rFonts w:hint="eastAsia"/>
          <w:color w:val="auto"/>
        </w:rPr>
        <w:t>中小企业集中区的产业布局。</w:t>
      </w:r>
    </w:p>
    <w:p>
      <w:pPr>
        <w:bidi w:val="0"/>
        <w:rPr>
          <w:color w:val="auto"/>
        </w:rPr>
      </w:pPr>
      <w:r>
        <w:rPr>
          <w:rFonts w:hint="eastAsia"/>
          <w:color w:val="auto"/>
        </w:rPr>
        <w:t>本项目为年产5000吨菌草生物质纤维产业化研发中试</w:t>
      </w:r>
      <w:r>
        <w:rPr>
          <w:rFonts w:hint="eastAsia"/>
          <w:color w:val="auto"/>
          <w:lang w:eastAsia="zh-CN"/>
        </w:rPr>
        <w:t>项目</w:t>
      </w:r>
      <w:r>
        <w:rPr>
          <w:rFonts w:hint="eastAsia"/>
          <w:color w:val="auto"/>
        </w:rPr>
        <w:t>，位于新乡市新乡工业产业集聚区（含新乡经济技术开发区）新长北路南侧，用地属于工业用地。本项目为化纤纤维制造，为主导产业，符合新乡经济技术开发区的发展规划要求。</w:t>
      </w:r>
    </w:p>
    <w:p>
      <w:pPr>
        <w:pStyle w:val="10"/>
        <w:bidi w:val="0"/>
        <w:rPr>
          <w:color w:val="auto"/>
        </w:rPr>
      </w:pPr>
      <w:r>
        <w:rPr>
          <w:rFonts w:hint="eastAsia"/>
          <w:color w:val="auto"/>
        </w:rPr>
        <w:t>2.</w:t>
      </w:r>
      <w:r>
        <w:rPr>
          <w:rFonts w:hint="eastAsia"/>
          <w:color w:val="auto"/>
          <w:lang w:val="en-US" w:eastAsia="zh-CN"/>
        </w:rPr>
        <w:t>10</w:t>
      </w:r>
      <w:r>
        <w:rPr>
          <w:rFonts w:hint="eastAsia"/>
          <w:color w:val="auto"/>
        </w:rPr>
        <w:t>.3.7集聚区准入条件及负面清单分析</w:t>
      </w:r>
    </w:p>
    <w:p>
      <w:pPr>
        <w:bidi w:val="0"/>
        <w:rPr>
          <w:color w:val="auto"/>
        </w:rPr>
      </w:pPr>
      <w:r>
        <w:rPr>
          <w:rFonts w:hint="eastAsia"/>
          <w:color w:val="auto"/>
        </w:rPr>
        <w:t>本项目与新乡市工业产业集聚区（后更名为国家新乡经济技术开发区）准入条件相符性详见表</w:t>
      </w:r>
      <w:r>
        <w:rPr>
          <w:color w:val="auto"/>
        </w:rPr>
        <w:t>2.</w:t>
      </w:r>
      <w:r>
        <w:rPr>
          <w:rFonts w:hint="eastAsia"/>
          <w:color w:val="auto"/>
          <w:lang w:val="en-US" w:eastAsia="zh-CN"/>
        </w:rPr>
        <w:t>10</w:t>
      </w:r>
      <w:r>
        <w:rPr>
          <w:rFonts w:hint="eastAsia"/>
          <w:color w:val="auto"/>
        </w:rPr>
        <w:t>-</w:t>
      </w:r>
      <w:r>
        <w:rPr>
          <w:color w:val="auto"/>
        </w:rPr>
        <w:t>1</w:t>
      </w:r>
      <w:r>
        <w:rPr>
          <w:rFonts w:hint="eastAsia"/>
          <w:color w:val="auto"/>
        </w:rPr>
        <w:t>，与园区环境准入负面清单相符性详见表</w:t>
      </w:r>
      <w:r>
        <w:rPr>
          <w:color w:val="auto"/>
        </w:rPr>
        <w:t>2.</w:t>
      </w:r>
      <w:r>
        <w:rPr>
          <w:rFonts w:hint="eastAsia"/>
          <w:color w:val="auto"/>
          <w:lang w:val="en-US" w:eastAsia="zh-CN"/>
        </w:rPr>
        <w:t>10</w:t>
      </w:r>
      <w:r>
        <w:rPr>
          <w:rFonts w:hint="eastAsia"/>
          <w:color w:val="auto"/>
        </w:rPr>
        <w:t>-</w:t>
      </w:r>
      <w:r>
        <w:rPr>
          <w:color w:val="auto"/>
        </w:rPr>
        <w:t>2</w:t>
      </w:r>
      <w:r>
        <w:rPr>
          <w:rFonts w:hint="eastAsia"/>
          <w:color w:val="auto"/>
        </w:rPr>
        <w:t>。</w:t>
      </w:r>
    </w:p>
    <w:p>
      <w:pPr>
        <w:pStyle w:val="181"/>
        <w:bidi w:val="0"/>
        <w:rPr>
          <w:color w:val="auto"/>
        </w:rPr>
      </w:pPr>
      <w:r>
        <w:rPr>
          <w:rFonts w:hint="eastAsia"/>
          <w:color w:val="auto"/>
        </w:rPr>
        <w:t>表</w:t>
      </w:r>
      <w:r>
        <w:rPr>
          <w:color w:val="auto"/>
        </w:rPr>
        <w:t>2.</w:t>
      </w:r>
      <w:r>
        <w:rPr>
          <w:rFonts w:hint="eastAsia"/>
          <w:color w:val="auto"/>
          <w:lang w:val="en-US" w:eastAsia="zh-CN"/>
        </w:rPr>
        <w:t>10</w:t>
      </w:r>
      <w:r>
        <w:rPr>
          <w:rFonts w:hint="eastAsia"/>
          <w:color w:val="auto"/>
        </w:rPr>
        <w:t>-</w:t>
      </w:r>
      <w:r>
        <w:rPr>
          <w:color w:val="auto"/>
        </w:rPr>
        <w:t xml:space="preserve">1  </w:t>
      </w:r>
      <w:r>
        <w:rPr>
          <w:rFonts w:hint="eastAsia"/>
          <w:color w:val="auto"/>
          <w:lang w:val="en-US" w:eastAsia="zh-CN"/>
        </w:rPr>
        <w:t xml:space="preserve">  </w:t>
      </w:r>
      <w:r>
        <w:rPr>
          <w:rFonts w:hint="eastAsia"/>
          <w:color w:val="auto"/>
        </w:rPr>
        <w:t>本项目与集聚区准入条件对比分析一览表</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3646"/>
        <w:gridCol w:w="2971"/>
        <w:gridCol w:w="1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51" w:type="dxa"/>
            <w:vAlign w:val="center"/>
          </w:tcPr>
          <w:p>
            <w:pPr>
              <w:pStyle w:val="182"/>
              <w:bidi w:val="0"/>
              <w:rPr>
                <w:b/>
                <w:bCs/>
                <w:color w:val="auto"/>
              </w:rPr>
            </w:pPr>
            <w:r>
              <w:rPr>
                <w:b/>
                <w:bCs/>
                <w:color w:val="auto"/>
              </w:rPr>
              <w:t>类别</w:t>
            </w:r>
          </w:p>
        </w:tc>
        <w:tc>
          <w:tcPr>
            <w:tcW w:w="3827" w:type="dxa"/>
            <w:vAlign w:val="center"/>
          </w:tcPr>
          <w:p>
            <w:pPr>
              <w:pStyle w:val="182"/>
              <w:bidi w:val="0"/>
              <w:rPr>
                <w:b/>
                <w:bCs/>
                <w:color w:val="auto"/>
              </w:rPr>
            </w:pPr>
            <w:r>
              <w:rPr>
                <w:b/>
                <w:bCs/>
                <w:color w:val="auto"/>
              </w:rPr>
              <w:t>园区项目准入条件</w:t>
            </w:r>
          </w:p>
        </w:tc>
        <w:tc>
          <w:tcPr>
            <w:tcW w:w="3119" w:type="dxa"/>
            <w:vAlign w:val="center"/>
          </w:tcPr>
          <w:p>
            <w:pPr>
              <w:pStyle w:val="182"/>
              <w:bidi w:val="0"/>
              <w:rPr>
                <w:b/>
                <w:bCs/>
                <w:color w:val="auto"/>
              </w:rPr>
            </w:pPr>
            <w:r>
              <w:rPr>
                <w:b/>
                <w:bCs/>
                <w:color w:val="auto"/>
              </w:rPr>
              <w:t>本项目情况</w:t>
            </w:r>
          </w:p>
        </w:tc>
        <w:tc>
          <w:tcPr>
            <w:tcW w:w="1127" w:type="dxa"/>
            <w:vAlign w:val="center"/>
          </w:tcPr>
          <w:p>
            <w:pPr>
              <w:pStyle w:val="182"/>
              <w:bidi w:val="0"/>
              <w:rPr>
                <w:b/>
                <w:bCs/>
                <w:color w:val="auto"/>
              </w:rPr>
            </w:pPr>
            <w:r>
              <w:rPr>
                <w:b/>
                <w:bCs/>
                <w:color w:val="auto"/>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restart"/>
            <w:vAlign w:val="center"/>
          </w:tcPr>
          <w:p>
            <w:pPr>
              <w:pStyle w:val="182"/>
              <w:bidi w:val="0"/>
              <w:rPr>
                <w:color w:val="auto"/>
              </w:rPr>
            </w:pPr>
            <w:r>
              <w:rPr>
                <w:rFonts w:hint="eastAsia"/>
                <w:color w:val="auto"/>
              </w:rPr>
              <w:t>产业政策</w:t>
            </w:r>
          </w:p>
        </w:tc>
        <w:tc>
          <w:tcPr>
            <w:tcW w:w="3827" w:type="dxa"/>
            <w:vAlign w:val="center"/>
          </w:tcPr>
          <w:p>
            <w:pPr>
              <w:pStyle w:val="182"/>
              <w:bidi w:val="0"/>
              <w:rPr>
                <w:color w:val="auto"/>
              </w:rPr>
            </w:pPr>
            <w:r>
              <w:rPr>
                <w:color w:val="auto"/>
              </w:rPr>
              <w:t>园区入区建设项目在环境保护方面应做到高起点、高标准、严要求，禁止新建国家《产业结构调整指导目录（2011年本2013修正）》中限制、淘汰类的建设项目。</w:t>
            </w:r>
          </w:p>
        </w:tc>
        <w:tc>
          <w:tcPr>
            <w:tcW w:w="3119" w:type="dxa"/>
            <w:vAlign w:val="center"/>
          </w:tcPr>
          <w:p>
            <w:pPr>
              <w:pStyle w:val="182"/>
              <w:bidi w:val="0"/>
              <w:rPr>
                <w:color w:val="auto"/>
              </w:rPr>
            </w:pPr>
            <w:r>
              <w:rPr>
                <w:rFonts w:hint="eastAsia"/>
                <w:color w:val="auto"/>
              </w:rPr>
              <w:t>本项目属于《产业结构调整指导目录（2019年本）》中的鼓励类项目。</w:t>
            </w:r>
          </w:p>
        </w:tc>
        <w:tc>
          <w:tcPr>
            <w:tcW w:w="1127" w:type="dxa"/>
            <w:vAlign w:val="center"/>
          </w:tcPr>
          <w:p>
            <w:pPr>
              <w:pStyle w:val="182"/>
              <w:bidi w:val="0"/>
              <w:rPr>
                <w:color w:val="auto"/>
              </w:rPr>
            </w:pPr>
            <w:r>
              <w:rPr>
                <w:color w:va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pPr>
              <w:pStyle w:val="182"/>
              <w:bidi w:val="0"/>
              <w:rPr>
                <w:color w:val="auto"/>
              </w:rPr>
            </w:pPr>
          </w:p>
        </w:tc>
        <w:tc>
          <w:tcPr>
            <w:tcW w:w="3827" w:type="dxa"/>
            <w:vAlign w:val="center"/>
          </w:tcPr>
          <w:p>
            <w:pPr>
              <w:pStyle w:val="182"/>
              <w:bidi w:val="0"/>
              <w:rPr>
                <w:color w:val="auto"/>
              </w:rPr>
            </w:pPr>
            <w:r>
              <w:rPr>
                <w:color w:val="auto"/>
              </w:rPr>
              <w:t>鼓励建设省级以上（含省级）认定的高新技术类项目入区。</w:t>
            </w:r>
          </w:p>
        </w:tc>
        <w:tc>
          <w:tcPr>
            <w:tcW w:w="3119" w:type="dxa"/>
            <w:vMerge w:val="restart"/>
            <w:vAlign w:val="center"/>
          </w:tcPr>
          <w:p>
            <w:pPr>
              <w:pStyle w:val="182"/>
              <w:bidi w:val="0"/>
              <w:rPr>
                <w:color w:val="auto"/>
              </w:rPr>
            </w:pPr>
            <w:r>
              <w:rPr>
                <w:rFonts w:hint="eastAsia"/>
                <w:color w:val="auto"/>
              </w:rPr>
              <w:t>本项目为生物质纤维生产，属于化纤纺织制造，符合园区主导产业定位。</w:t>
            </w:r>
          </w:p>
        </w:tc>
        <w:tc>
          <w:tcPr>
            <w:tcW w:w="1127" w:type="dxa"/>
            <w:vMerge w:val="restart"/>
            <w:vAlign w:val="center"/>
          </w:tcPr>
          <w:p>
            <w:pPr>
              <w:pStyle w:val="182"/>
              <w:bidi w:val="0"/>
              <w:rPr>
                <w:color w:val="auto"/>
              </w:rPr>
            </w:pPr>
            <w:r>
              <w:rPr>
                <w:color w:va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pPr>
              <w:pStyle w:val="182"/>
              <w:bidi w:val="0"/>
              <w:rPr>
                <w:color w:val="auto"/>
              </w:rPr>
            </w:pPr>
          </w:p>
        </w:tc>
        <w:tc>
          <w:tcPr>
            <w:tcW w:w="3827" w:type="dxa"/>
            <w:vAlign w:val="center"/>
          </w:tcPr>
          <w:p>
            <w:pPr>
              <w:pStyle w:val="182"/>
              <w:bidi w:val="0"/>
              <w:rPr>
                <w:color w:val="auto"/>
              </w:rPr>
            </w:pPr>
            <w:r>
              <w:rPr>
                <w:color w:val="auto"/>
              </w:rPr>
              <w:t>鼓励具有先进的、符合集聚区功能定位的轻污染项目优先入区。</w:t>
            </w:r>
          </w:p>
        </w:tc>
        <w:tc>
          <w:tcPr>
            <w:tcW w:w="3119" w:type="dxa"/>
            <w:vMerge w:val="continue"/>
            <w:vAlign w:val="center"/>
          </w:tcPr>
          <w:p>
            <w:pPr>
              <w:pStyle w:val="182"/>
              <w:bidi w:val="0"/>
              <w:rPr>
                <w:color w:val="auto"/>
              </w:rPr>
            </w:pPr>
          </w:p>
        </w:tc>
        <w:tc>
          <w:tcPr>
            <w:tcW w:w="1127"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pPr>
              <w:pStyle w:val="182"/>
              <w:bidi w:val="0"/>
              <w:rPr>
                <w:color w:val="auto"/>
              </w:rPr>
            </w:pPr>
          </w:p>
        </w:tc>
        <w:tc>
          <w:tcPr>
            <w:tcW w:w="3827" w:type="dxa"/>
            <w:vAlign w:val="center"/>
          </w:tcPr>
          <w:p>
            <w:pPr>
              <w:pStyle w:val="182"/>
              <w:bidi w:val="0"/>
              <w:rPr>
                <w:color w:val="auto"/>
              </w:rPr>
            </w:pPr>
            <w:r>
              <w:rPr>
                <w:color w:val="auto"/>
              </w:rPr>
              <w:t>鼓励园区主导产业的产业链向高附加值端延伸，实现园区产业升级。</w:t>
            </w:r>
          </w:p>
        </w:tc>
        <w:tc>
          <w:tcPr>
            <w:tcW w:w="3119" w:type="dxa"/>
            <w:vMerge w:val="continue"/>
            <w:vAlign w:val="center"/>
          </w:tcPr>
          <w:p>
            <w:pPr>
              <w:pStyle w:val="182"/>
              <w:bidi w:val="0"/>
              <w:rPr>
                <w:color w:val="auto"/>
              </w:rPr>
            </w:pPr>
          </w:p>
        </w:tc>
        <w:tc>
          <w:tcPr>
            <w:tcW w:w="1127"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restart"/>
            <w:vAlign w:val="center"/>
          </w:tcPr>
          <w:p>
            <w:pPr>
              <w:pStyle w:val="182"/>
              <w:bidi w:val="0"/>
              <w:rPr>
                <w:color w:val="auto"/>
              </w:rPr>
            </w:pPr>
            <w:r>
              <w:rPr>
                <w:rFonts w:hint="eastAsia"/>
                <w:color w:val="auto"/>
              </w:rPr>
              <w:t>空间布局</w:t>
            </w:r>
          </w:p>
        </w:tc>
        <w:tc>
          <w:tcPr>
            <w:tcW w:w="3827" w:type="dxa"/>
            <w:vAlign w:val="center"/>
          </w:tcPr>
          <w:p>
            <w:pPr>
              <w:pStyle w:val="182"/>
              <w:bidi w:val="0"/>
              <w:rPr>
                <w:color w:val="auto"/>
              </w:rPr>
            </w:pPr>
            <w:r>
              <w:rPr>
                <w:color w:val="auto"/>
              </w:rPr>
              <w:t>装备制造区：（略）。</w:t>
            </w:r>
          </w:p>
        </w:tc>
        <w:tc>
          <w:tcPr>
            <w:tcW w:w="3119" w:type="dxa"/>
            <w:vMerge w:val="restart"/>
            <w:vAlign w:val="center"/>
          </w:tcPr>
          <w:p>
            <w:pPr>
              <w:pStyle w:val="182"/>
              <w:bidi w:val="0"/>
              <w:rPr>
                <w:color w:val="auto"/>
              </w:rPr>
            </w:pPr>
            <w:r>
              <w:rPr>
                <w:rFonts w:hint="eastAsia"/>
                <w:color w:val="auto"/>
              </w:rPr>
              <w:t>本项目为生物质纤维生产，属于化纤纺织制造，符合园区主导产业定位。</w:t>
            </w:r>
          </w:p>
        </w:tc>
        <w:tc>
          <w:tcPr>
            <w:tcW w:w="1127" w:type="dxa"/>
            <w:vMerge w:val="restart"/>
            <w:vAlign w:val="center"/>
          </w:tcPr>
          <w:p>
            <w:pPr>
              <w:pStyle w:val="182"/>
              <w:bidi w:val="0"/>
              <w:rPr>
                <w:color w:val="auto"/>
              </w:rPr>
            </w:pPr>
            <w:r>
              <w:rPr>
                <w:rFonts w:hint="eastAsia"/>
                <w:color w:va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pPr>
              <w:pStyle w:val="182"/>
              <w:bidi w:val="0"/>
              <w:rPr>
                <w:color w:val="auto"/>
              </w:rPr>
            </w:pPr>
          </w:p>
        </w:tc>
        <w:tc>
          <w:tcPr>
            <w:tcW w:w="3827" w:type="dxa"/>
            <w:vAlign w:val="center"/>
          </w:tcPr>
          <w:p>
            <w:pPr>
              <w:pStyle w:val="182"/>
              <w:bidi w:val="0"/>
              <w:rPr>
                <w:color w:val="auto"/>
              </w:rPr>
            </w:pPr>
            <w:r>
              <w:rPr>
                <w:color w:val="auto"/>
              </w:rPr>
              <w:t>化纤纺织区：鼓励现有企业进行技术升级，减少污染物排放。</w:t>
            </w:r>
          </w:p>
        </w:tc>
        <w:tc>
          <w:tcPr>
            <w:tcW w:w="3119" w:type="dxa"/>
            <w:vMerge w:val="continue"/>
            <w:vAlign w:val="center"/>
          </w:tcPr>
          <w:p>
            <w:pPr>
              <w:pStyle w:val="182"/>
              <w:bidi w:val="0"/>
              <w:rPr>
                <w:color w:val="auto"/>
              </w:rPr>
            </w:pPr>
          </w:p>
        </w:tc>
        <w:tc>
          <w:tcPr>
            <w:tcW w:w="1127"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pPr>
              <w:pStyle w:val="182"/>
              <w:bidi w:val="0"/>
              <w:rPr>
                <w:color w:val="auto"/>
              </w:rPr>
            </w:pPr>
          </w:p>
        </w:tc>
        <w:tc>
          <w:tcPr>
            <w:tcW w:w="3827" w:type="dxa"/>
            <w:vAlign w:val="center"/>
          </w:tcPr>
          <w:p>
            <w:pPr>
              <w:pStyle w:val="182"/>
              <w:bidi w:val="0"/>
              <w:rPr>
                <w:color w:val="auto"/>
              </w:rPr>
            </w:pPr>
            <w:r>
              <w:rPr>
                <w:color w:val="auto"/>
              </w:rPr>
              <w:t>汽车及零部件区：（略）。</w:t>
            </w:r>
          </w:p>
        </w:tc>
        <w:tc>
          <w:tcPr>
            <w:tcW w:w="3119" w:type="dxa"/>
            <w:vMerge w:val="continue"/>
            <w:vAlign w:val="center"/>
          </w:tcPr>
          <w:p>
            <w:pPr>
              <w:pStyle w:val="182"/>
              <w:bidi w:val="0"/>
              <w:rPr>
                <w:color w:val="auto"/>
              </w:rPr>
            </w:pPr>
          </w:p>
        </w:tc>
        <w:tc>
          <w:tcPr>
            <w:tcW w:w="1127"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pPr>
              <w:pStyle w:val="182"/>
              <w:bidi w:val="0"/>
              <w:rPr>
                <w:color w:val="auto"/>
              </w:rPr>
            </w:pPr>
          </w:p>
        </w:tc>
        <w:tc>
          <w:tcPr>
            <w:tcW w:w="3827" w:type="dxa"/>
            <w:vAlign w:val="center"/>
          </w:tcPr>
          <w:p>
            <w:pPr>
              <w:pStyle w:val="182"/>
              <w:bidi w:val="0"/>
              <w:rPr>
                <w:color w:val="auto"/>
              </w:rPr>
            </w:pPr>
            <w:r>
              <w:rPr>
                <w:color w:val="auto"/>
              </w:rPr>
              <w:t>化工医药区：（略）。</w:t>
            </w:r>
          </w:p>
        </w:tc>
        <w:tc>
          <w:tcPr>
            <w:tcW w:w="3119" w:type="dxa"/>
            <w:vMerge w:val="continue"/>
            <w:vAlign w:val="center"/>
          </w:tcPr>
          <w:p>
            <w:pPr>
              <w:pStyle w:val="182"/>
              <w:bidi w:val="0"/>
              <w:rPr>
                <w:color w:val="auto"/>
              </w:rPr>
            </w:pPr>
          </w:p>
        </w:tc>
        <w:tc>
          <w:tcPr>
            <w:tcW w:w="1127"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Align w:val="center"/>
          </w:tcPr>
          <w:p>
            <w:pPr>
              <w:pStyle w:val="182"/>
              <w:bidi w:val="0"/>
              <w:rPr>
                <w:color w:val="auto"/>
              </w:rPr>
            </w:pPr>
            <w:r>
              <w:rPr>
                <w:rFonts w:hint="eastAsia"/>
                <w:color w:val="auto"/>
              </w:rPr>
              <w:t>经济指标</w:t>
            </w:r>
          </w:p>
        </w:tc>
        <w:tc>
          <w:tcPr>
            <w:tcW w:w="3827" w:type="dxa"/>
            <w:vAlign w:val="center"/>
          </w:tcPr>
          <w:p>
            <w:pPr>
              <w:pStyle w:val="182"/>
              <w:bidi w:val="0"/>
              <w:rPr>
                <w:color w:val="auto"/>
              </w:rPr>
            </w:pPr>
            <w:r>
              <w:rPr>
                <w:rFonts w:hint="eastAsia"/>
                <w:color w:val="auto"/>
              </w:rPr>
              <w:t>①投资强度满足河南省国土资源厅《关于调整河南省工业建设项目建设用地控制指标的通知》；</w:t>
            </w:r>
          </w:p>
          <w:p>
            <w:pPr>
              <w:pStyle w:val="182"/>
              <w:bidi w:val="0"/>
              <w:rPr>
                <w:color w:val="auto"/>
              </w:rPr>
            </w:pPr>
            <w:r>
              <w:rPr>
                <w:rFonts w:hint="eastAsia"/>
                <w:color w:val="auto"/>
              </w:rPr>
              <w:t>②入驻企业生产规模符合国家产业政策的最小经济规模要求。</w:t>
            </w:r>
          </w:p>
        </w:tc>
        <w:tc>
          <w:tcPr>
            <w:tcW w:w="3119" w:type="dxa"/>
            <w:vAlign w:val="center"/>
          </w:tcPr>
          <w:p>
            <w:pPr>
              <w:pStyle w:val="182"/>
              <w:bidi w:val="0"/>
              <w:rPr>
                <w:color w:val="auto"/>
              </w:rPr>
            </w:pPr>
            <w:r>
              <w:rPr>
                <w:rFonts w:hint="eastAsia"/>
                <w:color w:val="auto"/>
              </w:rPr>
              <w:t>①本项目投资强度满足《关于调整河南省工业建设项目建设用地控制指标的通知》中的要求；</w:t>
            </w:r>
          </w:p>
          <w:p>
            <w:pPr>
              <w:pStyle w:val="182"/>
              <w:bidi w:val="0"/>
              <w:rPr>
                <w:color w:val="auto"/>
              </w:rPr>
            </w:pPr>
            <w:r>
              <w:rPr>
                <w:rFonts w:hint="eastAsia"/>
                <w:color w:val="auto"/>
              </w:rPr>
              <w:t>②本项目生产规模符合国家产业政策的最小经济规模要求。</w:t>
            </w:r>
          </w:p>
        </w:tc>
        <w:tc>
          <w:tcPr>
            <w:tcW w:w="1127" w:type="dxa"/>
            <w:vAlign w:val="center"/>
          </w:tcPr>
          <w:p>
            <w:pPr>
              <w:pStyle w:val="182"/>
              <w:bidi w:val="0"/>
              <w:rPr>
                <w:color w:val="auto"/>
              </w:rPr>
            </w:pPr>
            <w:r>
              <w:rPr>
                <w:rFonts w:hint="eastAsia"/>
                <w:color w:va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Align w:val="center"/>
          </w:tcPr>
          <w:p>
            <w:pPr>
              <w:pStyle w:val="182"/>
              <w:bidi w:val="0"/>
              <w:rPr>
                <w:color w:val="auto"/>
              </w:rPr>
            </w:pPr>
            <w:r>
              <w:rPr>
                <w:rFonts w:hint="eastAsia"/>
                <w:color w:val="auto"/>
              </w:rPr>
              <w:t>生产规模和工艺装备水平</w:t>
            </w:r>
          </w:p>
        </w:tc>
        <w:tc>
          <w:tcPr>
            <w:tcW w:w="3827" w:type="dxa"/>
            <w:vAlign w:val="center"/>
          </w:tcPr>
          <w:p>
            <w:pPr>
              <w:pStyle w:val="182"/>
              <w:bidi w:val="0"/>
              <w:rPr>
                <w:color w:val="auto"/>
              </w:rPr>
            </w:pPr>
            <w:r>
              <w:rPr>
                <w:rFonts w:hint="eastAsia"/>
                <w:color w:val="auto"/>
              </w:rPr>
              <w:t>①在生产工艺技术水平上，要求入驻项目达到国内同行业领先水平</w:t>
            </w:r>
            <w:r>
              <w:rPr>
                <w:rFonts w:hint="eastAsia"/>
                <w:color w:val="auto"/>
                <w:lang w:eastAsia="zh-CN"/>
              </w:rPr>
              <w:t>，或</w:t>
            </w:r>
            <w:r>
              <w:rPr>
                <w:rFonts w:hint="eastAsia"/>
                <w:color w:val="auto"/>
              </w:rPr>
              <w:t>具备国际先进水平；</w:t>
            </w:r>
          </w:p>
          <w:p>
            <w:pPr>
              <w:pStyle w:val="182"/>
              <w:bidi w:val="0"/>
              <w:rPr>
                <w:color w:val="auto"/>
              </w:rPr>
            </w:pPr>
            <w:r>
              <w:rPr>
                <w:rFonts w:hint="eastAsia"/>
                <w:color w:val="auto"/>
              </w:rPr>
              <w:t>②建设规模应符合国家相关行业准入条件中的经济、产品规模和生产工艺要求；</w:t>
            </w:r>
          </w:p>
          <w:p>
            <w:pPr>
              <w:pStyle w:val="182"/>
              <w:bidi w:val="0"/>
              <w:rPr>
                <w:color w:val="auto"/>
              </w:rPr>
            </w:pPr>
            <w:r>
              <w:rPr>
                <w:rFonts w:hint="eastAsia"/>
                <w:color w:val="auto"/>
              </w:rPr>
              <w:t>③环保搬迁入驻企业应进行产品和生产技术的升级改造，达到国家相关规定要求。</w:t>
            </w:r>
          </w:p>
        </w:tc>
        <w:tc>
          <w:tcPr>
            <w:tcW w:w="3119" w:type="dxa"/>
            <w:vAlign w:val="center"/>
          </w:tcPr>
          <w:p>
            <w:pPr>
              <w:pStyle w:val="182"/>
              <w:bidi w:val="0"/>
              <w:rPr>
                <w:color w:val="auto"/>
              </w:rPr>
            </w:pPr>
            <w:r>
              <w:rPr>
                <w:rFonts w:hint="eastAsia"/>
                <w:color w:val="auto"/>
              </w:rPr>
              <w:t>①本项目可以达到国内同行业领先水平；</w:t>
            </w:r>
          </w:p>
          <w:p>
            <w:pPr>
              <w:pStyle w:val="182"/>
              <w:bidi w:val="0"/>
              <w:rPr>
                <w:color w:val="auto"/>
              </w:rPr>
            </w:pPr>
            <w:r>
              <w:rPr>
                <w:rFonts w:hint="eastAsia"/>
                <w:color w:val="auto"/>
              </w:rPr>
              <w:t>②本项目建设规模符合国家相关行业准入条件中的经济、产品规模和生产工艺要求；</w:t>
            </w:r>
          </w:p>
          <w:p>
            <w:pPr>
              <w:pStyle w:val="182"/>
              <w:bidi w:val="0"/>
              <w:rPr>
                <w:color w:val="auto"/>
              </w:rPr>
            </w:pPr>
            <w:r>
              <w:rPr>
                <w:rFonts w:hint="eastAsia"/>
                <w:color w:val="auto"/>
              </w:rPr>
              <w:t>③本项目不属于环保搬迁入驻企业。</w:t>
            </w:r>
          </w:p>
        </w:tc>
        <w:tc>
          <w:tcPr>
            <w:tcW w:w="1127" w:type="dxa"/>
            <w:vAlign w:val="center"/>
          </w:tcPr>
          <w:p>
            <w:pPr>
              <w:pStyle w:val="182"/>
              <w:bidi w:val="0"/>
              <w:rPr>
                <w:color w:val="auto"/>
              </w:rPr>
            </w:pPr>
            <w:r>
              <w:rPr>
                <w:rFonts w:hint="eastAsia"/>
                <w:color w:va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Align w:val="center"/>
          </w:tcPr>
          <w:p>
            <w:pPr>
              <w:pStyle w:val="182"/>
              <w:bidi w:val="0"/>
              <w:rPr>
                <w:color w:val="auto"/>
              </w:rPr>
            </w:pPr>
            <w:r>
              <w:rPr>
                <w:rFonts w:hint="eastAsia"/>
                <w:color w:val="auto"/>
              </w:rPr>
              <w:t>清洁生产水平</w:t>
            </w:r>
          </w:p>
        </w:tc>
        <w:tc>
          <w:tcPr>
            <w:tcW w:w="3827" w:type="dxa"/>
            <w:vAlign w:val="center"/>
          </w:tcPr>
          <w:p>
            <w:pPr>
              <w:pStyle w:val="182"/>
              <w:bidi w:val="0"/>
              <w:rPr>
                <w:color w:val="auto"/>
              </w:rPr>
            </w:pPr>
            <w:r>
              <w:rPr>
                <w:rFonts w:hint="eastAsia"/>
                <w:color w:val="auto"/>
              </w:rPr>
              <w:t>①应选择使用原料和产品为环境友好型的项目；采用国际、国内先进水平的清洁生产工艺和技术；</w:t>
            </w:r>
          </w:p>
          <w:p>
            <w:pPr>
              <w:pStyle w:val="182"/>
              <w:bidi w:val="0"/>
              <w:rPr>
                <w:color w:val="auto"/>
              </w:rPr>
            </w:pPr>
            <w:r>
              <w:rPr>
                <w:rFonts w:hint="eastAsia"/>
                <w:color w:val="auto"/>
              </w:rPr>
              <w:t>②按照循环经济发展之路，评价建议与能够形成良好循环经济链条的项目可优先入区。</w:t>
            </w:r>
          </w:p>
          <w:p>
            <w:pPr>
              <w:pStyle w:val="182"/>
              <w:bidi w:val="0"/>
              <w:rPr>
                <w:color w:val="auto"/>
              </w:rPr>
            </w:pPr>
            <w:r>
              <w:rPr>
                <w:rFonts w:hint="eastAsia"/>
                <w:color w:val="auto"/>
              </w:rPr>
              <w:t>③入区项目在单位产品水耗、能耗、污染物排放量等清洁生产指标应达到国内同类行业的先进水平。</w:t>
            </w:r>
          </w:p>
          <w:p>
            <w:pPr>
              <w:pStyle w:val="182"/>
              <w:bidi w:val="0"/>
              <w:rPr>
                <w:color w:val="auto"/>
              </w:rPr>
            </w:pPr>
          </w:p>
        </w:tc>
        <w:tc>
          <w:tcPr>
            <w:tcW w:w="3119" w:type="dxa"/>
            <w:vAlign w:val="center"/>
          </w:tcPr>
          <w:p>
            <w:pPr>
              <w:pStyle w:val="182"/>
              <w:bidi w:val="0"/>
              <w:rPr>
                <w:color w:val="auto"/>
              </w:rPr>
            </w:pPr>
            <w:r>
              <w:rPr>
                <w:rFonts w:hint="eastAsia"/>
                <w:color w:val="auto"/>
              </w:rPr>
              <w:t>①本项目使用原料和产品为环境友好型；本项目可以达到国内先进水平；</w:t>
            </w:r>
          </w:p>
          <w:p>
            <w:pPr>
              <w:pStyle w:val="182"/>
              <w:bidi w:val="0"/>
              <w:rPr>
                <w:color w:val="auto"/>
              </w:rPr>
            </w:pPr>
            <w:r>
              <w:rPr>
                <w:rFonts w:hint="eastAsia"/>
                <w:color w:val="auto"/>
              </w:rPr>
              <w:t>②本项目工艺技术水平先进，达到国内同行业领先水平。</w:t>
            </w:r>
          </w:p>
          <w:p>
            <w:pPr>
              <w:pStyle w:val="182"/>
              <w:bidi w:val="0"/>
              <w:rPr>
                <w:color w:val="auto"/>
              </w:rPr>
            </w:pPr>
            <w:r>
              <w:rPr>
                <w:rFonts w:hint="eastAsia"/>
                <w:color w:val="auto"/>
              </w:rPr>
              <w:t>③项目在单位产品水耗、能耗、污染物排放量等清洁生产指标能达到国内同类行业的先进水平。</w:t>
            </w:r>
          </w:p>
        </w:tc>
        <w:tc>
          <w:tcPr>
            <w:tcW w:w="1127" w:type="dxa"/>
            <w:vAlign w:val="center"/>
          </w:tcPr>
          <w:p>
            <w:pPr>
              <w:pStyle w:val="182"/>
              <w:bidi w:val="0"/>
              <w:rPr>
                <w:color w:val="auto"/>
              </w:rPr>
            </w:pPr>
            <w:r>
              <w:rPr>
                <w:rFonts w:hint="eastAsia"/>
                <w:color w:va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51" w:type="dxa"/>
            <w:vAlign w:val="center"/>
          </w:tcPr>
          <w:p>
            <w:pPr>
              <w:pStyle w:val="182"/>
              <w:bidi w:val="0"/>
              <w:rPr>
                <w:color w:val="auto"/>
              </w:rPr>
            </w:pPr>
            <w:r>
              <w:rPr>
                <w:rFonts w:hint="eastAsia"/>
                <w:color w:val="auto"/>
              </w:rPr>
              <w:t>污染物排放总量控制</w:t>
            </w:r>
          </w:p>
        </w:tc>
        <w:tc>
          <w:tcPr>
            <w:tcW w:w="3827" w:type="dxa"/>
            <w:vAlign w:val="center"/>
          </w:tcPr>
          <w:p>
            <w:pPr>
              <w:pStyle w:val="182"/>
              <w:bidi w:val="0"/>
              <w:rPr>
                <w:color w:val="auto"/>
              </w:rPr>
            </w:pPr>
            <w:r>
              <w:rPr>
                <w:rFonts w:hint="eastAsia"/>
                <w:color w:val="auto"/>
              </w:rPr>
              <w:t>新建项目的VOCs排放指标必须在区</w:t>
            </w:r>
          </w:p>
          <w:p>
            <w:pPr>
              <w:pStyle w:val="182"/>
              <w:bidi w:val="0"/>
              <w:rPr>
                <w:color w:val="auto"/>
              </w:rPr>
            </w:pPr>
            <w:r>
              <w:rPr>
                <w:rFonts w:hint="eastAsia"/>
                <w:color w:val="auto"/>
              </w:rPr>
              <w:t>域内现有工业污染负荷削减量中调剂。</w:t>
            </w:r>
          </w:p>
        </w:tc>
        <w:tc>
          <w:tcPr>
            <w:tcW w:w="3119" w:type="dxa"/>
            <w:vAlign w:val="center"/>
          </w:tcPr>
          <w:p>
            <w:pPr>
              <w:pStyle w:val="182"/>
              <w:bidi w:val="0"/>
              <w:rPr>
                <w:color w:val="auto"/>
              </w:rPr>
            </w:pPr>
            <w:r>
              <w:rPr>
                <w:rFonts w:hint="eastAsia"/>
                <w:color w:val="auto"/>
              </w:rPr>
              <w:t>本项目不涉及VOCs排放。</w:t>
            </w:r>
          </w:p>
        </w:tc>
        <w:tc>
          <w:tcPr>
            <w:tcW w:w="1127" w:type="dxa"/>
            <w:vAlign w:val="center"/>
          </w:tcPr>
          <w:p>
            <w:pPr>
              <w:pStyle w:val="182"/>
              <w:bidi w:val="0"/>
              <w:rPr>
                <w:color w:val="auto"/>
              </w:rPr>
            </w:pPr>
            <w:r>
              <w:rPr>
                <w:rFonts w:hint="eastAsia"/>
                <w:color w:va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Align w:val="center"/>
          </w:tcPr>
          <w:p>
            <w:pPr>
              <w:pStyle w:val="182"/>
              <w:bidi w:val="0"/>
              <w:rPr>
                <w:color w:val="auto"/>
              </w:rPr>
            </w:pPr>
            <w:r>
              <w:rPr>
                <w:rFonts w:hint="eastAsia"/>
                <w:color w:val="auto"/>
              </w:rPr>
              <w:t>土地利用</w:t>
            </w:r>
          </w:p>
        </w:tc>
        <w:tc>
          <w:tcPr>
            <w:tcW w:w="3827" w:type="dxa"/>
            <w:vAlign w:val="center"/>
          </w:tcPr>
          <w:p>
            <w:pPr>
              <w:pStyle w:val="182"/>
              <w:bidi w:val="0"/>
              <w:rPr>
                <w:color w:val="auto"/>
              </w:rPr>
            </w:pPr>
            <w:r>
              <w:rPr>
                <w:rFonts w:hint="eastAsia"/>
                <w:color w:val="auto"/>
              </w:rPr>
              <w:t>入区项目用地必须符合园区土地利用规划要求。</w:t>
            </w:r>
          </w:p>
        </w:tc>
        <w:tc>
          <w:tcPr>
            <w:tcW w:w="3119" w:type="dxa"/>
            <w:vAlign w:val="center"/>
          </w:tcPr>
          <w:p>
            <w:pPr>
              <w:pStyle w:val="182"/>
              <w:bidi w:val="0"/>
              <w:rPr>
                <w:color w:val="auto"/>
              </w:rPr>
            </w:pPr>
            <w:r>
              <w:rPr>
                <w:rFonts w:hint="eastAsia"/>
                <w:color w:val="auto"/>
              </w:rPr>
              <w:t>本项目用地属于工业用地，符合园区土地利用规划要求。</w:t>
            </w:r>
          </w:p>
        </w:tc>
        <w:tc>
          <w:tcPr>
            <w:tcW w:w="1127" w:type="dxa"/>
            <w:vAlign w:val="center"/>
          </w:tcPr>
          <w:p>
            <w:pPr>
              <w:pStyle w:val="182"/>
              <w:bidi w:val="0"/>
              <w:rPr>
                <w:color w:val="auto"/>
              </w:rPr>
            </w:pPr>
            <w:r>
              <w:rPr>
                <w:rFonts w:hint="eastAsia"/>
                <w:color w:val="auto"/>
              </w:rPr>
              <w:t>相符</w:t>
            </w:r>
          </w:p>
        </w:tc>
      </w:tr>
    </w:tbl>
    <w:p>
      <w:pPr>
        <w:pStyle w:val="181"/>
        <w:bidi w:val="0"/>
        <w:rPr>
          <w:color w:val="auto"/>
        </w:rPr>
      </w:pPr>
      <w:r>
        <w:rPr>
          <w:rFonts w:hint="eastAsia"/>
          <w:color w:val="auto"/>
        </w:rPr>
        <w:t>表</w:t>
      </w:r>
      <w:r>
        <w:rPr>
          <w:color w:val="auto"/>
        </w:rPr>
        <w:t>2.</w:t>
      </w:r>
      <w:r>
        <w:rPr>
          <w:rFonts w:hint="eastAsia"/>
          <w:color w:val="auto"/>
          <w:lang w:val="en-US" w:eastAsia="zh-CN"/>
        </w:rPr>
        <w:t>10</w:t>
      </w:r>
      <w:r>
        <w:rPr>
          <w:rFonts w:hint="eastAsia"/>
          <w:color w:val="auto"/>
        </w:rPr>
        <w:t>-</w:t>
      </w:r>
      <w:r>
        <w:rPr>
          <w:color w:val="auto"/>
        </w:rPr>
        <w:t xml:space="preserve">2  </w:t>
      </w:r>
      <w:r>
        <w:rPr>
          <w:rFonts w:hint="eastAsia"/>
          <w:color w:val="auto"/>
          <w:lang w:val="en-US" w:eastAsia="zh-CN"/>
        </w:rPr>
        <w:t xml:space="preserve">  </w:t>
      </w:r>
      <w:r>
        <w:rPr>
          <w:rFonts w:hint="eastAsia"/>
          <w:color w:val="auto"/>
        </w:rPr>
        <w:t>本项目与集聚区环境准入负面清单对比分析一览表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4060"/>
        <w:gridCol w:w="2701"/>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555" w:type="pct"/>
            <w:vAlign w:val="center"/>
          </w:tcPr>
          <w:p>
            <w:pPr>
              <w:pStyle w:val="182"/>
              <w:bidi w:val="0"/>
              <w:rPr>
                <w:b/>
                <w:bCs/>
                <w:color w:val="auto"/>
              </w:rPr>
            </w:pPr>
            <w:r>
              <w:rPr>
                <w:b/>
                <w:bCs/>
                <w:color w:val="auto"/>
              </w:rPr>
              <w:t>类别</w:t>
            </w:r>
          </w:p>
        </w:tc>
        <w:tc>
          <w:tcPr>
            <w:tcW w:w="2382" w:type="pct"/>
            <w:vAlign w:val="center"/>
          </w:tcPr>
          <w:p>
            <w:pPr>
              <w:pStyle w:val="182"/>
              <w:bidi w:val="0"/>
              <w:rPr>
                <w:b/>
                <w:bCs/>
                <w:color w:val="auto"/>
              </w:rPr>
            </w:pPr>
            <w:r>
              <w:rPr>
                <w:b/>
                <w:bCs/>
                <w:color w:val="auto"/>
              </w:rPr>
              <w:t>园区项目准入条件</w:t>
            </w:r>
          </w:p>
        </w:tc>
        <w:tc>
          <w:tcPr>
            <w:tcW w:w="1585" w:type="pct"/>
            <w:vAlign w:val="center"/>
          </w:tcPr>
          <w:p>
            <w:pPr>
              <w:pStyle w:val="182"/>
              <w:bidi w:val="0"/>
              <w:rPr>
                <w:b/>
                <w:bCs/>
                <w:color w:val="auto"/>
              </w:rPr>
            </w:pPr>
            <w:r>
              <w:rPr>
                <w:b/>
                <w:bCs/>
                <w:color w:val="auto"/>
              </w:rPr>
              <w:t>本项目情况</w:t>
            </w:r>
          </w:p>
        </w:tc>
        <w:tc>
          <w:tcPr>
            <w:tcW w:w="476" w:type="pct"/>
            <w:vAlign w:val="center"/>
          </w:tcPr>
          <w:p>
            <w:pPr>
              <w:pStyle w:val="182"/>
              <w:bidi w:val="0"/>
              <w:rPr>
                <w:b/>
                <w:bCs/>
                <w:color w:val="auto"/>
              </w:rPr>
            </w:pPr>
            <w:r>
              <w:rPr>
                <w:b/>
                <w:bCs/>
                <w:color w:val="auto"/>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pStyle w:val="182"/>
              <w:bidi w:val="0"/>
              <w:rPr>
                <w:color w:val="auto"/>
              </w:rPr>
            </w:pPr>
            <w:r>
              <w:rPr>
                <w:rFonts w:hint="eastAsia"/>
                <w:color w:val="auto"/>
              </w:rPr>
              <w:t>限制类</w:t>
            </w:r>
          </w:p>
        </w:tc>
        <w:tc>
          <w:tcPr>
            <w:tcW w:w="2382" w:type="pct"/>
            <w:vAlign w:val="center"/>
          </w:tcPr>
          <w:p>
            <w:pPr>
              <w:pStyle w:val="182"/>
              <w:bidi w:val="0"/>
              <w:rPr>
                <w:color w:val="auto"/>
              </w:rPr>
            </w:pPr>
            <w:r>
              <w:rPr>
                <w:rFonts w:hint="eastAsia"/>
                <w:color w:val="auto"/>
              </w:rPr>
              <w:t>①化工医药区：限制现有企业扩大再生产（现有企业改扩建项目，增产减污的除外）；</w:t>
            </w:r>
          </w:p>
          <w:p>
            <w:pPr>
              <w:pStyle w:val="182"/>
              <w:bidi w:val="0"/>
              <w:rPr>
                <w:color w:val="auto"/>
              </w:rPr>
            </w:pPr>
            <w:r>
              <w:rPr>
                <w:rFonts w:hint="eastAsia"/>
                <w:color w:val="auto"/>
              </w:rPr>
              <w:t>②严格限制清洁生产水平低，同质化、重复性，产品档次低的印染项目入驻。</w:t>
            </w:r>
          </w:p>
        </w:tc>
        <w:tc>
          <w:tcPr>
            <w:tcW w:w="1585" w:type="pct"/>
            <w:vAlign w:val="center"/>
          </w:tcPr>
          <w:p>
            <w:pPr>
              <w:pStyle w:val="182"/>
              <w:bidi w:val="0"/>
              <w:rPr>
                <w:color w:val="auto"/>
              </w:rPr>
            </w:pPr>
            <w:r>
              <w:rPr>
                <w:rFonts w:hint="eastAsia"/>
                <w:color w:val="auto"/>
              </w:rPr>
              <w:t>①本项目不在化工医药区。</w:t>
            </w:r>
          </w:p>
          <w:p>
            <w:pPr>
              <w:pStyle w:val="182"/>
              <w:bidi w:val="0"/>
              <w:rPr>
                <w:color w:val="auto"/>
              </w:rPr>
            </w:pPr>
            <w:r>
              <w:rPr>
                <w:rFonts w:hint="eastAsia"/>
                <w:color w:val="auto"/>
              </w:rPr>
              <w:t>②本项目不属于印染项目。</w:t>
            </w:r>
          </w:p>
        </w:tc>
        <w:tc>
          <w:tcPr>
            <w:tcW w:w="476" w:type="pct"/>
            <w:vAlign w:val="center"/>
          </w:tcPr>
          <w:p>
            <w:pPr>
              <w:pStyle w:val="182"/>
              <w:bidi w:val="0"/>
              <w:rPr>
                <w:color w:val="auto"/>
              </w:rPr>
            </w:pPr>
            <w:r>
              <w:rPr>
                <w:rFonts w:hint="eastAsia"/>
                <w:color w:va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pStyle w:val="182"/>
              <w:bidi w:val="0"/>
              <w:rPr>
                <w:color w:val="auto"/>
              </w:rPr>
            </w:pPr>
            <w:r>
              <w:rPr>
                <w:rFonts w:hint="eastAsia"/>
                <w:color w:val="auto"/>
              </w:rPr>
              <w:t>禁止类</w:t>
            </w:r>
          </w:p>
        </w:tc>
        <w:tc>
          <w:tcPr>
            <w:tcW w:w="2382" w:type="pct"/>
            <w:vAlign w:val="center"/>
          </w:tcPr>
          <w:p>
            <w:pPr>
              <w:pStyle w:val="182"/>
              <w:bidi w:val="0"/>
              <w:rPr>
                <w:color w:val="auto"/>
              </w:rPr>
            </w:pPr>
            <w:r>
              <w:rPr>
                <w:rFonts w:hint="eastAsia"/>
                <w:color w:val="auto"/>
              </w:rPr>
              <w:t>①汽车零部件区：禁止建设生产和使用高VOCs含量的溶剂型涂料、油墨、胶黏剂项目；</w:t>
            </w:r>
          </w:p>
          <w:p>
            <w:pPr>
              <w:pStyle w:val="182"/>
              <w:bidi w:val="0"/>
              <w:rPr>
                <w:color w:val="auto"/>
              </w:rPr>
            </w:pPr>
            <w:r>
              <w:rPr>
                <w:rFonts w:hint="eastAsia"/>
                <w:color w:val="auto"/>
              </w:rPr>
              <w:t>②装备制造区：禁止建设生产和使用高VOCs含量的溶剂型涂料、油墨、胶黏剂项目；</w:t>
            </w:r>
          </w:p>
          <w:p>
            <w:pPr>
              <w:pStyle w:val="182"/>
              <w:bidi w:val="0"/>
              <w:rPr>
                <w:color w:val="auto"/>
              </w:rPr>
            </w:pPr>
            <w:r>
              <w:rPr>
                <w:rFonts w:hint="eastAsia"/>
                <w:color w:val="auto"/>
              </w:rPr>
              <w:t>③中开企业城禁止食品制造业、农副食品加工业项目入驻；</w:t>
            </w:r>
          </w:p>
          <w:p>
            <w:pPr>
              <w:pStyle w:val="182"/>
              <w:bidi w:val="0"/>
              <w:rPr>
                <w:color w:val="auto"/>
              </w:rPr>
            </w:pPr>
            <w:r>
              <w:rPr>
                <w:rFonts w:hint="eastAsia"/>
                <w:color w:val="auto"/>
              </w:rPr>
              <w:t>④化工医药区：禁止新建和单纯扩大产能的化工项目入驻（单纯混合和分装项目除外）；</w:t>
            </w:r>
          </w:p>
          <w:p>
            <w:pPr>
              <w:pStyle w:val="182"/>
              <w:bidi w:val="0"/>
              <w:rPr>
                <w:color w:val="auto"/>
              </w:rPr>
            </w:pPr>
            <w:r>
              <w:rPr>
                <w:rFonts w:hint="eastAsia"/>
                <w:color w:val="auto"/>
              </w:rPr>
              <w:t>⑤禁止发展环境污染严重、无污染治理技术或治理技术在技术经济上根本不可行的项目；</w:t>
            </w:r>
          </w:p>
          <w:p>
            <w:pPr>
              <w:pStyle w:val="182"/>
              <w:bidi w:val="0"/>
              <w:rPr>
                <w:color w:val="auto"/>
              </w:rPr>
            </w:pPr>
            <w:r>
              <w:rPr>
                <w:rFonts w:hint="eastAsia"/>
                <w:color w:val="auto"/>
              </w:rPr>
              <w:t>⑥禁止高毒、高污染的工业企业入园；</w:t>
            </w:r>
          </w:p>
          <w:p>
            <w:pPr>
              <w:pStyle w:val="182"/>
              <w:bidi w:val="0"/>
              <w:rPr>
                <w:color w:val="auto"/>
              </w:rPr>
            </w:pPr>
            <w:r>
              <w:rPr>
                <w:rFonts w:hint="eastAsia"/>
                <w:color w:val="auto"/>
              </w:rPr>
              <w:t>⑦禁止新建、扩建危废集中处置项目；</w:t>
            </w:r>
          </w:p>
          <w:p>
            <w:pPr>
              <w:pStyle w:val="182"/>
              <w:bidi w:val="0"/>
              <w:rPr>
                <w:color w:val="auto"/>
              </w:rPr>
            </w:pPr>
            <w:r>
              <w:rPr>
                <w:rFonts w:hint="eastAsia"/>
                <w:color w:val="auto"/>
              </w:rPr>
              <w:t>⑧禁止与主导产业汽车及零部件、装备制造产业无关的电镀项目入驻；允许与园区主导产业汽车及零部件、装备制造产业配套服务的集中电镀项目入驻；</w:t>
            </w:r>
          </w:p>
          <w:p>
            <w:pPr>
              <w:pStyle w:val="182"/>
              <w:bidi w:val="0"/>
              <w:rPr>
                <w:color w:val="auto"/>
              </w:rPr>
            </w:pPr>
            <w:r>
              <w:rPr>
                <w:rFonts w:hint="eastAsia"/>
                <w:color w:val="auto"/>
              </w:rPr>
              <w:t>⑨禁止与主导产业无关的塑料制品项目入驻（重点项目除外）；</w:t>
            </w:r>
          </w:p>
          <w:p>
            <w:pPr>
              <w:pStyle w:val="182"/>
              <w:bidi w:val="0"/>
              <w:rPr>
                <w:color w:val="auto"/>
              </w:rPr>
            </w:pPr>
            <w:r>
              <w:rPr>
                <w:rFonts w:hint="eastAsia"/>
                <w:color w:val="auto"/>
              </w:rPr>
              <w:t>⑩禁止新建国家《产业结构调整指导目录（2019年本）》中限制、淘汰类的建设项目；</w:t>
            </w:r>
          </w:p>
          <w:p>
            <w:pPr>
              <w:pStyle w:val="182"/>
              <w:bidi w:val="0"/>
              <w:rPr>
                <w:color w:val="auto"/>
              </w:rPr>
            </w:pPr>
            <w:r>
              <w:rPr>
                <w:color w:val="auto"/>
              </w:rPr>
              <w:t>⑪</w:t>
            </w:r>
            <w:r>
              <w:rPr>
                <w:rFonts w:hint="eastAsia"/>
                <w:color w:val="auto"/>
                <w:lang w:eastAsia="zh-CN"/>
              </w:rPr>
              <w:t>其他</w:t>
            </w:r>
            <w:r>
              <w:rPr>
                <w:rFonts w:hint="eastAsia"/>
                <w:color w:val="auto"/>
              </w:rPr>
              <w:t>区：禁止重污染项目入区。</w:t>
            </w:r>
          </w:p>
        </w:tc>
        <w:tc>
          <w:tcPr>
            <w:tcW w:w="1585" w:type="pct"/>
            <w:vAlign w:val="center"/>
          </w:tcPr>
          <w:p>
            <w:pPr>
              <w:pStyle w:val="182"/>
              <w:bidi w:val="0"/>
              <w:rPr>
                <w:color w:val="auto"/>
              </w:rPr>
            </w:pPr>
            <w:r>
              <w:rPr>
                <w:rFonts w:hint="eastAsia"/>
                <w:color w:val="auto"/>
              </w:rPr>
              <w:t>①本项目不在汽车零部件区；</w:t>
            </w:r>
          </w:p>
          <w:p>
            <w:pPr>
              <w:pStyle w:val="182"/>
              <w:bidi w:val="0"/>
              <w:rPr>
                <w:color w:val="auto"/>
              </w:rPr>
            </w:pPr>
            <w:r>
              <w:rPr>
                <w:rFonts w:hint="eastAsia"/>
                <w:color w:val="auto"/>
              </w:rPr>
              <w:t>②本项目不在装备制造区；</w:t>
            </w:r>
          </w:p>
          <w:p>
            <w:pPr>
              <w:pStyle w:val="182"/>
              <w:bidi w:val="0"/>
              <w:rPr>
                <w:color w:val="auto"/>
              </w:rPr>
            </w:pPr>
            <w:r>
              <w:rPr>
                <w:rFonts w:hint="eastAsia"/>
                <w:color w:val="auto"/>
              </w:rPr>
              <w:t>③本项目不在中开企业城内；</w:t>
            </w:r>
          </w:p>
          <w:p>
            <w:pPr>
              <w:pStyle w:val="182"/>
              <w:bidi w:val="0"/>
              <w:rPr>
                <w:color w:val="auto"/>
              </w:rPr>
            </w:pPr>
            <w:r>
              <w:rPr>
                <w:rFonts w:hint="eastAsia"/>
                <w:color w:val="auto"/>
              </w:rPr>
              <w:t>④本项目不在化工医药区；</w:t>
            </w:r>
          </w:p>
          <w:p>
            <w:pPr>
              <w:pStyle w:val="182"/>
              <w:bidi w:val="0"/>
              <w:rPr>
                <w:color w:val="auto"/>
              </w:rPr>
            </w:pPr>
            <w:r>
              <w:rPr>
                <w:rFonts w:hint="eastAsia"/>
                <w:color w:val="auto"/>
              </w:rPr>
              <w:t>⑤本项目不属于环境污染严重的项目，有污染治理技术且在技术经济上可行；</w:t>
            </w:r>
          </w:p>
          <w:p>
            <w:pPr>
              <w:pStyle w:val="182"/>
              <w:bidi w:val="0"/>
              <w:rPr>
                <w:color w:val="auto"/>
              </w:rPr>
            </w:pPr>
            <w:r>
              <w:rPr>
                <w:rFonts w:hint="eastAsia"/>
                <w:color w:val="auto"/>
              </w:rPr>
              <w:t>⑥本项目不属于高毒、高污染的工业企业；</w:t>
            </w:r>
          </w:p>
          <w:p>
            <w:pPr>
              <w:pStyle w:val="182"/>
              <w:bidi w:val="0"/>
              <w:rPr>
                <w:color w:val="auto"/>
              </w:rPr>
            </w:pPr>
            <w:r>
              <w:rPr>
                <w:rFonts w:hint="eastAsia"/>
                <w:color w:val="auto"/>
              </w:rPr>
              <w:t>⑦本项目不属于危废集中处置项目；</w:t>
            </w:r>
          </w:p>
          <w:p>
            <w:pPr>
              <w:pStyle w:val="182"/>
              <w:bidi w:val="0"/>
              <w:rPr>
                <w:color w:val="auto"/>
              </w:rPr>
            </w:pPr>
            <w:r>
              <w:rPr>
                <w:rFonts w:hint="eastAsia"/>
                <w:color w:val="auto"/>
              </w:rPr>
              <w:t>⑧本项目与主导产业相关，且不属于独立电镀企业；⑨本项目不属于塑料制品项目；</w:t>
            </w:r>
          </w:p>
          <w:p>
            <w:pPr>
              <w:pStyle w:val="182"/>
              <w:bidi w:val="0"/>
              <w:rPr>
                <w:color w:val="auto"/>
              </w:rPr>
            </w:pPr>
            <w:r>
              <w:rPr>
                <w:rFonts w:hint="eastAsia"/>
                <w:color w:val="auto"/>
              </w:rPr>
              <w:t>⑩本项目不属于国家《产</w:t>
            </w:r>
          </w:p>
          <w:p>
            <w:pPr>
              <w:pStyle w:val="182"/>
              <w:bidi w:val="0"/>
              <w:rPr>
                <w:color w:val="auto"/>
              </w:rPr>
            </w:pPr>
            <w:r>
              <w:rPr>
                <w:rFonts w:hint="eastAsia"/>
                <w:color w:val="auto"/>
              </w:rPr>
              <w:t>业结构调整指导目录（2019年本）》中限制、淘汰类的建设项目；</w:t>
            </w:r>
          </w:p>
          <w:p>
            <w:pPr>
              <w:pStyle w:val="182"/>
              <w:bidi w:val="0"/>
              <w:rPr>
                <w:color w:val="auto"/>
              </w:rPr>
            </w:pPr>
            <w:r>
              <w:rPr>
                <w:color w:val="auto"/>
              </w:rPr>
              <w:t>⑪</w:t>
            </w:r>
            <w:r>
              <w:rPr>
                <w:rFonts w:hint="eastAsia"/>
                <w:color w:val="auto"/>
              </w:rPr>
              <w:t>本项目不属于重污染项目。</w:t>
            </w:r>
          </w:p>
        </w:tc>
        <w:tc>
          <w:tcPr>
            <w:tcW w:w="476" w:type="pct"/>
            <w:vAlign w:val="center"/>
          </w:tcPr>
          <w:p>
            <w:pPr>
              <w:pStyle w:val="182"/>
              <w:bidi w:val="0"/>
              <w:rPr>
                <w:color w:val="auto"/>
              </w:rPr>
            </w:pPr>
            <w:r>
              <w:rPr>
                <w:rFonts w:hint="eastAsia"/>
                <w:color w:val="auto"/>
              </w:rPr>
              <w:t>相符</w:t>
            </w:r>
          </w:p>
        </w:tc>
      </w:tr>
    </w:tbl>
    <w:p>
      <w:pPr>
        <w:pStyle w:val="9"/>
        <w:rPr>
          <w:rFonts w:hint="default"/>
          <w:b/>
          <w:bCs/>
          <w:color w:val="auto"/>
          <w:u w:val="single"/>
          <w:lang w:val="en-US" w:eastAsia="zh-CN"/>
        </w:rPr>
      </w:pPr>
      <w:r>
        <w:rPr>
          <w:rFonts w:hint="eastAsia"/>
          <w:b/>
          <w:bCs/>
          <w:color w:val="auto"/>
          <w:u w:val="single"/>
          <w:lang w:val="en-US" w:eastAsia="zh-CN"/>
        </w:rPr>
        <w:t>2.10.4 《国家新乡经济技术开发区总体规划（2021-2035）》</w:t>
      </w:r>
    </w:p>
    <w:p>
      <w:pPr>
        <w:rPr>
          <w:rFonts w:hint="eastAsia" w:eastAsia="宋体"/>
          <w:b/>
          <w:bCs/>
          <w:color w:val="auto"/>
          <w:u w:val="single"/>
          <w:lang w:eastAsia="zh-CN"/>
        </w:rPr>
      </w:pPr>
      <w:r>
        <w:rPr>
          <w:rFonts w:hint="eastAsia"/>
          <w:b/>
          <w:bCs/>
          <w:color w:val="auto"/>
          <w:u w:val="single"/>
          <w:lang w:val="en-US" w:eastAsia="zh-CN"/>
        </w:rPr>
        <w:t>根据《国家新乡经济技术开发区总体规划（2021-2035）》初稿的</w:t>
      </w:r>
      <w:r>
        <w:rPr>
          <w:rFonts w:hint="eastAsia"/>
          <w:b/>
          <w:bCs/>
          <w:color w:val="auto"/>
          <w:u w:val="single"/>
        </w:rPr>
        <w:t>阶段性成果，</w:t>
      </w:r>
      <w:r>
        <w:rPr>
          <w:rFonts w:hint="eastAsia"/>
          <w:b/>
          <w:bCs/>
          <w:color w:val="auto"/>
          <w:u w:val="single"/>
          <w:lang w:val="en-US" w:eastAsia="zh-CN"/>
        </w:rPr>
        <w:t>开发区初步制定的</w:t>
      </w:r>
      <w:r>
        <w:rPr>
          <w:rFonts w:hint="eastAsia"/>
          <w:b/>
          <w:bCs/>
          <w:color w:val="auto"/>
          <w:u w:val="single"/>
        </w:rPr>
        <w:t>准入和负面清单</w:t>
      </w:r>
      <w:r>
        <w:rPr>
          <w:rFonts w:hint="eastAsia"/>
          <w:b/>
          <w:bCs/>
          <w:color w:val="auto"/>
          <w:u w:val="single"/>
          <w:lang w:val="en-US" w:eastAsia="zh-CN"/>
        </w:rPr>
        <w:t>如下表所示</w:t>
      </w:r>
      <w:r>
        <w:rPr>
          <w:rFonts w:hint="eastAsia"/>
          <w:b/>
          <w:bCs/>
          <w:color w:val="auto"/>
          <w:u w:val="single"/>
          <w:lang w:eastAsia="zh-CN"/>
        </w:rPr>
        <w:t>。</w:t>
      </w:r>
    </w:p>
    <w:p>
      <w:pPr>
        <w:pStyle w:val="181"/>
        <w:bidi w:val="0"/>
      </w:pPr>
      <w:r>
        <w:t>表</w:t>
      </w:r>
      <w:r>
        <w:rPr>
          <w:rFonts w:hint="eastAsia"/>
          <w:lang w:val="en-US" w:eastAsia="zh-CN"/>
        </w:rPr>
        <w:t>2.</w:t>
      </w:r>
      <w:r>
        <w:t>10-</w:t>
      </w:r>
      <w:r>
        <w:rPr>
          <w:rFonts w:hint="eastAsia"/>
          <w:lang w:val="en-US" w:eastAsia="zh-CN"/>
        </w:rPr>
        <w:t>3</w:t>
      </w:r>
      <w:r>
        <w:t xml:space="preserve">              规划开发区环境准入条件</w:t>
      </w:r>
    </w:p>
    <w:tbl>
      <w:tblPr>
        <w:tblStyle w:val="32"/>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742"/>
        <w:gridCol w:w="3928"/>
        <w:gridCol w:w="2824"/>
        <w:gridCol w:w="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444" w:type="pct"/>
            <w:tcBorders>
              <w:top w:val="single" w:color="auto" w:sz="8" w:space="0"/>
              <w:left w:val="single" w:color="auto" w:sz="8" w:space="0"/>
              <w:bottom w:val="single" w:color="auto" w:sz="4" w:space="0"/>
              <w:right w:val="single" w:color="auto" w:sz="4" w:space="0"/>
            </w:tcBorders>
            <w:vAlign w:val="center"/>
          </w:tcPr>
          <w:p>
            <w:pPr>
              <w:pStyle w:val="182"/>
              <w:ind w:firstLine="0" w:firstLineChars="0"/>
              <w:jc w:val="center"/>
              <w:rPr>
                <w:b/>
                <w:bCs/>
                <w:color w:val="auto"/>
                <w:u w:val="single"/>
              </w:rPr>
            </w:pPr>
            <w:r>
              <w:rPr>
                <w:b/>
                <w:bCs/>
                <w:color w:val="auto"/>
                <w:u w:val="single"/>
              </w:rPr>
              <w:t>类别</w:t>
            </w:r>
          </w:p>
        </w:tc>
        <w:tc>
          <w:tcPr>
            <w:tcW w:w="2349" w:type="pct"/>
            <w:tcBorders>
              <w:top w:val="single" w:color="auto" w:sz="8" w:space="0"/>
              <w:left w:val="single" w:color="auto" w:sz="4" w:space="0"/>
              <w:bottom w:val="single" w:color="auto" w:sz="4" w:space="0"/>
              <w:right w:val="single" w:color="auto" w:sz="8" w:space="0"/>
            </w:tcBorders>
            <w:vAlign w:val="center"/>
          </w:tcPr>
          <w:p>
            <w:pPr>
              <w:pStyle w:val="182"/>
              <w:ind w:firstLine="0" w:firstLineChars="0"/>
              <w:jc w:val="center"/>
              <w:rPr>
                <w:b/>
                <w:bCs/>
                <w:color w:val="auto"/>
                <w:u w:val="single"/>
              </w:rPr>
            </w:pPr>
            <w:r>
              <w:rPr>
                <w:b/>
                <w:bCs/>
                <w:color w:val="auto"/>
                <w:u w:val="single"/>
              </w:rPr>
              <w:t>准入条件</w:t>
            </w:r>
          </w:p>
        </w:tc>
        <w:tc>
          <w:tcPr>
            <w:tcW w:w="1689" w:type="pct"/>
            <w:tcBorders>
              <w:top w:val="single" w:color="auto" w:sz="8" w:space="0"/>
              <w:left w:val="single" w:color="auto" w:sz="4" w:space="0"/>
              <w:bottom w:val="single" w:color="auto" w:sz="4" w:space="0"/>
              <w:right w:val="single" w:color="auto" w:sz="8" w:space="0"/>
            </w:tcBorders>
            <w:vAlign w:val="center"/>
          </w:tcPr>
          <w:p>
            <w:pPr>
              <w:pStyle w:val="182"/>
              <w:ind w:firstLine="0" w:firstLineChars="0"/>
              <w:jc w:val="center"/>
              <w:rPr>
                <w:rFonts w:hint="default"/>
                <w:b/>
                <w:bCs/>
                <w:color w:val="auto"/>
                <w:u w:val="single"/>
                <w:lang w:val="en-US" w:eastAsia="zh-CN"/>
              </w:rPr>
            </w:pPr>
            <w:r>
              <w:rPr>
                <w:rFonts w:hint="eastAsia"/>
                <w:b/>
                <w:bCs/>
                <w:color w:val="auto"/>
                <w:u w:val="single"/>
                <w:lang w:val="en-US" w:eastAsia="zh-CN"/>
              </w:rPr>
              <w:t>本项目情况</w:t>
            </w:r>
          </w:p>
        </w:tc>
        <w:tc>
          <w:tcPr>
            <w:tcW w:w="517" w:type="pct"/>
            <w:tcBorders>
              <w:top w:val="single" w:color="auto" w:sz="8" w:space="0"/>
              <w:left w:val="single" w:color="auto" w:sz="4" w:space="0"/>
              <w:bottom w:val="single" w:color="auto" w:sz="4" w:space="0"/>
              <w:right w:val="single" w:color="auto" w:sz="8" w:space="0"/>
            </w:tcBorders>
            <w:vAlign w:val="center"/>
          </w:tcPr>
          <w:p>
            <w:pPr>
              <w:pStyle w:val="182"/>
              <w:ind w:firstLine="0" w:firstLineChars="0"/>
              <w:jc w:val="center"/>
              <w:rPr>
                <w:rFonts w:hint="default"/>
                <w:b/>
                <w:bCs/>
                <w:color w:val="auto"/>
                <w:u w:val="single"/>
                <w:lang w:val="en-US" w:eastAsia="zh-CN"/>
              </w:rPr>
            </w:pPr>
            <w:r>
              <w:rPr>
                <w:rFonts w:hint="eastAsia"/>
                <w:b/>
                <w:bCs/>
                <w:color w:val="auto"/>
                <w:u w:val="single"/>
                <w:lang w:val="en-US" w:eastAsia="zh-CN"/>
              </w:rPr>
              <w:t>对比结果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4" w:type="pct"/>
            <w:tcBorders>
              <w:top w:val="single" w:color="auto" w:sz="4" w:space="0"/>
              <w:left w:val="single" w:color="auto" w:sz="8" w:space="0"/>
              <w:bottom w:val="single" w:color="auto" w:sz="4" w:space="0"/>
              <w:right w:val="single" w:color="auto" w:sz="4" w:space="0"/>
            </w:tcBorders>
            <w:vAlign w:val="center"/>
          </w:tcPr>
          <w:p>
            <w:pPr>
              <w:pStyle w:val="182"/>
              <w:ind w:firstLine="0" w:firstLineChars="0"/>
              <w:rPr>
                <w:b/>
                <w:bCs/>
                <w:color w:val="auto"/>
                <w:u w:val="single"/>
              </w:rPr>
            </w:pPr>
            <w:r>
              <w:rPr>
                <w:b/>
                <w:bCs/>
                <w:color w:val="auto"/>
                <w:u w:val="single"/>
              </w:rPr>
              <w:t>空间布局约束</w:t>
            </w:r>
          </w:p>
        </w:tc>
        <w:tc>
          <w:tcPr>
            <w:tcW w:w="2349" w:type="pct"/>
            <w:tcBorders>
              <w:top w:val="single" w:color="auto" w:sz="4" w:space="0"/>
              <w:left w:val="single" w:color="auto" w:sz="4" w:space="0"/>
              <w:bottom w:val="single" w:color="auto" w:sz="4" w:space="0"/>
              <w:right w:val="single" w:color="auto" w:sz="8" w:space="0"/>
            </w:tcBorders>
            <w:vAlign w:val="center"/>
          </w:tcPr>
          <w:p>
            <w:pPr>
              <w:pStyle w:val="182"/>
              <w:ind w:firstLine="0" w:firstLineChars="0"/>
              <w:jc w:val="left"/>
              <w:rPr>
                <w:b/>
                <w:bCs/>
                <w:color w:val="auto"/>
                <w:u w:val="single"/>
              </w:rPr>
            </w:pPr>
            <w:r>
              <w:rPr>
                <w:b/>
                <w:bCs/>
                <w:color w:val="auto"/>
                <w:u w:val="single"/>
              </w:rPr>
              <w:t>1、结合开发区功能定位及发展目标，坚持高水平、高起点，优先发展技术含量高、附加值高、符合国家产业政策和清洁生产要求、采用先进生产工艺和设备、自动化程度高、具有可靠先进的污染治理技术的生产项目。</w:t>
            </w:r>
          </w:p>
          <w:p>
            <w:pPr>
              <w:pStyle w:val="182"/>
              <w:ind w:firstLine="0" w:firstLineChars="0"/>
              <w:jc w:val="left"/>
              <w:rPr>
                <w:b/>
                <w:bCs/>
                <w:color w:val="auto"/>
                <w:u w:val="single"/>
              </w:rPr>
            </w:pPr>
            <w:r>
              <w:rPr>
                <w:b/>
                <w:bCs/>
                <w:color w:val="auto"/>
                <w:u w:val="single"/>
              </w:rPr>
              <w:t>2、鼓励引进与开发区产业定位及产业规划相符的项目入驻。</w:t>
            </w:r>
          </w:p>
          <w:p>
            <w:pPr>
              <w:pStyle w:val="182"/>
              <w:ind w:firstLine="0" w:firstLineChars="0"/>
              <w:jc w:val="left"/>
              <w:rPr>
                <w:b/>
                <w:bCs/>
                <w:color w:val="auto"/>
                <w:u w:val="single"/>
              </w:rPr>
            </w:pPr>
            <w:r>
              <w:rPr>
                <w:b/>
                <w:bCs/>
                <w:color w:val="auto"/>
                <w:u w:val="single"/>
              </w:rPr>
              <w:t>3、</w:t>
            </w:r>
            <w:r>
              <w:rPr>
                <w:rFonts w:hint="eastAsia"/>
                <w:b/>
                <w:bCs/>
                <w:color w:val="auto"/>
                <w:u w:val="single"/>
              </w:rPr>
              <w:t>鼓励引进有利于</w:t>
            </w:r>
            <w:r>
              <w:rPr>
                <w:b/>
                <w:bCs/>
                <w:color w:val="auto"/>
                <w:u w:val="single"/>
              </w:rPr>
              <w:t>开发区产业</w:t>
            </w:r>
            <w:r>
              <w:rPr>
                <w:rFonts w:hint="eastAsia"/>
                <w:b/>
                <w:bCs/>
                <w:color w:val="auto"/>
                <w:u w:val="single"/>
              </w:rPr>
              <w:t>发展的延链、补链、强链</w:t>
            </w:r>
            <w:r>
              <w:rPr>
                <w:b/>
                <w:bCs/>
                <w:color w:val="auto"/>
                <w:u w:val="single"/>
              </w:rPr>
              <w:t>项目，力求发挥各项目之间的协同效应，</w:t>
            </w:r>
            <w:r>
              <w:rPr>
                <w:rFonts w:hint="eastAsia"/>
                <w:b/>
                <w:bCs/>
                <w:color w:val="auto"/>
                <w:u w:val="single"/>
              </w:rPr>
              <w:t>实现</w:t>
            </w:r>
            <w:r>
              <w:rPr>
                <w:b/>
                <w:bCs/>
                <w:color w:val="auto"/>
                <w:u w:val="single"/>
              </w:rPr>
              <w:t>开发区</w:t>
            </w:r>
            <w:r>
              <w:rPr>
                <w:rFonts w:hint="eastAsia"/>
                <w:b/>
                <w:bCs/>
                <w:color w:val="auto"/>
                <w:u w:val="single"/>
              </w:rPr>
              <w:t>产业升级</w:t>
            </w:r>
            <w:r>
              <w:rPr>
                <w:b/>
                <w:bCs/>
                <w:color w:val="auto"/>
                <w:u w:val="single"/>
              </w:rPr>
              <w:t>。</w:t>
            </w:r>
          </w:p>
          <w:p>
            <w:pPr>
              <w:pStyle w:val="182"/>
              <w:ind w:firstLine="0" w:firstLineChars="0"/>
              <w:jc w:val="left"/>
              <w:rPr>
                <w:b/>
                <w:bCs/>
                <w:color w:val="auto"/>
                <w:u w:val="single"/>
              </w:rPr>
            </w:pPr>
            <w:r>
              <w:rPr>
                <w:b/>
                <w:bCs/>
                <w:color w:val="auto"/>
                <w:u w:val="single"/>
              </w:rPr>
              <w:t>4、鼓励现有企业进行工程工艺技术升级改造、污染治理措施升级改造、节能减排技术改造项目，提高现有企业清洁生产水平。</w:t>
            </w:r>
          </w:p>
          <w:p>
            <w:pPr>
              <w:pStyle w:val="182"/>
              <w:ind w:firstLine="0" w:firstLineChars="0"/>
              <w:jc w:val="left"/>
              <w:rPr>
                <w:b/>
                <w:bCs/>
                <w:color w:val="auto"/>
                <w:u w:val="single"/>
              </w:rPr>
            </w:pPr>
            <w:r>
              <w:rPr>
                <w:rFonts w:hint="eastAsia"/>
                <w:b/>
                <w:bCs/>
                <w:color w:val="auto"/>
                <w:u w:val="single"/>
              </w:rPr>
              <w:t>5、为实现开发区内土地集约化、高效利用，原化工医药片区鼓励开发区内企业自主研发新工艺、新产品等高附加值的新材料产业入驻。</w:t>
            </w:r>
          </w:p>
          <w:p>
            <w:pPr>
              <w:pStyle w:val="182"/>
              <w:ind w:firstLine="0" w:firstLineChars="0"/>
              <w:jc w:val="left"/>
              <w:rPr>
                <w:b/>
                <w:bCs/>
                <w:color w:val="auto"/>
                <w:u w:val="single"/>
              </w:rPr>
            </w:pPr>
            <w:r>
              <w:rPr>
                <w:rFonts w:hint="eastAsia"/>
                <w:b/>
                <w:bCs/>
                <w:color w:val="auto"/>
                <w:u w:val="single"/>
              </w:rPr>
              <w:t>6、原化工医药片区，鼓励现有化工企业淘汰技术含量低的现有项目，通过改建、扩建和技术改造等建设符合国家相关规范、自动化程度高的高附加值化工项目。</w:t>
            </w:r>
          </w:p>
        </w:tc>
        <w:tc>
          <w:tcPr>
            <w:tcW w:w="1689" w:type="pct"/>
            <w:tcBorders>
              <w:top w:val="single" w:color="auto" w:sz="4" w:space="0"/>
              <w:left w:val="single" w:color="auto" w:sz="4" w:space="0"/>
              <w:bottom w:val="single" w:color="auto" w:sz="4" w:space="0"/>
              <w:right w:val="single" w:color="auto" w:sz="8" w:space="0"/>
            </w:tcBorders>
            <w:vAlign w:val="center"/>
          </w:tcPr>
          <w:p>
            <w:pPr>
              <w:pStyle w:val="182"/>
              <w:ind w:firstLine="0" w:firstLineChars="0"/>
              <w:jc w:val="left"/>
              <w:rPr>
                <w:rFonts w:hint="eastAsia"/>
                <w:b/>
                <w:bCs/>
                <w:color w:val="auto"/>
                <w:u w:val="single"/>
              </w:rPr>
            </w:pPr>
            <w:r>
              <w:rPr>
                <w:rFonts w:hint="eastAsia"/>
                <w:b/>
                <w:bCs/>
                <w:color w:val="auto"/>
                <w:u w:val="single"/>
                <w:lang w:val="en-US" w:eastAsia="zh-CN"/>
              </w:rPr>
              <w:t>1、</w:t>
            </w:r>
            <w:r>
              <w:rPr>
                <w:rFonts w:hint="eastAsia"/>
                <w:b/>
                <w:bCs/>
                <w:color w:val="auto"/>
                <w:u w:val="single"/>
              </w:rPr>
              <w:t>本项目可以达到国内同行业领先水平；</w:t>
            </w:r>
          </w:p>
          <w:p>
            <w:pPr>
              <w:pStyle w:val="182"/>
              <w:ind w:firstLine="0" w:firstLineChars="0"/>
              <w:jc w:val="left"/>
              <w:rPr>
                <w:rFonts w:hint="eastAsia"/>
                <w:b/>
                <w:bCs/>
                <w:color w:val="auto"/>
                <w:u w:val="single"/>
                <w:lang w:eastAsia="zh-CN"/>
              </w:rPr>
            </w:pPr>
            <w:r>
              <w:rPr>
                <w:rFonts w:hint="eastAsia"/>
                <w:b/>
                <w:bCs/>
                <w:color w:val="auto"/>
                <w:u w:val="single"/>
                <w:lang w:val="en-US" w:eastAsia="zh-CN"/>
              </w:rPr>
              <w:t>2、</w:t>
            </w:r>
            <w:r>
              <w:rPr>
                <w:rFonts w:hint="eastAsia"/>
                <w:b/>
                <w:bCs/>
                <w:color w:val="auto"/>
                <w:u w:val="single"/>
              </w:rPr>
              <w:t>本项目为生物质纤维生产，属于化纤纺织制造，符合园区主导产业定位</w:t>
            </w:r>
            <w:r>
              <w:rPr>
                <w:rFonts w:hint="eastAsia"/>
                <w:b/>
                <w:bCs/>
                <w:color w:val="auto"/>
                <w:u w:val="single"/>
                <w:lang w:eastAsia="zh-CN"/>
              </w:rPr>
              <w:t>；</w:t>
            </w:r>
          </w:p>
          <w:p>
            <w:pPr>
              <w:pStyle w:val="182"/>
              <w:ind w:firstLine="0" w:firstLineChars="0"/>
              <w:jc w:val="left"/>
              <w:rPr>
                <w:rFonts w:hint="eastAsia"/>
                <w:b/>
                <w:bCs/>
                <w:color w:val="auto"/>
                <w:u w:val="single"/>
                <w:lang w:val="en-US" w:eastAsia="zh-CN"/>
              </w:rPr>
            </w:pPr>
            <w:r>
              <w:rPr>
                <w:rFonts w:hint="eastAsia"/>
                <w:b/>
                <w:bCs/>
                <w:color w:val="auto"/>
                <w:u w:val="single"/>
                <w:lang w:val="en-US" w:eastAsia="zh-CN"/>
              </w:rPr>
              <w:t>3、本项目属于中试研发项目，旨在探索新材料制备生物质纤维的工程化条件；</w:t>
            </w:r>
          </w:p>
          <w:p>
            <w:pPr>
              <w:pStyle w:val="182"/>
              <w:ind w:firstLine="0" w:firstLineChars="0"/>
              <w:jc w:val="left"/>
              <w:rPr>
                <w:rFonts w:hint="eastAsia"/>
                <w:b/>
                <w:bCs/>
                <w:color w:val="auto"/>
                <w:u w:val="single"/>
                <w:lang w:val="en-US" w:eastAsia="zh-CN"/>
              </w:rPr>
            </w:pPr>
            <w:r>
              <w:rPr>
                <w:rFonts w:hint="eastAsia"/>
                <w:b/>
                <w:bCs/>
                <w:color w:val="auto"/>
                <w:u w:val="single"/>
                <w:lang w:val="en-US" w:eastAsia="zh-CN"/>
              </w:rPr>
              <w:t>4、本项目涉及探索从黑液中提取木质素混合物，为废物的资源化利用；</w:t>
            </w:r>
          </w:p>
          <w:p>
            <w:pPr>
              <w:pStyle w:val="182"/>
              <w:ind w:firstLine="0" w:firstLineChars="0"/>
              <w:jc w:val="left"/>
              <w:rPr>
                <w:rFonts w:hint="eastAsia"/>
                <w:b/>
                <w:bCs/>
                <w:color w:val="auto"/>
                <w:u w:val="single"/>
                <w:lang w:val="en-US" w:eastAsia="zh-CN"/>
              </w:rPr>
            </w:pPr>
            <w:r>
              <w:rPr>
                <w:rFonts w:hint="eastAsia"/>
                <w:b/>
                <w:bCs/>
                <w:color w:val="auto"/>
                <w:u w:val="single"/>
                <w:lang w:val="en-US" w:eastAsia="zh-CN"/>
              </w:rPr>
              <w:t>5、本项目在原有厂区建设，自主探索菌草在纤维生产的可行性及工程化的条件；</w:t>
            </w:r>
          </w:p>
          <w:p>
            <w:pPr>
              <w:pStyle w:val="182"/>
              <w:ind w:firstLine="0" w:firstLineChars="0"/>
              <w:jc w:val="left"/>
              <w:rPr>
                <w:rFonts w:hint="eastAsia" w:eastAsia="宋体"/>
                <w:b/>
                <w:bCs/>
                <w:color w:val="auto"/>
                <w:u w:val="single"/>
                <w:lang w:val="en-US" w:eastAsia="zh-CN"/>
              </w:rPr>
            </w:pPr>
            <w:r>
              <w:rPr>
                <w:rFonts w:hint="eastAsia"/>
                <w:b/>
                <w:bCs/>
                <w:color w:val="auto"/>
                <w:u w:val="single"/>
                <w:lang w:val="en-US" w:eastAsia="zh-CN"/>
              </w:rPr>
              <w:t>6、本项目不属于</w:t>
            </w:r>
            <w:r>
              <w:rPr>
                <w:rFonts w:hint="eastAsia"/>
                <w:b/>
                <w:bCs/>
                <w:color w:val="auto"/>
                <w:u w:val="single"/>
              </w:rPr>
              <w:t>化工医药</w:t>
            </w:r>
            <w:r>
              <w:rPr>
                <w:rFonts w:hint="eastAsia"/>
                <w:b/>
                <w:bCs/>
                <w:color w:val="auto"/>
                <w:u w:val="single"/>
                <w:lang w:val="en-US" w:eastAsia="zh-CN"/>
              </w:rPr>
              <w:t>项目</w:t>
            </w:r>
            <w:r>
              <w:rPr>
                <w:rFonts w:hint="eastAsia"/>
                <w:b/>
                <w:bCs/>
                <w:color w:val="auto"/>
                <w:u w:val="single"/>
                <w:lang w:eastAsia="zh-CN"/>
              </w:rPr>
              <w:t>。</w:t>
            </w:r>
          </w:p>
          <w:p>
            <w:pPr>
              <w:pStyle w:val="182"/>
              <w:ind w:firstLine="0" w:firstLineChars="0"/>
              <w:jc w:val="left"/>
              <w:rPr>
                <w:rFonts w:hint="eastAsia"/>
                <w:b/>
                <w:bCs/>
                <w:color w:val="auto"/>
                <w:u w:val="single"/>
              </w:rPr>
            </w:pPr>
          </w:p>
        </w:tc>
        <w:tc>
          <w:tcPr>
            <w:tcW w:w="517" w:type="pct"/>
            <w:tcBorders>
              <w:top w:val="single" w:color="auto" w:sz="4" w:space="0"/>
              <w:left w:val="single" w:color="auto" w:sz="4" w:space="0"/>
              <w:bottom w:val="single" w:color="auto" w:sz="4" w:space="0"/>
              <w:right w:val="single" w:color="auto" w:sz="8" w:space="0"/>
            </w:tcBorders>
            <w:vAlign w:val="center"/>
          </w:tcPr>
          <w:p>
            <w:pPr>
              <w:pStyle w:val="182"/>
              <w:ind w:firstLine="0" w:firstLineChars="0"/>
              <w:rPr>
                <w:rFonts w:hint="eastAsia" w:eastAsia="宋体"/>
                <w:b/>
                <w:bCs/>
                <w:color w:val="auto"/>
                <w:u w:val="single"/>
                <w:lang w:val="en-US" w:eastAsia="zh-CN"/>
              </w:rPr>
            </w:pPr>
            <w:r>
              <w:rPr>
                <w:rFonts w:hint="eastAsia"/>
                <w:b/>
                <w:bCs/>
                <w:color w:val="auto"/>
                <w:u w:val="single"/>
                <w:lang w:val="en-US" w:eastAsia="zh-CN"/>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4" w:type="pct"/>
            <w:tcBorders>
              <w:top w:val="single" w:color="auto" w:sz="4" w:space="0"/>
              <w:left w:val="single" w:color="auto" w:sz="8" w:space="0"/>
              <w:bottom w:val="single" w:color="auto" w:sz="4" w:space="0"/>
              <w:right w:val="single" w:color="auto" w:sz="4" w:space="0"/>
            </w:tcBorders>
            <w:vAlign w:val="center"/>
          </w:tcPr>
          <w:p>
            <w:pPr>
              <w:pStyle w:val="182"/>
              <w:ind w:firstLine="0" w:firstLineChars="0"/>
              <w:jc w:val="center"/>
              <w:rPr>
                <w:b/>
                <w:bCs/>
                <w:color w:val="auto"/>
                <w:u w:val="single"/>
              </w:rPr>
            </w:pPr>
            <w:r>
              <w:rPr>
                <w:b/>
                <w:bCs/>
                <w:color w:val="auto"/>
                <w:u w:val="single"/>
              </w:rPr>
              <w:t>污染物排放管控</w:t>
            </w:r>
          </w:p>
        </w:tc>
        <w:tc>
          <w:tcPr>
            <w:tcW w:w="2349" w:type="pct"/>
            <w:tcBorders>
              <w:top w:val="single" w:color="auto" w:sz="4" w:space="0"/>
              <w:left w:val="single" w:color="auto" w:sz="4" w:space="0"/>
              <w:bottom w:val="single" w:color="auto" w:sz="4" w:space="0"/>
              <w:right w:val="single" w:color="auto" w:sz="8" w:space="0"/>
            </w:tcBorders>
            <w:vAlign w:val="center"/>
          </w:tcPr>
          <w:p>
            <w:pPr>
              <w:pStyle w:val="182"/>
              <w:autoSpaceDE w:val="0"/>
              <w:autoSpaceDN w:val="0"/>
              <w:adjustRightInd w:val="0"/>
              <w:ind w:firstLine="0" w:firstLineChars="0"/>
              <w:jc w:val="left"/>
              <w:rPr>
                <w:b/>
                <w:bCs/>
                <w:color w:val="auto"/>
                <w:u w:val="single"/>
              </w:rPr>
            </w:pPr>
            <w:r>
              <w:rPr>
                <w:b/>
                <w:bCs/>
                <w:color w:val="auto"/>
                <w:u w:val="single"/>
              </w:rPr>
              <w:t>1、引进项目的生产工艺、设备、污染治理技术，以及单位产品能耗、物耗、污染物排放和资源利用率等清洁生产指标应达到国内同类行业先进水平或国际领先水平。</w:t>
            </w:r>
          </w:p>
          <w:p>
            <w:pPr>
              <w:pStyle w:val="182"/>
              <w:autoSpaceDE w:val="0"/>
              <w:autoSpaceDN w:val="0"/>
              <w:adjustRightInd w:val="0"/>
              <w:ind w:firstLine="0" w:firstLineChars="0"/>
              <w:jc w:val="left"/>
              <w:rPr>
                <w:b/>
                <w:bCs/>
                <w:color w:val="auto"/>
                <w:u w:val="single"/>
              </w:rPr>
            </w:pPr>
            <w:r>
              <w:rPr>
                <w:b/>
                <w:bCs/>
                <w:color w:val="auto"/>
                <w:u w:val="single"/>
              </w:rPr>
              <w:t>2、新、改、扩建项目主要污染物排放应满足总量</w:t>
            </w:r>
            <w:r>
              <w:rPr>
                <w:rFonts w:hint="eastAsia"/>
                <w:b/>
                <w:bCs/>
                <w:color w:val="auto"/>
                <w:u w:val="single"/>
              </w:rPr>
              <w:t>控制</w:t>
            </w:r>
            <w:r>
              <w:rPr>
                <w:b/>
                <w:bCs/>
                <w:color w:val="auto"/>
                <w:u w:val="single"/>
              </w:rPr>
              <w:t>要求。</w:t>
            </w:r>
          </w:p>
          <w:p>
            <w:pPr>
              <w:pStyle w:val="182"/>
              <w:ind w:firstLine="0" w:firstLineChars="0"/>
              <w:jc w:val="left"/>
              <w:rPr>
                <w:b/>
                <w:bCs/>
                <w:color w:val="auto"/>
                <w:u w:val="single"/>
              </w:rPr>
            </w:pPr>
            <w:r>
              <w:rPr>
                <w:b/>
                <w:bCs/>
                <w:color w:val="auto"/>
                <w:u w:val="single"/>
              </w:rPr>
              <w:t>3、入驻项目二氧化硫、氮氧化物、颗粒物、VOCs全面执行大气污染物特别排放限值，单位产品污染物排放须满足相关行业标准。</w:t>
            </w:r>
          </w:p>
          <w:p>
            <w:pPr>
              <w:pStyle w:val="182"/>
              <w:autoSpaceDE w:val="0"/>
              <w:autoSpaceDN w:val="0"/>
              <w:adjustRightInd w:val="0"/>
              <w:ind w:firstLine="0" w:firstLineChars="0"/>
              <w:jc w:val="left"/>
              <w:rPr>
                <w:b/>
                <w:bCs/>
                <w:color w:val="auto"/>
                <w:u w:val="single"/>
              </w:rPr>
            </w:pPr>
            <w:r>
              <w:rPr>
                <w:b/>
                <w:bCs/>
                <w:color w:val="auto"/>
                <w:u w:val="single"/>
              </w:rPr>
              <w:t>4、引进项目的工艺废气和生产废水须建设相关配套处理设施，必须采用可靠、成熟的处理工艺，落实治理设施并确保正常运行，做到达标排放。外排废水处理后满足相应的排放标准和开发区污水处理厂进水水质要求，方可排入开发区污水处理厂进一步处理。</w:t>
            </w:r>
          </w:p>
        </w:tc>
        <w:tc>
          <w:tcPr>
            <w:tcW w:w="1689" w:type="pct"/>
            <w:tcBorders>
              <w:top w:val="single" w:color="auto" w:sz="4" w:space="0"/>
              <w:left w:val="single" w:color="auto" w:sz="4" w:space="0"/>
              <w:bottom w:val="single" w:color="auto" w:sz="4" w:space="0"/>
              <w:right w:val="single" w:color="auto" w:sz="8" w:space="0"/>
            </w:tcBorders>
            <w:vAlign w:val="center"/>
          </w:tcPr>
          <w:p>
            <w:pPr>
              <w:pStyle w:val="182"/>
              <w:autoSpaceDE w:val="0"/>
              <w:autoSpaceDN w:val="0"/>
              <w:adjustRightInd w:val="0"/>
              <w:ind w:firstLine="0" w:firstLineChars="0"/>
              <w:jc w:val="left"/>
              <w:rPr>
                <w:rFonts w:hint="eastAsia"/>
                <w:b/>
                <w:bCs/>
                <w:color w:val="auto"/>
                <w:u w:val="single"/>
                <w:lang w:eastAsia="zh-CN"/>
              </w:rPr>
            </w:pPr>
            <w:r>
              <w:rPr>
                <w:rFonts w:hint="eastAsia"/>
                <w:b/>
                <w:bCs/>
                <w:color w:val="auto"/>
                <w:u w:val="single"/>
                <w:lang w:val="en-US" w:eastAsia="zh-CN"/>
              </w:rPr>
              <w:t>1、本</w:t>
            </w:r>
            <w:r>
              <w:rPr>
                <w:rFonts w:hint="eastAsia"/>
                <w:b/>
                <w:bCs/>
                <w:color w:val="auto"/>
                <w:u w:val="single"/>
              </w:rPr>
              <w:t>项目的生产工艺、设备、污染治理技术，以及单位产品能耗、物耗、污染物排放和资源利用率等清洁生产指标达到国内同类行业先进水平</w:t>
            </w:r>
            <w:r>
              <w:rPr>
                <w:rFonts w:hint="eastAsia"/>
                <w:b/>
                <w:bCs/>
                <w:color w:val="auto"/>
                <w:u w:val="single"/>
                <w:lang w:eastAsia="zh-CN"/>
              </w:rPr>
              <w:t>；</w:t>
            </w:r>
          </w:p>
          <w:p>
            <w:pPr>
              <w:pStyle w:val="182"/>
              <w:autoSpaceDE w:val="0"/>
              <w:autoSpaceDN w:val="0"/>
              <w:adjustRightInd w:val="0"/>
              <w:ind w:firstLine="0" w:firstLineChars="0"/>
              <w:jc w:val="left"/>
              <w:rPr>
                <w:rFonts w:hint="eastAsia"/>
                <w:b/>
                <w:bCs/>
                <w:color w:val="auto"/>
                <w:u w:val="single"/>
                <w:lang w:eastAsia="zh-CN"/>
              </w:rPr>
            </w:pPr>
            <w:r>
              <w:rPr>
                <w:rFonts w:hint="eastAsia"/>
                <w:b/>
                <w:bCs/>
                <w:color w:val="auto"/>
                <w:u w:val="single"/>
                <w:lang w:val="en-US" w:eastAsia="zh-CN"/>
              </w:rPr>
              <w:t>2、本</w:t>
            </w:r>
            <w:r>
              <w:rPr>
                <w:b/>
                <w:bCs/>
                <w:color w:val="auto"/>
                <w:u w:val="single"/>
              </w:rPr>
              <w:t>项目主要污染物排放应满足总量</w:t>
            </w:r>
            <w:r>
              <w:rPr>
                <w:rFonts w:hint="eastAsia"/>
                <w:b/>
                <w:bCs/>
                <w:color w:val="auto"/>
                <w:u w:val="single"/>
              </w:rPr>
              <w:t>控制</w:t>
            </w:r>
            <w:r>
              <w:rPr>
                <w:b/>
                <w:bCs/>
                <w:color w:val="auto"/>
                <w:u w:val="single"/>
              </w:rPr>
              <w:t>要求</w:t>
            </w:r>
            <w:r>
              <w:rPr>
                <w:rFonts w:hint="eastAsia"/>
                <w:b/>
                <w:bCs/>
                <w:color w:val="auto"/>
                <w:u w:val="single"/>
                <w:lang w:eastAsia="zh-CN"/>
              </w:rPr>
              <w:t>；</w:t>
            </w:r>
          </w:p>
          <w:p>
            <w:pPr>
              <w:pStyle w:val="182"/>
              <w:ind w:firstLine="0" w:firstLineChars="0"/>
              <w:jc w:val="left"/>
              <w:rPr>
                <w:b/>
                <w:bCs/>
                <w:color w:val="auto"/>
                <w:u w:val="single"/>
              </w:rPr>
            </w:pPr>
            <w:r>
              <w:rPr>
                <w:rFonts w:hint="eastAsia"/>
                <w:b/>
                <w:bCs/>
                <w:color w:val="auto"/>
                <w:u w:val="single"/>
                <w:lang w:val="en-US" w:eastAsia="zh-CN"/>
              </w:rPr>
              <w:t>3、本项目涉及</w:t>
            </w:r>
            <w:r>
              <w:rPr>
                <w:b/>
                <w:bCs/>
                <w:color w:val="auto"/>
                <w:u w:val="single"/>
              </w:rPr>
              <w:t>颗粒物</w:t>
            </w:r>
            <w:r>
              <w:rPr>
                <w:rFonts w:hint="eastAsia"/>
                <w:b/>
                <w:bCs/>
                <w:color w:val="auto"/>
                <w:u w:val="single"/>
                <w:lang w:val="en-US" w:eastAsia="zh-CN"/>
              </w:rPr>
              <w:t>排放</w:t>
            </w:r>
            <w:r>
              <w:rPr>
                <w:rFonts w:hint="eastAsia"/>
                <w:b/>
                <w:bCs/>
                <w:color w:val="auto"/>
                <w:u w:val="single"/>
                <w:lang w:eastAsia="zh-CN"/>
              </w:rPr>
              <w:t>，</w:t>
            </w:r>
            <w:r>
              <w:rPr>
                <w:rFonts w:hint="eastAsia"/>
                <w:b/>
                <w:bCs/>
                <w:color w:val="auto"/>
                <w:u w:val="single"/>
                <w:lang w:val="en-US" w:eastAsia="zh-CN"/>
              </w:rPr>
              <w:t>污染物排放</w:t>
            </w:r>
            <w:r>
              <w:rPr>
                <w:b/>
                <w:bCs/>
                <w:color w:val="auto"/>
                <w:u w:val="single"/>
              </w:rPr>
              <w:t>全面执行大气污染物特别排放限值，单位产品污染物排放须满足相关行业标准。</w:t>
            </w:r>
          </w:p>
          <w:p>
            <w:pPr>
              <w:pStyle w:val="182"/>
              <w:autoSpaceDE w:val="0"/>
              <w:autoSpaceDN w:val="0"/>
              <w:adjustRightInd w:val="0"/>
              <w:ind w:firstLine="0" w:firstLineChars="0"/>
              <w:jc w:val="left"/>
              <w:rPr>
                <w:rFonts w:hint="default"/>
                <w:b/>
                <w:bCs/>
                <w:color w:val="auto"/>
                <w:u w:val="single"/>
                <w:lang w:val="en-US" w:eastAsia="zh-CN"/>
              </w:rPr>
            </w:pPr>
            <w:r>
              <w:rPr>
                <w:rFonts w:hint="eastAsia"/>
                <w:b/>
                <w:bCs/>
                <w:color w:val="auto"/>
                <w:u w:val="single"/>
                <w:lang w:val="en-US" w:eastAsia="zh-CN"/>
              </w:rPr>
              <w:t>4、本</w:t>
            </w:r>
            <w:r>
              <w:rPr>
                <w:rFonts w:hint="eastAsia"/>
                <w:b/>
                <w:bCs/>
                <w:color w:val="auto"/>
                <w:u w:val="single"/>
              </w:rPr>
              <w:t>项目的工艺废气</w:t>
            </w:r>
            <w:r>
              <w:rPr>
                <w:rFonts w:hint="eastAsia"/>
                <w:b/>
                <w:bCs/>
                <w:color w:val="auto"/>
                <w:u w:val="single"/>
                <w:lang w:val="en-US" w:eastAsia="zh-CN"/>
              </w:rPr>
              <w:t>建设相关配套处理设施</w:t>
            </w:r>
            <w:r>
              <w:rPr>
                <w:rFonts w:hint="eastAsia"/>
                <w:b/>
                <w:bCs/>
                <w:color w:val="auto"/>
                <w:u w:val="single"/>
              </w:rPr>
              <w:t>和生产废水</w:t>
            </w:r>
            <w:r>
              <w:rPr>
                <w:rFonts w:hint="eastAsia"/>
                <w:b/>
                <w:bCs/>
                <w:color w:val="auto"/>
                <w:u w:val="single"/>
                <w:lang w:val="en-US" w:eastAsia="zh-CN"/>
              </w:rPr>
              <w:t>依托厂区3.8万吨/d的水处理设施</w:t>
            </w:r>
            <w:r>
              <w:rPr>
                <w:rFonts w:hint="eastAsia"/>
                <w:b/>
                <w:bCs/>
                <w:color w:val="auto"/>
                <w:u w:val="single"/>
              </w:rPr>
              <w:t>。外排废水处理后满足相应的排放标准和</w:t>
            </w:r>
            <w:r>
              <w:rPr>
                <w:rFonts w:hint="eastAsia"/>
                <w:b/>
                <w:bCs/>
                <w:color w:val="auto"/>
                <w:u w:val="single"/>
                <w:lang w:val="en-US" w:eastAsia="zh-CN"/>
              </w:rPr>
              <w:t>小店</w:t>
            </w:r>
            <w:r>
              <w:rPr>
                <w:rFonts w:hint="eastAsia"/>
                <w:b/>
                <w:bCs/>
                <w:color w:val="auto"/>
                <w:u w:val="single"/>
              </w:rPr>
              <w:t>污水处理厂进水水质要求。</w:t>
            </w:r>
          </w:p>
        </w:tc>
        <w:tc>
          <w:tcPr>
            <w:tcW w:w="517" w:type="pct"/>
            <w:tcBorders>
              <w:top w:val="single" w:color="auto" w:sz="4" w:space="0"/>
              <w:left w:val="single" w:color="auto" w:sz="4" w:space="0"/>
              <w:bottom w:val="single" w:color="auto" w:sz="4" w:space="0"/>
              <w:right w:val="single" w:color="auto" w:sz="8" w:space="0"/>
            </w:tcBorders>
            <w:vAlign w:val="center"/>
          </w:tcPr>
          <w:p>
            <w:pPr>
              <w:pStyle w:val="182"/>
              <w:autoSpaceDE w:val="0"/>
              <w:autoSpaceDN w:val="0"/>
              <w:adjustRightInd w:val="0"/>
              <w:ind w:firstLine="0" w:firstLineChars="0"/>
              <w:rPr>
                <w:b/>
                <w:bCs/>
                <w:color w:val="auto"/>
                <w:u w:val="single"/>
              </w:rPr>
            </w:pPr>
            <w:r>
              <w:rPr>
                <w:rFonts w:hint="eastAsia"/>
                <w:b/>
                <w:bCs/>
                <w:color w:val="auto"/>
                <w:u w:val="single"/>
                <w:lang w:val="en-US" w:eastAsia="zh-CN"/>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4" w:type="pct"/>
            <w:tcBorders>
              <w:top w:val="single" w:color="auto" w:sz="4" w:space="0"/>
              <w:left w:val="single" w:color="auto" w:sz="8" w:space="0"/>
              <w:bottom w:val="single" w:color="auto" w:sz="4" w:space="0"/>
              <w:right w:val="single" w:color="auto" w:sz="4" w:space="0"/>
            </w:tcBorders>
            <w:vAlign w:val="center"/>
          </w:tcPr>
          <w:p>
            <w:pPr>
              <w:pStyle w:val="182"/>
              <w:ind w:firstLine="0" w:firstLineChars="0"/>
              <w:jc w:val="center"/>
              <w:rPr>
                <w:b/>
                <w:bCs/>
                <w:color w:val="auto"/>
                <w:u w:val="single"/>
              </w:rPr>
            </w:pPr>
            <w:r>
              <w:rPr>
                <w:b/>
                <w:bCs/>
                <w:color w:val="auto"/>
                <w:u w:val="single"/>
              </w:rPr>
              <w:t>环境风险防控</w:t>
            </w:r>
          </w:p>
        </w:tc>
        <w:tc>
          <w:tcPr>
            <w:tcW w:w="2349" w:type="pct"/>
            <w:tcBorders>
              <w:top w:val="single" w:color="auto" w:sz="4" w:space="0"/>
              <w:left w:val="single" w:color="auto" w:sz="4" w:space="0"/>
              <w:bottom w:val="single" w:color="auto" w:sz="4" w:space="0"/>
              <w:right w:val="single" w:color="auto" w:sz="8" w:space="0"/>
            </w:tcBorders>
            <w:vAlign w:val="center"/>
          </w:tcPr>
          <w:p>
            <w:pPr>
              <w:pStyle w:val="182"/>
              <w:autoSpaceDE w:val="0"/>
              <w:autoSpaceDN w:val="0"/>
              <w:adjustRightInd w:val="0"/>
              <w:ind w:firstLine="0" w:firstLineChars="0"/>
              <w:jc w:val="left"/>
              <w:rPr>
                <w:b/>
                <w:bCs/>
                <w:color w:val="auto"/>
                <w:u w:val="single"/>
              </w:rPr>
            </w:pPr>
            <w:r>
              <w:rPr>
                <w:b/>
                <w:bCs/>
                <w:color w:val="auto"/>
                <w:u w:val="single"/>
              </w:rPr>
              <w:t>1、严格控制环境风险，入区企业应按照当地环保部门要求，设置常规污染物、特征污染物的环境监测体系，并与当地环境保护部门联网。</w:t>
            </w:r>
          </w:p>
          <w:p>
            <w:pPr>
              <w:pStyle w:val="182"/>
              <w:autoSpaceDE w:val="0"/>
              <w:autoSpaceDN w:val="0"/>
              <w:adjustRightInd w:val="0"/>
              <w:ind w:firstLine="0" w:firstLineChars="0"/>
              <w:jc w:val="left"/>
              <w:rPr>
                <w:b/>
                <w:bCs/>
                <w:color w:val="auto"/>
                <w:u w:val="single"/>
              </w:rPr>
            </w:pPr>
            <w:r>
              <w:rPr>
                <w:b/>
                <w:bCs/>
                <w:color w:val="auto"/>
                <w:u w:val="single"/>
              </w:rPr>
              <w:t>2、引进项目必须严格落实环境影响评价等文件提出的各项环境风险防控措施。</w:t>
            </w:r>
          </w:p>
          <w:p>
            <w:pPr>
              <w:pStyle w:val="182"/>
              <w:ind w:firstLine="0" w:firstLineChars="0"/>
              <w:jc w:val="left"/>
              <w:rPr>
                <w:b/>
                <w:bCs/>
                <w:color w:val="auto"/>
                <w:u w:val="single"/>
              </w:rPr>
            </w:pPr>
            <w:r>
              <w:rPr>
                <w:b/>
                <w:bCs/>
                <w:color w:val="auto"/>
                <w:u w:val="single"/>
              </w:rPr>
              <w:t>3、规范开发区建设，对涉重行业及化工企业加强管理，建立土壤和地下水污染隐患排查治理制度、风险防控体系和长效监管机制。推进固体废物处理处置及综合利用。</w:t>
            </w:r>
          </w:p>
        </w:tc>
        <w:tc>
          <w:tcPr>
            <w:tcW w:w="1689" w:type="pct"/>
            <w:tcBorders>
              <w:top w:val="single" w:color="auto" w:sz="4" w:space="0"/>
              <w:left w:val="single" w:color="auto" w:sz="4" w:space="0"/>
              <w:bottom w:val="single" w:color="auto" w:sz="4" w:space="0"/>
              <w:right w:val="single" w:color="auto" w:sz="8" w:space="0"/>
            </w:tcBorders>
            <w:vAlign w:val="center"/>
          </w:tcPr>
          <w:p>
            <w:pPr>
              <w:pStyle w:val="182"/>
              <w:ind w:firstLine="0" w:firstLineChars="0"/>
              <w:jc w:val="left"/>
              <w:rPr>
                <w:rFonts w:hint="eastAsia"/>
                <w:b/>
                <w:bCs/>
                <w:color w:val="auto"/>
                <w:u w:val="single"/>
                <w:lang w:eastAsia="zh-CN"/>
              </w:rPr>
            </w:pPr>
            <w:r>
              <w:rPr>
                <w:rFonts w:hint="eastAsia"/>
                <w:b/>
                <w:bCs/>
                <w:color w:val="auto"/>
                <w:u w:val="single"/>
                <w:lang w:val="en-US" w:eastAsia="zh-CN"/>
              </w:rPr>
              <w:t>1、本项目</w:t>
            </w:r>
            <w:r>
              <w:rPr>
                <w:b/>
                <w:bCs/>
                <w:color w:val="auto"/>
                <w:u w:val="single"/>
              </w:rPr>
              <w:t>设置常规污染物、特征污染物的环境监测体系，</w:t>
            </w:r>
            <w:r>
              <w:rPr>
                <w:rFonts w:hint="eastAsia"/>
                <w:b/>
                <w:bCs/>
                <w:color w:val="auto"/>
                <w:u w:val="single"/>
                <w:lang w:val="en-US" w:eastAsia="zh-CN"/>
              </w:rPr>
              <w:t>并</w:t>
            </w:r>
            <w:r>
              <w:rPr>
                <w:b/>
                <w:bCs/>
                <w:color w:val="auto"/>
                <w:u w:val="single"/>
              </w:rPr>
              <w:t>与当地环境保护部门联网</w:t>
            </w:r>
            <w:r>
              <w:rPr>
                <w:rFonts w:hint="eastAsia"/>
                <w:b/>
                <w:bCs/>
                <w:color w:val="auto"/>
                <w:u w:val="single"/>
                <w:lang w:eastAsia="zh-CN"/>
              </w:rPr>
              <w:t>；</w:t>
            </w:r>
          </w:p>
          <w:p>
            <w:pPr>
              <w:pStyle w:val="182"/>
              <w:ind w:firstLine="0" w:firstLineChars="0"/>
              <w:jc w:val="left"/>
              <w:rPr>
                <w:rFonts w:hint="eastAsia"/>
                <w:b/>
                <w:bCs/>
                <w:color w:val="auto"/>
                <w:u w:val="single"/>
                <w:lang w:eastAsia="zh-CN"/>
              </w:rPr>
            </w:pPr>
            <w:r>
              <w:rPr>
                <w:rFonts w:hint="eastAsia"/>
                <w:b/>
                <w:bCs/>
                <w:color w:val="auto"/>
                <w:u w:val="single"/>
                <w:lang w:val="en-US" w:eastAsia="zh-CN"/>
              </w:rPr>
              <w:t>2、本项目将严格</w:t>
            </w:r>
            <w:r>
              <w:rPr>
                <w:b/>
                <w:bCs/>
                <w:color w:val="auto"/>
                <w:u w:val="single"/>
              </w:rPr>
              <w:t>落实环境影响评价等文件提出的各项环境风险防控措施</w:t>
            </w:r>
            <w:r>
              <w:rPr>
                <w:rFonts w:hint="eastAsia"/>
                <w:b/>
                <w:bCs/>
                <w:color w:val="auto"/>
                <w:u w:val="single"/>
                <w:lang w:eastAsia="zh-CN"/>
              </w:rPr>
              <w:t>；</w:t>
            </w:r>
          </w:p>
          <w:p>
            <w:pPr>
              <w:pStyle w:val="182"/>
              <w:ind w:firstLine="0" w:firstLineChars="0"/>
              <w:jc w:val="left"/>
              <w:rPr>
                <w:rFonts w:hint="default"/>
                <w:b/>
                <w:bCs/>
                <w:color w:val="auto"/>
                <w:u w:val="single"/>
                <w:lang w:val="en-US" w:eastAsia="zh-CN"/>
              </w:rPr>
            </w:pPr>
            <w:r>
              <w:rPr>
                <w:rFonts w:hint="eastAsia"/>
                <w:b/>
                <w:bCs/>
                <w:color w:val="auto"/>
                <w:u w:val="single"/>
                <w:lang w:val="en-US" w:eastAsia="zh-CN"/>
              </w:rPr>
              <w:t>3、本项目固体废物按照相关要求处理处置。</w:t>
            </w:r>
          </w:p>
        </w:tc>
        <w:tc>
          <w:tcPr>
            <w:tcW w:w="517" w:type="pct"/>
            <w:tcBorders>
              <w:top w:val="single" w:color="auto" w:sz="4" w:space="0"/>
              <w:left w:val="single" w:color="auto" w:sz="4" w:space="0"/>
              <w:bottom w:val="single" w:color="auto" w:sz="4" w:space="0"/>
              <w:right w:val="single" w:color="auto" w:sz="8" w:space="0"/>
            </w:tcBorders>
            <w:vAlign w:val="center"/>
          </w:tcPr>
          <w:p>
            <w:pPr>
              <w:pStyle w:val="182"/>
              <w:ind w:firstLine="0" w:firstLineChars="0"/>
              <w:rPr>
                <w:b/>
                <w:bCs/>
                <w:color w:val="auto"/>
                <w:u w:val="single"/>
              </w:rPr>
            </w:pPr>
            <w:r>
              <w:rPr>
                <w:rFonts w:hint="eastAsia"/>
                <w:b/>
                <w:bCs/>
                <w:color w:val="auto"/>
                <w:u w:val="single"/>
                <w:lang w:val="en-US" w:eastAsia="zh-CN"/>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4" w:type="pct"/>
            <w:tcBorders>
              <w:top w:val="single" w:color="auto" w:sz="4" w:space="0"/>
              <w:left w:val="single" w:color="auto" w:sz="8" w:space="0"/>
              <w:bottom w:val="single" w:color="auto" w:sz="8" w:space="0"/>
              <w:right w:val="single" w:color="auto" w:sz="4" w:space="0"/>
            </w:tcBorders>
            <w:vAlign w:val="center"/>
          </w:tcPr>
          <w:p>
            <w:pPr>
              <w:pStyle w:val="182"/>
              <w:ind w:firstLine="0" w:firstLineChars="0"/>
              <w:jc w:val="center"/>
              <w:rPr>
                <w:b/>
                <w:bCs/>
                <w:color w:val="auto"/>
                <w:u w:val="single"/>
              </w:rPr>
            </w:pPr>
            <w:r>
              <w:rPr>
                <w:b/>
                <w:bCs/>
                <w:color w:val="auto"/>
                <w:u w:val="single"/>
              </w:rPr>
              <w:t>资源开发利用管控</w:t>
            </w:r>
          </w:p>
        </w:tc>
        <w:tc>
          <w:tcPr>
            <w:tcW w:w="2349" w:type="pct"/>
            <w:tcBorders>
              <w:top w:val="single" w:color="auto" w:sz="4" w:space="0"/>
              <w:left w:val="single" w:color="auto" w:sz="4" w:space="0"/>
              <w:bottom w:val="single" w:color="auto" w:sz="8" w:space="0"/>
              <w:right w:val="single" w:color="auto" w:sz="8" w:space="0"/>
            </w:tcBorders>
            <w:vAlign w:val="center"/>
          </w:tcPr>
          <w:p>
            <w:pPr>
              <w:pStyle w:val="182"/>
              <w:ind w:firstLine="0" w:firstLineChars="0"/>
              <w:jc w:val="left"/>
              <w:rPr>
                <w:b/>
                <w:bCs/>
                <w:color w:val="auto"/>
                <w:u w:val="single"/>
              </w:rPr>
            </w:pPr>
            <w:r>
              <w:rPr>
                <w:rFonts w:hint="eastAsia"/>
                <w:b/>
                <w:bCs/>
                <w:color w:val="auto"/>
                <w:u w:val="single"/>
              </w:rPr>
              <w:t>1、</w:t>
            </w:r>
            <w:r>
              <w:rPr>
                <w:b/>
                <w:bCs/>
                <w:color w:val="auto"/>
                <w:u w:val="single"/>
              </w:rPr>
              <w:t>鼓励企业进行中水回用、工业用水循环利用和工业固废综合利用。</w:t>
            </w:r>
          </w:p>
          <w:p>
            <w:pPr>
              <w:pStyle w:val="182"/>
              <w:ind w:firstLine="0" w:firstLineChars="0"/>
              <w:jc w:val="left"/>
              <w:rPr>
                <w:b/>
                <w:bCs/>
                <w:color w:val="auto"/>
                <w:u w:val="single"/>
              </w:rPr>
            </w:pPr>
            <w:r>
              <w:rPr>
                <w:b/>
                <w:bCs/>
                <w:color w:val="auto"/>
                <w:u w:val="single"/>
              </w:rPr>
              <w:t>2</w:t>
            </w:r>
            <w:r>
              <w:rPr>
                <w:rFonts w:hint="eastAsia"/>
                <w:b/>
                <w:bCs/>
                <w:color w:val="auto"/>
                <w:u w:val="single"/>
              </w:rPr>
              <w:t>、</w:t>
            </w:r>
            <w:r>
              <w:rPr>
                <w:b/>
                <w:bCs/>
                <w:color w:val="auto"/>
                <w:u w:val="single"/>
              </w:rPr>
              <w:t>鼓励纺织</w:t>
            </w:r>
            <w:r>
              <w:rPr>
                <w:rFonts w:hint="eastAsia"/>
                <w:b/>
                <w:bCs/>
                <w:color w:val="auto"/>
                <w:u w:val="single"/>
              </w:rPr>
              <w:t>、</w:t>
            </w:r>
            <w:r>
              <w:rPr>
                <w:b/>
                <w:bCs/>
                <w:color w:val="auto"/>
                <w:u w:val="single"/>
              </w:rPr>
              <w:t>印染高耗水企业废水深度处理回用。</w:t>
            </w:r>
          </w:p>
          <w:p>
            <w:pPr>
              <w:pStyle w:val="182"/>
              <w:ind w:firstLine="0" w:firstLineChars="0"/>
              <w:jc w:val="left"/>
              <w:rPr>
                <w:b/>
                <w:bCs/>
                <w:color w:val="auto"/>
                <w:u w:val="single"/>
              </w:rPr>
            </w:pPr>
            <w:r>
              <w:rPr>
                <w:b/>
                <w:bCs/>
                <w:color w:val="auto"/>
                <w:u w:val="single"/>
              </w:rPr>
              <w:t>3、</w:t>
            </w:r>
            <w:r>
              <w:rPr>
                <w:rFonts w:hint="eastAsia"/>
                <w:b/>
                <w:bCs/>
                <w:color w:val="auto"/>
                <w:u w:val="single"/>
              </w:rPr>
              <w:t>进一步优化能源结构，逐步实施集中供热和供气，加快集中供热设施及配套管网建设。</w:t>
            </w:r>
          </w:p>
          <w:p>
            <w:pPr>
              <w:pStyle w:val="182"/>
              <w:ind w:firstLine="0" w:firstLineChars="0"/>
              <w:jc w:val="left"/>
              <w:rPr>
                <w:b/>
                <w:bCs/>
                <w:color w:val="auto"/>
                <w:u w:val="single"/>
              </w:rPr>
            </w:pPr>
            <w:r>
              <w:rPr>
                <w:b/>
                <w:bCs/>
                <w:color w:val="auto"/>
                <w:u w:val="single"/>
              </w:rPr>
              <w:t>4、入区项目必须达到《河南省工业项目建设用地控制指标》要求。</w:t>
            </w:r>
          </w:p>
          <w:p>
            <w:pPr>
              <w:pStyle w:val="182"/>
              <w:ind w:firstLine="0" w:firstLineChars="0"/>
              <w:jc w:val="left"/>
              <w:rPr>
                <w:b/>
                <w:bCs/>
                <w:color w:val="auto"/>
                <w:u w:val="single"/>
              </w:rPr>
            </w:pPr>
            <w:r>
              <w:rPr>
                <w:b/>
                <w:bCs/>
                <w:color w:val="auto"/>
                <w:u w:val="single"/>
              </w:rPr>
              <w:t>5、入区项目用地必须符合开发区土地利用规划要求。</w:t>
            </w:r>
          </w:p>
        </w:tc>
        <w:tc>
          <w:tcPr>
            <w:tcW w:w="1689" w:type="pct"/>
            <w:tcBorders>
              <w:top w:val="single" w:color="auto" w:sz="4" w:space="0"/>
              <w:left w:val="single" w:color="auto" w:sz="4" w:space="0"/>
              <w:bottom w:val="single" w:color="auto" w:sz="8" w:space="0"/>
              <w:right w:val="single" w:color="auto" w:sz="8" w:space="0"/>
            </w:tcBorders>
            <w:vAlign w:val="center"/>
          </w:tcPr>
          <w:p>
            <w:pPr>
              <w:pStyle w:val="182"/>
              <w:ind w:firstLine="0" w:firstLineChars="0"/>
              <w:jc w:val="left"/>
              <w:rPr>
                <w:rFonts w:hint="eastAsia"/>
                <w:b/>
                <w:bCs/>
                <w:color w:val="auto"/>
                <w:u w:val="single"/>
                <w:lang w:val="en-US" w:eastAsia="zh-CN"/>
              </w:rPr>
            </w:pPr>
            <w:r>
              <w:rPr>
                <w:rFonts w:hint="eastAsia"/>
                <w:b/>
                <w:bCs/>
                <w:color w:val="auto"/>
                <w:u w:val="single"/>
                <w:lang w:val="en-US" w:eastAsia="zh-CN"/>
              </w:rPr>
              <w:t>1、本项目生产废水多次循环使用，在工艺设计上充分节水；</w:t>
            </w:r>
          </w:p>
          <w:p>
            <w:pPr>
              <w:pStyle w:val="182"/>
              <w:ind w:firstLine="0" w:firstLineChars="0"/>
              <w:jc w:val="left"/>
              <w:rPr>
                <w:rFonts w:hint="eastAsia"/>
                <w:b/>
                <w:bCs/>
                <w:color w:val="auto"/>
                <w:u w:val="single"/>
                <w:lang w:val="en-US" w:eastAsia="zh-CN"/>
              </w:rPr>
            </w:pPr>
            <w:r>
              <w:rPr>
                <w:rFonts w:hint="eastAsia"/>
                <w:b/>
                <w:bCs/>
                <w:color w:val="auto"/>
                <w:u w:val="single"/>
                <w:lang w:val="en-US" w:eastAsia="zh-CN"/>
              </w:rPr>
              <w:t>2、本项目黑液提取木质素混合物后回用；</w:t>
            </w:r>
          </w:p>
          <w:p>
            <w:pPr>
              <w:pStyle w:val="182"/>
              <w:ind w:firstLine="0" w:firstLineChars="0"/>
              <w:jc w:val="left"/>
              <w:rPr>
                <w:rFonts w:hint="eastAsia"/>
                <w:b/>
                <w:bCs/>
                <w:color w:val="auto"/>
                <w:u w:val="single"/>
                <w:lang w:val="en-US" w:eastAsia="zh-CN"/>
              </w:rPr>
            </w:pPr>
            <w:r>
              <w:rPr>
                <w:rFonts w:hint="eastAsia"/>
                <w:b/>
                <w:bCs/>
                <w:color w:val="auto"/>
                <w:u w:val="single"/>
                <w:lang w:val="en-US" w:eastAsia="zh-CN"/>
              </w:rPr>
              <w:t>3、本项目用热依托厂区热源，符合要求；</w:t>
            </w:r>
          </w:p>
          <w:p>
            <w:pPr>
              <w:pStyle w:val="182"/>
              <w:ind w:firstLine="0" w:firstLineChars="0"/>
              <w:jc w:val="left"/>
              <w:rPr>
                <w:rFonts w:hint="eastAsia"/>
                <w:b/>
                <w:bCs/>
                <w:color w:val="auto"/>
                <w:u w:val="single"/>
                <w:lang w:eastAsia="zh-CN"/>
              </w:rPr>
            </w:pPr>
            <w:r>
              <w:rPr>
                <w:rFonts w:hint="eastAsia"/>
                <w:b/>
                <w:bCs/>
                <w:color w:val="auto"/>
                <w:u w:val="single"/>
                <w:lang w:val="en-US" w:eastAsia="zh-CN"/>
              </w:rPr>
              <w:t>4、本项目</w:t>
            </w:r>
            <w:r>
              <w:rPr>
                <w:b/>
                <w:bCs/>
                <w:color w:val="auto"/>
                <w:u w:val="single"/>
              </w:rPr>
              <w:t>达到《河南省工业项目建设用地控制指标》</w:t>
            </w:r>
            <w:r>
              <w:rPr>
                <w:rFonts w:hint="eastAsia"/>
                <w:b/>
                <w:bCs/>
                <w:color w:val="auto"/>
                <w:u w:val="single"/>
                <w:lang w:val="en-US" w:eastAsia="zh-CN"/>
              </w:rPr>
              <w:t>的</w:t>
            </w:r>
            <w:r>
              <w:rPr>
                <w:b/>
                <w:bCs/>
                <w:color w:val="auto"/>
                <w:u w:val="single"/>
              </w:rPr>
              <w:t>要求</w:t>
            </w:r>
            <w:r>
              <w:rPr>
                <w:rFonts w:hint="eastAsia"/>
                <w:b/>
                <w:bCs/>
                <w:color w:val="auto"/>
                <w:u w:val="single"/>
                <w:lang w:eastAsia="zh-CN"/>
              </w:rPr>
              <w:t>；</w:t>
            </w:r>
          </w:p>
          <w:p>
            <w:pPr>
              <w:pStyle w:val="182"/>
              <w:ind w:firstLine="0" w:firstLineChars="0"/>
              <w:jc w:val="left"/>
              <w:rPr>
                <w:rFonts w:hint="default"/>
                <w:b/>
                <w:bCs/>
                <w:color w:val="auto"/>
                <w:u w:val="single"/>
                <w:lang w:val="en-US" w:eastAsia="zh-CN"/>
              </w:rPr>
            </w:pPr>
            <w:r>
              <w:rPr>
                <w:rFonts w:hint="eastAsia"/>
                <w:b/>
                <w:bCs/>
                <w:color w:val="auto"/>
                <w:u w:val="single"/>
                <w:lang w:val="en-US" w:eastAsia="zh-CN"/>
              </w:rPr>
              <w:t>5、本</w:t>
            </w:r>
            <w:r>
              <w:rPr>
                <w:b/>
                <w:bCs/>
                <w:color w:val="auto"/>
                <w:u w:val="single"/>
              </w:rPr>
              <w:t>项目用地符合开发区土地利用规划要求。</w:t>
            </w:r>
          </w:p>
        </w:tc>
        <w:tc>
          <w:tcPr>
            <w:tcW w:w="517" w:type="pct"/>
            <w:tcBorders>
              <w:top w:val="single" w:color="auto" w:sz="4" w:space="0"/>
              <w:left w:val="single" w:color="auto" w:sz="4" w:space="0"/>
              <w:bottom w:val="single" w:color="auto" w:sz="8" w:space="0"/>
              <w:right w:val="single" w:color="auto" w:sz="8" w:space="0"/>
            </w:tcBorders>
            <w:vAlign w:val="center"/>
          </w:tcPr>
          <w:p>
            <w:pPr>
              <w:pStyle w:val="182"/>
              <w:ind w:firstLine="0" w:firstLineChars="0"/>
              <w:rPr>
                <w:b/>
                <w:bCs/>
                <w:color w:val="auto"/>
                <w:u w:val="single"/>
              </w:rPr>
            </w:pPr>
            <w:r>
              <w:rPr>
                <w:rFonts w:hint="eastAsia"/>
                <w:b/>
                <w:bCs/>
                <w:color w:val="auto"/>
                <w:u w:val="single"/>
                <w:lang w:val="en-US" w:eastAsia="zh-CN"/>
              </w:rPr>
              <w:t>相符</w:t>
            </w:r>
          </w:p>
        </w:tc>
      </w:tr>
    </w:tbl>
    <w:p>
      <w:pPr>
        <w:pStyle w:val="9"/>
        <w:rPr>
          <w:rFonts w:hint="eastAsia"/>
          <w:b/>
          <w:bCs/>
          <w:color w:val="auto"/>
          <w:u w:val="single"/>
        </w:rPr>
      </w:pPr>
      <w:r>
        <w:rPr>
          <w:rFonts w:hint="eastAsia"/>
          <w:b/>
          <w:bCs/>
          <w:color w:val="auto"/>
          <w:u w:val="single"/>
          <w:lang w:val="en-US" w:eastAsia="zh-CN"/>
        </w:rPr>
        <w:t xml:space="preserve">2.10.5 </w:t>
      </w:r>
      <w:r>
        <w:rPr>
          <w:rFonts w:hint="eastAsia"/>
          <w:b/>
          <w:bCs/>
          <w:color w:val="auto"/>
          <w:u w:val="single"/>
        </w:rPr>
        <w:t>《红旗区小店镇总体规划（2018</w:t>
      </w:r>
      <w:r>
        <w:rPr>
          <w:rFonts w:hint="eastAsia"/>
          <w:b/>
          <w:bCs/>
          <w:color w:val="auto"/>
          <w:u w:val="single"/>
          <w:lang w:eastAsia="zh-CN"/>
        </w:rPr>
        <w:t>—</w:t>
      </w:r>
      <w:r>
        <w:rPr>
          <w:rFonts w:hint="eastAsia"/>
          <w:b/>
          <w:bCs/>
          <w:color w:val="auto"/>
          <w:u w:val="single"/>
        </w:rPr>
        <w:t>2035年）》</w:t>
      </w:r>
    </w:p>
    <w:p>
      <w:pPr>
        <w:pStyle w:val="10"/>
        <w:rPr>
          <w:rFonts w:hint="eastAsia"/>
          <w:b/>
          <w:bCs/>
          <w:color w:val="auto"/>
          <w:u w:val="single"/>
        </w:rPr>
      </w:pPr>
      <w:r>
        <w:rPr>
          <w:rFonts w:hint="eastAsia"/>
          <w:b/>
          <w:bCs/>
          <w:color w:val="auto"/>
          <w:u w:val="single"/>
          <w:lang w:val="en-US" w:eastAsia="zh-CN"/>
        </w:rPr>
        <w:t xml:space="preserve">2.10.5.1 </w:t>
      </w:r>
      <w:r>
        <w:rPr>
          <w:rFonts w:hint="eastAsia"/>
          <w:b/>
          <w:bCs/>
          <w:color w:val="auto"/>
          <w:u w:val="single"/>
        </w:rPr>
        <w:t>基本概况</w:t>
      </w:r>
    </w:p>
    <w:p>
      <w:pPr>
        <w:rPr>
          <w:rFonts w:hint="eastAsia"/>
          <w:b/>
          <w:bCs/>
          <w:color w:val="auto"/>
          <w:u w:val="single"/>
        </w:rPr>
      </w:pPr>
      <w:r>
        <w:rPr>
          <w:rFonts w:hint="eastAsia"/>
          <w:b/>
          <w:bCs/>
          <w:color w:val="auto"/>
          <w:u w:val="single"/>
        </w:rPr>
        <w:t>小店镇位于新乡市红旗区东部，镇域总面积85.01平方公里，除去中心城区10.27平方公里后，实际管辖面积为74.77平方公里，包含小店镇镇区和经开区两部分。</w:t>
      </w:r>
    </w:p>
    <w:p>
      <w:pPr>
        <w:pStyle w:val="10"/>
        <w:rPr>
          <w:rFonts w:hint="eastAsia"/>
          <w:b/>
          <w:bCs/>
          <w:color w:val="auto"/>
          <w:u w:val="single"/>
        </w:rPr>
      </w:pPr>
      <w:r>
        <w:rPr>
          <w:rFonts w:hint="eastAsia"/>
          <w:b/>
          <w:bCs/>
          <w:color w:val="auto"/>
          <w:u w:val="single"/>
          <w:lang w:val="en-US" w:eastAsia="zh-CN"/>
        </w:rPr>
        <w:t xml:space="preserve">2.10.5.2 </w:t>
      </w:r>
      <w:r>
        <w:rPr>
          <w:rFonts w:hint="eastAsia"/>
          <w:b/>
          <w:bCs/>
          <w:color w:val="auto"/>
          <w:u w:val="single"/>
        </w:rPr>
        <w:t>规划目标</w:t>
      </w:r>
    </w:p>
    <w:p>
      <w:pPr>
        <w:rPr>
          <w:rFonts w:hint="eastAsia"/>
          <w:b/>
          <w:bCs/>
          <w:color w:val="auto"/>
          <w:u w:val="single"/>
        </w:rPr>
      </w:pPr>
      <w:r>
        <w:rPr>
          <w:rFonts w:hint="eastAsia"/>
          <w:b/>
          <w:bCs/>
          <w:color w:val="auto"/>
          <w:u w:val="single"/>
        </w:rPr>
        <w:t>依据国家及上位规划对小店镇整体的发展要求，到2035年，基本建成以商务文化，先进制造业为主的功能完善、绿色生态、宜业宜居、拥有高端装备制造业基地、高科技绿色纤维纺织服装产业基地、高成长性服务业</w:t>
      </w:r>
      <w:r>
        <w:rPr>
          <w:rFonts w:hint="eastAsia"/>
          <w:b/>
          <w:bCs/>
          <w:color w:val="auto"/>
          <w:u w:val="single"/>
          <w:lang w:eastAsia="zh-CN"/>
        </w:rPr>
        <w:t>基地的</w:t>
      </w:r>
      <w:r>
        <w:rPr>
          <w:rFonts w:hint="eastAsia"/>
          <w:b/>
          <w:bCs/>
          <w:color w:val="auto"/>
          <w:u w:val="single"/>
        </w:rPr>
        <w:t>现代化新型城镇。</w:t>
      </w:r>
    </w:p>
    <w:p>
      <w:pPr>
        <w:pStyle w:val="10"/>
        <w:rPr>
          <w:rFonts w:hint="default"/>
          <w:b/>
          <w:bCs/>
          <w:color w:val="auto"/>
          <w:u w:val="single"/>
          <w:lang w:val="en-US" w:eastAsia="zh-CN"/>
        </w:rPr>
      </w:pPr>
      <w:r>
        <w:rPr>
          <w:rFonts w:hint="eastAsia"/>
          <w:b/>
          <w:bCs/>
          <w:color w:val="auto"/>
          <w:u w:val="single"/>
        </w:rPr>
        <w:t>2.10.</w:t>
      </w:r>
      <w:r>
        <w:rPr>
          <w:rFonts w:hint="eastAsia"/>
          <w:b/>
          <w:bCs/>
          <w:color w:val="auto"/>
          <w:u w:val="single"/>
          <w:lang w:val="en-US" w:eastAsia="zh-CN"/>
        </w:rPr>
        <w:t>5</w:t>
      </w:r>
      <w:r>
        <w:rPr>
          <w:rFonts w:hint="eastAsia"/>
          <w:b/>
          <w:bCs/>
          <w:color w:val="auto"/>
          <w:u w:val="single"/>
        </w:rPr>
        <w:t>.</w:t>
      </w:r>
      <w:r>
        <w:rPr>
          <w:rFonts w:hint="eastAsia"/>
          <w:b/>
          <w:bCs/>
          <w:color w:val="auto"/>
          <w:u w:val="single"/>
          <w:lang w:val="en-US" w:eastAsia="zh-CN"/>
        </w:rPr>
        <w:t>3</w:t>
      </w:r>
      <w:r>
        <w:rPr>
          <w:rFonts w:hint="eastAsia"/>
          <w:b/>
          <w:bCs/>
          <w:color w:val="auto"/>
          <w:u w:val="single"/>
        </w:rPr>
        <w:t xml:space="preserve"> 城镇性质</w:t>
      </w:r>
    </w:p>
    <w:p>
      <w:pPr>
        <w:rPr>
          <w:rFonts w:hint="eastAsia"/>
          <w:b/>
          <w:bCs/>
          <w:color w:val="auto"/>
          <w:u w:val="single"/>
        </w:rPr>
      </w:pPr>
      <w:r>
        <w:rPr>
          <w:rFonts w:hint="eastAsia"/>
          <w:b/>
          <w:bCs/>
          <w:color w:val="auto"/>
          <w:u w:val="single"/>
        </w:rPr>
        <w:t>新乡市主城区东部城市新组团，大东区核心腹地，现代化商务文化新区、国家级产城融合示范区、宜业宜居的新型城镇。</w:t>
      </w:r>
    </w:p>
    <w:p>
      <w:pPr>
        <w:pStyle w:val="10"/>
        <w:rPr>
          <w:rFonts w:hint="eastAsia"/>
          <w:b/>
          <w:bCs/>
          <w:color w:val="auto"/>
          <w:u w:val="single"/>
        </w:rPr>
      </w:pPr>
      <w:r>
        <w:rPr>
          <w:rFonts w:hint="eastAsia"/>
          <w:b/>
          <w:bCs/>
          <w:color w:val="auto"/>
          <w:u w:val="single"/>
          <w:lang w:val="en-US" w:eastAsia="zh-CN"/>
        </w:rPr>
        <w:t xml:space="preserve">2.10.5.4 </w:t>
      </w:r>
      <w:r>
        <w:rPr>
          <w:rFonts w:hint="eastAsia"/>
          <w:b/>
          <w:bCs/>
          <w:color w:val="auto"/>
          <w:u w:val="single"/>
        </w:rPr>
        <w:t>空间布局结构</w:t>
      </w:r>
    </w:p>
    <w:p>
      <w:pPr>
        <w:rPr>
          <w:rFonts w:hint="eastAsia"/>
          <w:b/>
          <w:bCs/>
          <w:color w:val="auto"/>
          <w:u w:val="single"/>
        </w:rPr>
      </w:pPr>
      <w:r>
        <w:rPr>
          <w:rFonts w:hint="eastAsia"/>
          <w:b/>
          <w:bCs/>
          <w:color w:val="auto"/>
          <w:u w:val="single"/>
        </w:rPr>
        <w:t>“一轴连三心，一带隔三区”。</w:t>
      </w:r>
    </w:p>
    <w:p>
      <w:pPr>
        <w:rPr>
          <w:rFonts w:hint="eastAsia" w:eastAsia="宋体"/>
          <w:b/>
          <w:bCs/>
          <w:color w:val="auto"/>
          <w:u w:val="single"/>
          <w:lang w:eastAsia="zh-CN"/>
        </w:rPr>
      </w:pPr>
      <w:r>
        <w:rPr>
          <w:rFonts w:hint="eastAsia"/>
          <w:b/>
          <w:bCs/>
          <w:color w:val="auto"/>
          <w:u w:val="single"/>
        </w:rPr>
        <w:t>一轴</w:t>
      </w:r>
      <w:r>
        <w:rPr>
          <w:rFonts w:hint="eastAsia"/>
          <w:b/>
          <w:bCs/>
          <w:color w:val="auto"/>
          <w:u w:val="single"/>
          <w:lang w:eastAsia="zh-CN"/>
        </w:rPr>
        <w:t>：</w:t>
      </w:r>
      <w:r>
        <w:rPr>
          <w:rFonts w:hint="eastAsia"/>
          <w:b/>
          <w:bCs/>
          <w:color w:val="auto"/>
          <w:u w:val="single"/>
        </w:rPr>
        <w:t>指平原路新长北线复合城市发展轴</w:t>
      </w:r>
      <w:r>
        <w:rPr>
          <w:rFonts w:hint="eastAsia"/>
          <w:b/>
          <w:bCs/>
          <w:color w:val="auto"/>
          <w:u w:val="single"/>
          <w:lang w:eastAsia="zh-CN"/>
        </w:rPr>
        <w:t>；</w:t>
      </w:r>
      <w:r>
        <w:rPr>
          <w:rFonts w:hint="eastAsia"/>
          <w:b/>
          <w:bCs/>
          <w:color w:val="auto"/>
          <w:u w:val="single"/>
        </w:rPr>
        <w:t>为城市公共服务和产业发展轴的延伸</w:t>
      </w:r>
      <w:r>
        <w:rPr>
          <w:rFonts w:hint="eastAsia"/>
          <w:b/>
          <w:bCs/>
          <w:color w:val="auto"/>
          <w:u w:val="single"/>
          <w:lang w:eastAsia="zh-CN"/>
        </w:rPr>
        <w:t>；</w:t>
      </w:r>
    </w:p>
    <w:p>
      <w:pPr>
        <w:rPr>
          <w:rFonts w:hint="eastAsia" w:eastAsia="宋体"/>
          <w:b/>
          <w:bCs/>
          <w:color w:val="auto"/>
          <w:u w:val="single"/>
          <w:lang w:eastAsia="zh-CN"/>
        </w:rPr>
      </w:pPr>
      <w:r>
        <w:rPr>
          <w:rFonts w:hint="eastAsia"/>
          <w:b/>
          <w:bCs/>
          <w:color w:val="auto"/>
          <w:u w:val="single"/>
        </w:rPr>
        <w:t>三心</w:t>
      </w:r>
      <w:r>
        <w:rPr>
          <w:rFonts w:hint="eastAsia"/>
          <w:b/>
          <w:bCs/>
          <w:color w:val="auto"/>
          <w:u w:val="single"/>
          <w:lang w:eastAsia="zh-CN"/>
        </w:rPr>
        <w:t>：</w:t>
      </w:r>
      <w:r>
        <w:rPr>
          <w:rFonts w:hint="eastAsia"/>
          <w:b/>
          <w:bCs/>
          <w:color w:val="auto"/>
          <w:u w:val="single"/>
        </w:rPr>
        <w:t>分别为城市商务中心、城市绿心、产业服务中心</w:t>
      </w:r>
      <w:r>
        <w:rPr>
          <w:rFonts w:hint="eastAsia"/>
          <w:b/>
          <w:bCs/>
          <w:color w:val="auto"/>
          <w:u w:val="single"/>
          <w:lang w:eastAsia="zh-CN"/>
        </w:rPr>
        <w:t>；</w:t>
      </w:r>
    </w:p>
    <w:p>
      <w:pPr>
        <w:rPr>
          <w:rFonts w:hint="eastAsia" w:eastAsia="宋体"/>
          <w:b/>
          <w:bCs/>
          <w:color w:val="auto"/>
          <w:u w:val="single"/>
          <w:lang w:eastAsia="zh-CN"/>
        </w:rPr>
      </w:pPr>
      <w:r>
        <w:rPr>
          <w:rFonts w:hint="eastAsia"/>
          <w:b/>
          <w:bCs/>
          <w:color w:val="auto"/>
          <w:u w:val="single"/>
        </w:rPr>
        <w:t>一带</w:t>
      </w:r>
      <w:r>
        <w:rPr>
          <w:rFonts w:hint="eastAsia"/>
          <w:b/>
          <w:bCs/>
          <w:color w:val="auto"/>
          <w:u w:val="single"/>
          <w:lang w:eastAsia="zh-CN"/>
        </w:rPr>
        <w:t>：</w:t>
      </w:r>
      <w:r>
        <w:rPr>
          <w:rFonts w:hint="eastAsia"/>
          <w:b/>
          <w:bCs/>
          <w:color w:val="auto"/>
          <w:u w:val="single"/>
        </w:rPr>
        <w:t>指由东湖及其周边绿地组成的城市生态绿化涵养带</w:t>
      </w:r>
      <w:r>
        <w:rPr>
          <w:rFonts w:hint="eastAsia"/>
          <w:b/>
          <w:bCs/>
          <w:color w:val="auto"/>
          <w:u w:val="single"/>
          <w:lang w:eastAsia="zh-CN"/>
        </w:rPr>
        <w:t>；</w:t>
      </w:r>
    </w:p>
    <w:p>
      <w:pPr>
        <w:rPr>
          <w:rFonts w:hint="eastAsia"/>
          <w:b/>
          <w:bCs/>
          <w:color w:val="auto"/>
          <w:u w:val="single"/>
        </w:rPr>
      </w:pPr>
      <w:r>
        <w:rPr>
          <w:rFonts w:hint="eastAsia"/>
          <w:b/>
          <w:bCs/>
          <w:color w:val="auto"/>
          <w:u w:val="single"/>
        </w:rPr>
        <w:t>三区</w:t>
      </w:r>
      <w:r>
        <w:rPr>
          <w:rFonts w:hint="eastAsia"/>
          <w:b/>
          <w:bCs/>
          <w:color w:val="auto"/>
          <w:u w:val="single"/>
          <w:lang w:eastAsia="zh-CN"/>
        </w:rPr>
        <w:t>：</w:t>
      </w:r>
      <w:r>
        <w:rPr>
          <w:rFonts w:hint="eastAsia"/>
          <w:b/>
          <w:bCs/>
          <w:color w:val="auto"/>
          <w:u w:val="single"/>
        </w:rPr>
        <w:t>分别为小店片区、经开片区、新东片区。</w:t>
      </w:r>
    </w:p>
    <w:p>
      <w:pPr>
        <w:pStyle w:val="9"/>
        <w:bidi w:val="0"/>
        <w:rPr>
          <w:color w:val="auto"/>
        </w:rPr>
      </w:pPr>
      <w:r>
        <w:rPr>
          <w:rFonts w:hint="eastAsia"/>
          <w:color w:val="auto"/>
        </w:rPr>
        <w:t>2.</w:t>
      </w:r>
      <w:r>
        <w:rPr>
          <w:rFonts w:hint="eastAsia"/>
          <w:color w:val="auto"/>
          <w:lang w:val="en-US" w:eastAsia="zh-CN"/>
        </w:rPr>
        <w:t>10</w:t>
      </w:r>
      <w:r>
        <w:rPr>
          <w:rFonts w:hint="eastAsia"/>
          <w:color w:val="auto"/>
        </w:rPr>
        <w:t>.</w:t>
      </w:r>
      <w:r>
        <w:rPr>
          <w:rFonts w:hint="eastAsia"/>
          <w:color w:val="auto"/>
          <w:lang w:val="en-US" w:eastAsia="zh-CN"/>
        </w:rPr>
        <w:t>6</w:t>
      </w:r>
      <w:r>
        <w:rPr>
          <w:rFonts w:hint="eastAsia"/>
          <w:color w:val="auto"/>
        </w:rPr>
        <w:t>新乡市城市饮用水源保护规划</w:t>
      </w:r>
    </w:p>
    <w:p>
      <w:pPr>
        <w:pStyle w:val="10"/>
        <w:bidi w:val="0"/>
        <w:rPr>
          <w:color w:val="auto"/>
        </w:rPr>
      </w:pPr>
      <w:r>
        <w:rPr>
          <w:rFonts w:hint="eastAsia"/>
          <w:color w:val="auto"/>
        </w:rPr>
        <w:t>2.</w:t>
      </w:r>
      <w:r>
        <w:rPr>
          <w:rFonts w:hint="eastAsia"/>
          <w:color w:val="auto"/>
          <w:lang w:val="en-US" w:eastAsia="zh-CN"/>
        </w:rPr>
        <w:t>10</w:t>
      </w:r>
      <w:r>
        <w:rPr>
          <w:rFonts w:hint="eastAsia"/>
          <w:color w:val="auto"/>
        </w:rPr>
        <w:t>.</w:t>
      </w:r>
      <w:r>
        <w:rPr>
          <w:rFonts w:hint="eastAsia"/>
          <w:color w:val="auto"/>
          <w:lang w:val="en-US" w:eastAsia="zh-CN"/>
        </w:rPr>
        <w:t>6</w:t>
      </w:r>
      <w:r>
        <w:rPr>
          <w:rFonts w:hint="eastAsia"/>
          <w:color w:val="auto"/>
        </w:rPr>
        <w:t>.1 新乡市饮用水源保护区</w:t>
      </w:r>
    </w:p>
    <w:p>
      <w:pPr>
        <w:bidi w:val="0"/>
        <w:rPr>
          <w:color w:val="auto"/>
        </w:rPr>
      </w:pPr>
      <w:r>
        <w:rPr>
          <w:rFonts w:hint="eastAsia"/>
          <w:color w:val="auto"/>
        </w:rPr>
        <w:t>《新乡市城市饮用水水源地保护区划分报告》（2007.5）已由河南省人民政府以豫政办</w:t>
      </w:r>
      <w:r>
        <w:rPr>
          <w:rFonts w:hint="eastAsia"/>
          <w:color w:val="auto"/>
          <w:lang w:eastAsia="zh-CN"/>
        </w:rPr>
        <w:t>〔</w:t>
      </w:r>
      <w:r>
        <w:rPr>
          <w:rFonts w:hint="eastAsia"/>
          <w:color w:val="auto"/>
        </w:rPr>
        <w:t>2007</w:t>
      </w:r>
      <w:r>
        <w:rPr>
          <w:rFonts w:hint="eastAsia"/>
          <w:color w:val="auto"/>
          <w:lang w:eastAsia="zh-CN"/>
        </w:rPr>
        <w:t>〕</w:t>
      </w:r>
      <w:r>
        <w:rPr>
          <w:rFonts w:hint="eastAsia"/>
          <w:color w:val="auto"/>
        </w:rPr>
        <w:t>125号文批复，具体划分结果如下表。</w:t>
      </w:r>
    </w:p>
    <w:p>
      <w:pPr>
        <w:pStyle w:val="181"/>
        <w:bidi w:val="0"/>
        <w:rPr>
          <w:color w:val="auto"/>
        </w:rPr>
      </w:pPr>
      <w:r>
        <w:rPr>
          <w:color w:val="auto"/>
        </w:rPr>
        <w:t>表2.</w:t>
      </w:r>
      <w:r>
        <w:rPr>
          <w:rFonts w:hint="eastAsia"/>
          <w:color w:val="auto"/>
          <w:lang w:val="en-US" w:eastAsia="zh-CN"/>
        </w:rPr>
        <w:t>10</w:t>
      </w:r>
      <w:r>
        <w:rPr>
          <w:rFonts w:hint="eastAsia"/>
          <w:color w:val="auto"/>
        </w:rPr>
        <w:t>-</w:t>
      </w:r>
      <w:r>
        <w:rPr>
          <w:rFonts w:hint="eastAsia"/>
          <w:color w:val="auto"/>
          <w:lang w:val="en-US" w:eastAsia="zh-CN"/>
        </w:rPr>
        <w:t>4</w:t>
      </w:r>
      <w:r>
        <w:rPr>
          <w:color w:val="auto"/>
        </w:rPr>
        <w:t xml:space="preserve">  </w:t>
      </w:r>
      <w:r>
        <w:rPr>
          <w:rFonts w:hint="eastAsia"/>
          <w:color w:val="auto"/>
          <w:lang w:val="en-US" w:eastAsia="zh-CN"/>
        </w:rPr>
        <w:t xml:space="preserve">     </w:t>
      </w:r>
      <w:r>
        <w:rPr>
          <w:color w:val="auto"/>
        </w:rPr>
        <w:t>新乡市城市集中饮用水源地</w:t>
      </w:r>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985"/>
        <w:gridCol w:w="2968"/>
        <w:gridCol w:w="289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675" w:type="dxa"/>
            <w:tcBorders>
              <w:top w:val="single" w:color="auto" w:sz="8" w:space="0"/>
              <w:left w:val="single" w:color="auto" w:sz="8" w:space="0"/>
              <w:bottom w:val="single" w:color="auto" w:sz="8" w:space="0"/>
              <w:right w:val="single" w:color="auto" w:sz="4" w:space="0"/>
            </w:tcBorders>
            <w:vAlign w:val="center"/>
          </w:tcPr>
          <w:p>
            <w:pPr>
              <w:pStyle w:val="182"/>
              <w:bidi w:val="0"/>
              <w:rPr>
                <w:b/>
                <w:bCs/>
                <w:color w:val="auto"/>
                <w:u w:val="single"/>
              </w:rPr>
            </w:pPr>
            <w:r>
              <w:rPr>
                <w:b/>
                <w:bCs/>
                <w:color w:val="auto"/>
                <w:u w:val="single"/>
              </w:rPr>
              <w:t>序号</w:t>
            </w:r>
          </w:p>
        </w:tc>
        <w:tc>
          <w:tcPr>
            <w:tcW w:w="1985" w:type="dxa"/>
            <w:tcBorders>
              <w:top w:val="single" w:color="auto" w:sz="8" w:space="0"/>
              <w:left w:val="single" w:color="auto" w:sz="4" w:space="0"/>
              <w:bottom w:val="single" w:color="auto" w:sz="8" w:space="0"/>
              <w:right w:val="single" w:color="auto" w:sz="4" w:space="0"/>
            </w:tcBorders>
            <w:vAlign w:val="center"/>
          </w:tcPr>
          <w:p>
            <w:pPr>
              <w:pStyle w:val="182"/>
              <w:bidi w:val="0"/>
              <w:rPr>
                <w:b/>
                <w:bCs/>
                <w:color w:val="auto"/>
                <w:u w:val="single"/>
              </w:rPr>
            </w:pPr>
            <w:r>
              <w:rPr>
                <w:b/>
                <w:bCs/>
                <w:color w:val="auto"/>
                <w:u w:val="single"/>
              </w:rPr>
              <w:t>水源地名称</w:t>
            </w:r>
          </w:p>
        </w:tc>
        <w:tc>
          <w:tcPr>
            <w:tcW w:w="2968" w:type="dxa"/>
            <w:tcBorders>
              <w:top w:val="single" w:color="auto" w:sz="8" w:space="0"/>
              <w:left w:val="single" w:color="auto" w:sz="4" w:space="0"/>
              <w:bottom w:val="single" w:color="auto" w:sz="8" w:space="0"/>
              <w:right w:val="single" w:color="auto" w:sz="4" w:space="0"/>
            </w:tcBorders>
            <w:vAlign w:val="center"/>
          </w:tcPr>
          <w:p>
            <w:pPr>
              <w:pStyle w:val="182"/>
              <w:bidi w:val="0"/>
              <w:rPr>
                <w:b/>
                <w:bCs/>
                <w:color w:val="auto"/>
                <w:u w:val="single"/>
              </w:rPr>
            </w:pPr>
            <w:r>
              <w:rPr>
                <w:b/>
                <w:bCs/>
                <w:color w:val="auto"/>
                <w:u w:val="single"/>
              </w:rPr>
              <w:t>一级保护区</w:t>
            </w:r>
          </w:p>
        </w:tc>
        <w:tc>
          <w:tcPr>
            <w:tcW w:w="2894" w:type="dxa"/>
            <w:tcBorders>
              <w:top w:val="single" w:color="auto" w:sz="8" w:space="0"/>
              <w:left w:val="single" w:color="auto" w:sz="4" w:space="0"/>
              <w:bottom w:val="single" w:color="auto" w:sz="8" w:space="0"/>
              <w:right w:val="single" w:color="auto" w:sz="8" w:space="0"/>
            </w:tcBorders>
            <w:vAlign w:val="center"/>
          </w:tcPr>
          <w:p>
            <w:pPr>
              <w:pStyle w:val="182"/>
              <w:bidi w:val="0"/>
              <w:rPr>
                <w:b/>
                <w:bCs/>
                <w:color w:val="auto"/>
                <w:u w:val="single"/>
              </w:rPr>
            </w:pPr>
            <w:r>
              <w:rPr>
                <w:b/>
                <w:bCs/>
                <w:color w:val="auto"/>
                <w:u w:val="single"/>
              </w:rPr>
              <w:t>二级保护区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8" w:space="0"/>
              <w:left w:val="single" w:color="auto" w:sz="8" w:space="0"/>
              <w:bottom w:val="single" w:color="auto" w:sz="4" w:space="0"/>
              <w:right w:val="single" w:color="auto" w:sz="4" w:space="0"/>
            </w:tcBorders>
            <w:vAlign w:val="center"/>
          </w:tcPr>
          <w:p>
            <w:pPr>
              <w:pStyle w:val="182"/>
              <w:bidi w:val="0"/>
              <w:rPr>
                <w:b/>
                <w:bCs/>
                <w:color w:val="auto"/>
                <w:u w:val="single"/>
              </w:rPr>
            </w:pPr>
            <w:r>
              <w:rPr>
                <w:b/>
                <w:bCs/>
                <w:color w:val="auto"/>
                <w:u w:val="single"/>
              </w:rPr>
              <w:t>1</w:t>
            </w:r>
          </w:p>
        </w:tc>
        <w:tc>
          <w:tcPr>
            <w:tcW w:w="1985" w:type="dxa"/>
            <w:tcBorders>
              <w:top w:val="single" w:color="auto" w:sz="8" w:space="0"/>
              <w:left w:val="single" w:color="auto" w:sz="4" w:space="0"/>
              <w:bottom w:val="single" w:color="auto" w:sz="4" w:space="0"/>
              <w:right w:val="single" w:color="auto" w:sz="4" w:space="0"/>
            </w:tcBorders>
            <w:vAlign w:val="center"/>
          </w:tcPr>
          <w:p>
            <w:pPr>
              <w:pStyle w:val="182"/>
              <w:bidi w:val="0"/>
              <w:rPr>
                <w:b/>
                <w:bCs/>
                <w:color w:val="auto"/>
                <w:u w:val="single"/>
              </w:rPr>
            </w:pPr>
            <w:r>
              <w:rPr>
                <w:b/>
                <w:bCs/>
                <w:color w:val="auto"/>
                <w:u w:val="single"/>
              </w:rPr>
              <w:t>黄河贾太湖地表水饮用水源保护区</w:t>
            </w:r>
          </w:p>
        </w:tc>
        <w:tc>
          <w:tcPr>
            <w:tcW w:w="5862" w:type="dxa"/>
            <w:gridSpan w:val="2"/>
            <w:tcBorders>
              <w:top w:val="single" w:color="auto" w:sz="8" w:space="0"/>
              <w:left w:val="single" w:color="auto" w:sz="4" w:space="0"/>
              <w:bottom w:val="single" w:color="auto" w:sz="4" w:space="0"/>
              <w:right w:val="single" w:color="auto" w:sz="8" w:space="0"/>
            </w:tcBorders>
            <w:vAlign w:val="center"/>
          </w:tcPr>
          <w:p>
            <w:pPr>
              <w:pStyle w:val="182"/>
              <w:bidi w:val="0"/>
              <w:rPr>
                <w:b/>
                <w:bCs/>
                <w:color w:val="auto"/>
                <w:u w:val="single"/>
              </w:rPr>
            </w:pPr>
            <w:r>
              <w:rPr>
                <w:rFonts w:hint="eastAsia"/>
                <w:b/>
                <w:bCs/>
                <w:color w:val="auto"/>
                <w:u w:val="single"/>
              </w:rPr>
              <w:t>豫政文</w:t>
            </w:r>
            <w:r>
              <w:rPr>
                <w:b/>
                <w:bCs/>
                <w:color w:val="auto"/>
                <w:u w:val="single"/>
              </w:rPr>
              <w:t>[2018]114</w:t>
            </w:r>
            <w:r>
              <w:rPr>
                <w:rFonts w:hint="eastAsia"/>
                <w:b/>
                <w:bCs/>
                <w:color w:val="auto"/>
                <w:u w:val="single"/>
              </w:rPr>
              <w:t>号文将其取消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4" w:space="0"/>
              <w:right w:val="single" w:color="auto" w:sz="4" w:space="0"/>
            </w:tcBorders>
            <w:vAlign w:val="center"/>
          </w:tcPr>
          <w:p>
            <w:pPr>
              <w:pStyle w:val="182"/>
              <w:bidi w:val="0"/>
              <w:rPr>
                <w:b/>
                <w:bCs/>
                <w:color w:val="auto"/>
                <w:u w:val="single"/>
              </w:rPr>
            </w:pPr>
            <w:r>
              <w:rPr>
                <w:b/>
                <w:bCs/>
                <w:color w:val="auto"/>
                <w:u w:val="single"/>
              </w:rPr>
              <w:t>2</w:t>
            </w:r>
          </w:p>
        </w:tc>
        <w:tc>
          <w:tcPr>
            <w:tcW w:w="1985" w:type="dxa"/>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u w:val="single"/>
              </w:rPr>
            </w:pPr>
            <w:r>
              <w:rPr>
                <w:b/>
                <w:bCs/>
                <w:color w:val="auto"/>
                <w:u w:val="single"/>
              </w:rPr>
              <w:t>黄河原阳中岳地表水饮用水源保护区</w:t>
            </w:r>
          </w:p>
        </w:tc>
        <w:tc>
          <w:tcPr>
            <w:tcW w:w="5862" w:type="dxa"/>
            <w:gridSpan w:val="2"/>
            <w:tcBorders>
              <w:top w:val="single" w:color="auto" w:sz="4" w:space="0"/>
              <w:left w:val="single" w:color="auto" w:sz="4" w:space="0"/>
              <w:bottom w:val="single" w:color="auto" w:sz="4" w:space="0"/>
              <w:right w:val="single" w:color="auto" w:sz="8" w:space="0"/>
            </w:tcBorders>
            <w:vAlign w:val="center"/>
          </w:tcPr>
          <w:p>
            <w:pPr>
              <w:pStyle w:val="182"/>
              <w:bidi w:val="0"/>
              <w:rPr>
                <w:b/>
                <w:bCs/>
                <w:color w:val="auto"/>
                <w:u w:val="single"/>
              </w:rPr>
            </w:pPr>
            <w:r>
              <w:rPr>
                <w:rFonts w:hint="eastAsia"/>
                <w:b/>
                <w:bCs/>
                <w:color w:val="auto"/>
                <w:u w:val="single"/>
              </w:rPr>
              <w:t>豫政文</w:t>
            </w:r>
            <w:r>
              <w:rPr>
                <w:b/>
                <w:bCs/>
                <w:color w:val="auto"/>
                <w:u w:val="single"/>
              </w:rPr>
              <w:t>[2018]114</w:t>
            </w:r>
            <w:r>
              <w:rPr>
                <w:rFonts w:hint="eastAsia"/>
                <w:b/>
                <w:bCs/>
                <w:color w:val="auto"/>
                <w:u w:val="single"/>
              </w:rPr>
              <w:t>号文将其取消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4" w:space="0"/>
              <w:right w:val="single" w:color="auto" w:sz="4" w:space="0"/>
            </w:tcBorders>
            <w:vAlign w:val="center"/>
          </w:tcPr>
          <w:p>
            <w:pPr>
              <w:pStyle w:val="182"/>
              <w:bidi w:val="0"/>
              <w:rPr>
                <w:b/>
                <w:bCs/>
                <w:color w:val="auto"/>
                <w:u w:val="single"/>
              </w:rPr>
            </w:pPr>
            <w:r>
              <w:rPr>
                <w:b/>
                <w:bCs/>
                <w:color w:val="auto"/>
                <w:u w:val="single"/>
              </w:rPr>
              <w:t>3</w:t>
            </w:r>
          </w:p>
        </w:tc>
        <w:tc>
          <w:tcPr>
            <w:tcW w:w="1985" w:type="dxa"/>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u w:val="single"/>
              </w:rPr>
            </w:pPr>
            <w:r>
              <w:rPr>
                <w:b/>
                <w:bCs/>
                <w:color w:val="auto"/>
                <w:u w:val="single"/>
              </w:rPr>
              <w:t>三水厂地下水饮用水源保护区</w:t>
            </w:r>
          </w:p>
        </w:tc>
        <w:tc>
          <w:tcPr>
            <w:tcW w:w="5862" w:type="dxa"/>
            <w:gridSpan w:val="2"/>
            <w:tcBorders>
              <w:top w:val="single" w:color="auto" w:sz="4" w:space="0"/>
              <w:left w:val="single" w:color="auto" w:sz="4" w:space="0"/>
              <w:bottom w:val="single" w:color="auto" w:sz="4" w:space="0"/>
              <w:right w:val="single" w:color="auto" w:sz="8" w:space="0"/>
            </w:tcBorders>
            <w:vAlign w:val="center"/>
          </w:tcPr>
          <w:p>
            <w:pPr>
              <w:pStyle w:val="182"/>
              <w:bidi w:val="0"/>
              <w:rPr>
                <w:b/>
                <w:bCs/>
                <w:color w:val="auto"/>
                <w:u w:val="single"/>
              </w:rPr>
            </w:pPr>
            <w:r>
              <w:rPr>
                <w:rFonts w:hint="eastAsia"/>
                <w:b/>
                <w:bCs/>
                <w:color w:val="auto"/>
                <w:u w:val="single"/>
              </w:rPr>
              <w:t>豫政文</w:t>
            </w:r>
            <w:r>
              <w:rPr>
                <w:b/>
                <w:bCs/>
                <w:color w:val="auto"/>
                <w:u w:val="single"/>
              </w:rPr>
              <w:t>[2018]114</w:t>
            </w:r>
            <w:r>
              <w:rPr>
                <w:rFonts w:hint="eastAsia"/>
                <w:b/>
                <w:bCs/>
                <w:color w:val="auto"/>
                <w:u w:val="single"/>
              </w:rPr>
              <w:t>号文将其取消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left w:val="single" w:color="auto" w:sz="8" w:space="0"/>
              <w:bottom w:val="single" w:color="auto" w:sz="4" w:space="0"/>
              <w:right w:val="single" w:color="auto" w:sz="4" w:space="0"/>
            </w:tcBorders>
            <w:vAlign w:val="center"/>
          </w:tcPr>
          <w:p>
            <w:pPr>
              <w:pStyle w:val="182"/>
              <w:bidi w:val="0"/>
              <w:rPr>
                <w:b/>
                <w:bCs/>
                <w:color w:val="auto"/>
                <w:u w:val="single"/>
              </w:rPr>
            </w:pPr>
            <w:r>
              <w:rPr>
                <w:rFonts w:hint="eastAsia"/>
                <w:b/>
                <w:bCs/>
                <w:color w:val="auto"/>
                <w:u w:val="single"/>
                <w:lang w:val="en-US" w:eastAsia="zh-CN"/>
              </w:rPr>
              <w:t>4</w:t>
            </w:r>
          </w:p>
        </w:tc>
        <w:tc>
          <w:tcPr>
            <w:tcW w:w="1985" w:type="dxa"/>
            <w:tcBorders>
              <w:left w:val="single" w:color="auto" w:sz="4" w:space="0"/>
              <w:bottom w:val="single" w:color="auto" w:sz="4" w:space="0"/>
              <w:right w:val="single" w:color="auto" w:sz="4" w:space="0"/>
            </w:tcBorders>
            <w:vAlign w:val="center"/>
          </w:tcPr>
          <w:p>
            <w:pPr>
              <w:pStyle w:val="182"/>
              <w:bidi w:val="0"/>
              <w:rPr>
                <w:b/>
                <w:bCs/>
                <w:color w:val="auto"/>
                <w:u w:val="single"/>
              </w:rPr>
            </w:pPr>
            <w:r>
              <w:rPr>
                <w:b/>
                <w:bCs/>
                <w:color w:val="auto"/>
                <w:u w:val="single"/>
              </w:rPr>
              <w:t>凤泉水厂地下水饮用水源保护区</w:t>
            </w:r>
          </w:p>
        </w:tc>
        <w:tc>
          <w:tcPr>
            <w:tcW w:w="2968" w:type="dxa"/>
            <w:tcBorders>
              <w:left w:val="single" w:color="auto" w:sz="4" w:space="0"/>
              <w:bottom w:val="single" w:color="auto" w:sz="4" w:space="0"/>
              <w:right w:val="single" w:color="auto" w:sz="4" w:space="0"/>
            </w:tcBorders>
            <w:vAlign w:val="center"/>
          </w:tcPr>
          <w:p>
            <w:pPr>
              <w:pStyle w:val="182"/>
              <w:bidi w:val="0"/>
              <w:rPr>
                <w:b/>
                <w:bCs/>
                <w:color w:val="auto"/>
                <w:u w:val="single"/>
              </w:rPr>
            </w:pPr>
            <w:r>
              <w:rPr>
                <w:b/>
                <w:bCs/>
                <w:color w:val="auto"/>
                <w:u w:val="single"/>
              </w:rPr>
              <w:t>以水厂东、西两院的院墙为界向外10米以及输水管线两侧10米的区域。</w:t>
            </w:r>
          </w:p>
        </w:tc>
        <w:tc>
          <w:tcPr>
            <w:tcW w:w="2894" w:type="dxa"/>
            <w:tcBorders>
              <w:left w:val="single" w:color="auto" w:sz="4" w:space="0"/>
              <w:bottom w:val="single" w:color="auto" w:sz="4" w:space="0"/>
              <w:right w:val="single" w:color="auto" w:sz="8" w:space="0"/>
            </w:tcBorders>
            <w:vAlign w:val="center"/>
          </w:tcPr>
          <w:p>
            <w:pPr>
              <w:pStyle w:val="182"/>
              <w:bidi w:val="0"/>
              <w:rPr>
                <w:b/>
                <w:bCs/>
                <w:color w:val="auto"/>
                <w:u w:val="single"/>
              </w:rPr>
            </w:pPr>
            <w:r>
              <w:rPr>
                <w:b/>
                <w:bCs/>
                <w:color w:val="auto"/>
                <w:u w:val="single"/>
              </w:rPr>
              <w:t>东以团结路为界，其他三面以水厂院墙为界，向外100米的区域。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4" w:space="0"/>
              <w:right w:val="single" w:color="auto" w:sz="4" w:space="0"/>
            </w:tcBorders>
            <w:vAlign w:val="center"/>
          </w:tcPr>
          <w:p>
            <w:pPr>
              <w:pStyle w:val="182"/>
              <w:bidi w:val="0"/>
              <w:rPr>
                <w:b/>
                <w:bCs/>
                <w:color w:val="auto"/>
                <w:u w:val="single"/>
              </w:rPr>
            </w:pPr>
            <w:r>
              <w:rPr>
                <w:rFonts w:hint="eastAsia"/>
                <w:b/>
                <w:bCs/>
                <w:color w:val="auto"/>
                <w:u w:val="single"/>
                <w:lang w:val="en-US" w:eastAsia="zh-CN"/>
              </w:rPr>
              <w:t>5</w:t>
            </w:r>
          </w:p>
        </w:tc>
        <w:tc>
          <w:tcPr>
            <w:tcW w:w="1985" w:type="dxa"/>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u w:val="single"/>
              </w:rPr>
            </w:pPr>
            <w:r>
              <w:rPr>
                <w:b/>
                <w:bCs/>
                <w:color w:val="auto"/>
                <w:u w:val="single"/>
              </w:rPr>
              <w:t>卫辉市塔岗水库地表水饮用水源保护区</w:t>
            </w:r>
          </w:p>
        </w:tc>
        <w:tc>
          <w:tcPr>
            <w:tcW w:w="2968" w:type="dxa"/>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u w:val="single"/>
              </w:rPr>
            </w:pPr>
            <w:r>
              <w:rPr>
                <w:b/>
                <w:bCs/>
                <w:color w:val="auto"/>
                <w:u w:val="single"/>
              </w:rPr>
              <w:t>取水口外围300米的水域、正常水位线取水口一侧200米的陆域及输水管道两侧10米的陆域。</w:t>
            </w:r>
          </w:p>
        </w:tc>
        <w:tc>
          <w:tcPr>
            <w:tcW w:w="2894" w:type="dxa"/>
            <w:tcBorders>
              <w:top w:val="single" w:color="auto" w:sz="4" w:space="0"/>
              <w:left w:val="single" w:color="auto" w:sz="4" w:space="0"/>
              <w:bottom w:val="single" w:color="auto" w:sz="4" w:space="0"/>
              <w:right w:val="single" w:color="auto" w:sz="8" w:space="0"/>
            </w:tcBorders>
            <w:vAlign w:val="center"/>
          </w:tcPr>
          <w:p>
            <w:pPr>
              <w:pStyle w:val="182"/>
              <w:bidi w:val="0"/>
              <w:rPr>
                <w:b/>
                <w:bCs/>
                <w:color w:val="auto"/>
                <w:u w:val="single"/>
              </w:rPr>
            </w:pPr>
            <w:r>
              <w:rPr>
                <w:b/>
                <w:bCs/>
                <w:color w:val="auto"/>
                <w:u w:val="single"/>
              </w:rPr>
              <w:t>一级保护区外的水域及山脊线内、入库河流上游3000米的陆域。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8" w:space="0"/>
              <w:right w:val="single" w:color="auto" w:sz="4" w:space="0"/>
            </w:tcBorders>
            <w:vAlign w:val="center"/>
          </w:tcPr>
          <w:p>
            <w:pPr>
              <w:pStyle w:val="182"/>
              <w:bidi w:val="0"/>
              <w:rPr>
                <w:b/>
                <w:bCs/>
                <w:color w:val="auto"/>
                <w:u w:val="single"/>
              </w:rPr>
            </w:pPr>
            <w:r>
              <w:rPr>
                <w:rFonts w:hint="eastAsia"/>
                <w:b/>
                <w:bCs/>
                <w:color w:val="auto"/>
                <w:u w:val="single"/>
                <w:lang w:val="en-US" w:eastAsia="zh-CN"/>
              </w:rPr>
              <w:t>6</w:t>
            </w:r>
          </w:p>
        </w:tc>
        <w:tc>
          <w:tcPr>
            <w:tcW w:w="1985" w:type="dxa"/>
            <w:tcBorders>
              <w:top w:val="single" w:color="auto" w:sz="4" w:space="0"/>
              <w:left w:val="single" w:color="auto" w:sz="4" w:space="0"/>
              <w:bottom w:val="single" w:color="auto" w:sz="8" w:space="0"/>
              <w:right w:val="single" w:color="auto" w:sz="4" w:space="0"/>
            </w:tcBorders>
            <w:vAlign w:val="center"/>
          </w:tcPr>
          <w:p>
            <w:pPr>
              <w:pStyle w:val="182"/>
              <w:bidi w:val="0"/>
              <w:rPr>
                <w:b/>
                <w:bCs/>
                <w:color w:val="auto"/>
                <w:u w:val="single"/>
              </w:rPr>
            </w:pPr>
            <w:r>
              <w:rPr>
                <w:b/>
                <w:bCs/>
                <w:color w:val="auto"/>
                <w:u w:val="single"/>
              </w:rPr>
              <w:t>辉县市段屯地下水饮用水源保护区</w:t>
            </w:r>
          </w:p>
        </w:tc>
        <w:tc>
          <w:tcPr>
            <w:tcW w:w="2968" w:type="dxa"/>
            <w:tcBorders>
              <w:top w:val="single" w:color="auto" w:sz="4" w:space="0"/>
              <w:left w:val="single" w:color="auto" w:sz="4" w:space="0"/>
              <w:bottom w:val="single" w:color="auto" w:sz="8" w:space="0"/>
              <w:right w:val="single" w:color="auto" w:sz="4" w:space="0"/>
            </w:tcBorders>
            <w:vAlign w:val="center"/>
          </w:tcPr>
          <w:p>
            <w:pPr>
              <w:pStyle w:val="182"/>
              <w:bidi w:val="0"/>
              <w:rPr>
                <w:b/>
                <w:bCs/>
                <w:color w:val="auto"/>
                <w:u w:val="single"/>
              </w:rPr>
            </w:pPr>
            <w:r>
              <w:rPr>
                <w:b/>
                <w:bCs/>
                <w:color w:val="auto"/>
                <w:u w:val="single"/>
              </w:rPr>
              <w:t>井群外围线以外30米的区域及输水管道两侧10米的陆域。</w:t>
            </w:r>
          </w:p>
        </w:tc>
        <w:tc>
          <w:tcPr>
            <w:tcW w:w="2894" w:type="dxa"/>
            <w:tcBorders>
              <w:top w:val="single" w:color="auto" w:sz="4" w:space="0"/>
              <w:left w:val="single" w:color="auto" w:sz="4" w:space="0"/>
              <w:bottom w:val="single" w:color="auto" w:sz="8" w:space="0"/>
              <w:right w:val="single" w:color="auto" w:sz="8" w:space="0"/>
            </w:tcBorders>
            <w:vAlign w:val="center"/>
          </w:tcPr>
          <w:p>
            <w:pPr>
              <w:pStyle w:val="182"/>
              <w:bidi w:val="0"/>
              <w:rPr>
                <w:b/>
                <w:bCs/>
                <w:color w:val="auto"/>
                <w:u w:val="single"/>
              </w:rPr>
            </w:pPr>
            <w:r>
              <w:rPr>
                <w:b/>
                <w:bCs/>
                <w:color w:val="auto"/>
                <w:u w:val="single"/>
              </w:rPr>
              <w:t>卫柿路以北，东外环路以东，井群外围线外300米以西和以南的区域。</w:t>
            </w:r>
          </w:p>
        </w:tc>
      </w:tr>
    </w:tbl>
    <w:p>
      <w:pPr>
        <w:bidi w:val="0"/>
        <w:rPr>
          <w:color w:val="auto"/>
        </w:rPr>
      </w:pPr>
      <w:r>
        <w:rPr>
          <w:rFonts w:hint="eastAsia"/>
          <w:color w:val="auto"/>
        </w:rPr>
        <w:t>距本项目最近的保护区为凤泉水厂地下水饮用水源保护区，距离约为20.7km，不在其保护区范围内，具体相对位置如下图：</w:t>
      </w:r>
    </w:p>
    <w:p>
      <w:pPr>
        <w:pStyle w:val="96"/>
        <w:spacing w:line="240" w:lineRule="auto"/>
        <w:ind w:left="0" w:leftChars="0" w:firstLine="0" w:firstLineChars="0"/>
        <w:jc w:val="center"/>
        <w:rPr>
          <w:color w:val="auto"/>
        </w:rPr>
      </w:pPr>
      <w:r>
        <w:rPr>
          <w:color w:val="auto"/>
        </w:rPr>
        <w:drawing>
          <wp:inline distT="0" distB="0" distL="0" distR="0">
            <wp:extent cx="5561965" cy="4269105"/>
            <wp:effectExtent l="0" t="0" r="635" b="13335"/>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30" cstate="print"/>
                    <a:stretch>
                      <a:fillRect/>
                    </a:stretch>
                  </pic:blipFill>
                  <pic:spPr>
                    <a:xfrm>
                      <a:off x="0" y="0"/>
                      <a:ext cx="5562000" cy="4269600"/>
                    </a:xfrm>
                    <a:prstGeom prst="rect">
                      <a:avLst/>
                    </a:prstGeom>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2.</w:t>
      </w:r>
      <w:r>
        <w:rPr>
          <w:rFonts w:hint="eastAsia"/>
          <w:color w:val="auto"/>
          <w:lang w:val="en-US" w:eastAsia="zh-CN"/>
        </w:rPr>
        <w:t>10</w:t>
      </w:r>
      <w:r>
        <w:rPr>
          <w:rFonts w:hint="eastAsia"/>
          <w:color w:val="auto"/>
        </w:rPr>
        <w:t>-</w:t>
      </w:r>
      <w:r>
        <w:rPr>
          <w:color w:val="auto"/>
        </w:rPr>
        <w:t xml:space="preserve">1  </w:t>
      </w:r>
      <w:r>
        <w:rPr>
          <w:rFonts w:hint="eastAsia"/>
          <w:color w:val="auto"/>
        </w:rPr>
        <w:t>本项目选址与新乡市集中式饮用水水源地相对位置图</w:t>
      </w:r>
    </w:p>
    <w:p>
      <w:pPr>
        <w:bidi w:val="0"/>
        <w:rPr>
          <w:color w:val="auto"/>
        </w:rPr>
      </w:pPr>
      <w:r>
        <w:rPr>
          <w:rFonts w:hint="eastAsia"/>
          <w:color w:val="auto"/>
        </w:rPr>
        <w:t>由上图可知：本项目不在凤泉水厂地下水饮用水源保护区范围内，不会对其产生影响。</w:t>
      </w:r>
    </w:p>
    <w:p>
      <w:pPr>
        <w:pStyle w:val="10"/>
        <w:bidi w:val="0"/>
        <w:rPr>
          <w:color w:val="auto"/>
        </w:rPr>
      </w:pPr>
      <w:r>
        <w:rPr>
          <w:color w:val="auto"/>
        </w:rPr>
        <w:t>2.</w:t>
      </w:r>
      <w:r>
        <w:rPr>
          <w:rFonts w:hint="eastAsia"/>
          <w:color w:val="auto"/>
          <w:lang w:val="en-US" w:eastAsia="zh-CN"/>
        </w:rPr>
        <w:t>10</w:t>
      </w:r>
      <w:r>
        <w:rPr>
          <w:color w:val="auto"/>
        </w:rPr>
        <w:t>.</w:t>
      </w:r>
      <w:r>
        <w:rPr>
          <w:rFonts w:hint="eastAsia"/>
          <w:color w:val="auto"/>
          <w:lang w:val="en-US" w:eastAsia="zh-CN"/>
        </w:rPr>
        <w:t>6</w:t>
      </w:r>
      <w:r>
        <w:rPr>
          <w:rFonts w:hint="eastAsia"/>
          <w:color w:val="auto"/>
        </w:rPr>
        <w:t>.2新乡市乡镇饮用水源保护区</w:t>
      </w:r>
    </w:p>
    <w:p>
      <w:pPr>
        <w:bidi w:val="0"/>
        <w:rPr>
          <w:color w:val="auto"/>
        </w:rPr>
      </w:pPr>
      <w:r>
        <w:rPr>
          <w:rFonts w:hint="eastAsia"/>
          <w:color w:val="auto"/>
        </w:rPr>
        <w:t>根据《河南省乡镇集中式饮用水水源保护区划》（豫政办</w:t>
      </w:r>
      <w:r>
        <w:rPr>
          <w:rFonts w:hint="eastAsia"/>
          <w:color w:val="auto"/>
          <w:lang w:eastAsia="zh-CN"/>
        </w:rPr>
        <w:t>〔</w:t>
      </w:r>
      <w:r>
        <w:rPr>
          <w:rFonts w:hint="eastAsia"/>
          <w:color w:val="auto"/>
        </w:rPr>
        <w:t>2016</w:t>
      </w:r>
      <w:r>
        <w:rPr>
          <w:rFonts w:hint="eastAsia"/>
          <w:color w:val="auto"/>
          <w:lang w:eastAsia="zh-CN"/>
        </w:rPr>
        <w:t>〕</w:t>
      </w:r>
      <w:r>
        <w:rPr>
          <w:rFonts w:hint="eastAsia"/>
          <w:color w:val="auto"/>
        </w:rPr>
        <w:t>23号），距本项目最近的乡镇集中式饮用水源地保护区为新乡县古固寨镇水厂地下水井群（共2眼井）饮用水源一级保护区。一级保护区范围为：水厂厂区及外围东15米、西45米、南35米、北10米的区域</w:t>
      </w:r>
      <w:r>
        <w:rPr>
          <w:rFonts w:hint="eastAsia"/>
          <w:color w:val="auto"/>
          <w:lang w:eastAsia="zh-CN"/>
        </w:rPr>
        <w:t>（</w:t>
      </w:r>
      <w:r>
        <w:rPr>
          <w:rFonts w:hint="eastAsia"/>
          <w:color w:val="auto"/>
        </w:rPr>
        <w:t>1号取水井</w:t>
      </w:r>
      <w:r>
        <w:rPr>
          <w:rFonts w:hint="eastAsia"/>
          <w:color w:val="auto"/>
          <w:lang w:eastAsia="zh-CN"/>
        </w:rPr>
        <w:t>）</w:t>
      </w:r>
      <w:r>
        <w:rPr>
          <w:rFonts w:hint="eastAsia"/>
          <w:color w:val="auto"/>
        </w:rPr>
        <w:t>，2号取水井外围50米的区域。根据现场调查，距离本项目最近的新乡市乡镇饮用水源为厂址西南7.4km处的古固寨镇地下水井群饮用水源保护区，具体相对位置如下图：</w:t>
      </w:r>
    </w:p>
    <w:p>
      <w:pPr>
        <w:pStyle w:val="96"/>
        <w:spacing w:line="240" w:lineRule="auto"/>
        <w:ind w:left="0" w:leftChars="0" w:firstLine="0" w:firstLineChars="0"/>
        <w:jc w:val="center"/>
        <w:rPr>
          <w:color w:val="auto"/>
        </w:rPr>
      </w:pPr>
      <w:r>
        <w:rPr>
          <w:color w:val="auto"/>
        </w:rPr>
        <w:drawing>
          <wp:inline distT="0" distB="0" distL="0" distR="0">
            <wp:extent cx="5554345" cy="4370070"/>
            <wp:effectExtent l="0" t="0" r="8255" b="3810"/>
            <wp:docPr id="1580" name="图片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图片 158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554800" cy="4370400"/>
                    </a:xfrm>
                    <a:prstGeom prst="rect">
                      <a:avLst/>
                    </a:prstGeom>
                    <a:noFill/>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2.</w:t>
      </w:r>
      <w:r>
        <w:rPr>
          <w:rFonts w:hint="eastAsia"/>
          <w:color w:val="auto"/>
          <w:lang w:val="en-US" w:eastAsia="zh-CN"/>
        </w:rPr>
        <w:t>10</w:t>
      </w:r>
      <w:r>
        <w:rPr>
          <w:color w:val="auto"/>
        </w:rPr>
        <w:t xml:space="preserve">-2  </w:t>
      </w:r>
      <w:r>
        <w:rPr>
          <w:rFonts w:hint="eastAsia"/>
          <w:color w:val="auto"/>
        </w:rPr>
        <w:t>本项目选址与古固寨镇地下水井群饮用水源保护区相对位置图</w:t>
      </w:r>
    </w:p>
    <w:p>
      <w:pPr>
        <w:bidi w:val="0"/>
        <w:rPr>
          <w:color w:val="auto"/>
        </w:rPr>
      </w:pPr>
      <w:r>
        <w:rPr>
          <w:rFonts w:hint="eastAsia"/>
          <w:color w:val="auto"/>
        </w:rPr>
        <w:t>由上图可知，本项目选址不在新乡市饮用水源保护区和新乡市乡镇饮用水源保护区范围内。</w:t>
      </w:r>
    </w:p>
    <w:p>
      <w:pPr>
        <w:pStyle w:val="10"/>
        <w:bidi w:val="0"/>
        <w:rPr>
          <w:color w:val="auto"/>
        </w:rPr>
      </w:pPr>
      <w:r>
        <w:rPr>
          <w:rFonts w:hint="eastAsia"/>
          <w:color w:val="auto"/>
        </w:rPr>
        <w:t>2.</w:t>
      </w:r>
      <w:r>
        <w:rPr>
          <w:rFonts w:hint="eastAsia"/>
          <w:color w:val="auto"/>
          <w:lang w:val="en-US" w:eastAsia="zh-CN"/>
        </w:rPr>
        <w:t>10</w:t>
      </w:r>
      <w:r>
        <w:rPr>
          <w:color w:val="auto"/>
        </w:rPr>
        <w:t>.</w:t>
      </w:r>
      <w:r>
        <w:rPr>
          <w:rFonts w:hint="eastAsia"/>
          <w:color w:val="auto"/>
          <w:lang w:val="en-US" w:eastAsia="zh-CN"/>
        </w:rPr>
        <w:t>6</w:t>
      </w:r>
      <w:r>
        <w:rPr>
          <w:rFonts w:hint="eastAsia"/>
          <w:color w:val="auto"/>
        </w:rPr>
        <w:t>.3南水北调工程水源地保护区</w:t>
      </w:r>
    </w:p>
    <w:p>
      <w:pPr>
        <w:bidi w:val="0"/>
        <w:rPr>
          <w:color w:val="auto"/>
        </w:rPr>
      </w:pPr>
      <w:r>
        <w:rPr>
          <w:rFonts w:hint="eastAsia"/>
          <w:color w:val="auto"/>
        </w:rPr>
        <w:t>经调查，距离本项目最近的南水北调中线工程位于项目选址西北方向的新乡市凤泉区老道井村，其分水口位于老道井村西、南水北调总干渠南岸。根据《关于划定南水北调中线一期工程总干渠两侧水源保护区工作的通知》（国调办环移</w:t>
      </w:r>
      <w:r>
        <w:rPr>
          <w:rFonts w:hint="eastAsia"/>
          <w:color w:val="auto"/>
          <w:lang w:eastAsia="zh-CN"/>
        </w:rPr>
        <w:t>〔2006〕</w:t>
      </w:r>
      <w:r>
        <w:rPr>
          <w:rFonts w:hint="eastAsia"/>
          <w:color w:val="auto"/>
        </w:rPr>
        <w:t>134号），输水明渠段：设计地下水位低于渠底的渠段，其一级水源保护区范围按由工程管理范围边线</w:t>
      </w:r>
      <w:r>
        <w:rPr>
          <w:rFonts w:hint="eastAsia"/>
          <w:color w:val="auto"/>
          <w:lang w:eastAsia="zh-CN"/>
        </w:rPr>
        <w:t>（</w:t>
      </w:r>
      <w:r>
        <w:rPr>
          <w:rFonts w:hint="eastAsia"/>
          <w:color w:val="auto"/>
        </w:rPr>
        <w:t>防护栏网</w:t>
      </w:r>
      <w:r>
        <w:rPr>
          <w:rFonts w:hint="eastAsia"/>
          <w:color w:val="auto"/>
          <w:lang w:eastAsia="zh-CN"/>
        </w:rPr>
        <w:t>）</w:t>
      </w:r>
      <w:r>
        <w:rPr>
          <w:rFonts w:hint="eastAsia"/>
          <w:color w:val="auto"/>
        </w:rPr>
        <w:t>向两侧外延50米，二级水源保护区范围按由一级水源保护区边线向两侧外延1000米。具体相对位置如下图：</w:t>
      </w:r>
    </w:p>
    <w:p>
      <w:pPr>
        <w:pStyle w:val="96"/>
        <w:spacing w:line="240" w:lineRule="auto"/>
        <w:ind w:left="0" w:leftChars="0" w:firstLine="0" w:firstLineChars="0"/>
        <w:jc w:val="center"/>
        <w:rPr>
          <w:color w:val="auto"/>
        </w:rPr>
      </w:pPr>
      <w:r>
        <w:rPr>
          <w:color w:val="auto"/>
        </w:rPr>
        <w:drawing>
          <wp:inline distT="0" distB="0" distL="0" distR="0">
            <wp:extent cx="5558155" cy="4449445"/>
            <wp:effectExtent l="0" t="0" r="4445" b="635"/>
            <wp:docPr id="15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22"/>
                    <pic:cNvPicPr>
                      <a:picLocks noChangeAspect="1"/>
                    </pic:cNvPicPr>
                  </pic:nvPicPr>
                  <pic:blipFill>
                    <a:blip r:embed="rId32" cstate="print"/>
                    <a:stretch>
                      <a:fillRect/>
                    </a:stretch>
                  </pic:blipFill>
                  <pic:spPr>
                    <a:xfrm>
                      <a:off x="0" y="0"/>
                      <a:ext cx="5558400" cy="4449600"/>
                    </a:xfrm>
                    <a:prstGeom prst="rect">
                      <a:avLst/>
                    </a:prstGeom>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2.</w:t>
      </w:r>
      <w:r>
        <w:rPr>
          <w:rFonts w:hint="eastAsia"/>
          <w:color w:val="auto"/>
          <w:lang w:val="en-US" w:eastAsia="zh-CN"/>
        </w:rPr>
        <w:t>10</w:t>
      </w:r>
      <w:r>
        <w:rPr>
          <w:rFonts w:hint="eastAsia"/>
          <w:color w:val="auto"/>
        </w:rPr>
        <w:t>-</w:t>
      </w:r>
      <w:r>
        <w:rPr>
          <w:color w:val="auto"/>
        </w:rPr>
        <w:t xml:space="preserve">3  </w:t>
      </w:r>
      <w:r>
        <w:rPr>
          <w:rFonts w:hint="eastAsia"/>
          <w:color w:val="auto"/>
        </w:rPr>
        <w:t>本项目选址与南水北调总干渠相对位置图</w:t>
      </w:r>
    </w:p>
    <w:p>
      <w:pPr>
        <w:bidi w:val="0"/>
        <w:rPr>
          <w:color w:val="auto"/>
        </w:rPr>
      </w:pPr>
      <w:r>
        <w:rPr>
          <w:rFonts w:hint="eastAsia"/>
          <w:color w:val="auto"/>
        </w:rPr>
        <w:t>本项目距南水北调中线工程最近距离为20.2km，不会对其产生不利影响。</w:t>
      </w:r>
    </w:p>
    <w:p>
      <w:pPr>
        <w:pStyle w:val="7"/>
        <w:bidi w:val="0"/>
        <w:rPr>
          <w:color w:val="auto"/>
        </w:rPr>
      </w:pPr>
      <w:bookmarkStart w:id="159" w:name="_Toc11041"/>
      <w:r>
        <w:rPr>
          <w:rFonts w:hint="eastAsia"/>
          <w:color w:val="auto"/>
        </w:rPr>
        <w:t>2.</w:t>
      </w:r>
      <w:r>
        <w:rPr>
          <w:rFonts w:hint="eastAsia"/>
          <w:color w:val="auto"/>
          <w:lang w:val="en-US" w:eastAsia="zh-CN"/>
        </w:rPr>
        <w:t>11</w:t>
      </w:r>
      <w:r>
        <w:rPr>
          <w:rFonts w:hint="eastAsia"/>
          <w:color w:val="auto"/>
        </w:rPr>
        <w:t>政策相符性分析</w:t>
      </w:r>
      <w:bookmarkEnd w:id="159"/>
    </w:p>
    <w:p>
      <w:pPr>
        <w:pStyle w:val="9"/>
        <w:bidi w:val="0"/>
        <w:rPr>
          <w:color w:val="auto"/>
        </w:rPr>
      </w:pPr>
      <w:r>
        <w:rPr>
          <w:rFonts w:hint="eastAsia"/>
          <w:color w:val="auto"/>
        </w:rPr>
        <w:t>2.</w:t>
      </w:r>
      <w:r>
        <w:rPr>
          <w:rFonts w:hint="eastAsia"/>
          <w:color w:val="auto"/>
          <w:lang w:val="en-US" w:eastAsia="zh-CN"/>
        </w:rPr>
        <w:t>11</w:t>
      </w:r>
      <w:r>
        <w:rPr>
          <w:rFonts w:hint="eastAsia"/>
          <w:color w:val="auto"/>
        </w:rPr>
        <w:t>.1产业结构调整指导目录相符性分析</w:t>
      </w:r>
    </w:p>
    <w:p>
      <w:pPr>
        <w:bidi w:val="0"/>
        <w:rPr>
          <w:color w:val="auto"/>
        </w:rPr>
      </w:pPr>
      <w:r>
        <w:rPr>
          <w:rFonts w:hint="eastAsia"/>
          <w:color w:val="auto"/>
        </w:rPr>
        <w:t>根据《产业结构调整指导目录》（2019年本），评价对本项目建设与产业政策的相符性进行分析，详见表</w:t>
      </w:r>
      <w:r>
        <w:rPr>
          <w:color w:val="auto"/>
        </w:rPr>
        <w:t>2.</w:t>
      </w:r>
      <w:r>
        <w:rPr>
          <w:rFonts w:hint="eastAsia"/>
          <w:color w:val="auto"/>
          <w:lang w:val="en-US" w:eastAsia="zh-CN"/>
        </w:rPr>
        <w:t>11</w:t>
      </w:r>
      <w:r>
        <w:rPr>
          <w:rFonts w:hint="eastAsia"/>
          <w:color w:val="auto"/>
        </w:rPr>
        <w:t>-</w:t>
      </w:r>
      <w:r>
        <w:rPr>
          <w:color w:val="auto"/>
        </w:rPr>
        <w:t>1</w:t>
      </w:r>
      <w:r>
        <w:rPr>
          <w:rFonts w:hint="eastAsia"/>
          <w:color w:val="auto"/>
        </w:rPr>
        <w:t>。</w:t>
      </w:r>
    </w:p>
    <w:p>
      <w:pPr>
        <w:pStyle w:val="181"/>
        <w:bidi w:val="0"/>
        <w:rPr>
          <w:color w:val="auto"/>
        </w:rPr>
      </w:pPr>
      <w:r>
        <w:rPr>
          <w:rFonts w:hint="eastAsia"/>
          <w:color w:val="auto"/>
        </w:rPr>
        <w:t>表</w:t>
      </w:r>
      <w:r>
        <w:rPr>
          <w:color w:val="auto"/>
        </w:rPr>
        <w:t>2.</w:t>
      </w:r>
      <w:r>
        <w:rPr>
          <w:rFonts w:hint="eastAsia"/>
          <w:color w:val="auto"/>
          <w:lang w:val="en-US" w:eastAsia="zh-CN"/>
        </w:rPr>
        <w:t>11</w:t>
      </w:r>
      <w:r>
        <w:rPr>
          <w:rFonts w:hint="eastAsia"/>
          <w:color w:val="auto"/>
        </w:rPr>
        <w:t>-</w:t>
      </w:r>
      <w:r>
        <w:rPr>
          <w:color w:val="auto"/>
        </w:rPr>
        <w:t xml:space="preserve">1  </w:t>
      </w:r>
      <w:r>
        <w:rPr>
          <w:rFonts w:hint="eastAsia"/>
          <w:color w:val="auto"/>
          <w:lang w:val="en-US" w:eastAsia="zh-CN"/>
        </w:rPr>
        <w:t xml:space="preserve">       </w:t>
      </w:r>
      <w:r>
        <w:rPr>
          <w:rFonts w:hint="eastAsia"/>
          <w:color w:val="auto"/>
        </w:rPr>
        <w:t>项目与产业政策相符性分析</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4"/>
        <w:gridCol w:w="1244"/>
        <w:gridCol w:w="3442"/>
        <w:gridCol w:w="1234"/>
        <w:gridCol w:w="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696" w:type="dxa"/>
            <w:vAlign w:val="center"/>
          </w:tcPr>
          <w:p>
            <w:pPr>
              <w:pStyle w:val="182"/>
              <w:bidi w:val="0"/>
              <w:rPr>
                <w:b/>
                <w:bCs/>
                <w:color w:val="auto"/>
              </w:rPr>
            </w:pPr>
            <w:r>
              <w:rPr>
                <w:rFonts w:hint="eastAsia"/>
                <w:b/>
                <w:bCs/>
                <w:color w:val="auto"/>
              </w:rPr>
              <w:t>名称</w:t>
            </w:r>
          </w:p>
        </w:tc>
        <w:tc>
          <w:tcPr>
            <w:tcW w:w="1276" w:type="dxa"/>
            <w:vAlign w:val="center"/>
          </w:tcPr>
          <w:p>
            <w:pPr>
              <w:pStyle w:val="182"/>
              <w:bidi w:val="0"/>
              <w:rPr>
                <w:b/>
                <w:bCs/>
                <w:color w:val="auto"/>
              </w:rPr>
            </w:pPr>
            <w:r>
              <w:rPr>
                <w:rFonts w:hint="eastAsia"/>
                <w:b/>
                <w:bCs/>
                <w:color w:val="auto"/>
              </w:rPr>
              <w:t>条款</w:t>
            </w:r>
          </w:p>
        </w:tc>
        <w:tc>
          <w:tcPr>
            <w:tcW w:w="3544" w:type="dxa"/>
            <w:vAlign w:val="center"/>
          </w:tcPr>
          <w:p>
            <w:pPr>
              <w:pStyle w:val="182"/>
              <w:bidi w:val="0"/>
              <w:rPr>
                <w:b/>
                <w:bCs/>
                <w:color w:val="auto"/>
              </w:rPr>
            </w:pPr>
            <w:r>
              <w:rPr>
                <w:rFonts w:hint="eastAsia"/>
                <w:b/>
                <w:bCs/>
                <w:color w:val="auto"/>
              </w:rPr>
              <w:t>内容</w:t>
            </w:r>
          </w:p>
        </w:tc>
        <w:tc>
          <w:tcPr>
            <w:tcW w:w="1276" w:type="dxa"/>
            <w:vAlign w:val="center"/>
          </w:tcPr>
          <w:p>
            <w:pPr>
              <w:pStyle w:val="182"/>
              <w:bidi w:val="0"/>
              <w:rPr>
                <w:b/>
                <w:bCs/>
                <w:color w:val="auto"/>
              </w:rPr>
            </w:pPr>
            <w:r>
              <w:rPr>
                <w:rFonts w:hint="eastAsia"/>
                <w:b/>
                <w:bCs/>
                <w:color w:val="auto"/>
              </w:rPr>
              <w:t>本项目情况</w:t>
            </w:r>
          </w:p>
        </w:tc>
        <w:tc>
          <w:tcPr>
            <w:tcW w:w="985" w:type="dxa"/>
            <w:vAlign w:val="center"/>
          </w:tcPr>
          <w:p>
            <w:pPr>
              <w:pStyle w:val="182"/>
              <w:bidi w:val="0"/>
              <w:rPr>
                <w:b/>
                <w:bCs/>
                <w:color w:val="auto"/>
              </w:rPr>
            </w:pPr>
            <w:r>
              <w:rPr>
                <w:rFonts w:hint="eastAsia"/>
                <w:b/>
                <w:bCs/>
                <w:color w:val="auto"/>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82"/>
              <w:bidi w:val="0"/>
              <w:rPr>
                <w:color w:val="auto"/>
              </w:rPr>
            </w:pPr>
            <w:r>
              <w:rPr>
                <w:rFonts w:hint="eastAsia"/>
                <w:color w:val="auto"/>
              </w:rPr>
              <w:t>鼓励类</w:t>
            </w:r>
          </w:p>
        </w:tc>
        <w:tc>
          <w:tcPr>
            <w:tcW w:w="1276" w:type="dxa"/>
            <w:vAlign w:val="center"/>
          </w:tcPr>
          <w:p>
            <w:pPr>
              <w:pStyle w:val="182"/>
              <w:bidi w:val="0"/>
              <w:rPr>
                <w:color w:val="auto"/>
              </w:rPr>
            </w:pPr>
            <w:r>
              <w:rPr>
                <w:rFonts w:hint="eastAsia"/>
                <w:color w:val="auto"/>
              </w:rPr>
              <w:t>二十、纺织</w:t>
            </w:r>
          </w:p>
        </w:tc>
        <w:tc>
          <w:tcPr>
            <w:tcW w:w="3544" w:type="dxa"/>
            <w:vAlign w:val="center"/>
          </w:tcPr>
          <w:p>
            <w:pPr>
              <w:pStyle w:val="182"/>
              <w:bidi w:val="0"/>
              <w:rPr>
                <w:color w:val="auto"/>
              </w:rPr>
            </w:pPr>
            <w:r>
              <w:rPr>
                <w:rFonts w:hint="eastAsia"/>
                <w:color w:val="auto"/>
              </w:rPr>
              <w:t>3、采用绿色、环保工艺与装备生产新溶剂法纤维素纤维（Lyocell）、细菌纤维素纤维、以竹、麻等新型可再生资源为原料的再生纤维素纤维、聚乳酸纤维（PLA）、海藻纤维、壳聚糖纤维、聚羟基脂肪酸酯纤维（PHA）、动植物蛋白纤维。</w:t>
            </w:r>
          </w:p>
        </w:tc>
        <w:tc>
          <w:tcPr>
            <w:tcW w:w="1276" w:type="dxa"/>
            <w:vAlign w:val="center"/>
          </w:tcPr>
          <w:p>
            <w:pPr>
              <w:pStyle w:val="182"/>
              <w:bidi w:val="0"/>
              <w:rPr>
                <w:color w:val="auto"/>
              </w:rPr>
            </w:pPr>
            <w:r>
              <w:rPr>
                <w:rFonts w:hint="eastAsia"/>
                <w:color w:val="auto"/>
              </w:rPr>
              <w:t>本项目以菌草为原料生产纤维素纤维</w:t>
            </w:r>
          </w:p>
        </w:tc>
        <w:tc>
          <w:tcPr>
            <w:tcW w:w="985" w:type="dxa"/>
            <w:vAlign w:val="center"/>
          </w:tcPr>
          <w:p>
            <w:pPr>
              <w:pStyle w:val="182"/>
              <w:bidi w:val="0"/>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82"/>
              <w:bidi w:val="0"/>
              <w:rPr>
                <w:color w:val="auto"/>
              </w:rPr>
            </w:pPr>
            <w:r>
              <w:rPr>
                <w:rFonts w:hint="eastAsia"/>
                <w:color w:val="auto"/>
              </w:rPr>
              <w:t>限制类</w:t>
            </w:r>
          </w:p>
        </w:tc>
        <w:tc>
          <w:tcPr>
            <w:tcW w:w="1276" w:type="dxa"/>
            <w:vAlign w:val="center"/>
          </w:tcPr>
          <w:p>
            <w:pPr>
              <w:pStyle w:val="182"/>
              <w:bidi w:val="0"/>
              <w:rPr>
                <w:color w:val="auto"/>
              </w:rPr>
            </w:pPr>
            <w:r>
              <w:rPr>
                <w:rFonts w:hint="eastAsia"/>
                <w:color w:val="auto"/>
              </w:rPr>
              <w:t>/</w:t>
            </w:r>
          </w:p>
        </w:tc>
        <w:tc>
          <w:tcPr>
            <w:tcW w:w="3544" w:type="dxa"/>
            <w:vAlign w:val="center"/>
          </w:tcPr>
          <w:p>
            <w:pPr>
              <w:pStyle w:val="182"/>
              <w:bidi w:val="0"/>
              <w:rPr>
                <w:color w:val="auto"/>
              </w:rPr>
            </w:pPr>
            <w:r>
              <w:rPr>
                <w:rFonts w:hint="eastAsia"/>
                <w:color w:val="auto"/>
              </w:rPr>
              <w:t>/</w:t>
            </w:r>
          </w:p>
        </w:tc>
        <w:tc>
          <w:tcPr>
            <w:tcW w:w="1276" w:type="dxa"/>
            <w:vAlign w:val="center"/>
          </w:tcPr>
          <w:p>
            <w:pPr>
              <w:pStyle w:val="182"/>
              <w:bidi w:val="0"/>
              <w:rPr>
                <w:color w:val="auto"/>
              </w:rPr>
            </w:pPr>
          </w:p>
        </w:tc>
        <w:tc>
          <w:tcPr>
            <w:tcW w:w="985" w:type="dxa"/>
            <w:vAlign w:val="center"/>
          </w:tcPr>
          <w:p>
            <w:pPr>
              <w:pStyle w:val="182"/>
              <w:bidi w:val="0"/>
              <w:rPr>
                <w:color w:val="auto"/>
              </w:rPr>
            </w:pPr>
            <w:r>
              <w:rPr>
                <w:rFonts w:hint="eastAsia"/>
                <w:color w:val="auto"/>
              </w:rPr>
              <w:t>不属于限制类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82"/>
              <w:bidi w:val="0"/>
              <w:rPr>
                <w:color w:val="auto"/>
              </w:rPr>
            </w:pPr>
            <w:r>
              <w:rPr>
                <w:rFonts w:hint="eastAsia"/>
                <w:color w:val="auto"/>
              </w:rPr>
              <w:t>淘汰类（落后生产工艺装备）</w:t>
            </w:r>
          </w:p>
        </w:tc>
        <w:tc>
          <w:tcPr>
            <w:tcW w:w="1276" w:type="dxa"/>
            <w:vAlign w:val="center"/>
          </w:tcPr>
          <w:p>
            <w:pPr>
              <w:pStyle w:val="182"/>
              <w:bidi w:val="0"/>
              <w:rPr>
                <w:color w:val="auto"/>
              </w:rPr>
            </w:pPr>
            <w:r>
              <w:rPr>
                <w:rFonts w:hint="eastAsia"/>
                <w:color w:val="auto"/>
              </w:rPr>
              <w:t>/</w:t>
            </w:r>
          </w:p>
        </w:tc>
        <w:tc>
          <w:tcPr>
            <w:tcW w:w="3544" w:type="dxa"/>
            <w:vAlign w:val="center"/>
          </w:tcPr>
          <w:p>
            <w:pPr>
              <w:pStyle w:val="182"/>
              <w:bidi w:val="0"/>
              <w:rPr>
                <w:color w:val="auto"/>
              </w:rPr>
            </w:pPr>
            <w:r>
              <w:rPr>
                <w:rFonts w:hint="eastAsia"/>
                <w:color w:val="auto"/>
              </w:rPr>
              <w:t>/</w:t>
            </w:r>
          </w:p>
        </w:tc>
        <w:tc>
          <w:tcPr>
            <w:tcW w:w="1276" w:type="dxa"/>
            <w:vAlign w:val="center"/>
          </w:tcPr>
          <w:p>
            <w:pPr>
              <w:pStyle w:val="182"/>
              <w:bidi w:val="0"/>
              <w:rPr>
                <w:color w:val="auto"/>
              </w:rPr>
            </w:pPr>
          </w:p>
        </w:tc>
        <w:tc>
          <w:tcPr>
            <w:tcW w:w="985" w:type="dxa"/>
            <w:vMerge w:val="restart"/>
            <w:vAlign w:val="center"/>
          </w:tcPr>
          <w:p>
            <w:pPr>
              <w:pStyle w:val="182"/>
              <w:bidi w:val="0"/>
              <w:rPr>
                <w:color w:val="auto"/>
              </w:rPr>
            </w:pPr>
            <w:r>
              <w:rPr>
                <w:rFonts w:hint="eastAsia"/>
                <w:color w:val="auto"/>
              </w:rPr>
              <w:t>不属于淘汰类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82"/>
              <w:bidi w:val="0"/>
              <w:rPr>
                <w:color w:val="auto"/>
              </w:rPr>
            </w:pPr>
            <w:r>
              <w:rPr>
                <w:rFonts w:hint="eastAsia"/>
                <w:color w:val="auto"/>
              </w:rPr>
              <w:t>淘汰类（落后</w:t>
            </w:r>
            <w:r>
              <w:rPr>
                <w:rFonts w:hint="eastAsia"/>
                <w:color w:val="auto"/>
                <w:lang w:eastAsia="zh-CN"/>
              </w:rPr>
              <w:t>产能</w:t>
            </w:r>
            <w:r>
              <w:rPr>
                <w:rFonts w:hint="eastAsia"/>
                <w:color w:val="auto"/>
              </w:rPr>
              <w:t>淘汰类品）</w:t>
            </w:r>
          </w:p>
        </w:tc>
        <w:tc>
          <w:tcPr>
            <w:tcW w:w="1276" w:type="dxa"/>
            <w:vAlign w:val="center"/>
          </w:tcPr>
          <w:p>
            <w:pPr>
              <w:pStyle w:val="182"/>
              <w:bidi w:val="0"/>
              <w:rPr>
                <w:color w:val="auto"/>
              </w:rPr>
            </w:pPr>
            <w:r>
              <w:rPr>
                <w:rFonts w:hint="eastAsia"/>
                <w:color w:val="auto"/>
              </w:rPr>
              <w:t>/</w:t>
            </w:r>
          </w:p>
        </w:tc>
        <w:tc>
          <w:tcPr>
            <w:tcW w:w="3544" w:type="dxa"/>
            <w:vAlign w:val="center"/>
          </w:tcPr>
          <w:p>
            <w:pPr>
              <w:pStyle w:val="182"/>
              <w:bidi w:val="0"/>
              <w:rPr>
                <w:color w:val="auto"/>
              </w:rPr>
            </w:pPr>
            <w:r>
              <w:rPr>
                <w:rFonts w:hint="eastAsia"/>
                <w:color w:val="auto"/>
              </w:rPr>
              <w:t>/</w:t>
            </w:r>
          </w:p>
        </w:tc>
        <w:tc>
          <w:tcPr>
            <w:tcW w:w="1276" w:type="dxa"/>
            <w:vAlign w:val="center"/>
          </w:tcPr>
          <w:p>
            <w:pPr>
              <w:pStyle w:val="182"/>
              <w:bidi w:val="0"/>
              <w:rPr>
                <w:color w:val="auto"/>
              </w:rPr>
            </w:pPr>
          </w:p>
        </w:tc>
        <w:tc>
          <w:tcPr>
            <w:tcW w:w="985" w:type="dxa"/>
            <w:vMerge w:val="continue"/>
            <w:vAlign w:val="center"/>
          </w:tcPr>
          <w:p>
            <w:pPr>
              <w:pStyle w:val="182"/>
              <w:bidi w:val="0"/>
              <w:rPr>
                <w:color w:val="auto"/>
              </w:rPr>
            </w:pPr>
          </w:p>
        </w:tc>
      </w:tr>
    </w:tbl>
    <w:p>
      <w:pPr>
        <w:bidi w:val="0"/>
        <w:rPr>
          <w:color w:val="auto"/>
        </w:rPr>
      </w:pPr>
      <w:r>
        <w:rPr>
          <w:rFonts w:hint="eastAsia"/>
          <w:color w:val="auto"/>
        </w:rPr>
        <w:t>由上述分析可知，该项目原料、设备、工艺、规模、产品均不属于限制类或淘汰</w:t>
      </w:r>
      <w:r>
        <w:rPr>
          <w:rFonts w:hint="eastAsia"/>
          <w:color w:val="auto"/>
          <w:lang w:eastAsia="zh-CN"/>
        </w:rPr>
        <w:t>类</w:t>
      </w:r>
      <w:r>
        <w:rPr>
          <w:rFonts w:hint="eastAsia"/>
          <w:color w:val="auto"/>
        </w:rPr>
        <w:t>别，符合国家产业政策要求。</w:t>
      </w:r>
    </w:p>
    <w:p>
      <w:pPr>
        <w:bidi w:val="0"/>
        <w:rPr>
          <w:color w:val="auto"/>
        </w:rPr>
      </w:pPr>
      <w:r>
        <w:rPr>
          <w:rFonts w:hint="eastAsia"/>
          <w:color w:val="auto"/>
        </w:rPr>
        <w:t>本项目已经在新乡市新乡工业产业集聚区管委会备案，项目代码为：2</w:t>
      </w:r>
      <w:r>
        <w:rPr>
          <w:color w:val="auto"/>
        </w:rPr>
        <w:t>210-410772-04-02-36948</w:t>
      </w:r>
      <w:r>
        <w:rPr>
          <w:rFonts w:hint="eastAsia"/>
          <w:color w:val="auto"/>
        </w:rPr>
        <w:t>。</w:t>
      </w:r>
    </w:p>
    <w:p>
      <w:pPr>
        <w:pStyle w:val="9"/>
        <w:bidi w:val="0"/>
        <w:rPr>
          <w:color w:val="auto"/>
        </w:rPr>
      </w:pPr>
      <w:r>
        <w:rPr>
          <w:rFonts w:hint="eastAsia"/>
          <w:color w:val="auto"/>
        </w:rPr>
        <w:t>2</w:t>
      </w:r>
      <w:r>
        <w:rPr>
          <w:color w:val="auto"/>
        </w:rPr>
        <w:t>.</w:t>
      </w:r>
      <w:r>
        <w:rPr>
          <w:rFonts w:hint="eastAsia"/>
          <w:color w:val="auto"/>
          <w:lang w:val="en-US" w:eastAsia="zh-CN"/>
        </w:rPr>
        <w:t>11</w:t>
      </w:r>
      <w:r>
        <w:rPr>
          <w:color w:val="auto"/>
        </w:rPr>
        <w:t>.2</w:t>
      </w:r>
      <w:r>
        <w:rPr>
          <w:rFonts w:hint="eastAsia"/>
          <w:color w:val="auto"/>
        </w:rPr>
        <w:t>与《河南省生态环境分区管控总体要求（试行）》的符合性分析</w:t>
      </w:r>
    </w:p>
    <w:p>
      <w:pPr>
        <w:bidi w:val="0"/>
        <w:rPr>
          <w:color w:val="auto"/>
        </w:rPr>
      </w:pPr>
      <w:r>
        <w:rPr>
          <w:rFonts w:hint="eastAsia"/>
          <w:color w:val="auto"/>
        </w:rPr>
        <w:t>本项目与《河南省生态环境分区管控总体要求（试行）》（豫环函〔2021〕171号）的符合性详见下表。</w:t>
      </w:r>
    </w:p>
    <w:p>
      <w:pPr>
        <w:pStyle w:val="181"/>
        <w:bidi w:val="0"/>
        <w:ind w:left="0" w:leftChars="0" w:firstLine="0" w:firstLineChars="0"/>
        <w:jc w:val="center"/>
        <w:rPr>
          <w:color w:val="auto"/>
        </w:rPr>
      </w:pPr>
      <w:r>
        <w:rPr>
          <w:rFonts w:hint="eastAsia"/>
          <w:color w:val="auto"/>
        </w:rPr>
        <w:t>表2.</w:t>
      </w:r>
      <w:r>
        <w:rPr>
          <w:rFonts w:hint="eastAsia"/>
          <w:color w:val="auto"/>
          <w:lang w:val="en-US" w:eastAsia="zh-CN"/>
        </w:rPr>
        <w:t>11</w:t>
      </w:r>
      <w:r>
        <w:rPr>
          <w:rFonts w:hint="eastAsia"/>
          <w:color w:val="auto"/>
        </w:rPr>
        <w:t>-</w:t>
      </w:r>
      <w:r>
        <w:rPr>
          <w:rFonts w:hint="eastAsia"/>
          <w:color w:val="auto"/>
          <w:lang w:val="en-US" w:eastAsia="zh-CN"/>
        </w:rPr>
        <w:t>2</w:t>
      </w:r>
      <w:r>
        <w:rPr>
          <w:rFonts w:hint="eastAsia"/>
          <w:color w:val="auto"/>
        </w:rPr>
        <w:t xml:space="preserve">  与《河南省生态环境分区管控总体要求（试行）》符合性分析</w:t>
      </w:r>
    </w:p>
    <w:tbl>
      <w:tblPr>
        <w:tblStyle w:val="32"/>
        <w:tblW w:w="517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40"/>
        <w:gridCol w:w="540"/>
        <w:gridCol w:w="555"/>
        <w:gridCol w:w="4405"/>
        <w:gridCol w:w="1947"/>
        <w:gridCol w:w="5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671" w:type="dxa"/>
            <w:tcBorders>
              <w:bottom w:val="single" w:color="auto" w:sz="8" w:space="0"/>
            </w:tcBorders>
            <w:vAlign w:val="center"/>
          </w:tcPr>
          <w:p>
            <w:pPr>
              <w:pStyle w:val="182"/>
              <w:bidi w:val="0"/>
              <w:rPr>
                <w:b/>
                <w:bCs/>
                <w:color w:val="auto"/>
              </w:rPr>
            </w:pPr>
            <w:r>
              <w:rPr>
                <w:rFonts w:hint="eastAsia"/>
                <w:b/>
                <w:bCs/>
                <w:color w:val="auto"/>
              </w:rPr>
              <w:t>区域</w:t>
            </w:r>
          </w:p>
        </w:tc>
        <w:tc>
          <w:tcPr>
            <w:tcW w:w="566" w:type="dxa"/>
            <w:tcBorders>
              <w:bottom w:val="single" w:color="auto" w:sz="8" w:space="0"/>
            </w:tcBorders>
            <w:vAlign w:val="center"/>
          </w:tcPr>
          <w:p>
            <w:pPr>
              <w:pStyle w:val="182"/>
              <w:bidi w:val="0"/>
              <w:rPr>
                <w:b/>
                <w:bCs/>
                <w:color w:val="auto"/>
              </w:rPr>
            </w:pPr>
            <w:r>
              <w:rPr>
                <w:b/>
                <w:bCs/>
                <w:color w:val="auto"/>
              </w:rPr>
              <w:t>单元分类</w:t>
            </w:r>
          </w:p>
        </w:tc>
        <w:tc>
          <w:tcPr>
            <w:tcW w:w="582" w:type="dxa"/>
            <w:tcBorders>
              <w:bottom w:val="single" w:color="auto" w:sz="8" w:space="0"/>
            </w:tcBorders>
            <w:vAlign w:val="center"/>
          </w:tcPr>
          <w:p>
            <w:pPr>
              <w:pStyle w:val="182"/>
              <w:bidi w:val="0"/>
              <w:rPr>
                <w:b/>
                <w:bCs/>
                <w:color w:val="auto"/>
              </w:rPr>
            </w:pPr>
            <w:r>
              <w:rPr>
                <w:rFonts w:hint="eastAsia"/>
                <w:b/>
                <w:bCs/>
                <w:color w:val="auto"/>
              </w:rPr>
              <w:t>类别</w:t>
            </w:r>
          </w:p>
        </w:tc>
        <w:tc>
          <w:tcPr>
            <w:tcW w:w="4619" w:type="dxa"/>
            <w:tcBorders>
              <w:bottom w:val="single" w:color="auto" w:sz="8" w:space="0"/>
            </w:tcBorders>
            <w:vAlign w:val="center"/>
          </w:tcPr>
          <w:p>
            <w:pPr>
              <w:pStyle w:val="182"/>
              <w:bidi w:val="0"/>
              <w:rPr>
                <w:b/>
                <w:bCs/>
                <w:color w:val="auto"/>
              </w:rPr>
            </w:pPr>
            <w:r>
              <w:rPr>
                <w:rFonts w:hint="eastAsia"/>
                <w:b/>
                <w:bCs/>
                <w:color w:val="auto"/>
              </w:rPr>
              <w:t>相关条文</w:t>
            </w:r>
          </w:p>
        </w:tc>
        <w:tc>
          <w:tcPr>
            <w:tcW w:w="2041" w:type="dxa"/>
            <w:tcBorders>
              <w:bottom w:val="single" w:color="auto" w:sz="8" w:space="0"/>
            </w:tcBorders>
            <w:vAlign w:val="center"/>
          </w:tcPr>
          <w:p>
            <w:pPr>
              <w:pStyle w:val="182"/>
              <w:bidi w:val="0"/>
              <w:rPr>
                <w:b/>
                <w:bCs/>
                <w:color w:val="auto"/>
              </w:rPr>
            </w:pPr>
            <w:r>
              <w:rPr>
                <w:b/>
                <w:bCs/>
                <w:color w:val="auto"/>
              </w:rPr>
              <w:t>本项目情况</w:t>
            </w:r>
          </w:p>
        </w:tc>
        <w:tc>
          <w:tcPr>
            <w:tcW w:w="590" w:type="dxa"/>
            <w:tcBorders>
              <w:bottom w:val="single" w:color="auto" w:sz="8" w:space="0"/>
            </w:tcBorders>
            <w:vAlign w:val="center"/>
          </w:tcPr>
          <w:p>
            <w:pPr>
              <w:pStyle w:val="182"/>
              <w:bidi w:val="0"/>
              <w:rPr>
                <w:b/>
                <w:bCs/>
                <w:color w:val="auto"/>
              </w:rPr>
            </w:pPr>
            <w:r>
              <w:rPr>
                <w:b/>
                <w:bCs/>
                <w:color w:val="auto"/>
              </w:rPr>
              <w:t>符合</w:t>
            </w:r>
            <w:r>
              <w:rPr>
                <w:rFonts w:hint="eastAsia"/>
                <w:b/>
                <w:bCs/>
                <w:color w:val="auto"/>
              </w:rPr>
              <w:t>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71" w:type="dxa"/>
            <w:vMerge w:val="restart"/>
            <w:tcBorders>
              <w:top w:val="single" w:color="auto" w:sz="8" w:space="0"/>
              <w:tl2br w:val="nil"/>
              <w:tr2bl w:val="nil"/>
            </w:tcBorders>
            <w:vAlign w:val="center"/>
          </w:tcPr>
          <w:p>
            <w:pPr>
              <w:pStyle w:val="182"/>
              <w:bidi w:val="0"/>
              <w:rPr>
                <w:color w:val="auto"/>
              </w:rPr>
            </w:pPr>
            <w:r>
              <w:rPr>
                <w:rFonts w:hint="eastAsia"/>
                <w:color w:val="auto"/>
              </w:rPr>
              <w:t>全省生态环境总体准入要求</w:t>
            </w:r>
          </w:p>
        </w:tc>
        <w:tc>
          <w:tcPr>
            <w:tcW w:w="566" w:type="dxa"/>
            <w:tcBorders>
              <w:top w:val="single" w:color="auto" w:sz="8" w:space="0"/>
              <w:tl2br w:val="nil"/>
              <w:tr2bl w:val="nil"/>
            </w:tcBorders>
            <w:vAlign w:val="center"/>
          </w:tcPr>
          <w:p>
            <w:pPr>
              <w:pStyle w:val="182"/>
              <w:bidi w:val="0"/>
              <w:rPr>
                <w:color w:val="auto"/>
              </w:rPr>
            </w:pPr>
            <w:r>
              <w:rPr>
                <w:rFonts w:hint="eastAsia"/>
                <w:color w:val="auto"/>
              </w:rPr>
              <w:t>河南省产业发展总体准入要求</w:t>
            </w:r>
          </w:p>
        </w:tc>
        <w:tc>
          <w:tcPr>
            <w:tcW w:w="582" w:type="dxa"/>
            <w:tcBorders>
              <w:top w:val="single" w:color="auto" w:sz="8" w:space="0"/>
              <w:tl2br w:val="nil"/>
              <w:tr2bl w:val="nil"/>
            </w:tcBorders>
            <w:vAlign w:val="center"/>
          </w:tcPr>
          <w:p>
            <w:pPr>
              <w:pStyle w:val="182"/>
              <w:bidi w:val="0"/>
              <w:rPr>
                <w:color w:val="auto"/>
              </w:rPr>
            </w:pPr>
            <w:r>
              <w:rPr>
                <w:rFonts w:hint="eastAsia"/>
                <w:color w:val="auto"/>
              </w:rPr>
              <w:t>通用产业</w:t>
            </w:r>
          </w:p>
        </w:tc>
        <w:tc>
          <w:tcPr>
            <w:tcW w:w="4619" w:type="dxa"/>
            <w:tcBorders>
              <w:top w:val="single" w:color="auto" w:sz="8" w:space="0"/>
              <w:tl2br w:val="nil"/>
              <w:tr2bl w:val="nil"/>
            </w:tcBorders>
          </w:tcPr>
          <w:p>
            <w:pPr>
              <w:pStyle w:val="182"/>
              <w:bidi w:val="0"/>
              <w:rPr>
                <w:color w:val="auto"/>
              </w:rPr>
            </w:pPr>
            <w:r>
              <w:rPr>
                <w:rFonts w:hint="eastAsia"/>
                <w:color w:val="auto"/>
              </w:rPr>
              <w:t>1、</w:t>
            </w:r>
            <w:r>
              <w:rPr>
                <w:color w:val="auto"/>
              </w:rPr>
              <w:t>禁止新改扩建《产业结构调整指导目录（2019 年本）》明确的淘汰类项目；禁止引入《市场准入负面清单（2020 年版）》禁止准入类事项。</w:t>
            </w:r>
          </w:p>
          <w:p>
            <w:pPr>
              <w:pStyle w:val="182"/>
              <w:bidi w:val="0"/>
              <w:rPr>
                <w:color w:val="auto"/>
              </w:rPr>
            </w:pPr>
            <w:r>
              <w:rPr>
                <w:rFonts w:hint="eastAsia"/>
                <w:color w:val="auto"/>
              </w:rPr>
              <w:t>2、</w:t>
            </w:r>
            <w:r>
              <w:rPr>
                <w:color w:val="auto"/>
              </w:rPr>
              <w:t>重点区域严禁新增钢铁、焦化、水泥熟料、平板玻璃、电解铝、氧化铝、煤化工产能，严控新增炼油产能；禁止建设生产和使用高VOCs含量的溶剂型涂料、油墨、胶粘剂等项目；全面取缔露天和敞开式喷涂作业；重点区域原则上禁止新建露天矿山建设项目。</w:t>
            </w:r>
          </w:p>
        </w:tc>
        <w:tc>
          <w:tcPr>
            <w:tcW w:w="2041" w:type="dxa"/>
            <w:tcBorders>
              <w:top w:val="single" w:color="auto" w:sz="8" w:space="0"/>
              <w:tl2br w:val="nil"/>
              <w:tr2bl w:val="nil"/>
            </w:tcBorders>
            <w:vAlign w:val="center"/>
          </w:tcPr>
          <w:p>
            <w:pPr>
              <w:pStyle w:val="182"/>
              <w:bidi w:val="0"/>
              <w:rPr>
                <w:color w:val="auto"/>
              </w:rPr>
            </w:pPr>
            <w:r>
              <w:rPr>
                <w:rFonts w:hint="eastAsia"/>
                <w:color w:val="auto"/>
              </w:rPr>
              <w:t>1、</w:t>
            </w:r>
            <w:r>
              <w:rPr>
                <w:color w:val="auto"/>
              </w:rPr>
              <w:t>本项目</w:t>
            </w:r>
            <w:r>
              <w:rPr>
                <w:rFonts w:hint="eastAsia"/>
                <w:color w:val="auto"/>
              </w:rPr>
              <w:t>属于化学纤维制造，不属于淘汰类和禁止准入类项目；2、不属于严禁新增项目；3、本项目生产原料为菌草，不涉及高VOCs含量原料；不属于</w:t>
            </w:r>
            <w:r>
              <w:rPr>
                <w:color w:val="auto"/>
              </w:rPr>
              <w:t>钢铁、焦化、水泥熟料、平板玻璃、电解铝、氧化铝、煤化工</w:t>
            </w:r>
            <w:r>
              <w:rPr>
                <w:rFonts w:hint="eastAsia"/>
                <w:color w:val="auto"/>
              </w:rPr>
              <w:t>企业。</w:t>
            </w:r>
          </w:p>
        </w:tc>
        <w:tc>
          <w:tcPr>
            <w:tcW w:w="590" w:type="dxa"/>
            <w:tcBorders>
              <w:top w:val="single" w:color="auto" w:sz="8" w:space="0"/>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tcBorders>
              <w:tl2br w:val="nil"/>
              <w:tr2bl w:val="nil"/>
            </w:tcBorders>
            <w:vAlign w:val="center"/>
          </w:tcPr>
          <w:p>
            <w:pPr>
              <w:pStyle w:val="182"/>
              <w:bidi w:val="0"/>
              <w:rPr>
                <w:color w:val="auto"/>
              </w:rPr>
            </w:pPr>
            <w:r>
              <w:rPr>
                <w:color w:val="auto"/>
              </w:rPr>
              <w:t>河南省生态空间总体准入要求</w:t>
            </w:r>
          </w:p>
        </w:tc>
        <w:tc>
          <w:tcPr>
            <w:tcW w:w="582" w:type="dxa"/>
            <w:tcBorders>
              <w:tl2br w:val="nil"/>
              <w:tr2bl w:val="nil"/>
            </w:tcBorders>
            <w:vAlign w:val="center"/>
          </w:tcPr>
          <w:p>
            <w:pPr>
              <w:pStyle w:val="182"/>
              <w:bidi w:val="0"/>
              <w:rPr>
                <w:color w:val="auto"/>
              </w:rPr>
            </w:pPr>
            <w:r>
              <w:rPr>
                <w:rFonts w:hint="eastAsia"/>
                <w:color w:val="auto"/>
              </w:rPr>
              <w:t>生态保护红线总体要求</w:t>
            </w:r>
          </w:p>
        </w:tc>
        <w:tc>
          <w:tcPr>
            <w:tcW w:w="4619" w:type="dxa"/>
            <w:tcBorders>
              <w:tl2br w:val="nil"/>
              <w:tr2bl w:val="nil"/>
            </w:tcBorders>
            <w:vAlign w:val="center"/>
          </w:tcPr>
          <w:p>
            <w:pPr>
              <w:pStyle w:val="182"/>
              <w:bidi w:val="0"/>
              <w:rPr>
                <w:color w:val="auto"/>
              </w:rPr>
            </w:pPr>
            <w:r>
              <w:rPr>
                <w:rFonts w:hint="eastAsia"/>
                <w:color w:val="auto"/>
              </w:rPr>
              <w:t>/</w:t>
            </w:r>
          </w:p>
        </w:tc>
        <w:tc>
          <w:tcPr>
            <w:tcW w:w="2041" w:type="dxa"/>
            <w:tcBorders>
              <w:tl2br w:val="nil"/>
              <w:tr2bl w:val="nil"/>
            </w:tcBorders>
            <w:vAlign w:val="center"/>
          </w:tcPr>
          <w:p>
            <w:pPr>
              <w:pStyle w:val="182"/>
              <w:bidi w:val="0"/>
              <w:rPr>
                <w:color w:val="auto"/>
              </w:rPr>
            </w:pPr>
            <w:r>
              <w:rPr>
                <w:color w:val="auto"/>
              </w:rPr>
              <w:t>本项目位于</w:t>
            </w:r>
            <w:r>
              <w:rPr>
                <w:rFonts w:hint="eastAsia"/>
                <w:color w:val="auto"/>
              </w:rPr>
              <w:t>新乡经济技术开发区</w:t>
            </w:r>
            <w:r>
              <w:rPr>
                <w:color w:val="auto"/>
              </w:rPr>
              <w:t>，厂址</w:t>
            </w:r>
            <w:r>
              <w:rPr>
                <w:rFonts w:hint="eastAsia"/>
                <w:color w:val="auto"/>
              </w:rPr>
              <w:t>及评价范围</w:t>
            </w:r>
            <w:r>
              <w:rPr>
                <w:color w:val="auto"/>
              </w:rPr>
              <w:t>未涉及生态保护红线。</w:t>
            </w:r>
          </w:p>
        </w:tc>
        <w:tc>
          <w:tcPr>
            <w:tcW w:w="590" w:type="dxa"/>
            <w:tcBorders>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vMerge w:val="restart"/>
            <w:tcBorders>
              <w:tl2br w:val="nil"/>
              <w:tr2bl w:val="nil"/>
            </w:tcBorders>
            <w:vAlign w:val="center"/>
          </w:tcPr>
          <w:p>
            <w:pPr>
              <w:pStyle w:val="182"/>
              <w:bidi w:val="0"/>
              <w:rPr>
                <w:color w:val="auto"/>
              </w:rPr>
            </w:pPr>
            <w:r>
              <w:rPr>
                <w:color w:val="auto"/>
              </w:rPr>
              <w:t>河南省大气生态环境总体准入要求</w:t>
            </w:r>
          </w:p>
        </w:tc>
        <w:tc>
          <w:tcPr>
            <w:tcW w:w="582" w:type="dxa"/>
            <w:tcBorders>
              <w:tl2br w:val="nil"/>
              <w:tr2bl w:val="nil"/>
            </w:tcBorders>
            <w:vAlign w:val="center"/>
          </w:tcPr>
          <w:p>
            <w:pPr>
              <w:pStyle w:val="182"/>
              <w:bidi w:val="0"/>
              <w:rPr>
                <w:color w:val="auto"/>
              </w:rPr>
            </w:pPr>
            <w:r>
              <w:rPr>
                <w:color w:val="auto"/>
              </w:rPr>
              <w:t>空间布局约束</w:t>
            </w:r>
          </w:p>
        </w:tc>
        <w:tc>
          <w:tcPr>
            <w:tcW w:w="4619" w:type="dxa"/>
            <w:tcBorders>
              <w:tl2br w:val="nil"/>
              <w:tr2bl w:val="nil"/>
            </w:tcBorders>
            <w:vAlign w:val="center"/>
          </w:tcPr>
          <w:p>
            <w:pPr>
              <w:pStyle w:val="182"/>
              <w:bidi w:val="0"/>
              <w:rPr>
                <w:color w:val="auto"/>
              </w:rPr>
            </w:pPr>
            <w:r>
              <w:rPr>
                <w:color w:val="auto"/>
              </w:rPr>
              <w:t>集中供暖区禁止新改扩分散燃煤供热锅炉，已建成的不能达标排放的燃煤供热锅炉，应当期限内拆除；在保证电力、热力、天然气供应前提下，加快推进热电联产机组供热半径30公里范围内燃煤锅炉及落后燃煤小热电关停整合；城市建成区生物质锅炉实施超低排放改造，燃气锅炉实施低氮改造；对不能稳定达标排放、改造升级无望的污染企业，依法依规停产限产、关停退出。</w:t>
            </w:r>
          </w:p>
          <w:p>
            <w:pPr>
              <w:pStyle w:val="182"/>
              <w:bidi w:val="0"/>
              <w:rPr>
                <w:color w:val="auto"/>
              </w:rPr>
            </w:pPr>
            <w:r>
              <w:rPr>
                <w:color w:val="auto"/>
              </w:rPr>
              <w:t>不符合城市建设规划、行业发展规划、生态环境功能定位的重点污染企业退出城市建成区；城市建成区、人群密集区的重污染企业和危险化学品等环境风险大的企业搬迁改造、关停退出；重点地区要严格限制石化、化工、包装印刷、工业涂装等高 VOCs 排放建设项目；新建涉VOCs 排放的工业企业要入园区；实行区域内VOCs排放等量或倍量削减替代。</w:t>
            </w:r>
          </w:p>
        </w:tc>
        <w:tc>
          <w:tcPr>
            <w:tcW w:w="2041" w:type="dxa"/>
            <w:tcBorders>
              <w:tl2br w:val="nil"/>
              <w:tr2bl w:val="nil"/>
            </w:tcBorders>
            <w:vAlign w:val="center"/>
          </w:tcPr>
          <w:p>
            <w:pPr>
              <w:pStyle w:val="182"/>
              <w:bidi w:val="0"/>
              <w:rPr>
                <w:color w:val="auto"/>
              </w:rPr>
            </w:pPr>
            <w:r>
              <w:rPr>
                <w:color w:val="auto"/>
              </w:rPr>
              <w:t>本项目位于</w:t>
            </w:r>
            <w:r>
              <w:rPr>
                <w:rFonts w:hint="eastAsia"/>
                <w:color w:val="auto"/>
              </w:rPr>
              <w:t>新乡经济技术开发区</w:t>
            </w:r>
            <w:r>
              <w:rPr>
                <w:color w:val="auto"/>
              </w:rPr>
              <w:t>，不涉及</w:t>
            </w:r>
            <w:r>
              <w:rPr>
                <w:rFonts w:hint="eastAsia"/>
                <w:color w:val="auto"/>
              </w:rPr>
              <w:t>锅炉；</w:t>
            </w:r>
          </w:p>
          <w:p>
            <w:pPr>
              <w:pStyle w:val="182"/>
              <w:bidi w:val="0"/>
              <w:rPr>
                <w:color w:val="auto"/>
              </w:rPr>
            </w:pPr>
            <w:r>
              <w:rPr>
                <w:rFonts w:hint="eastAsia"/>
                <w:color w:val="auto"/>
              </w:rPr>
              <w:t>本项目选址符合园区规划和新乡市建设规划。不属于重污染企业和环境风险大的企业；本项目不属于高VOCs排放项目。</w:t>
            </w:r>
          </w:p>
        </w:tc>
        <w:tc>
          <w:tcPr>
            <w:tcW w:w="590" w:type="dxa"/>
            <w:tcBorders>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vMerge w:val="continue"/>
            <w:tcBorders>
              <w:tl2br w:val="nil"/>
              <w:tr2bl w:val="nil"/>
            </w:tcBorders>
            <w:vAlign w:val="center"/>
          </w:tcPr>
          <w:p>
            <w:pPr>
              <w:pStyle w:val="182"/>
              <w:bidi w:val="0"/>
              <w:rPr>
                <w:color w:val="auto"/>
              </w:rPr>
            </w:pPr>
          </w:p>
        </w:tc>
        <w:tc>
          <w:tcPr>
            <w:tcW w:w="582" w:type="dxa"/>
            <w:tcBorders>
              <w:tl2br w:val="nil"/>
              <w:tr2bl w:val="nil"/>
            </w:tcBorders>
            <w:vAlign w:val="center"/>
          </w:tcPr>
          <w:p>
            <w:pPr>
              <w:pStyle w:val="182"/>
              <w:bidi w:val="0"/>
              <w:rPr>
                <w:color w:val="auto"/>
              </w:rPr>
            </w:pPr>
            <w:r>
              <w:rPr>
                <w:color w:val="auto"/>
              </w:rPr>
              <w:t>污染物排放管控</w:t>
            </w:r>
          </w:p>
        </w:tc>
        <w:tc>
          <w:tcPr>
            <w:tcW w:w="4619" w:type="dxa"/>
            <w:tcBorders>
              <w:tl2br w:val="nil"/>
              <w:tr2bl w:val="nil"/>
            </w:tcBorders>
            <w:vAlign w:val="center"/>
          </w:tcPr>
          <w:p>
            <w:pPr>
              <w:pStyle w:val="182"/>
              <w:bidi w:val="0"/>
              <w:rPr>
                <w:color w:val="auto"/>
              </w:rPr>
            </w:pPr>
            <w:r>
              <w:rPr>
                <w:color w:val="auto"/>
              </w:rPr>
              <w:t>重点行业二氧化硫、氮氧化物、颗粒物、VOCs全面执行大气污染物特别排放限值；综合整治VOCs排放，新改扩建涉VOCs 排放项目，应加强废气收集，安装高效治理设施；对确有必要新建或改造升级的高端铸造建设项目，原则上应使用天然气或电力等清洁能源；所有产生颗粒物或 VOCs 的工序应配备高效收集和处理装置；县级以上建成区餐饮企业全部安装油烟净化设施并符合河南省《餐饮业油烟污染物排放标准》（DB41/1604-2018）。</w:t>
            </w:r>
          </w:p>
          <w:p>
            <w:pPr>
              <w:pStyle w:val="182"/>
              <w:bidi w:val="0"/>
              <w:rPr>
                <w:color w:val="auto"/>
              </w:rPr>
            </w:pPr>
            <w:r>
              <w:rPr>
                <w:color w:val="auto"/>
              </w:rPr>
              <w:t>强化项目环评及“三同时”管理，国家、省绩效分级重点行业的新改扩建项目达到B级以上要求。</w:t>
            </w:r>
          </w:p>
          <w:p>
            <w:pPr>
              <w:pStyle w:val="182"/>
              <w:bidi w:val="0"/>
              <w:rPr>
                <w:color w:val="auto"/>
              </w:rPr>
            </w:pPr>
            <w:r>
              <w:rPr>
                <w:color w:val="auto"/>
              </w:rPr>
              <w:t>积极发展铁路运输，完善干线铁路布局，加快铁路专用线建设。推动铁路专用线直通大型工矿企业和物流园区，实现“点到点”铁路运输；新改扩建涉及大宗物料运输的建设项目，原则上不得利用公路运输；以推动大宗物料及粮油等农副产品运输“公转铁”为重点，鼓励钢铁、电力、焦化、电解铝、水泥、汽车制造等大型生产企业新建或改扩建铁路专用线。</w:t>
            </w:r>
          </w:p>
          <w:p>
            <w:pPr>
              <w:pStyle w:val="182"/>
              <w:bidi w:val="0"/>
              <w:rPr>
                <w:color w:val="auto"/>
              </w:rPr>
            </w:pPr>
            <w:r>
              <w:rPr>
                <w:rFonts w:hint="eastAsia"/>
                <w:color w:val="auto"/>
              </w:rPr>
              <w:t>4.</w:t>
            </w:r>
            <w:r>
              <w:rPr>
                <w:color w:val="auto"/>
              </w:rPr>
              <w:t>鼓励工业炉窑使用电、天然气等清洁能源或由周边热电厂供热；大力推广优质能源替代民用散煤；农村地区综合推广使用生物质成型燃料、沼气、太阳能等清洁能源，减少散煤使用。</w:t>
            </w:r>
          </w:p>
        </w:tc>
        <w:tc>
          <w:tcPr>
            <w:tcW w:w="2041" w:type="dxa"/>
            <w:tcBorders>
              <w:tl2br w:val="nil"/>
              <w:tr2bl w:val="nil"/>
            </w:tcBorders>
            <w:vAlign w:val="center"/>
          </w:tcPr>
          <w:p>
            <w:pPr>
              <w:pStyle w:val="182"/>
              <w:bidi w:val="0"/>
              <w:rPr>
                <w:color w:val="auto"/>
              </w:rPr>
            </w:pPr>
            <w:r>
              <w:rPr>
                <w:color w:val="auto"/>
              </w:rPr>
              <w:t>1</w:t>
            </w:r>
            <w:r>
              <w:rPr>
                <w:rFonts w:hint="eastAsia"/>
                <w:color w:val="auto"/>
              </w:rPr>
              <w:t>.</w:t>
            </w:r>
            <w:r>
              <w:rPr>
                <w:color w:val="auto"/>
              </w:rPr>
              <w:t>本项目颗粒物</w:t>
            </w:r>
            <w:r>
              <w:rPr>
                <w:rFonts w:hint="eastAsia"/>
                <w:color w:val="auto"/>
              </w:rPr>
              <w:t>执行特别排放限值，</w:t>
            </w:r>
            <w:r>
              <w:rPr>
                <w:color w:val="auto"/>
              </w:rPr>
              <w:t>不涉及锅炉建设；</w:t>
            </w:r>
            <w:r>
              <w:rPr>
                <w:rFonts w:hint="eastAsia"/>
                <w:color w:val="auto"/>
              </w:rPr>
              <w:t>颗粒物的产生环节</w:t>
            </w:r>
            <w:r>
              <w:rPr>
                <w:rFonts w:hint="eastAsia"/>
                <w:color w:val="auto"/>
                <w:lang w:val="en-US" w:eastAsia="zh-CN"/>
              </w:rPr>
              <w:t>主要为木质素混合物干燥过程</w:t>
            </w:r>
            <w:r>
              <w:rPr>
                <w:rFonts w:hint="eastAsia"/>
                <w:color w:val="auto"/>
              </w:rPr>
              <w:t>，负压收集经除尘措施治理</w:t>
            </w:r>
            <w:r>
              <w:rPr>
                <w:color w:val="auto"/>
              </w:rPr>
              <w:t>；</w:t>
            </w:r>
          </w:p>
          <w:p>
            <w:pPr>
              <w:pStyle w:val="182"/>
              <w:bidi w:val="0"/>
              <w:rPr>
                <w:color w:val="auto"/>
              </w:rPr>
            </w:pPr>
            <w:r>
              <w:rPr>
                <w:rFonts w:hint="eastAsia"/>
                <w:color w:val="auto"/>
              </w:rPr>
              <w:t>2</w:t>
            </w:r>
            <w:r>
              <w:rPr>
                <w:color w:val="auto"/>
              </w:rPr>
              <w:t>绩效分级重点行业的新改扩建项目达到</w:t>
            </w:r>
            <w:r>
              <w:rPr>
                <w:rFonts w:hint="eastAsia"/>
                <w:color w:val="auto"/>
              </w:rPr>
              <w:t>先进性指标</w:t>
            </w:r>
            <w:r>
              <w:rPr>
                <w:color w:val="auto"/>
              </w:rPr>
              <w:t>要求。</w:t>
            </w:r>
          </w:p>
          <w:p>
            <w:pPr>
              <w:pStyle w:val="182"/>
              <w:bidi w:val="0"/>
              <w:rPr>
                <w:color w:val="auto"/>
              </w:rPr>
            </w:pPr>
            <w:r>
              <w:rPr>
                <w:rFonts w:hint="eastAsia"/>
                <w:color w:val="auto"/>
              </w:rPr>
              <w:t>3.本项目不属于大宗物料，采用公路运输；</w:t>
            </w:r>
          </w:p>
          <w:p>
            <w:pPr>
              <w:pStyle w:val="182"/>
              <w:bidi w:val="0"/>
              <w:rPr>
                <w:color w:val="auto"/>
              </w:rPr>
            </w:pPr>
            <w:r>
              <w:rPr>
                <w:rFonts w:hint="eastAsia"/>
                <w:color w:val="auto"/>
              </w:rPr>
              <w:t>本项目不涉及工业炉窑。</w:t>
            </w:r>
          </w:p>
        </w:tc>
        <w:tc>
          <w:tcPr>
            <w:tcW w:w="590" w:type="dxa"/>
            <w:tcBorders>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vMerge w:val="restart"/>
            <w:tcBorders>
              <w:tl2br w:val="nil"/>
              <w:tr2bl w:val="nil"/>
            </w:tcBorders>
            <w:vAlign w:val="center"/>
          </w:tcPr>
          <w:p>
            <w:pPr>
              <w:pStyle w:val="182"/>
              <w:bidi w:val="0"/>
              <w:rPr>
                <w:color w:val="auto"/>
              </w:rPr>
            </w:pPr>
            <w:r>
              <w:rPr>
                <w:color w:val="auto"/>
              </w:rPr>
              <w:t>河南省水生态环境总体准入要求</w:t>
            </w:r>
          </w:p>
        </w:tc>
        <w:tc>
          <w:tcPr>
            <w:tcW w:w="582" w:type="dxa"/>
            <w:tcBorders>
              <w:tl2br w:val="nil"/>
              <w:tr2bl w:val="nil"/>
            </w:tcBorders>
            <w:vAlign w:val="center"/>
          </w:tcPr>
          <w:p>
            <w:pPr>
              <w:pStyle w:val="182"/>
              <w:bidi w:val="0"/>
              <w:rPr>
                <w:color w:val="auto"/>
              </w:rPr>
            </w:pPr>
            <w:r>
              <w:rPr>
                <w:color w:val="auto"/>
              </w:rPr>
              <w:t>空间布局约束</w:t>
            </w:r>
          </w:p>
        </w:tc>
        <w:tc>
          <w:tcPr>
            <w:tcW w:w="4619" w:type="dxa"/>
            <w:tcBorders>
              <w:tl2br w:val="nil"/>
              <w:tr2bl w:val="nil"/>
            </w:tcBorders>
            <w:vAlign w:val="center"/>
          </w:tcPr>
          <w:p>
            <w:pPr>
              <w:pStyle w:val="182"/>
              <w:bidi w:val="0"/>
              <w:rPr>
                <w:color w:val="auto"/>
              </w:rPr>
            </w:pPr>
            <w:r>
              <w:rPr>
                <w:color w:val="auto"/>
              </w:rPr>
              <w:t>在属于水污染防治重点控制单元的区域内，不予审批耗水量大、废水排放量大的煤化工、化学原料药及生物发酵制药、制浆造纸、制革及毛皮鞣制、印染等行业单纯新建和单纯扩大产能的项目。</w:t>
            </w:r>
          </w:p>
          <w:p>
            <w:pPr>
              <w:pStyle w:val="182"/>
              <w:bidi w:val="0"/>
              <w:rPr>
                <w:color w:val="auto"/>
              </w:rPr>
            </w:pPr>
            <w:r>
              <w:rPr>
                <w:color w:val="auto"/>
              </w:rPr>
              <w:t>在省辖黄河和淮河流域干流沿岸，严格控制石油化工、化学原料和化学制品制造、制浆造纸、医药制造、化学纤维制造、有色金属冶炼、纺织印染等项目环境风险，合理布局生产装置及危险化学品仓储等设施。</w:t>
            </w:r>
          </w:p>
          <w:p>
            <w:pPr>
              <w:pStyle w:val="182"/>
              <w:bidi w:val="0"/>
              <w:rPr>
                <w:color w:val="auto"/>
              </w:rPr>
            </w:pPr>
            <w:r>
              <w:rPr>
                <w:color w:val="auto"/>
              </w:rPr>
              <w:t>城市建成区内现有的钢铁、有色金属、造纸、印染、原料药制造、化工等污染较重的企业，应有序搬迁改造或依法关闭。</w:t>
            </w:r>
          </w:p>
        </w:tc>
        <w:tc>
          <w:tcPr>
            <w:tcW w:w="2041" w:type="dxa"/>
            <w:tcBorders>
              <w:tl2br w:val="nil"/>
              <w:tr2bl w:val="nil"/>
            </w:tcBorders>
            <w:vAlign w:val="center"/>
          </w:tcPr>
          <w:p>
            <w:pPr>
              <w:pStyle w:val="182"/>
              <w:bidi w:val="0"/>
              <w:rPr>
                <w:color w:val="auto"/>
              </w:rPr>
            </w:pPr>
            <w:r>
              <w:rPr>
                <w:color w:val="auto"/>
              </w:rPr>
              <w:t>本项目</w:t>
            </w:r>
            <w:r>
              <w:rPr>
                <w:rFonts w:hint="eastAsia"/>
                <w:color w:val="auto"/>
              </w:rPr>
              <w:t>为产业化研发中试项目，</w:t>
            </w:r>
            <w:r>
              <w:rPr>
                <w:rFonts w:hint="eastAsia"/>
                <w:color w:val="auto"/>
                <w:lang w:val="en-US" w:eastAsia="zh-CN"/>
              </w:rPr>
              <w:t>属于扩建项目，</w:t>
            </w:r>
            <w:r>
              <w:rPr>
                <w:rFonts w:hint="eastAsia"/>
                <w:color w:val="auto"/>
              </w:rPr>
              <w:t>不属于</w:t>
            </w:r>
            <w:r>
              <w:rPr>
                <w:color w:val="auto"/>
              </w:rPr>
              <w:t>单纯新建和单纯扩大产能的项目</w:t>
            </w:r>
            <w:r>
              <w:rPr>
                <w:rFonts w:hint="eastAsia"/>
                <w:color w:val="auto"/>
              </w:rPr>
              <w:t>；本项目不在省辖黄河和淮河流域干流沿岸；本项目不属于城市建成区。</w:t>
            </w:r>
          </w:p>
        </w:tc>
        <w:tc>
          <w:tcPr>
            <w:tcW w:w="590" w:type="dxa"/>
            <w:tcBorders>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vMerge w:val="continue"/>
            <w:tcBorders>
              <w:tl2br w:val="nil"/>
              <w:tr2bl w:val="nil"/>
            </w:tcBorders>
            <w:vAlign w:val="center"/>
          </w:tcPr>
          <w:p>
            <w:pPr>
              <w:pStyle w:val="182"/>
              <w:bidi w:val="0"/>
              <w:rPr>
                <w:color w:val="auto"/>
              </w:rPr>
            </w:pPr>
          </w:p>
        </w:tc>
        <w:tc>
          <w:tcPr>
            <w:tcW w:w="582" w:type="dxa"/>
            <w:tcBorders>
              <w:tl2br w:val="nil"/>
              <w:tr2bl w:val="nil"/>
            </w:tcBorders>
            <w:vAlign w:val="center"/>
          </w:tcPr>
          <w:p>
            <w:pPr>
              <w:pStyle w:val="182"/>
              <w:bidi w:val="0"/>
              <w:rPr>
                <w:color w:val="auto"/>
              </w:rPr>
            </w:pPr>
            <w:r>
              <w:rPr>
                <w:color w:val="auto"/>
              </w:rPr>
              <w:t>污染物排放管控</w:t>
            </w:r>
          </w:p>
        </w:tc>
        <w:tc>
          <w:tcPr>
            <w:tcW w:w="4619" w:type="dxa"/>
            <w:tcBorders>
              <w:tl2br w:val="nil"/>
              <w:tr2bl w:val="nil"/>
            </w:tcBorders>
            <w:vAlign w:val="center"/>
          </w:tcPr>
          <w:p>
            <w:pPr>
              <w:pStyle w:val="182"/>
              <w:bidi w:val="0"/>
              <w:rPr>
                <w:color w:val="auto"/>
              </w:rPr>
            </w:pPr>
            <w:r>
              <w:rPr>
                <w:color w:val="auto"/>
              </w:rPr>
              <w:t>新改扩建造纸、焦化、氮肥、农副食品加工、毛皮制革、印染、有色金属、原料药制造、电镀等重点水污染物排放行业建设项目实行主要污染物排放等量或减量置换。</w:t>
            </w:r>
          </w:p>
          <w:p>
            <w:pPr>
              <w:pStyle w:val="182"/>
              <w:bidi w:val="0"/>
              <w:rPr>
                <w:color w:val="auto"/>
              </w:rPr>
            </w:pPr>
            <w:r>
              <w:rPr>
                <w:color w:val="auto"/>
              </w:rPr>
              <w:t>鼓励钢铁、纺织印染、造纸、石油石化、化工、制革等高耗水企业废水深度处理回用。</w:t>
            </w:r>
          </w:p>
        </w:tc>
        <w:tc>
          <w:tcPr>
            <w:tcW w:w="2041" w:type="dxa"/>
            <w:tcBorders>
              <w:tl2br w:val="nil"/>
              <w:tr2bl w:val="nil"/>
            </w:tcBorders>
            <w:vAlign w:val="center"/>
          </w:tcPr>
          <w:p>
            <w:pPr>
              <w:pStyle w:val="182"/>
              <w:bidi w:val="0"/>
              <w:rPr>
                <w:color w:val="auto"/>
              </w:rPr>
            </w:pPr>
            <w:r>
              <w:rPr>
                <w:rFonts w:hint="eastAsia"/>
                <w:color w:val="auto"/>
              </w:rPr>
              <w:t>1.本项目不属于</w:t>
            </w:r>
            <w:r>
              <w:rPr>
                <w:color w:val="auto"/>
              </w:rPr>
              <w:t>重点水污染物排放行业</w:t>
            </w:r>
            <w:r>
              <w:rPr>
                <w:rFonts w:hint="eastAsia"/>
                <w:color w:val="auto"/>
              </w:rPr>
              <w:t>；2.本项目部分废水</w:t>
            </w:r>
            <w:r>
              <w:rPr>
                <w:color w:val="auto"/>
              </w:rPr>
              <w:t>深度处理回用</w:t>
            </w:r>
            <w:r>
              <w:rPr>
                <w:rFonts w:hint="eastAsia"/>
                <w:color w:val="auto"/>
              </w:rPr>
              <w:t>。</w:t>
            </w:r>
          </w:p>
        </w:tc>
        <w:tc>
          <w:tcPr>
            <w:tcW w:w="590" w:type="dxa"/>
            <w:tcBorders>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vMerge w:val="continue"/>
            <w:tcBorders>
              <w:tl2br w:val="nil"/>
              <w:tr2bl w:val="nil"/>
            </w:tcBorders>
            <w:vAlign w:val="center"/>
          </w:tcPr>
          <w:p>
            <w:pPr>
              <w:pStyle w:val="182"/>
              <w:bidi w:val="0"/>
              <w:rPr>
                <w:color w:val="auto"/>
              </w:rPr>
            </w:pPr>
          </w:p>
        </w:tc>
        <w:tc>
          <w:tcPr>
            <w:tcW w:w="582" w:type="dxa"/>
            <w:tcBorders>
              <w:tl2br w:val="nil"/>
              <w:tr2bl w:val="nil"/>
            </w:tcBorders>
            <w:vAlign w:val="center"/>
          </w:tcPr>
          <w:p>
            <w:pPr>
              <w:pStyle w:val="182"/>
              <w:bidi w:val="0"/>
              <w:rPr>
                <w:color w:val="auto"/>
              </w:rPr>
            </w:pPr>
            <w:r>
              <w:rPr>
                <w:color w:val="auto"/>
              </w:rPr>
              <w:t>环境风险防控</w:t>
            </w:r>
          </w:p>
        </w:tc>
        <w:tc>
          <w:tcPr>
            <w:tcW w:w="4619" w:type="dxa"/>
            <w:tcBorders>
              <w:tl2br w:val="nil"/>
              <w:tr2bl w:val="nil"/>
            </w:tcBorders>
            <w:vAlign w:val="center"/>
          </w:tcPr>
          <w:p>
            <w:pPr>
              <w:pStyle w:val="182"/>
              <w:bidi w:val="0"/>
              <w:rPr>
                <w:color w:val="auto"/>
              </w:rPr>
            </w:pPr>
            <w:r>
              <w:rPr>
                <w:color w:val="auto"/>
              </w:rPr>
              <w:t>严格限制并逐步淘汰、替代高风险化学品生产、使用（涉及高风险化学品生产、使用的行业包括石油加工、炼焦、化学原料及化学制品制造、医药制造、有色金属冶炼及压延加工、毛皮皮革、有色金属矿采选、铅蓄电池制造等）。</w:t>
            </w:r>
          </w:p>
        </w:tc>
        <w:tc>
          <w:tcPr>
            <w:tcW w:w="2041" w:type="dxa"/>
            <w:tcBorders>
              <w:tl2br w:val="nil"/>
              <w:tr2bl w:val="nil"/>
            </w:tcBorders>
            <w:vAlign w:val="center"/>
          </w:tcPr>
          <w:p>
            <w:pPr>
              <w:pStyle w:val="182"/>
              <w:bidi w:val="0"/>
              <w:rPr>
                <w:color w:val="auto"/>
              </w:rPr>
            </w:pPr>
            <w:r>
              <w:rPr>
                <w:rFonts w:hint="eastAsia"/>
                <w:color w:val="auto"/>
              </w:rPr>
              <w:t>本项目不属于高风险化学品生产、使用单位。项目风险源在采取相应的风险防范措施及应急预案后，环境风险可防控。</w:t>
            </w:r>
          </w:p>
        </w:tc>
        <w:tc>
          <w:tcPr>
            <w:tcW w:w="590" w:type="dxa"/>
            <w:tcBorders>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tcBorders>
              <w:tl2br w:val="nil"/>
              <w:tr2bl w:val="nil"/>
            </w:tcBorders>
            <w:vAlign w:val="center"/>
          </w:tcPr>
          <w:p>
            <w:pPr>
              <w:pStyle w:val="182"/>
              <w:bidi w:val="0"/>
              <w:rPr>
                <w:color w:val="auto"/>
              </w:rPr>
            </w:pPr>
            <w:r>
              <w:rPr>
                <w:color w:val="auto"/>
              </w:rPr>
              <w:t>河南省土壤生态环境总体准入要求</w:t>
            </w:r>
          </w:p>
        </w:tc>
        <w:tc>
          <w:tcPr>
            <w:tcW w:w="582" w:type="dxa"/>
            <w:tcBorders>
              <w:tl2br w:val="nil"/>
              <w:tr2bl w:val="nil"/>
            </w:tcBorders>
            <w:vAlign w:val="center"/>
          </w:tcPr>
          <w:p>
            <w:pPr>
              <w:pStyle w:val="182"/>
              <w:bidi w:val="0"/>
              <w:rPr>
                <w:color w:val="auto"/>
              </w:rPr>
            </w:pPr>
            <w:r>
              <w:rPr>
                <w:color w:val="auto"/>
              </w:rPr>
              <w:t>建设用地</w:t>
            </w:r>
          </w:p>
        </w:tc>
        <w:tc>
          <w:tcPr>
            <w:tcW w:w="4619" w:type="dxa"/>
            <w:tcBorders>
              <w:tl2br w:val="nil"/>
              <w:tr2bl w:val="nil"/>
            </w:tcBorders>
            <w:vAlign w:val="center"/>
          </w:tcPr>
          <w:p>
            <w:pPr>
              <w:pStyle w:val="182"/>
              <w:bidi w:val="0"/>
              <w:rPr>
                <w:color w:val="auto"/>
              </w:rPr>
            </w:pPr>
            <w:r>
              <w:rPr>
                <w:color w:val="auto"/>
              </w:rPr>
              <w:t>严控新增重金属污染物排放量，在重有色金属矿（含伴生矿）采选业（铜、铅锌、镍钴、锡、锑和汞矿采选业等）、重有色金属冶炼业（铜、铅锌、镍钴、锡、锑和汞冶炼等）、铅蓄电池制造业、皮革及其制品业（皮革鞣制加工等）、化学原料及化学制品制造业（电石法聚氯乙烯行业、铬盐行业等）、电镀行业等重点行业实施重点重金属减量替代。</w:t>
            </w:r>
          </w:p>
        </w:tc>
        <w:tc>
          <w:tcPr>
            <w:tcW w:w="2041" w:type="dxa"/>
            <w:tcBorders>
              <w:tl2br w:val="nil"/>
              <w:tr2bl w:val="nil"/>
            </w:tcBorders>
            <w:vAlign w:val="center"/>
          </w:tcPr>
          <w:p>
            <w:pPr>
              <w:pStyle w:val="182"/>
              <w:bidi w:val="0"/>
              <w:rPr>
                <w:color w:val="auto"/>
              </w:rPr>
            </w:pPr>
            <w:r>
              <w:rPr>
                <w:rFonts w:hint="eastAsia"/>
                <w:color w:val="auto"/>
              </w:rPr>
              <w:t>本项目废水不含重金属，不涉及重金属总量指标。</w:t>
            </w:r>
          </w:p>
        </w:tc>
        <w:tc>
          <w:tcPr>
            <w:tcW w:w="590" w:type="dxa"/>
            <w:tcBorders>
              <w:tl2br w:val="nil"/>
              <w:tr2bl w:val="nil"/>
            </w:tcBorders>
            <w:vAlign w:val="center"/>
          </w:tcPr>
          <w:p>
            <w:pPr>
              <w:pStyle w:val="182"/>
              <w:bidi w:val="0"/>
              <w:rPr>
                <w:color w:val="auto"/>
              </w:rPr>
            </w:pPr>
          </w:p>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vMerge w:val="restart"/>
            <w:tcBorders>
              <w:tl2br w:val="nil"/>
              <w:tr2bl w:val="nil"/>
            </w:tcBorders>
            <w:vAlign w:val="center"/>
          </w:tcPr>
          <w:p>
            <w:pPr>
              <w:pStyle w:val="182"/>
              <w:bidi w:val="0"/>
              <w:rPr>
                <w:color w:val="auto"/>
              </w:rPr>
            </w:pPr>
            <w:r>
              <w:rPr>
                <w:color w:val="auto"/>
              </w:rPr>
              <w:t>河南省资源利用效率总体准入要求</w:t>
            </w:r>
          </w:p>
        </w:tc>
        <w:tc>
          <w:tcPr>
            <w:tcW w:w="582" w:type="dxa"/>
            <w:tcBorders>
              <w:tl2br w:val="nil"/>
              <w:tr2bl w:val="nil"/>
            </w:tcBorders>
            <w:vAlign w:val="center"/>
          </w:tcPr>
          <w:p>
            <w:pPr>
              <w:pStyle w:val="182"/>
              <w:bidi w:val="0"/>
              <w:rPr>
                <w:color w:val="auto"/>
              </w:rPr>
            </w:pPr>
            <w:r>
              <w:rPr>
                <w:color w:val="auto"/>
              </w:rPr>
              <w:t>能源</w:t>
            </w:r>
          </w:p>
        </w:tc>
        <w:tc>
          <w:tcPr>
            <w:tcW w:w="4619" w:type="dxa"/>
            <w:tcBorders>
              <w:tl2br w:val="nil"/>
              <w:tr2bl w:val="nil"/>
            </w:tcBorders>
            <w:vAlign w:val="center"/>
          </w:tcPr>
          <w:p>
            <w:pPr>
              <w:pStyle w:val="182"/>
              <w:bidi w:val="0"/>
              <w:rPr>
                <w:color w:val="auto"/>
              </w:rPr>
            </w:pPr>
            <w:r>
              <w:rPr>
                <w:color w:val="auto"/>
              </w:rPr>
              <w:t>控制高硫高灰煤开发和销售，推进煤炭清洁化利用，煤炭入选率提高到80%。</w:t>
            </w:r>
          </w:p>
          <w:p>
            <w:pPr>
              <w:pStyle w:val="182"/>
              <w:bidi w:val="0"/>
              <w:rPr>
                <w:color w:val="auto"/>
              </w:rPr>
            </w:pPr>
            <w:r>
              <w:rPr>
                <w:color w:val="auto"/>
              </w:rPr>
              <w:t>新建高耗煤项目单位产品（产值）能耗要达到国内先进水平；到2025年，通过实施节能降碳行动，钢铁、电解铝、水泥、平板玻璃行业能效达到标杆水平的产能比例超过30%，行业整体能效水平明显提升，碳排放强度明显下降，绿色低碳发展能力显著增强。</w:t>
            </w:r>
          </w:p>
        </w:tc>
        <w:tc>
          <w:tcPr>
            <w:tcW w:w="2041" w:type="dxa"/>
            <w:tcBorders>
              <w:tl2br w:val="nil"/>
              <w:tr2bl w:val="nil"/>
            </w:tcBorders>
            <w:vAlign w:val="center"/>
          </w:tcPr>
          <w:p>
            <w:pPr>
              <w:pStyle w:val="182"/>
              <w:bidi w:val="0"/>
              <w:rPr>
                <w:color w:val="auto"/>
              </w:rPr>
            </w:pPr>
            <w:r>
              <w:rPr>
                <w:rFonts w:hint="eastAsia"/>
                <w:color w:val="auto"/>
              </w:rPr>
              <w:t>本项目不建设锅炉，不涉及燃煤。</w:t>
            </w:r>
          </w:p>
        </w:tc>
        <w:tc>
          <w:tcPr>
            <w:tcW w:w="590" w:type="dxa"/>
            <w:tcBorders>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vMerge w:val="continue"/>
            <w:tcBorders>
              <w:tl2br w:val="nil"/>
              <w:tr2bl w:val="nil"/>
            </w:tcBorders>
            <w:vAlign w:val="center"/>
          </w:tcPr>
          <w:p>
            <w:pPr>
              <w:pStyle w:val="182"/>
              <w:bidi w:val="0"/>
              <w:rPr>
                <w:color w:val="auto"/>
              </w:rPr>
            </w:pPr>
          </w:p>
        </w:tc>
        <w:tc>
          <w:tcPr>
            <w:tcW w:w="582" w:type="dxa"/>
            <w:tcBorders>
              <w:tl2br w:val="nil"/>
              <w:tr2bl w:val="nil"/>
            </w:tcBorders>
            <w:vAlign w:val="center"/>
          </w:tcPr>
          <w:p>
            <w:pPr>
              <w:pStyle w:val="182"/>
              <w:bidi w:val="0"/>
              <w:rPr>
                <w:color w:val="auto"/>
              </w:rPr>
            </w:pPr>
            <w:r>
              <w:rPr>
                <w:rFonts w:hint="eastAsia"/>
                <w:color w:val="auto"/>
              </w:rPr>
              <w:t>水资源</w:t>
            </w:r>
          </w:p>
        </w:tc>
        <w:tc>
          <w:tcPr>
            <w:tcW w:w="4619" w:type="dxa"/>
            <w:tcBorders>
              <w:tl2br w:val="nil"/>
              <w:tr2bl w:val="nil"/>
            </w:tcBorders>
            <w:vAlign w:val="center"/>
          </w:tcPr>
          <w:p>
            <w:pPr>
              <w:pStyle w:val="182"/>
              <w:bidi w:val="0"/>
              <w:rPr>
                <w:color w:val="auto"/>
              </w:rPr>
            </w:pPr>
            <w:r>
              <w:rPr>
                <w:color w:val="auto"/>
              </w:rPr>
              <w:t>在生态脆弱、严重缺水和地下水超采地区，严格控制高耗水新改扩建项目。</w:t>
            </w:r>
          </w:p>
        </w:tc>
        <w:tc>
          <w:tcPr>
            <w:tcW w:w="2041" w:type="dxa"/>
            <w:tcBorders>
              <w:tl2br w:val="nil"/>
              <w:tr2bl w:val="nil"/>
            </w:tcBorders>
            <w:vAlign w:val="center"/>
          </w:tcPr>
          <w:p>
            <w:pPr>
              <w:pStyle w:val="182"/>
              <w:bidi w:val="0"/>
              <w:rPr>
                <w:color w:val="auto"/>
              </w:rPr>
            </w:pPr>
            <w:r>
              <w:rPr>
                <w:rFonts w:hint="eastAsia"/>
                <w:color w:val="auto"/>
              </w:rPr>
              <w:t>本项目选址不属于</w:t>
            </w:r>
            <w:r>
              <w:rPr>
                <w:color w:val="auto"/>
              </w:rPr>
              <w:t>生态脆弱、严重缺水和地下水超采地区</w:t>
            </w:r>
            <w:r>
              <w:rPr>
                <w:rFonts w:hint="eastAsia"/>
                <w:color w:val="auto"/>
              </w:rPr>
              <w:t>。</w:t>
            </w:r>
          </w:p>
        </w:tc>
        <w:tc>
          <w:tcPr>
            <w:tcW w:w="590" w:type="dxa"/>
            <w:tcBorders>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vMerge w:val="continue"/>
            <w:tcBorders>
              <w:tl2br w:val="nil"/>
              <w:tr2bl w:val="nil"/>
            </w:tcBorders>
            <w:vAlign w:val="center"/>
          </w:tcPr>
          <w:p>
            <w:pPr>
              <w:pStyle w:val="182"/>
              <w:bidi w:val="0"/>
              <w:rPr>
                <w:color w:val="auto"/>
              </w:rPr>
            </w:pPr>
          </w:p>
        </w:tc>
        <w:tc>
          <w:tcPr>
            <w:tcW w:w="566" w:type="dxa"/>
            <w:vMerge w:val="continue"/>
            <w:tcBorders>
              <w:tl2br w:val="nil"/>
              <w:tr2bl w:val="nil"/>
            </w:tcBorders>
            <w:vAlign w:val="center"/>
          </w:tcPr>
          <w:p>
            <w:pPr>
              <w:pStyle w:val="182"/>
              <w:bidi w:val="0"/>
              <w:rPr>
                <w:color w:val="auto"/>
              </w:rPr>
            </w:pPr>
          </w:p>
        </w:tc>
        <w:tc>
          <w:tcPr>
            <w:tcW w:w="582" w:type="dxa"/>
            <w:tcBorders>
              <w:tl2br w:val="nil"/>
              <w:tr2bl w:val="nil"/>
            </w:tcBorders>
            <w:vAlign w:val="center"/>
          </w:tcPr>
          <w:p>
            <w:pPr>
              <w:pStyle w:val="182"/>
              <w:bidi w:val="0"/>
              <w:rPr>
                <w:color w:val="auto"/>
              </w:rPr>
            </w:pPr>
            <w:r>
              <w:rPr>
                <w:rFonts w:hint="eastAsia"/>
                <w:color w:val="auto"/>
              </w:rPr>
              <w:t>土地资源</w:t>
            </w:r>
          </w:p>
        </w:tc>
        <w:tc>
          <w:tcPr>
            <w:tcW w:w="4619" w:type="dxa"/>
            <w:tcBorders>
              <w:tl2br w:val="nil"/>
              <w:tr2bl w:val="nil"/>
            </w:tcBorders>
            <w:vAlign w:val="center"/>
          </w:tcPr>
          <w:p>
            <w:pPr>
              <w:pStyle w:val="182"/>
              <w:bidi w:val="0"/>
              <w:rPr>
                <w:color w:val="auto"/>
              </w:rPr>
            </w:pPr>
            <w:r>
              <w:rPr>
                <w:color w:val="auto"/>
              </w:rPr>
              <w:t>禁止在国土空间规划确定的禁止开垦的范围内从事土地开发活动。</w:t>
            </w:r>
          </w:p>
        </w:tc>
        <w:tc>
          <w:tcPr>
            <w:tcW w:w="2041" w:type="dxa"/>
            <w:tcBorders>
              <w:tl2br w:val="nil"/>
              <w:tr2bl w:val="nil"/>
            </w:tcBorders>
            <w:vAlign w:val="center"/>
          </w:tcPr>
          <w:p>
            <w:pPr>
              <w:pStyle w:val="182"/>
              <w:bidi w:val="0"/>
              <w:rPr>
                <w:color w:val="auto"/>
              </w:rPr>
            </w:pPr>
            <w:r>
              <w:rPr>
                <w:color w:val="auto"/>
              </w:rPr>
              <w:t>本项目位于</w:t>
            </w:r>
            <w:r>
              <w:rPr>
                <w:rFonts w:hint="eastAsia"/>
                <w:color w:val="auto"/>
              </w:rPr>
              <w:t>新乡经济技术开发区</w:t>
            </w:r>
            <w:r>
              <w:rPr>
                <w:color w:val="auto"/>
              </w:rPr>
              <w:t>，</w:t>
            </w:r>
            <w:r>
              <w:rPr>
                <w:rFonts w:hint="eastAsia"/>
                <w:color w:val="auto"/>
              </w:rPr>
              <w:t>选址属于工业用地，不属于禁止开垦地区。</w:t>
            </w:r>
          </w:p>
        </w:tc>
        <w:tc>
          <w:tcPr>
            <w:tcW w:w="590" w:type="dxa"/>
            <w:tcBorders>
              <w:tl2br w:val="nil"/>
              <w:tr2bl w:val="nil"/>
            </w:tcBorders>
            <w:vAlign w:val="center"/>
          </w:tcPr>
          <w:p>
            <w:pPr>
              <w:pStyle w:val="182"/>
              <w:bidi w:val="0"/>
              <w:rPr>
                <w:color w:val="auto"/>
              </w:rPr>
            </w:pPr>
            <w:r>
              <w:rPr>
                <w:color w:val="auto"/>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1" w:type="dxa"/>
            <w:tcBorders>
              <w:tl2br w:val="nil"/>
              <w:tr2bl w:val="nil"/>
            </w:tcBorders>
            <w:vAlign w:val="center"/>
          </w:tcPr>
          <w:p>
            <w:pPr>
              <w:pStyle w:val="182"/>
              <w:bidi w:val="0"/>
              <w:rPr>
                <w:color w:val="auto"/>
              </w:rPr>
            </w:pPr>
            <w:r>
              <w:rPr>
                <w:color w:val="auto"/>
              </w:rPr>
              <w:t>重点区域大气生态环境管控要求</w:t>
            </w:r>
          </w:p>
        </w:tc>
        <w:tc>
          <w:tcPr>
            <w:tcW w:w="566" w:type="dxa"/>
            <w:tcBorders>
              <w:tl2br w:val="nil"/>
              <w:tr2bl w:val="nil"/>
            </w:tcBorders>
            <w:vAlign w:val="center"/>
          </w:tcPr>
          <w:p>
            <w:pPr>
              <w:pStyle w:val="182"/>
              <w:bidi w:val="0"/>
              <w:rPr>
                <w:color w:val="auto"/>
              </w:rPr>
            </w:pPr>
            <w:r>
              <w:rPr>
                <w:rFonts w:hint="eastAsia"/>
                <w:color w:val="auto"/>
              </w:rPr>
              <w:t>/</w:t>
            </w:r>
          </w:p>
        </w:tc>
        <w:tc>
          <w:tcPr>
            <w:tcW w:w="582" w:type="dxa"/>
            <w:tcBorders>
              <w:tl2br w:val="nil"/>
              <w:tr2bl w:val="nil"/>
            </w:tcBorders>
            <w:vAlign w:val="center"/>
          </w:tcPr>
          <w:p>
            <w:pPr>
              <w:pStyle w:val="182"/>
              <w:bidi w:val="0"/>
              <w:rPr>
                <w:color w:val="auto"/>
              </w:rPr>
            </w:pPr>
            <w:r>
              <w:rPr>
                <w:rFonts w:hint="eastAsia"/>
                <w:color w:val="auto"/>
              </w:rPr>
              <w:t>“2+26”城市地区</w:t>
            </w:r>
          </w:p>
        </w:tc>
        <w:tc>
          <w:tcPr>
            <w:tcW w:w="4619" w:type="dxa"/>
            <w:tcBorders>
              <w:tl2br w:val="nil"/>
              <w:tr2bl w:val="nil"/>
            </w:tcBorders>
            <w:vAlign w:val="center"/>
          </w:tcPr>
          <w:p>
            <w:pPr>
              <w:pStyle w:val="182"/>
              <w:bidi w:val="0"/>
              <w:rPr>
                <w:color w:val="auto"/>
              </w:rPr>
            </w:pPr>
            <w:r>
              <w:rPr>
                <w:color w:val="auto"/>
              </w:rPr>
              <w:t>关停退出治理设施工艺落后、热效率低下、规模小、无组织排放突出的工业炉窑；清理整顿燃煤锅炉。</w:t>
            </w:r>
          </w:p>
          <w:p>
            <w:pPr>
              <w:pStyle w:val="182"/>
              <w:bidi w:val="0"/>
              <w:rPr>
                <w:color w:val="auto"/>
              </w:rPr>
            </w:pPr>
            <w:r>
              <w:rPr>
                <w:color w:val="auto"/>
              </w:rPr>
              <w:t>禁燃区内禁止销售、燃用高污染燃料；禁止新改扩建燃用高污染燃料的设施，已建成的应当限期整改，采用清洁能源替代。</w:t>
            </w:r>
          </w:p>
          <w:p>
            <w:pPr>
              <w:pStyle w:val="182"/>
              <w:bidi w:val="0"/>
              <w:rPr>
                <w:color w:val="auto"/>
              </w:rPr>
            </w:pPr>
            <w:r>
              <w:rPr>
                <w:color w:val="auto"/>
              </w:rPr>
              <w:t>强化电力、煤炭、钢铁、化工、有色、建材等重点行业煤炭消费减量措施，淘汰落后产能；全面落实超低排放要求、无组织排放特别控制要求。</w:t>
            </w:r>
          </w:p>
          <w:p>
            <w:pPr>
              <w:pStyle w:val="182"/>
              <w:bidi w:val="0"/>
              <w:rPr>
                <w:color w:val="auto"/>
              </w:rPr>
            </w:pPr>
            <w:r>
              <w:rPr>
                <w:color w:val="auto"/>
              </w:rPr>
              <w:t>严格执行火电、钢铁、石化、化工、有色、水泥行业以及工业锅炉等重点行业二氧化硫、氮氧化物、颗粒物、VOCs 大气污染物特别排放限值，推进重点行业污染治理设施升级改造，强化施工扬尘污染治理。</w:t>
            </w:r>
          </w:p>
          <w:p>
            <w:pPr>
              <w:pStyle w:val="182"/>
              <w:bidi w:val="0"/>
              <w:rPr>
                <w:color w:val="auto"/>
              </w:rPr>
            </w:pPr>
            <w:r>
              <w:rPr>
                <w:color w:val="auto"/>
              </w:rPr>
              <w:t>推进燃气锅炉低氮改造，执行河南省《锅炉大气污染物排放标准》（DB41/2089-2021）；基本取缔燃煤热风炉，基本淘汰热电联产供热管网覆盖范围内的燃煤加热、烘干炉（窑）；淘汰炉膛直径3米以下燃料类煤气发生炉；集中使用煤气发生炉的工业园区，暂不具备改用天然气条件的，原则上应建设统一的清洁煤制气中心；禁止掺烧高硫石油焦。</w:t>
            </w:r>
          </w:p>
          <w:p>
            <w:pPr>
              <w:pStyle w:val="182"/>
              <w:bidi w:val="0"/>
              <w:rPr>
                <w:color w:val="auto"/>
              </w:rPr>
            </w:pPr>
            <w:r>
              <w:rPr>
                <w:color w:val="auto"/>
              </w:rPr>
              <w:t>控制煤炭消费总量。对标钢铁、水泥行业超低排放要求；落实VOCs无组织排放特别控制要求，实现VOCs集中高效处置；加快淘汰国三及以下重型柴油货车。</w:t>
            </w:r>
          </w:p>
        </w:tc>
        <w:tc>
          <w:tcPr>
            <w:tcW w:w="2041" w:type="dxa"/>
            <w:tcBorders>
              <w:tl2br w:val="nil"/>
              <w:tr2bl w:val="nil"/>
            </w:tcBorders>
            <w:vAlign w:val="center"/>
          </w:tcPr>
          <w:p>
            <w:pPr>
              <w:pStyle w:val="182"/>
              <w:bidi w:val="0"/>
              <w:rPr>
                <w:color w:val="auto"/>
              </w:rPr>
            </w:pPr>
            <w:r>
              <w:rPr>
                <w:rFonts w:hint="eastAsia"/>
                <w:color w:val="auto"/>
              </w:rPr>
              <w:t>本项目不建设锅炉、炉窑；本项目不涉及禁用燃料，采用清洁能源；本项目不涉及</w:t>
            </w:r>
            <w:r>
              <w:rPr>
                <w:color w:val="auto"/>
              </w:rPr>
              <w:t>电力、煤炭、钢铁、化工、有色、建材等重点行业，</w:t>
            </w:r>
            <w:r>
              <w:rPr>
                <w:rFonts w:hint="eastAsia"/>
                <w:color w:val="auto"/>
              </w:rPr>
              <w:t>不涉及</w:t>
            </w:r>
            <w:r>
              <w:rPr>
                <w:color w:val="auto"/>
              </w:rPr>
              <w:t>淘汰落后产能；</w:t>
            </w:r>
          </w:p>
          <w:p>
            <w:pPr>
              <w:pStyle w:val="182"/>
              <w:bidi w:val="0"/>
              <w:rPr>
                <w:color w:val="auto"/>
              </w:rPr>
            </w:pPr>
            <w:r>
              <w:rPr>
                <w:rFonts w:hint="eastAsia"/>
                <w:color w:val="auto"/>
              </w:rPr>
              <w:t>本项目不属于</w:t>
            </w:r>
            <w:r>
              <w:rPr>
                <w:color w:val="auto"/>
              </w:rPr>
              <w:t>火电、钢铁、石化、化工、有色、水泥行业</w:t>
            </w:r>
            <w:r>
              <w:rPr>
                <w:rFonts w:hint="eastAsia"/>
                <w:color w:val="auto"/>
              </w:rPr>
              <w:t>；</w:t>
            </w:r>
          </w:p>
          <w:p>
            <w:pPr>
              <w:pStyle w:val="182"/>
              <w:bidi w:val="0"/>
              <w:rPr>
                <w:color w:val="auto"/>
              </w:rPr>
            </w:pPr>
            <w:r>
              <w:rPr>
                <w:rFonts w:hint="eastAsia"/>
                <w:color w:val="auto"/>
              </w:rPr>
              <w:t>本本项目不涉及VOCs排放。</w:t>
            </w:r>
          </w:p>
        </w:tc>
        <w:tc>
          <w:tcPr>
            <w:tcW w:w="590" w:type="dxa"/>
            <w:tcBorders>
              <w:tl2br w:val="nil"/>
              <w:tr2bl w:val="nil"/>
            </w:tcBorders>
            <w:vAlign w:val="center"/>
          </w:tcPr>
          <w:p>
            <w:pPr>
              <w:pStyle w:val="182"/>
              <w:bidi w:val="0"/>
              <w:rPr>
                <w:color w:val="auto"/>
              </w:rPr>
            </w:pPr>
            <w:r>
              <w:rPr>
                <w:color w:val="auto"/>
              </w:rPr>
              <w:t>相符</w:t>
            </w:r>
          </w:p>
        </w:tc>
      </w:tr>
    </w:tbl>
    <w:p>
      <w:pPr>
        <w:bidi w:val="0"/>
        <w:rPr>
          <w:color w:val="auto"/>
        </w:rPr>
      </w:pPr>
    </w:p>
    <w:p>
      <w:pPr>
        <w:pStyle w:val="9"/>
        <w:bidi w:val="0"/>
        <w:rPr>
          <w:color w:val="auto"/>
          <w:lang w:val="en-US" w:eastAsia="zh-CN"/>
        </w:rPr>
      </w:pPr>
      <w:r>
        <w:rPr>
          <w:color w:val="auto"/>
        </w:rPr>
        <w:t>2.11.</w:t>
      </w:r>
      <w:r>
        <w:rPr>
          <w:rFonts w:hint="eastAsia"/>
          <w:color w:val="auto"/>
          <w:lang w:val="en-US" w:eastAsia="zh-CN"/>
        </w:rPr>
        <w:t>3与《河南省生态环境准入清单－</w:t>
      </w:r>
      <w:r>
        <w:rPr>
          <w:color w:val="auto"/>
          <w:lang w:val="en-US" w:eastAsia="zh-CN"/>
        </w:rPr>
        <w:t>新乡工业产业集聚区</w:t>
      </w:r>
      <w:r>
        <w:rPr>
          <w:rFonts w:hint="eastAsia"/>
          <w:color w:val="auto"/>
          <w:lang w:val="en-US" w:eastAsia="zh-CN"/>
        </w:rPr>
        <w:t>环境管控单元生态环境准入清单》相符性分析</w:t>
      </w:r>
    </w:p>
    <w:p>
      <w:pPr>
        <w:bidi w:val="0"/>
        <w:rPr>
          <w:color w:val="auto"/>
        </w:rPr>
      </w:pPr>
      <w:r>
        <w:rPr>
          <w:rFonts w:hint="eastAsia"/>
          <w:color w:val="auto"/>
        </w:rPr>
        <w:t>本项目选址位于新乡市新乡经济技术开发区新长大道南侧，根据《新乡市环境管控单元图》，本项目属于重点管控单元，详</w:t>
      </w:r>
      <w:r>
        <w:rPr>
          <w:color w:val="auto"/>
        </w:rPr>
        <w:t>见下图</w:t>
      </w:r>
      <w:r>
        <w:rPr>
          <w:rFonts w:hint="eastAsia"/>
          <w:color w:val="auto"/>
        </w:rPr>
        <w:t>：</w:t>
      </w:r>
    </w:p>
    <w:p>
      <w:pPr>
        <w:bidi w:val="0"/>
        <w:ind w:left="0" w:leftChars="0" w:firstLine="0" w:firstLineChars="0"/>
        <w:jc w:val="center"/>
        <w:rPr>
          <w:color w:val="auto"/>
          <w:kern w:val="0"/>
          <w:sz w:val="24"/>
          <w:szCs w:val="20"/>
        </w:rPr>
      </w:pPr>
      <w:r>
        <w:rPr>
          <w:color w:val="auto"/>
          <w:kern w:val="0"/>
          <w:sz w:val="24"/>
          <w:szCs w:val="20"/>
        </w:rPr>
        <w:pict>
          <v:shape id="_x0000_s2301" o:spid="_x0000_s2301" o:spt="3" type="#_x0000_t3" style="position:absolute;left:0pt;margin-left:190.15pt;margin-top:175.25pt;height:1.4pt;width:1.4pt;z-index:251677696;mso-width-relative:page;mso-height-relative:page;" fillcolor="#0066FF" filled="t" stroked="t" coordsize="21600,21600">
            <v:path/>
            <v:fill on="t" focussize="0,0"/>
            <v:stroke weight="3pt" color="#0066FF"/>
            <v:imagedata o:title=""/>
            <o:lock v:ext="edit"/>
            <v:shadow on="t" type="perspective" color="#7F7F7F" opacity="32768f" offset="1pt,2pt" offset2="-1pt,-2pt"/>
          </v:shape>
        </w:pict>
      </w:r>
      <w:r>
        <w:rPr>
          <w:color w:val="auto"/>
          <w:kern w:val="0"/>
          <w:sz w:val="24"/>
          <w:szCs w:val="20"/>
        </w:rPr>
        <w:pict>
          <v:shape id="_x0000_s2300" o:spid="_x0000_s2300" o:spt="62" type="#_x0000_t62" style="position:absolute;left:0pt;margin-left:217.05pt;margin-top:156.35pt;height:20.5pt;width:62.4pt;z-index:251725824;mso-width-relative:page;mso-height-relative:page;" stroked="t" coordsize="21600,21600" adj="-7321,19282">
            <v:path/>
            <v:fill focussize="0,0"/>
            <v:stroke weight="1pt" color="#FF0000" joinstyle="miter"/>
            <v:imagedata o:title=""/>
            <o:lock v:ext="edit"/>
            <v:textbox>
              <w:txbxContent>
                <w:p>
                  <w:pPr>
                    <w:pStyle w:val="94"/>
                    <w:keepNext w:val="0"/>
                    <w:keepLines w:val="0"/>
                    <w:pageBreakBefore w:val="0"/>
                    <w:widowControl w:val="0"/>
                    <w:kinsoku/>
                    <w:wordWrap/>
                    <w:overflowPunct/>
                    <w:topLinePunct w:val="0"/>
                    <w:autoSpaceDE/>
                    <w:autoSpaceDN/>
                    <w:bidi w:val="0"/>
                    <w:adjustRightInd/>
                    <w:snapToGrid/>
                    <w:spacing w:before="0" w:beforeLines="0"/>
                    <w:ind w:firstLine="0" w:firstLineChars="0"/>
                    <w:textAlignment w:val="auto"/>
                  </w:pPr>
                  <w:r>
                    <w:rPr>
                      <w:rFonts w:hint="eastAsia"/>
                    </w:rPr>
                    <w:t>项目位置</w:t>
                  </w:r>
                </w:p>
              </w:txbxContent>
            </v:textbox>
          </v:shape>
        </w:pict>
      </w:r>
      <w:r>
        <w:rPr>
          <w:color w:val="auto"/>
        </w:rPr>
        <w:drawing>
          <wp:inline distT="0" distB="0" distL="114300" distR="114300">
            <wp:extent cx="5273040" cy="3733800"/>
            <wp:effectExtent l="0" t="0" r="0" b="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33"/>
                    <a:stretch>
                      <a:fillRect/>
                    </a:stretch>
                  </pic:blipFill>
                  <pic:spPr>
                    <a:xfrm>
                      <a:off x="0" y="0"/>
                      <a:ext cx="5273040" cy="3733800"/>
                    </a:xfrm>
                    <a:prstGeom prst="rect">
                      <a:avLst/>
                    </a:prstGeom>
                    <a:noFill/>
                    <a:ln>
                      <a:noFill/>
                    </a:ln>
                  </pic:spPr>
                </pic:pic>
              </a:graphicData>
            </a:graphic>
          </wp:inline>
        </w:drawing>
      </w:r>
    </w:p>
    <w:p>
      <w:pPr>
        <w:pStyle w:val="181"/>
        <w:bidi w:val="0"/>
        <w:ind w:left="0" w:leftChars="0" w:firstLine="0" w:firstLineChars="0"/>
        <w:jc w:val="center"/>
        <w:rPr>
          <w:color w:val="auto"/>
        </w:rPr>
      </w:pPr>
      <w:r>
        <w:rPr>
          <w:rFonts w:hint="eastAsia"/>
          <w:color w:val="auto"/>
        </w:rPr>
        <w:t>图2</w:t>
      </w:r>
      <w:r>
        <w:rPr>
          <w:rFonts w:hint="eastAsia"/>
          <w:color w:val="auto"/>
          <w:lang w:val="en-US" w:eastAsia="zh-CN"/>
        </w:rPr>
        <w:t>.11</w:t>
      </w:r>
      <w:r>
        <w:rPr>
          <w:rFonts w:hint="eastAsia"/>
          <w:color w:val="auto"/>
        </w:rPr>
        <w:t>-</w:t>
      </w:r>
      <w:r>
        <w:rPr>
          <w:rFonts w:hint="eastAsia"/>
          <w:color w:val="auto"/>
          <w:lang w:val="en-US" w:eastAsia="zh-CN"/>
        </w:rPr>
        <w:t>1</w:t>
      </w:r>
      <w:r>
        <w:rPr>
          <w:rFonts w:hint="eastAsia"/>
          <w:color w:val="auto"/>
        </w:rPr>
        <w:t xml:space="preserve">  新乡市环境管控单元图</w:t>
      </w:r>
    </w:p>
    <w:p>
      <w:pPr>
        <w:bidi w:val="0"/>
        <w:rPr>
          <w:color w:val="auto"/>
          <w:kern w:val="0"/>
          <w:szCs w:val="20"/>
          <w:highlight w:val="yellow"/>
        </w:rPr>
      </w:pPr>
      <w:r>
        <w:rPr>
          <w:rFonts w:hint="eastAsia"/>
          <w:color w:val="auto"/>
        </w:rPr>
        <w:t>根据上图</w:t>
      </w:r>
      <w:r>
        <w:rPr>
          <w:color w:val="auto"/>
        </w:rPr>
        <w:t>，本项目属于重点管控单元</w:t>
      </w:r>
      <w:r>
        <w:rPr>
          <w:rFonts w:hint="eastAsia"/>
          <w:color w:val="auto"/>
        </w:rPr>
        <w:t>，因此，本项目与《河南省生态环境准入清单</w:t>
      </w:r>
      <w:r>
        <w:rPr>
          <w:rFonts w:hint="eastAsia"/>
          <w:color w:val="auto"/>
          <w:lang w:eastAsia="zh-CN"/>
        </w:rPr>
        <w:t>－</w:t>
      </w:r>
      <w:r>
        <w:rPr>
          <w:color w:val="auto"/>
        </w:rPr>
        <w:t>新乡工业产业集聚区</w:t>
      </w:r>
      <w:r>
        <w:rPr>
          <w:rFonts w:hint="eastAsia"/>
          <w:color w:val="auto"/>
        </w:rPr>
        <w:t>环境管控单元生态环境准入清单》（以下简称《清单》）中</w:t>
      </w:r>
      <w:r>
        <w:rPr>
          <w:color w:val="auto"/>
        </w:rPr>
        <w:t>重点管控单元</w:t>
      </w:r>
      <w:r>
        <w:rPr>
          <w:rFonts w:hint="eastAsia"/>
          <w:color w:val="auto"/>
        </w:rPr>
        <w:t>的内容对比一致性分析见下表。</w:t>
      </w:r>
    </w:p>
    <w:p>
      <w:pPr>
        <w:adjustRightInd w:val="0"/>
        <w:snapToGrid w:val="0"/>
        <w:spacing w:line="520" w:lineRule="exact"/>
        <w:ind w:firstLine="480" w:firstLineChars="200"/>
        <w:textAlignment w:val="baseline"/>
        <w:rPr>
          <w:color w:val="auto"/>
          <w:kern w:val="0"/>
          <w:sz w:val="24"/>
          <w:szCs w:val="20"/>
        </w:rPr>
        <w:sectPr>
          <w:headerReference r:id="rId12" w:type="first"/>
          <w:footerReference r:id="rId15" w:type="first"/>
          <w:headerReference r:id="rId10" w:type="default"/>
          <w:footerReference r:id="rId13" w:type="default"/>
          <w:headerReference r:id="rId11" w:type="even"/>
          <w:footerReference r:id="rId14" w:type="even"/>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181"/>
        <w:bidi w:val="0"/>
        <w:rPr>
          <w:color w:val="auto"/>
          <w:lang w:val="pt-BR"/>
        </w:rPr>
      </w:pPr>
      <w:r>
        <w:rPr>
          <w:color w:val="auto"/>
          <w:lang w:val="pt-BR"/>
        </w:rPr>
        <w:t>表</w:t>
      </w:r>
      <w:r>
        <w:rPr>
          <w:rFonts w:hint="eastAsia"/>
          <w:color w:val="auto"/>
          <w:lang w:val="pt-BR"/>
        </w:rPr>
        <w:t>2</w:t>
      </w:r>
      <w:r>
        <w:rPr>
          <w:rFonts w:hint="eastAsia"/>
          <w:color w:val="auto"/>
          <w:lang w:val="en-US" w:eastAsia="zh-CN"/>
        </w:rPr>
        <w:t>.11</w:t>
      </w:r>
      <w:r>
        <w:rPr>
          <w:rFonts w:hint="eastAsia"/>
          <w:color w:val="auto"/>
          <w:lang w:val="pt-BR"/>
        </w:rPr>
        <w:t>-</w:t>
      </w:r>
      <w:r>
        <w:rPr>
          <w:rFonts w:hint="eastAsia"/>
          <w:color w:val="auto"/>
          <w:lang w:val="en-US" w:eastAsia="zh-CN"/>
        </w:rPr>
        <w:t>3</w:t>
      </w:r>
      <w:r>
        <w:rPr>
          <w:rFonts w:hint="eastAsia"/>
          <w:color w:val="auto"/>
          <w:lang w:val="pt-BR"/>
        </w:rPr>
        <w:t xml:space="preserve">                                 本项目与《清单》对比分析一览表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965"/>
        <w:gridCol w:w="933"/>
        <w:gridCol w:w="933"/>
        <w:gridCol w:w="1202"/>
        <w:gridCol w:w="1107"/>
        <w:gridCol w:w="4587"/>
        <w:gridCol w:w="2834"/>
        <w:gridCol w:w="79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022" w:type="dxa"/>
            <w:shd w:val="clear" w:color="auto" w:fill="auto"/>
            <w:vAlign w:val="center"/>
          </w:tcPr>
          <w:p>
            <w:pPr>
              <w:pStyle w:val="182"/>
              <w:bidi w:val="0"/>
              <w:rPr>
                <w:b/>
                <w:bCs/>
                <w:color w:val="auto"/>
              </w:rPr>
            </w:pPr>
            <w:r>
              <w:rPr>
                <w:b/>
                <w:bCs/>
                <w:color w:val="auto"/>
              </w:rPr>
              <w:t>行政区划</w:t>
            </w:r>
          </w:p>
        </w:tc>
        <w:tc>
          <w:tcPr>
            <w:tcW w:w="987" w:type="dxa"/>
            <w:vAlign w:val="center"/>
          </w:tcPr>
          <w:p>
            <w:pPr>
              <w:pStyle w:val="182"/>
              <w:bidi w:val="0"/>
              <w:rPr>
                <w:b/>
                <w:bCs/>
                <w:color w:val="auto"/>
              </w:rPr>
            </w:pPr>
            <w:r>
              <w:rPr>
                <w:b/>
                <w:bCs/>
                <w:color w:val="auto"/>
              </w:rPr>
              <w:t>环境管控单元名称</w:t>
            </w:r>
          </w:p>
        </w:tc>
        <w:tc>
          <w:tcPr>
            <w:tcW w:w="987" w:type="dxa"/>
            <w:shd w:val="clear" w:color="auto" w:fill="auto"/>
            <w:vAlign w:val="center"/>
          </w:tcPr>
          <w:p>
            <w:pPr>
              <w:pStyle w:val="182"/>
              <w:bidi w:val="0"/>
              <w:rPr>
                <w:b/>
                <w:bCs/>
                <w:color w:val="auto"/>
              </w:rPr>
            </w:pPr>
            <w:r>
              <w:rPr>
                <w:b/>
                <w:bCs/>
                <w:color w:val="auto"/>
              </w:rPr>
              <w:t>管控单元分类</w:t>
            </w:r>
          </w:p>
        </w:tc>
        <w:tc>
          <w:tcPr>
            <w:tcW w:w="1261" w:type="dxa"/>
            <w:shd w:val="clear" w:color="auto" w:fill="auto"/>
            <w:vAlign w:val="center"/>
          </w:tcPr>
          <w:p>
            <w:pPr>
              <w:pStyle w:val="182"/>
              <w:bidi w:val="0"/>
              <w:rPr>
                <w:b/>
                <w:bCs/>
                <w:color w:val="auto"/>
              </w:rPr>
            </w:pPr>
            <w:r>
              <w:rPr>
                <w:b/>
                <w:bCs/>
                <w:color w:val="auto"/>
              </w:rPr>
              <w:t>环境</w:t>
            </w:r>
            <w:r>
              <w:rPr>
                <w:rFonts w:hint="eastAsia"/>
                <w:b/>
                <w:bCs/>
                <w:color w:val="auto"/>
              </w:rPr>
              <w:t>要素</w:t>
            </w:r>
            <w:r>
              <w:rPr>
                <w:b/>
                <w:bCs/>
                <w:color w:val="auto"/>
              </w:rPr>
              <w:t>类别</w:t>
            </w:r>
          </w:p>
        </w:tc>
        <w:tc>
          <w:tcPr>
            <w:tcW w:w="6006" w:type="dxa"/>
            <w:gridSpan w:val="2"/>
            <w:shd w:val="clear" w:color="auto" w:fill="auto"/>
            <w:vAlign w:val="center"/>
          </w:tcPr>
          <w:p>
            <w:pPr>
              <w:pStyle w:val="182"/>
              <w:bidi w:val="0"/>
              <w:rPr>
                <w:b/>
                <w:bCs/>
                <w:color w:val="auto"/>
              </w:rPr>
            </w:pPr>
            <w:r>
              <w:rPr>
                <w:b/>
                <w:bCs/>
                <w:color w:val="auto"/>
              </w:rPr>
              <w:t>管控要求</w:t>
            </w:r>
          </w:p>
        </w:tc>
        <w:tc>
          <w:tcPr>
            <w:tcW w:w="2977" w:type="dxa"/>
            <w:shd w:val="clear" w:color="auto" w:fill="auto"/>
            <w:vAlign w:val="center"/>
          </w:tcPr>
          <w:p>
            <w:pPr>
              <w:pStyle w:val="182"/>
              <w:bidi w:val="0"/>
              <w:rPr>
                <w:b/>
                <w:bCs/>
                <w:color w:val="auto"/>
              </w:rPr>
            </w:pPr>
            <w:r>
              <w:rPr>
                <w:b/>
                <w:bCs/>
                <w:color w:val="auto"/>
              </w:rPr>
              <w:t>本项目情况</w:t>
            </w:r>
          </w:p>
        </w:tc>
        <w:tc>
          <w:tcPr>
            <w:tcW w:w="832" w:type="dxa"/>
            <w:shd w:val="clear" w:color="auto" w:fill="auto"/>
            <w:vAlign w:val="center"/>
          </w:tcPr>
          <w:p>
            <w:pPr>
              <w:pStyle w:val="182"/>
              <w:bidi w:val="0"/>
              <w:rPr>
                <w:b/>
                <w:bCs/>
                <w:color w:val="auto"/>
              </w:rPr>
            </w:pPr>
            <w:r>
              <w:rPr>
                <w:rFonts w:hint="eastAsia"/>
                <w:b/>
                <w:bCs/>
                <w:color w:val="auto"/>
              </w:rPr>
              <w:t>是否</w:t>
            </w:r>
            <w:r>
              <w:rPr>
                <w:b/>
                <w:bCs/>
                <w:color w:val="auto"/>
              </w:rPr>
              <w:t>符合</w:t>
            </w:r>
            <w:r>
              <w:rPr>
                <w:rFonts w:hint="eastAsia"/>
                <w:b/>
                <w:bCs/>
                <w:color w:val="auto"/>
              </w:rPr>
              <w:t>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022" w:type="dxa"/>
            <w:vMerge w:val="restart"/>
            <w:shd w:val="clear" w:color="auto" w:fill="auto"/>
            <w:vAlign w:val="center"/>
          </w:tcPr>
          <w:p>
            <w:pPr>
              <w:pStyle w:val="182"/>
              <w:bidi w:val="0"/>
              <w:rPr>
                <w:color w:val="auto"/>
              </w:rPr>
            </w:pPr>
            <w:r>
              <w:rPr>
                <w:color w:val="auto"/>
              </w:rPr>
              <w:t>河南省新乡市</w:t>
            </w:r>
            <w:r>
              <w:rPr>
                <w:rFonts w:hint="eastAsia"/>
                <w:color w:val="auto"/>
              </w:rPr>
              <w:t>新乡经济技术开发区</w:t>
            </w:r>
          </w:p>
        </w:tc>
        <w:tc>
          <w:tcPr>
            <w:tcW w:w="987" w:type="dxa"/>
            <w:vMerge w:val="restart"/>
            <w:vAlign w:val="center"/>
          </w:tcPr>
          <w:p>
            <w:pPr>
              <w:pStyle w:val="182"/>
              <w:bidi w:val="0"/>
              <w:rPr>
                <w:color w:val="auto"/>
              </w:rPr>
            </w:pPr>
            <w:r>
              <w:rPr>
                <w:color w:val="auto"/>
              </w:rPr>
              <w:t>新乡工业产业集聚区</w:t>
            </w:r>
          </w:p>
        </w:tc>
        <w:tc>
          <w:tcPr>
            <w:tcW w:w="987" w:type="dxa"/>
            <w:vMerge w:val="restart"/>
            <w:shd w:val="clear" w:color="auto" w:fill="auto"/>
            <w:vAlign w:val="center"/>
          </w:tcPr>
          <w:p>
            <w:pPr>
              <w:pStyle w:val="182"/>
              <w:bidi w:val="0"/>
              <w:rPr>
                <w:color w:val="auto"/>
              </w:rPr>
            </w:pPr>
            <w:r>
              <w:rPr>
                <w:color w:val="auto"/>
              </w:rPr>
              <w:t>重点管控单元</w:t>
            </w:r>
            <w:r>
              <w:rPr>
                <w:rFonts w:hint="eastAsia"/>
                <w:color w:val="auto"/>
              </w:rPr>
              <w:t>2</w:t>
            </w:r>
          </w:p>
        </w:tc>
        <w:tc>
          <w:tcPr>
            <w:tcW w:w="1261" w:type="dxa"/>
            <w:vMerge w:val="restart"/>
            <w:shd w:val="clear" w:color="auto" w:fill="auto"/>
            <w:vAlign w:val="center"/>
          </w:tcPr>
          <w:p>
            <w:pPr>
              <w:pStyle w:val="182"/>
              <w:bidi w:val="0"/>
              <w:rPr>
                <w:color w:val="auto"/>
              </w:rPr>
            </w:pPr>
            <w:r>
              <w:rPr>
                <w:color w:val="auto"/>
              </w:rPr>
              <w:t>大气高排放区、大气布局敏感区、水环境工业污染重点管控区、建设用地重点管控区</w:t>
            </w:r>
          </w:p>
        </w:tc>
        <w:tc>
          <w:tcPr>
            <w:tcW w:w="1176" w:type="dxa"/>
            <w:shd w:val="clear" w:color="auto" w:fill="auto"/>
            <w:vAlign w:val="center"/>
          </w:tcPr>
          <w:p>
            <w:pPr>
              <w:pStyle w:val="182"/>
              <w:bidi w:val="0"/>
              <w:rPr>
                <w:color w:val="auto"/>
              </w:rPr>
            </w:pPr>
            <w:r>
              <w:rPr>
                <w:color w:val="auto"/>
              </w:rPr>
              <w:t>空间布局约束</w:t>
            </w:r>
          </w:p>
        </w:tc>
        <w:tc>
          <w:tcPr>
            <w:tcW w:w="4830" w:type="dxa"/>
            <w:shd w:val="clear" w:color="auto" w:fill="auto"/>
            <w:vAlign w:val="center"/>
          </w:tcPr>
          <w:p>
            <w:pPr>
              <w:pStyle w:val="182"/>
              <w:bidi w:val="0"/>
              <w:rPr>
                <w:color w:val="auto"/>
              </w:rPr>
            </w:pPr>
            <w:r>
              <w:rPr>
                <w:color w:val="auto"/>
              </w:rPr>
              <w:t>1、对现有不符合土地性质的企业、无法搬迁的，维持土地现状，鼓励升级改造。化工医药区，限制现有企业扩大再生产。</w:t>
            </w:r>
          </w:p>
        </w:tc>
        <w:tc>
          <w:tcPr>
            <w:tcW w:w="2977" w:type="dxa"/>
            <w:shd w:val="clear" w:color="auto" w:fill="auto"/>
            <w:vAlign w:val="center"/>
          </w:tcPr>
          <w:p>
            <w:pPr>
              <w:pStyle w:val="182"/>
              <w:bidi w:val="0"/>
              <w:rPr>
                <w:color w:val="auto"/>
              </w:rPr>
            </w:pPr>
            <w:r>
              <w:rPr>
                <w:color w:val="auto"/>
              </w:rPr>
              <w:t>本项目</w:t>
            </w:r>
            <w:r>
              <w:rPr>
                <w:rFonts w:hint="eastAsia"/>
                <w:color w:val="auto"/>
              </w:rPr>
              <w:t>用地属于工业用地，符合土地性质。本项目不在化工医药区。</w:t>
            </w:r>
          </w:p>
        </w:tc>
        <w:tc>
          <w:tcPr>
            <w:tcW w:w="832" w:type="dxa"/>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022" w:type="dxa"/>
            <w:vMerge w:val="continue"/>
            <w:shd w:val="clear" w:color="auto" w:fill="auto"/>
            <w:vAlign w:val="center"/>
          </w:tcPr>
          <w:p>
            <w:pPr>
              <w:pStyle w:val="182"/>
              <w:bidi w:val="0"/>
              <w:rPr>
                <w:color w:val="auto"/>
              </w:rPr>
            </w:pPr>
          </w:p>
        </w:tc>
        <w:tc>
          <w:tcPr>
            <w:tcW w:w="987" w:type="dxa"/>
            <w:vMerge w:val="continue"/>
            <w:vAlign w:val="center"/>
          </w:tcPr>
          <w:p>
            <w:pPr>
              <w:pStyle w:val="182"/>
              <w:bidi w:val="0"/>
              <w:rPr>
                <w:color w:val="auto"/>
              </w:rPr>
            </w:pPr>
          </w:p>
        </w:tc>
        <w:tc>
          <w:tcPr>
            <w:tcW w:w="987" w:type="dxa"/>
            <w:vMerge w:val="continue"/>
            <w:shd w:val="clear" w:color="auto" w:fill="auto"/>
            <w:vAlign w:val="center"/>
          </w:tcPr>
          <w:p>
            <w:pPr>
              <w:pStyle w:val="182"/>
              <w:bidi w:val="0"/>
              <w:rPr>
                <w:color w:val="auto"/>
              </w:rPr>
            </w:pPr>
          </w:p>
        </w:tc>
        <w:tc>
          <w:tcPr>
            <w:tcW w:w="1261" w:type="dxa"/>
            <w:vMerge w:val="continue"/>
            <w:shd w:val="clear" w:color="auto" w:fill="auto"/>
            <w:vAlign w:val="center"/>
          </w:tcPr>
          <w:p>
            <w:pPr>
              <w:pStyle w:val="182"/>
              <w:bidi w:val="0"/>
              <w:rPr>
                <w:color w:val="auto"/>
              </w:rPr>
            </w:pPr>
          </w:p>
        </w:tc>
        <w:tc>
          <w:tcPr>
            <w:tcW w:w="1176" w:type="dxa"/>
            <w:vMerge w:val="restart"/>
            <w:shd w:val="clear" w:color="auto" w:fill="auto"/>
            <w:vAlign w:val="center"/>
          </w:tcPr>
          <w:p>
            <w:pPr>
              <w:pStyle w:val="182"/>
              <w:bidi w:val="0"/>
              <w:rPr>
                <w:color w:val="auto"/>
              </w:rPr>
            </w:pPr>
            <w:r>
              <w:rPr>
                <w:color w:val="auto"/>
              </w:rPr>
              <w:t>污染物排放管控</w:t>
            </w:r>
          </w:p>
        </w:tc>
        <w:tc>
          <w:tcPr>
            <w:tcW w:w="4830" w:type="dxa"/>
            <w:shd w:val="clear" w:color="auto" w:fill="auto"/>
            <w:vAlign w:val="center"/>
          </w:tcPr>
          <w:p>
            <w:pPr>
              <w:pStyle w:val="182"/>
              <w:bidi w:val="0"/>
              <w:rPr>
                <w:color w:val="auto"/>
              </w:rPr>
            </w:pPr>
            <w:r>
              <w:rPr>
                <w:color w:val="auto"/>
              </w:rPr>
              <w:t>1、大气：严格执行污染物排放总量控制制度，采取调整能源结构、加强污染治理、区域综合整治等措施，控制烟粉尘、二氧化硫、氮氧化物、VOCs等大气污染物的排放。加快对涉VOCs行业有机废气治理措施提升改造，从源头减少污染物排放。</w:t>
            </w:r>
          </w:p>
        </w:tc>
        <w:tc>
          <w:tcPr>
            <w:tcW w:w="2977" w:type="dxa"/>
            <w:shd w:val="clear" w:color="auto" w:fill="auto"/>
            <w:vAlign w:val="center"/>
          </w:tcPr>
          <w:p>
            <w:pPr>
              <w:pStyle w:val="182"/>
              <w:bidi w:val="0"/>
              <w:rPr>
                <w:color w:val="auto"/>
              </w:rPr>
            </w:pPr>
            <w:r>
              <w:rPr>
                <w:color w:val="auto"/>
              </w:rPr>
              <w:t>本项目</w:t>
            </w:r>
            <w:r>
              <w:rPr>
                <w:rFonts w:hint="eastAsia"/>
                <w:color w:val="auto"/>
              </w:rPr>
              <w:t>将严格</w:t>
            </w:r>
            <w:r>
              <w:rPr>
                <w:color w:val="auto"/>
              </w:rPr>
              <w:t>执行污染物排放总量控制制度，控制</w:t>
            </w:r>
            <w:r>
              <w:rPr>
                <w:rFonts w:hint="eastAsia"/>
                <w:color w:val="auto"/>
              </w:rPr>
              <w:t>各项</w:t>
            </w:r>
            <w:r>
              <w:rPr>
                <w:color w:val="auto"/>
              </w:rPr>
              <w:t>污染物的排放</w:t>
            </w:r>
            <w:r>
              <w:rPr>
                <w:rFonts w:hint="eastAsia"/>
                <w:color w:val="auto"/>
              </w:rPr>
              <w:t>。</w:t>
            </w:r>
          </w:p>
        </w:tc>
        <w:tc>
          <w:tcPr>
            <w:tcW w:w="832" w:type="dxa"/>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022" w:type="dxa"/>
            <w:vMerge w:val="continue"/>
            <w:shd w:val="clear" w:color="auto" w:fill="auto"/>
            <w:vAlign w:val="center"/>
          </w:tcPr>
          <w:p>
            <w:pPr>
              <w:pStyle w:val="182"/>
              <w:bidi w:val="0"/>
              <w:rPr>
                <w:color w:val="auto"/>
              </w:rPr>
            </w:pPr>
          </w:p>
        </w:tc>
        <w:tc>
          <w:tcPr>
            <w:tcW w:w="987" w:type="dxa"/>
            <w:vMerge w:val="continue"/>
            <w:vAlign w:val="center"/>
          </w:tcPr>
          <w:p>
            <w:pPr>
              <w:pStyle w:val="182"/>
              <w:bidi w:val="0"/>
              <w:rPr>
                <w:color w:val="auto"/>
              </w:rPr>
            </w:pPr>
          </w:p>
        </w:tc>
        <w:tc>
          <w:tcPr>
            <w:tcW w:w="987" w:type="dxa"/>
            <w:vMerge w:val="continue"/>
            <w:shd w:val="clear" w:color="auto" w:fill="auto"/>
            <w:vAlign w:val="center"/>
          </w:tcPr>
          <w:p>
            <w:pPr>
              <w:pStyle w:val="182"/>
              <w:bidi w:val="0"/>
              <w:rPr>
                <w:color w:val="auto"/>
              </w:rPr>
            </w:pPr>
          </w:p>
        </w:tc>
        <w:tc>
          <w:tcPr>
            <w:tcW w:w="1261" w:type="dxa"/>
            <w:vMerge w:val="continue"/>
            <w:shd w:val="clear" w:color="auto" w:fill="auto"/>
            <w:vAlign w:val="center"/>
          </w:tcPr>
          <w:p>
            <w:pPr>
              <w:pStyle w:val="182"/>
              <w:bidi w:val="0"/>
              <w:rPr>
                <w:color w:val="auto"/>
              </w:rPr>
            </w:pPr>
          </w:p>
        </w:tc>
        <w:tc>
          <w:tcPr>
            <w:tcW w:w="1176" w:type="dxa"/>
            <w:vMerge w:val="continue"/>
            <w:shd w:val="clear" w:color="auto" w:fill="auto"/>
            <w:vAlign w:val="center"/>
          </w:tcPr>
          <w:p>
            <w:pPr>
              <w:pStyle w:val="182"/>
              <w:bidi w:val="0"/>
              <w:rPr>
                <w:color w:val="auto"/>
              </w:rPr>
            </w:pPr>
          </w:p>
        </w:tc>
        <w:tc>
          <w:tcPr>
            <w:tcW w:w="4830" w:type="dxa"/>
            <w:shd w:val="clear" w:color="auto" w:fill="auto"/>
            <w:vAlign w:val="center"/>
          </w:tcPr>
          <w:p>
            <w:pPr>
              <w:pStyle w:val="182"/>
              <w:bidi w:val="0"/>
              <w:rPr>
                <w:color w:val="auto"/>
              </w:rPr>
            </w:pPr>
            <w:r>
              <w:rPr>
                <w:color w:val="auto"/>
              </w:rPr>
              <w:t>2、水：确保入区企业外排废水全部经管网收集后进入园区污水处理厂。入园企业均不得单独设置废水排放口。确保污水处理厂出水执行《城镇污水处理厂污染物排放标准》（GB18918-2002）一级标准的A标准。尽快实现集聚区集中供水，逐步关停企业自备水井。禁止含重金属废水进入城市生活污水处理厂。</w:t>
            </w:r>
          </w:p>
        </w:tc>
        <w:tc>
          <w:tcPr>
            <w:tcW w:w="2977" w:type="dxa"/>
            <w:shd w:val="clear" w:color="auto" w:fill="auto"/>
            <w:vAlign w:val="center"/>
          </w:tcPr>
          <w:p>
            <w:pPr>
              <w:pStyle w:val="182"/>
              <w:bidi w:val="0"/>
              <w:rPr>
                <w:color w:val="auto"/>
              </w:rPr>
            </w:pPr>
            <w:r>
              <w:rPr>
                <w:color w:val="auto"/>
              </w:rPr>
              <w:t>本项目</w:t>
            </w:r>
            <w:r>
              <w:rPr>
                <w:rFonts w:hint="eastAsia"/>
                <w:color w:val="auto"/>
              </w:rPr>
              <w:t>废水经化纤厂新厂区污水处理站处理后排入小店污水处理厂，不单独设置废水排放口。小店污水处理厂</w:t>
            </w:r>
            <w:r>
              <w:rPr>
                <w:color w:val="auto"/>
              </w:rPr>
              <w:t>出水</w:t>
            </w:r>
            <w:r>
              <w:rPr>
                <w:rFonts w:hint="eastAsia"/>
                <w:color w:val="auto"/>
              </w:rPr>
              <w:t>优于</w:t>
            </w:r>
            <w:r>
              <w:rPr>
                <w:color w:val="auto"/>
              </w:rPr>
              <w:t>《城镇污水处理厂污染物排放标准》（GB18918-</w:t>
            </w:r>
            <w:r>
              <w:rPr>
                <w:rFonts w:hint="eastAsia"/>
                <w:color w:val="auto"/>
              </w:rPr>
              <w:t xml:space="preserve"> </w:t>
            </w:r>
            <w:r>
              <w:rPr>
                <w:color w:val="auto"/>
              </w:rPr>
              <w:t>2002）一级标准的A标准。</w:t>
            </w:r>
          </w:p>
          <w:p>
            <w:pPr>
              <w:pStyle w:val="182"/>
              <w:bidi w:val="0"/>
              <w:rPr>
                <w:color w:val="auto"/>
              </w:rPr>
            </w:pPr>
            <w:r>
              <w:rPr>
                <w:rFonts w:hint="eastAsia"/>
                <w:color w:val="auto"/>
              </w:rPr>
              <w:t>本项目无自备水井。</w:t>
            </w:r>
          </w:p>
          <w:p>
            <w:pPr>
              <w:pStyle w:val="182"/>
              <w:bidi w:val="0"/>
              <w:rPr>
                <w:color w:val="auto"/>
              </w:rPr>
            </w:pPr>
            <w:r>
              <w:rPr>
                <w:rFonts w:hint="eastAsia"/>
                <w:color w:val="auto"/>
              </w:rPr>
              <w:t>本项目废水不含重金属。</w:t>
            </w:r>
          </w:p>
        </w:tc>
        <w:tc>
          <w:tcPr>
            <w:tcW w:w="832" w:type="dxa"/>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022" w:type="dxa"/>
            <w:vMerge w:val="continue"/>
            <w:shd w:val="clear" w:color="auto" w:fill="auto"/>
            <w:vAlign w:val="center"/>
          </w:tcPr>
          <w:p>
            <w:pPr>
              <w:pStyle w:val="182"/>
              <w:bidi w:val="0"/>
              <w:rPr>
                <w:color w:val="auto"/>
              </w:rPr>
            </w:pPr>
          </w:p>
        </w:tc>
        <w:tc>
          <w:tcPr>
            <w:tcW w:w="987" w:type="dxa"/>
            <w:vMerge w:val="continue"/>
            <w:vAlign w:val="center"/>
          </w:tcPr>
          <w:p>
            <w:pPr>
              <w:pStyle w:val="182"/>
              <w:bidi w:val="0"/>
              <w:rPr>
                <w:color w:val="auto"/>
              </w:rPr>
            </w:pPr>
          </w:p>
        </w:tc>
        <w:tc>
          <w:tcPr>
            <w:tcW w:w="987" w:type="dxa"/>
            <w:vMerge w:val="continue"/>
            <w:shd w:val="clear" w:color="auto" w:fill="auto"/>
            <w:vAlign w:val="center"/>
          </w:tcPr>
          <w:p>
            <w:pPr>
              <w:pStyle w:val="182"/>
              <w:bidi w:val="0"/>
              <w:rPr>
                <w:color w:val="auto"/>
              </w:rPr>
            </w:pPr>
          </w:p>
        </w:tc>
        <w:tc>
          <w:tcPr>
            <w:tcW w:w="1261" w:type="dxa"/>
            <w:vMerge w:val="continue"/>
            <w:shd w:val="clear" w:color="auto" w:fill="auto"/>
            <w:vAlign w:val="center"/>
          </w:tcPr>
          <w:p>
            <w:pPr>
              <w:pStyle w:val="182"/>
              <w:bidi w:val="0"/>
              <w:rPr>
                <w:color w:val="auto"/>
              </w:rPr>
            </w:pPr>
          </w:p>
        </w:tc>
        <w:tc>
          <w:tcPr>
            <w:tcW w:w="1176" w:type="dxa"/>
            <w:vMerge w:val="restart"/>
            <w:shd w:val="clear" w:color="auto" w:fill="auto"/>
            <w:vAlign w:val="center"/>
          </w:tcPr>
          <w:p>
            <w:pPr>
              <w:pStyle w:val="182"/>
              <w:bidi w:val="0"/>
              <w:rPr>
                <w:color w:val="auto"/>
              </w:rPr>
            </w:pPr>
            <w:r>
              <w:rPr>
                <w:color w:val="auto"/>
              </w:rPr>
              <w:t>环境风险防控</w:t>
            </w:r>
          </w:p>
        </w:tc>
        <w:tc>
          <w:tcPr>
            <w:tcW w:w="4830" w:type="dxa"/>
            <w:shd w:val="clear" w:color="auto" w:fill="auto"/>
            <w:vAlign w:val="center"/>
          </w:tcPr>
          <w:p>
            <w:pPr>
              <w:pStyle w:val="182"/>
              <w:bidi w:val="0"/>
              <w:rPr>
                <w:color w:val="auto"/>
              </w:rPr>
            </w:pPr>
            <w:r>
              <w:rPr>
                <w:rFonts w:hint="eastAsia"/>
                <w:color w:val="auto"/>
              </w:rPr>
              <w:t>1、</w:t>
            </w:r>
            <w:r>
              <w:rPr>
                <w:color w:val="auto"/>
              </w:rPr>
              <w:t>区内具有重大危险源的企业应在厂区内修建消防废水应急水池，在发生事故时，对消防废水或未经处理的高浓度废水进行收集，防止对地表水环境造成危害。</w:t>
            </w:r>
          </w:p>
        </w:tc>
        <w:tc>
          <w:tcPr>
            <w:tcW w:w="2977" w:type="dxa"/>
            <w:shd w:val="clear" w:color="auto" w:fill="auto"/>
            <w:vAlign w:val="center"/>
          </w:tcPr>
          <w:p>
            <w:pPr>
              <w:pStyle w:val="182"/>
              <w:bidi w:val="0"/>
              <w:rPr>
                <w:color w:val="auto"/>
              </w:rPr>
            </w:pPr>
            <w:r>
              <w:rPr>
                <w:rFonts w:hint="eastAsia"/>
                <w:color w:val="auto"/>
              </w:rPr>
              <w:t>厂区设有</w:t>
            </w:r>
            <w:r>
              <w:rPr>
                <w:color w:val="auto"/>
              </w:rPr>
              <w:t>消防废水应急水池，在发生事故时，对消防废水或未经处理的高浓度废水进行收集，防止对地表水环境造成危害</w:t>
            </w:r>
            <w:r>
              <w:rPr>
                <w:rFonts w:hint="eastAsia"/>
                <w:color w:val="auto"/>
              </w:rPr>
              <w:t>。</w:t>
            </w:r>
          </w:p>
        </w:tc>
        <w:tc>
          <w:tcPr>
            <w:tcW w:w="832" w:type="dxa"/>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022" w:type="dxa"/>
            <w:vMerge w:val="continue"/>
            <w:shd w:val="clear" w:color="auto" w:fill="auto"/>
            <w:vAlign w:val="center"/>
          </w:tcPr>
          <w:p>
            <w:pPr>
              <w:pStyle w:val="182"/>
              <w:bidi w:val="0"/>
              <w:rPr>
                <w:color w:val="auto"/>
              </w:rPr>
            </w:pPr>
          </w:p>
        </w:tc>
        <w:tc>
          <w:tcPr>
            <w:tcW w:w="987" w:type="dxa"/>
            <w:vMerge w:val="continue"/>
            <w:vAlign w:val="center"/>
          </w:tcPr>
          <w:p>
            <w:pPr>
              <w:pStyle w:val="182"/>
              <w:bidi w:val="0"/>
              <w:rPr>
                <w:color w:val="auto"/>
              </w:rPr>
            </w:pPr>
          </w:p>
        </w:tc>
        <w:tc>
          <w:tcPr>
            <w:tcW w:w="987" w:type="dxa"/>
            <w:vMerge w:val="continue"/>
            <w:shd w:val="clear" w:color="auto" w:fill="auto"/>
            <w:vAlign w:val="center"/>
          </w:tcPr>
          <w:p>
            <w:pPr>
              <w:pStyle w:val="182"/>
              <w:bidi w:val="0"/>
              <w:rPr>
                <w:color w:val="auto"/>
              </w:rPr>
            </w:pPr>
          </w:p>
        </w:tc>
        <w:tc>
          <w:tcPr>
            <w:tcW w:w="1261" w:type="dxa"/>
            <w:vMerge w:val="continue"/>
            <w:shd w:val="clear" w:color="auto" w:fill="auto"/>
            <w:vAlign w:val="center"/>
          </w:tcPr>
          <w:p>
            <w:pPr>
              <w:pStyle w:val="182"/>
              <w:bidi w:val="0"/>
              <w:rPr>
                <w:color w:val="auto"/>
              </w:rPr>
            </w:pPr>
          </w:p>
        </w:tc>
        <w:tc>
          <w:tcPr>
            <w:tcW w:w="1176" w:type="dxa"/>
            <w:vMerge w:val="continue"/>
            <w:shd w:val="clear" w:color="auto" w:fill="auto"/>
            <w:vAlign w:val="center"/>
          </w:tcPr>
          <w:p>
            <w:pPr>
              <w:pStyle w:val="182"/>
              <w:bidi w:val="0"/>
              <w:rPr>
                <w:color w:val="auto"/>
              </w:rPr>
            </w:pPr>
          </w:p>
        </w:tc>
        <w:tc>
          <w:tcPr>
            <w:tcW w:w="4830" w:type="dxa"/>
            <w:shd w:val="clear" w:color="auto" w:fill="auto"/>
            <w:vAlign w:val="center"/>
          </w:tcPr>
          <w:p>
            <w:pPr>
              <w:pStyle w:val="182"/>
              <w:bidi w:val="0"/>
              <w:rPr>
                <w:color w:val="auto"/>
              </w:rPr>
            </w:pPr>
            <w:r>
              <w:rPr>
                <w:rFonts w:hint="eastAsia"/>
                <w:color w:val="auto"/>
              </w:rPr>
              <w:t>2、</w:t>
            </w:r>
            <w:r>
              <w:rPr>
                <w:color w:val="auto"/>
              </w:rPr>
              <w:t>有色金属冶炼、铅酸蓄电池、石油加工、化工、电镀、制革和危险化学品生产、储存、使用等企业在拆除生产设施设备、污染治理设施时，要事先制定残留污染物清理和安全处置方案。</w:t>
            </w:r>
          </w:p>
        </w:tc>
        <w:tc>
          <w:tcPr>
            <w:tcW w:w="2977" w:type="dxa"/>
            <w:shd w:val="clear" w:color="auto" w:fill="auto"/>
            <w:vAlign w:val="center"/>
          </w:tcPr>
          <w:p>
            <w:pPr>
              <w:pStyle w:val="182"/>
              <w:bidi w:val="0"/>
              <w:rPr>
                <w:color w:val="auto"/>
              </w:rPr>
            </w:pPr>
            <w:r>
              <w:rPr>
                <w:color w:val="auto"/>
              </w:rPr>
              <w:t>本</w:t>
            </w:r>
            <w:r>
              <w:rPr>
                <w:rFonts w:hint="eastAsia"/>
                <w:color w:val="auto"/>
              </w:rPr>
              <w:t>企业</w:t>
            </w:r>
            <w:r>
              <w:rPr>
                <w:color w:val="auto"/>
              </w:rPr>
              <w:t>不属于有色金属冶炼、铅酸蓄电池、石油加工、化工、电镀、制革和危险化学品生产、储存、使用等企业</w:t>
            </w:r>
            <w:r>
              <w:rPr>
                <w:rFonts w:hint="eastAsia"/>
                <w:color w:val="auto"/>
              </w:rPr>
              <w:t>。</w:t>
            </w:r>
          </w:p>
        </w:tc>
        <w:tc>
          <w:tcPr>
            <w:tcW w:w="832" w:type="dxa"/>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022" w:type="dxa"/>
            <w:vMerge w:val="continue"/>
            <w:shd w:val="clear" w:color="auto" w:fill="auto"/>
            <w:vAlign w:val="center"/>
          </w:tcPr>
          <w:p>
            <w:pPr>
              <w:pStyle w:val="182"/>
              <w:bidi w:val="0"/>
              <w:rPr>
                <w:color w:val="auto"/>
              </w:rPr>
            </w:pPr>
          </w:p>
        </w:tc>
        <w:tc>
          <w:tcPr>
            <w:tcW w:w="987" w:type="dxa"/>
            <w:vMerge w:val="continue"/>
            <w:vAlign w:val="center"/>
          </w:tcPr>
          <w:p>
            <w:pPr>
              <w:pStyle w:val="182"/>
              <w:bidi w:val="0"/>
              <w:rPr>
                <w:color w:val="auto"/>
              </w:rPr>
            </w:pPr>
          </w:p>
        </w:tc>
        <w:tc>
          <w:tcPr>
            <w:tcW w:w="987" w:type="dxa"/>
            <w:vMerge w:val="continue"/>
            <w:shd w:val="clear" w:color="auto" w:fill="auto"/>
            <w:vAlign w:val="center"/>
          </w:tcPr>
          <w:p>
            <w:pPr>
              <w:pStyle w:val="182"/>
              <w:bidi w:val="0"/>
              <w:rPr>
                <w:color w:val="auto"/>
              </w:rPr>
            </w:pPr>
          </w:p>
        </w:tc>
        <w:tc>
          <w:tcPr>
            <w:tcW w:w="1261" w:type="dxa"/>
            <w:vMerge w:val="continue"/>
            <w:shd w:val="clear" w:color="auto" w:fill="auto"/>
            <w:vAlign w:val="center"/>
          </w:tcPr>
          <w:p>
            <w:pPr>
              <w:pStyle w:val="182"/>
              <w:bidi w:val="0"/>
              <w:rPr>
                <w:color w:val="auto"/>
              </w:rPr>
            </w:pPr>
          </w:p>
        </w:tc>
        <w:tc>
          <w:tcPr>
            <w:tcW w:w="1176" w:type="dxa"/>
            <w:vMerge w:val="restart"/>
            <w:shd w:val="clear" w:color="auto" w:fill="auto"/>
            <w:vAlign w:val="center"/>
          </w:tcPr>
          <w:p>
            <w:pPr>
              <w:pStyle w:val="182"/>
              <w:bidi w:val="0"/>
              <w:rPr>
                <w:color w:val="auto"/>
              </w:rPr>
            </w:pPr>
            <w:r>
              <w:rPr>
                <w:color w:val="auto"/>
              </w:rPr>
              <w:t>资源利用效率要求</w:t>
            </w:r>
          </w:p>
        </w:tc>
        <w:tc>
          <w:tcPr>
            <w:tcW w:w="4830" w:type="dxa"/>
            <w:shd w:val="clear" w:color="auto" w:fill="auto"/>
            <w:vAlign w:val="center"/>
          </w:tcPr>
          <w:p>
            <w:pPr>
              <w:pStyle w:val="182"/>
              <w:bidi w:val="0"/>
              <w:rPr>
                <w:color w:val="auto"/>
              </w:rPr>
            </w:pPr>
            <w:r>
              <w:rPr>
                <w:color w:val="auto"/>
              </w:rPr>
              <w:t>1、依托新奥集团供热厂和化纤集团的22MW热电厂实现集聚区集中供热，逐步拆除区内企业自备锅炉。</w:t>
            </w:r>
          </w:p>
        </w:tc>
        <w:tc>
          <w:tcPr>
            <w:tcW w:w="2977" w:type="dxa"/>
            <w:shd w:val="clear" w:color="auto" w:fill="auto"/>
            <w:vAlign w:val="center"/>
          </w:tcPr>
          <w:p>
            <w:pPr>
              <w:pStyle w:val="182"/>
              <w:bidi w:val="0"/>
              <w:rPr>
                <w:color w:val="auto"/>
              </w:rPr>
            </w:pPr>
            <w:r>
              <w:rPr>
                <w:rFonts w:hint="eastAsia"/>
                <w:color w:val="auto"/>
              </w:rPr>
              <w:t>本项目蒸汽依托化纤厂新厂区供热锅炉</w:t>
            </w:r>
          </w:p>
        </w:tc>
        <w:tc>
          <w:tcPr>
            <w:tcW w:w="832" w:type="dxa"/>
            <w:shd w:val="clear" w:color="auto" w:fill="auto"/>
            <w:vAlign w:val="center"/>
          </w:tcPr>
          <w:p>
            <w:pPr>
              <w:pStyle w:val="182"/>
              <w:bidi w:val="0"/>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022" w:type="dxa"/>
            <w:vMerge w:val="continue"/>
            <w:shd w:val="clear" w:color="auto" w:fill="auto"/>
            <w:vAlign w:val="center"/>
          </w:tcPr>
          <w:p>
            <w:pPr>
              <w:pStyle w:val="182"/>
              <w:bidi w:val="0"/>
              <w:rPr>
                <w:color w:val="auto"/>
              </w:rPr>
            </w:pPr>
          </w:p>
        </w:tc>
        <w:tc>
          <w:tcPr>
            <w:tcW w:w="987" w:type="dxa"/>
            <w:vMerge w:val="continue"/>
            <w:vAlign w:val="center"/>
          </w:tcPr>
          <w:p>
            <w:pPr>
              <w:pStyle w:val="182"/>
              <w:bidi w:val="0"/>
              <w:rPr>
                <w:color w:val="auto"/>
              </w:rPr>
            </w:pPr>
          </w:p>
        </w:tc>
        <w:tc>
          <w:tcPr>
            <w:tcW w:w="987" w:type="dxa"/>
            <w:vMerge w:val="continue"/>
            <w:shd w:val="clear" w:color="auto" w:fill="auto"/>
            <w:vAlign w:val="center"/>
          </w:tcPr>
          <w:p>
            <w:pPr>
              <w:pStyle w:val="182"/>
              <w:bidi w:val="0"/>
              <w:rPr>
                <w:color w:val="auto"/>
              </w:rPr>
            </w:pPr>
          </w:p>
        </w:tc>
        <w:tc>
          <w:tcPr>
            <w:tcW w:w="1261" w:type="dxa"/>
            <w:vMerge w:val="continue"/>
            <w:shd w:val="clear" w:color="auto" w:fill="auto"/>
            <w:vAlign w:val="center"/>
          </w:tcPr>
          <w:p>
            <w:pPr>
              <w:pStyle w:val="182"/>
              <w:bidi w:val="0"/>
              <w:rPr>
                <w:color w:val="auto"/>
              </w:rPr>
            </w:pPr>
          </w:p>
        </w:tc>
        <w:tc>
          <w:tcPr>
            <w:tcW w:w="1176" w:type="dxa"/>
            <w:vMerge w:val="continue"/>
            <w:shd w:val="clear" w:color="auto" w:fill="auto"/>
            <w:vAlign w:val="center"/>
          </w:tcPr>
          <w:p>
            <w:pPr>
              <w:pStyle w:val="182"/>
              <w:bidi w:val="0"/>
              <w:rPr>
                <w:color w:val="auto"/>
              </w:rPr>
            </w:pPr>
          </w:p>
        </w:tc>
        <w:tc>
          <w:tcPr>
            <w:tcW w:w="4830" w:type="dxa"/>
            <w:shd w:val="clear" w:color="auto" w:fill="auto"/>
            <w:vAlign w:val="center"/>
          </w:tcPr>
          <w:p>
            <w:pPr>
              <w:pStyle w:val="182"/>
              <w:bidi w:val="0"/>
              <w:rPr>
                <w:color w:val="auto"/>
              </w:rPr>
            </w:pPr>
            <w:r>
              <w:rPr>
                <w:color w:val="auto"/>
              </w:rPr>
              <w:t>2、集聚区远期燃气管网覆盖率100%、集中供热管网覆盖率100%、单位GDP能耗0.46标煤/万元、单位GDP水耗9.6立方米/万元、中水回用率25%。</w:t>
            </w:r>
          </w:p>
        </w:tc>
        <w:tc>
          <w:tcPr>
            <w:tcW w:w="2977" w:type="dxa"/>
            <w:shd w:val="clear" w:color="auto" w:fill="auto"/>
            <w:vAlign w:val="center"/>
          </w:tcPr>
          <w:p>
            <w:pPr>
              <w:pStyle w:val="182"/>
              <w:bidi w:val="0"/>
              <w:rPr>
                <w:color w:val="auto"/>
              </w:rPr>
            </w:pPr>
            <w:r>
              <w:rPr>
                <w:rFonts w:hint="eastAsia"/>
                <w:color w:val="auto"/>
              </w:rPr>
              <w:t>符合园区管理要求。</w:t>
            </w:r>
          </w:p>
        </w:tc>
        <w:tc>
          <w:tcPr>
            <w:tcW w:w="832" w:type="dxa"/>
            <w:shd w:val="clear" w:color="auto" w:fill="auto"/>
            <w:vAlign w:val="center"/>
          </w:tcPr>
          <w:p>
            <w:pPr>
              <w:pStyle w:val="182"/>
              <w:bidi w:val="0"/>
              <w:rPr>
                <w:color w:val="auto"/>
              </w:rPr>
            </w:pPr>
            <w:r>
              <w:rPr>
                <w:rFonts w:hint="eastAsia"/>
                <w:color w:val="auto"/>
              </w:rPr>
              <w:t>/</w:t>
            </w:r>
          </w:p>
        </w:tc>
      </w:tr>
    </w:tbl>
    <w:p>
      <w:pPr>
        <w:bidi w:val="0"/>
        <w:rPr>
          <w:rFonts w:hint="eastAsia"/>
          <w:color w:val="auto"/>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26" w:charSpace="0"/>
        </w:sectPr>
      </w:pPr>
      <w:r>
        <w:rPr>
          <w:rFonts w:hint="eastAsia"/>
          <w:color w:val="auto"/>
        </w:rPr>
        <w:t>由上表可知，本项目符合《河南省生态环境准入清单</w:t>
      </w:r>
      <w:r>
        <w:rPr>
          <w:rFonts w:hint="eastAsia"/>
          <w:color w:val="auto"/>
          <w:lang w:eastAsia="zh-CN"/>
        </w:rPr>
        <w:t>－</w:t>
      </w:r>
      <w:r>
        <w:rPr>
          <w:color w:val="auto"/>
        </w:rPr>
        <w:t>新乡工业产业集聚区</w:t>
      </w:r>
      <w:r>
        <w:rPr>
          <w:rFonts w:hint="eastAsia"/>
          <w:color w:val="auto"/>
        </w:rPr>
        <w:t>环境管控单元生态环境准入清单》（以下简称《清单》）中</w:t>
      </w:r>
      <w:r>
        <w:rPr>
          <w:color w:val="auto"/>
        </w:rPr>
        <w:t>重点管控单元</w:t>
      </w:r>
      <w:r>
        <w:rPr>
          <w:rFonts w:hint="eastAsia"/>
          <w:color w:val="auto"/>
        </w:rPr>
        <w:t>的要求。</w:t>
      </w:r>
    </w:p>
    <w:p>
      <w:pPr>
        <w:pStyle w:val="9"/>
        <w:bidi w:val="0"/>
        <w:rPr>
          <w:color w:val="auto"/>
          <w:lang w:val="en-US"/>
        </w:rPr>
      </w:pPr>
      <w:r>
        <w:rPr>
          <w:color w:val="auto"/>
        </w:rPr>
        <w:t>2.11.</w:t>
      </w:r>
      <w:r>
        <w:rPr>
          <w:rFonts w:hint="eastAsia"/>
          <w:color w:val="auto"/>
          <w:lang w:val="en-US" w:eastAsia="zh-CN"/>
        </w:rPr>
        <w:t>4与</w:t>
      </w:r>
      <w:r>
        <w:rPr>
          <w:rFonts w:hint="eastAsia"/>
          <w:color w:val="auto"/>
          <w:lang w:val="en-US"/>
        </w:rPr>
        <w:t>《新乡市“三线一单”生态环境准入清单》（试行）的函相符性分析</w:t>
      </w:r>
    </w:p>
    <w:p>
      <w:pPr>
        <w:pStyle w:val="181"/>
        <w:bidi w:val="0"/>
        <w:rPr>
          <w:color w:val="auto"/>
          <w:lang w:val="pt-BR"/>
        </w:rPr>
      </w:pPr>
      <w:r>
        <w:rPr>
          <w:color w:val="auto"/>
          <w:lang w:val="pt-BR"/>
        </w:rPr>
        <w:t>表</w:t>
      </w:r>
      <w:r>
        <w:rPr>
          <w:rFonts w:hint="eastAsia"/>
          <w:color w:val="auto"/>
          <w:lang w:val="pt-BR"/>
        </w:rPr>
        <w:t>2</w:t>
      </w:r>
      <w:r>
        <w:rPr>
          <w:rFonts w:hint="eastAsia"/>
          <w:color w:val="auto"/>
          <w:lang w:val="en-US" w:eastAsia="zh-CN"/>
        </w:rPr>
        <w:t>.11</w:t>
      </w:r>
      <w:r>
        <w:rPr>
          <w:rFonts w:hint="eastAsia"/>
          <w:color w:val="auto"/>
          <w:lang w:val="pt-BR"/>
        </w:rPr>
        <w:t>-</w:t>
      </w:r>
      <w:r>
        <w:rPr>
          <w:rFonts w:hint="eastAsia"/>
          <w:color w:val="auto"/>
          <w:lang w:val="en-US" w:eastAsia="zh-CN"/>
        </w:rPr>
        <w:t>4</w:t>
      </w:r>
      <w:r>
        <w:rPr>
          <w:rFonts w:hint="eastAsia"/>
          <w:color w:val="auto"/>
          <w:lang w:val="pt-BR"/>
        </w:rPr>
        <w:t xml:space="preserve">         本项目与《清单》对比分析一览表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638"/>
        <w:gridCol w:w="623"/>
        <w:gridCol w:w="623"/>
        <w:gridCol w:w="699"/>
        <w:gridCol w:w="3230"/>
        <w:gridCol w:w="2044"/>
        <w:gridCol w:w="5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379" w:type="pct"/>
            <w:shd w:val="clear" w:color="auto" w:fill="auto"/>
            <w:vAlign w:val="center"/>
          </w:tcPr>
          <w:p>
            <w:pPr>
              <w:pStyle w:val="182"/>
              <w:bidi w:val="0"/>
              <w:rPr>
                <w:b/>
                <w:bCs/>
                <w:color w:val="auto"/>
              </w:rPr>
            </w:pPr>
            <w:r>
              <w:rPr>
                <w:b/>
                <w:bCs/>
                <w:color w:val="auto"/>
              </w:rPr>
              <w:t>行政区划</w:t>
            </w:r>
          </w:p>
        </w:tc>
        <w:tc>
          <w:tcPr>
            <w:tcW w:w="370" w:type="pct"/>
            <w:vAlign w:val="center"/>
          </w:tcPr>
          <w:p>
            <w:pPr>
              <w:pStyle w:val="182"/>
              <w:bidi w:val="0"/>
              <w:rPr>
                <w:b/>
                <w:bCs/>
                <w:color w:val="auto"/>
              </w:rPr>
            </w:pPr>
            <w:r>
              <w:rPr>
                <w:b/>
                <w:bCs/>
                <w:color w:val="auto"/>
              </w:rPr>
              <w:t>环境管控单元名称</w:t>
            </w:r>
          </w:p>
        </w:tc>
        <w:tc>
          <w:tcPr>
            <w:tcW w:w="370" w:type="pct"/>
            <w:shd w:val="clear" w:color="auto" w:fill="auto"/>
            <w:vAlign w:val="center"/>
          </w:tcPr>
          <w:p>
            <w:pPr>
              <w:pStyle w:val="182"/>
              <w:bidi w:val="0"/>
              <w:rPr>
                <w:b/>
                <w:bCs/>
                <w:color w:val="auto"/>
              </w:rPr>
            </w:pPr>
            <w:r>
              <w:rPr>
                <w:b/>
                <w:bCs/>
                <w:color w:val="auto"/>
              </w:rPr>
              <w:t>管控单元分类</w:t>
            </w:r>
          </w:p>
        </w:tc>
        <w:tc>
          <w:tcPr>
            <w:tcW w:w="2333" w:type="pct"/>
            <w:gridSpan w:val="2"/>
            <w:shd w:val="clear" w:color="auto" w:fill="auto"/>
            <w:vAlign w:val="center"/>
          </w:tcPr>
          <w:p>
            <w:pPr>
              <w:pStyle w:val="182"/>
              <w:bidi w:val="0"/>
              <w:rPr>
                <w:b/>
                <w:bCs/>
                <w:color w:val="auto"/>
              </w:rPr>
            </w:pPr>
            <w:r>
              <w:rPr>
                <w:b/>
                <w:bCs/>
                <w:color w:val="auto"/>
              </w:rPr>
              <w:t>管控要求</w:t>
            </w:r>
          </w:p>
        </w:tc>
        <w:tc>
          <w:tcPr>
            <w:tcW w:w="1214" w:type="pct"/>
            <w:shd w:val="clear" w:color="auto" w:fill="auto"/>
            <w:vAlign w:val="center"/>
          </w:tcPr>
          <w:p>
            <w:pPr>
              <w:pStyle w:val="182"/>
              <w:bidi w:val="0"/>
              <w:rPr>
                <w:b/>
                <w:bCs/>
                <w:color w:val="auto"/>
              </w:rPr>
            </w:pPr>
            <w:r>
              <w:rPr>
                <w:b/>
                <w:bCs/>
                <w:color w:val="auto"/>
              </w:rPr>
              <w:t>本项目情况</w:t>
            </w:r>
          </w:p>
        </w:tc>
        <w:tc>
          <w:tcPr>
            <w:tcW w:w="334" w:type="pct"/>
            <w:shd w:val="clear" w:color="auto" w:fill="auto"/>
            <w:vAlign w:val="center"/>
          </w:tcPr>
          <w:p>
            <w:pPr>
              <w:pStyle w:val="182"/>
              <w:bidi w:val="0"/>
              <w:rPr>
                <w:b/>
                <w:bCs/>
                <w:color w:val="auto"/>
              </w:rPr>
            </w:pPr>
            <w:r>
              <w:rPr>
                <w:rFonts w:hint="eastAsia"/>
                <w:b/>
                <w:bCs/>
                <w:color w:val="auto"/>
              </w:rPr>
              <w:t>是否</w:t>
            </w:r>
            <w:r>
              <w:rPr>
                <w:b/>
                <w:bCs/>
                <w:color w:val="auto"/>
              </w:rPr>
              <w:t>符合</w:t>
            </w:r>
            <w:r>
              <w:rPr>
                <w:rFonts w:hint="eastAsia"/>
                <w:b/>
                <w:bCs/>
                <w:color w:val="auto"/>
              </w:rPr>
              <w:t>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9" w:type="pct"/>
            <w:vMerge w:val="restart"/>
            <w:shd w:val="clear" w:color="auto" w:fill="auto"/>
            <w:vAlign w:val="center"/>
          </w:tcPr>
          <w:p>
            <w:pPr>
              <w:pStyle w:val="182"/>
              <w:bidi w:val="0"/>
              <w:rPr>
                <w:color w:val="auto"/>
              </w:rPr>
            </w:pPr>
            <w:r>
              <w:rPr>
                <w:color w:val="auto"/>
              </w:rPr>
              <w:t>河南省新乡市</w:t>
            </w:r>
            <w:r>
              <w:rPr>
                <w:rFonts w:hint="eastAsia"/>
                <w:color w:val="auto"/>
              </w:rPr>
              <w:t>新乡经济技术开发区</w:t>
            </w:r>
          </w:p>
        </w:tc>
        <w:tc>
          <w:tcPr>
            <w:tcW w:w="370" w:type="pct"/>
            <w:vMerge w:val="restart"/>
            <w:vAlign w:val="center"/>
          </w:tcPr>
          <w:p>
            <w:pPr>
              <w:pStyle w:val="182"/>
              <w:bidi w:val="0"/>
              <w:rPr>
                <w:color w:val="auto"/>
              </w:rPr>
            </w:pPr>
            <w:r>
              <w:rPr>
                <w:color w:val="auto"/>
              </w:rPr>
              <w:t>新乡工业产业集聚区</w:t>
            </w:r>
          </w:p>
        </w:tc>
        <w:tc>
          <w:tcPr>
            <w:tcW w:w="370" w:type="pct"/>
            <w:vMerge w:val="restart"/>
            <w:shd w:val="clear" w:color="auto" w:fill="auto"/>
            <w:vAlign w:val="center"/>
          </w:tcPr>
          <w:p>
            <w:pPr>
              <w:pStyle w:val="182"/>
              <w:bidi w:val="0"/>
              <w:rPr>
                <w:color w:val="auto"/>
              </w:rPr>
            </w:pPr>
            <w:r>
              <w:rPr>
                <w:color w:val="auto"/>
              </w:rPr>
              <w:t>重点管控单元</w:t>
            </w:r>
            <w:r>
              <w:rPr>
                <w:rFonts w:hint="eastAsia"/>
                <w:color w:val="auto"/>
              </w:rPr>
              <w:t>2</w:t>
            </w:r>
          </w:p>
        </w:tc>
        <w:tc>
          <w:tcPr>
            <w:tcW w:w="415" w:type="pct"/>
            <w:vMerge w:val="restart"/>
            <w:shd w:val="clear" w:color="auto" w:fill="auto"/>
            <w:vAlign w:val="center"/>
          </w:tcPr>
          <w:p>
            <w:pPr>
              <w:pStyle w:val="182"/>
              <w:bidi w:val="0"/>
              <w:rPr>
                <w:color w:val="auto"/>
              </w:rPr>
            </w:pPr>
            <w:r>
              <w:rPr>
                <w:color w:val="auto"/>
              </w:rPr>
              <w:t>空间布局约束</w:t>
            </w:r>
          </w:p>
        </w:tc>
        <w:tc>
          <w:tcPr>
            <w:tcW w:w="1918" w:type="pct"/>
            <w:shd w:val="clear" w:color="auto" w:fill="auto"/>
            <w:vAlign w:val="center"/>
          </w:tcPr>
          <w:p>
            <w:pPr>
              <w:pStyle w:val="182"/>
              <w:bidi w:val="0"/>
              <w:rPr>
                <w:color w:val="auto"/>
              </w:rPr>
            </w:pPr>
            <w:r>
              <w:rPr>
                <w:rFonts w:hint="eastAsia"/>
                <w:color w:val="auto"/>
              </w:rPr>
              <w:t>1、禁止新建、改建及扩建高排放、高污染项目，包括钢铁、有色、水泥、平板玻璃、建筑陶瓷等行业及其他排放重金属、持久性有机污染物的工业项目等。</w:t>
            </w:r>
          </w:p>
        </w:tc>
        <w:tc>
          <w:tcPr>
            <w:tcW w:w="1214" w:type="pct"/>
            <w:shd w:val="clear" w:color="auto" w:fill="auto"/>
            <w:vAlign w:val="center"/>
          </w:tcPr>
          <w:p>
            <w:pPr>
              <w:pStyle w:val="182"/>
              <w:bidi w:val="0"/>
              <w:rPr>
                <w:color w:val="auto"/>
              </w:rPr>
            </w:pPr>
            <w:r>
              <w:rPr>
                <w:color w:val="auto"/>
              </w:rPr>
              <w:t>本项目</w:t>
            </w:r>
            <w:r>
              <w:rPr>
                <w:rFonts w:hint="eastAsia"/>
                <w:color w:val="auto"/>
              </w:rPr>
              <w:t>不属于高排放、高污染项目，钢铁、有色、水泥、平板玻璃、建筑陶瓷等行业，不涉及重金属及持久性有机污染物的排放。</w:t>
            </w:r>
          </w:p>
        </w:tc>
        <w:tc>
          <w:tcPr>
            <w:tcW w:w="334" w:type="pct"/>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9" w:type="pct"/>
            <w:vMerge w:val="continue"/>
            <w:shd w:val="clear" w:color="auto" w:fill="auto"/>
            <w:vAlign w:val="center"/>
          </w:tcPr>
          <w:p>
            <w:pPr>
              <w:pStyle w:val="182"/>
              <w:bidi w:val="0"/>
              <w:rPr>
                <w:color w:val="auto"/>
              </w:rPr>
            </w:pPr>
          </w:p>
        </w:tc>
        <w:tc>
          <w:tcPr>
            <w:tcW w:w="370" w:type="pct"/>
            <w:vMerge w:val="continue"/>
            <w:vAlign w:val="center"/>
          </w:tcPr>
          <w:p>
            <w:pPr>
              <w:pStyle w:val="182"/>
              <w:bidi w:val="0"/>
              <w:rPr>
                <w:color w:val="auto"/>
              </w:rPr>
            </w:pPr>
          </w:p>
        </w:tc>
        <w:tc>
          <w:tcPr>
            <w:tcW w:w="370" w:type="pct"/>
            <w:vMerge w:val="continue"/>
            <w:shd w:val="clear" w:color="auto" w:fill="auto"/>
            <w:vAlign w:val="center"/>
          </w:tcPr>
          <w:p>
            <w:pPr>
              <w:pStyle w:val="182"/>
              <w:bidi w:val="0"/>
              <w:rPr>
                <w:color w:val="auto"/>
              </w:rPr>
            </w:pPr>
          </w:p>
        </w:tc>
        <w:tc>
          <w:tcPr>
            <w:tcW w:w="415" w:type="pct"/>
            <w:vMerge w:val="continue"/>
            <w:shd w:val="clear" w:color="auto" w:fill="auto"/>
            <w:vAlign w:val="center"/>
          </w:tcPr>
          <w:p>
            <w:pPr>
              <w:pStyle w:val="182"/>
              <w:bidi w:val="0"/>
              <w:rPr>
                <w:color w:val="auto"/>
              </w:rPr>
            </w:pPr>
          </w:p>
        </w:tc>
        <w:tc>
          <w:tcPr>
            <w:tcW w:w="1918" w:type="pct"/>
            <w:shd w:val="clear" w:color="auto" w:fill="auto"/>
            <w:vAlign w:val="center"/>
          </w:tcPr>
          <w:p>
            <w:pPr>
              <w:pStyle w:val="182"/>
              <w:bidi w:val="0"/>
              <w:rPr>
                <w:color w:val="auto"/>
              </w:rPr>
            </w:pPr>
            <w:r>
              <w:rPr>
                <w:color w:val="auto"/>
              </w:rPr>
              <w:t>2、新建、改建、扩建“两高”项目须符合生态环境保护法律法规和相关法定规划，满足重点污染物排放总量控制、碳排放达峰目标、生态环境准入清单、相关规划环评和相应行业建设项目环境准入条件、环评文件审批原则要求</w:t>
            </w:r>
          </w:p>
        </w:tc>
        <w:tc>
          <w:tcPr>
            <w:tcW w:w="1214" w:type="pct"/>
            <w:shd w:val="clear" w:color="auto" w:fill="auto"/>
            <w:vAlign w:val="center"/>
          </w:tcPr>
          <w:p>
            <w:pPr>
              <w:pStyle w:val="182"/>
              <w:bidi w:val="0"/>
              <w:rPr>
                <w:color w:val="auto"/>
              </w:rPr>
            </w:pPr>
            <w:r>
              <w:rPr>
                <w:color w:val="auto"/>
              </w:rPr>
              <w:t>本项目</w:t>
            </w:r>
            <w:r>
              <w:rPr>
                <w:rFonts w:hint="eastAsia"/>
                <w:color w:val="auto"/>
              </w:rPr>
              <w:t>属于生物基化学纤维制造业</w:t>
            </w:r>
            <w:r>
              <w:rPr>
                <w:color w:val="auto"/>
              </w:rPr>
              <w:t>，</w:t>
            </w:r>
            <w:r>
              <w:rPr>
                <w:rFonts w:hint="eastAsia"/>
                <w:color w:val="auto"/>
              </w:rPr>
              <w:t>不属于两高项目</w:t>
            </w:r>
            <w:r>
              <w:rPr>
                <w:color w:val="auto"/>
              </w:rPr>
              <w:t>。</w:t>
            </w:r>
          </w:p>
        </w:tc>
        <w:tc>
          <w:tcPr>
            <w:tcW w:w="334" w:type="pct"/>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9" w:type="pct"/>
            <w:vMerge w:val="continue"/>
            <w:shd w:val="clear" w:color="auto" w:fill="auto"/>
            <w:vAlign w:val="center"/>
          </w:tcPr>
          <w:p>
            <w:pPr>
              <w:pStyle w:val="182"/>
              <w:bidi w:val="0"/>
              <w:rPr>
                <w:color w:val="auto"/>
              </w:rPr>
            </w:pPr>
          </w:p>
        </w:tc>
        <w:tc>
          <w:tcPr>
            <w:tcW w:w="370" w:type="pct"/>
            <w:vMerge w:val="continue"/>
            <w:vAlign w:val="center"/>
          </w:tcPr>
          <w:p>
            <w:pPr>
              <w:pStyle w:val="182"/>
              <w:bidi w:val="0"/>
              <w:rPr>
                <w:color w:val="auto"/>
              </w:rPr>
            </w:pPr>
          </w:p>
        </w:tc>
        <w:tc>
          <w:tcPr>
            <w:tcW w:w="370" w:type="pct"/>
            <w:vMerge w:val="continue"/>
            <w:shd w:val="clear" w:color="auto" w:fill="auto"/>
            <w:vAlign w:val="center"/>
          </w:tcPr>
          <w:p>
            <w:pPr>
              <w:pStyle w:val="182"/>
              <w:bidi w:val="0"/>
              <w:rPr>
                <w:color w:val="auto"/>
              </w:rPr>
            </w:pPr>
          </w:p>
        </w:tc>
        <w:tc>
          <w:tcPr>
            <w:tcW w:w="415" w:type="pct"/>
            <w:vMerge w:val="restart"/>
            <w:shd w:val="clear" w:color="auto" w:fill="auto"/>
            <w:vAlign w:val="center"/>
          </w:tcPr>
          <w:p>
            <w:pPr>
              <w:pStyle w:val="182"/>
              <w:bidi w:val="0"/>
              <w:rPr>
                <w:color w:val="auto"/>
              </w:rPr>
            </w:pPr>
            <w:r>
              <w:rPr>
                <w:color w:val="auto"/>
              </w:rPr>
              <w:t>污染物排放管控</w:t>
            </w:r>
          </w:p>
        </w:tc>
        <w:tc>
          <w:tcPr>
            <w:tcW w:w="1918" w:type="pct"/>
            <w:shd w:val="clear" w:color="auto" w:fill="auto"/>
            <w:vAlign w:val="center"/>
          </w:tcPr>
          <w:p>
            <w:pPr>
              <w:pStyle w:val="182"/>
              <w:bidi w:val="0"/>
              <w:rPr>
                <w:b/>
                <w:bCs/>
                <w:color w:val="auto"/>
                <w:u w:val="single"/>
              </w:rPr>
            </w:pPr>
            <w:r>
              <w:rPr>
                <w:b/>
                <w:bCs/>
                <w:color w:val="auto"/>
                <w:u w:val="single"/>
              </w:rPr>
              <w:t>1、</w:t>
            </w:r>
            <w:r>
              <w:rPr>
                <w:rFonts w:hint="eastAsia"/>
                <w:b/>
                <w:bCs/>
                <w:color w:val="auto"/>
                <w:u w:val="single"/>
              </w:rPr>
              <w:t>二氧化硫、氮氧化物、颗粒物、VOCs全面执行大气污染物特别排放限值。</w:t>
            </w:r>
          </w:p>
        </w:tc>
        <w:tc>
          <w:tcPr>
            <w:tcW w:w="1214" w:type="pct"/>
            <w:shd w:val="clear" w:color="auto" w:fill="auto"/>
            <w:vAlign w:val="center"/>
          </w:tcPr>
          <w:p>
            <w:pPr>
              <w:pStyle w:val="182"/>
              <w:bidi w:val="0"/>
              <w:rPr>
                <w:b/>
                <w:bCs/>
                <w:color w:val="auto"/>
                <w:u w:val="single"/>
              </w:rPr>
            </w:pPr>
            <w:r>
              <w:rPr>
                <w:b/>
                <w:bCs/>
                <w:color w:val="auto"/>
                <w:u w:val="single"/>
              </w:rPr>
              <w:t>本项目</w:t>
            </w:r>
            <w:r>
              <w:rPr>
                <w:rFonts w:hint="eastAsia"/>
                <w:b/>
                <w:bCs/>
                <w:color w:val="auto"/>
                <w:u w:val="single"/>
              </w:rPr>
              <w:t>涉及颗粒物的排放，执行大气污染物特别排放限值。</w:t>
            </w:r>
          </w:p>
        </w:tc>
        <w:tc>
          <w:tcPr>
            <w:tcW w:w="334" w:type="pct"/>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9" w:type="pct"/>
            <w:vMerge w:val="continue"/>
            <w:shd w:val="clear" w:color="auto" w:fill="auto"/>
            <w:vAlign w:val="center"/>
          </w:tcPr>
          <w:p>
            <w:pPr>
              <w:pStyle w:val="182"/>
              <w:bidi w:val="0"/>
              <w:rPr>
                <w:color w:val="auto"/>
              </w:rPr>
            </w:pPr>
          </w:p>
        </w:tc>
        <w:tc>
          <w:tcPr>
            <w:tcW w:w="370" w:type="pct"/>
            <w:vMerge w:val="continue"/>
            <w:vAlign w:val="center"/>
          </w:tcPr>
          <w:p>
            <w:pPr>
              <w:pStyle w:val="182"/>
              <w:bidi w:val="0"/>
              <w:rPr>
                <w:color w:val="auto"/>
              </w:rPr>
            </w:pPr>
          </w:p>
        </w:tc>
        <w:tc>
          <w:tcPr>
            <w:tcW w:w="370" w:type="pct"/>
            <w:vMerge w:val="continue"/>
            <w:shd w:val="clear" w:color="auto" w:fill="auto"/>
            <w:vAlign w:val="center"/>
          </w:tcPr>
          <w:p>
            <w:pPr>
              <w:pStyle w:val="182"/>
              <w:bidi w:val="0"/>
              <w:rPr>
                <w:color w:val="auto"/>
              </w:rPr>
            </w:pPr>
          </w:p>
        </w:tc>
        <w:tc>
          <w:tcPr>
            <w:tcW w:w="415" w:type="pct"/>
            <w:vMerge w:val="continue"/>
            <w:shd w:val="clear" w:color="auto" w:fill="auto"/>
            <w:vAlign w:val="center"/>
          </w:tcPr>
          <w:p>
            <w:pPr>
              <w:pStyle w:val="182"/>
              <w:bidi w:val="0"/>
              <w:rPr>
                <w:color w:val="auto"/>
              </w:rPr>
            </w:pPr>
          </w:p>
        </w:tc>
        <w:tc>
          <w:tcPr>
            <w:tcW w:w="1918" w:type="pct"/>
            <w:shd w:val="clear" w:color="auto" w:fill="auto"/>
            <w:vAlign w:val="center"/>
          </w:tcPr>
          <w:p>
            <w:pPr>
              <w:pStyle w:val="182"/>
              <w:bidi w:val="0"/>
              <w:rPr>
                <w:color w:val="auto"/>
              </w:rPr>
            </w:pPr>
            <w:r>
              <w:rPr>
                <w:color w:val="auto"/>
              </w:rPr>
              <w:t>2、入区企业外排废水全部经管网收集后进入园区污水处理厂。园区污水处理厂逐步实施技改，出水执行《地表水环境质量标准》（GB3838-2002）Ⅴ类标准要求。</w:t>
            </w:r>
          </w:p>
        </w:tc>
        <w:tc>
          <w:tcPr>
            <w:tcW w:w="1214" w:type="pct"/>
            <w:shd w:val="clear" w:color="auto" w:fill="auto"/>
            <w:vAlign w:val="center"/>
          </w:tcPr>
          <w:p>
            <w:pPr>
              <w:pStyle w:val="182"/>
              <w:bidi w:val="0"/>
              <w:rPr>
                <w:color w:val="auto"/>
              </w:rPr>
            </w:pPr>
            <w:r>
              <w:rPr>
                <w:color w:val="auto"/>
              </w:rPr>
              <w:t>本项目</w:t>
            </w:r>
            <w:r>
              <w:rPr>
                <w:rFonts w:hint="eastAsia"/>
                <w:color w:val="auto"/>
              </w:rPr>
              <w:t>废水经化纤厂新厂区污水处理站处理后排入小店污水处理厂。小店污水处理厂</w:t>
            </w:r>
            <w:r>
              <w:rPr>
                <w:color w:val="auto"/>
              </w:rPr>
              <w:t>出水</w:t>
            </w:r>
            <w:r>
              <w:rPr>
                <w:rFonts w:hint="eastAsia"/>
                <w:color w:val="auto"/>
              </w:rPr>
              <w:t>满足</w:t>
            </w:r>
            <w:r>
              <w:rPr>
                <w:color w:val="auto"/>
              </w:rPr>
              <w:t>《地表水环境质量标准》（GB3838-2002）Ⅴ类标准要求。</w:t>
            </w:r>
          </w:p>
        </w:tc>
        <w:tc>
          <w:tcPr>
            <w:tcW w:w="334" w:type="pct"/>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9" w:type="pct"/>
            <w:vMerge w:val="continue"/>
            <w:shd w:val="clear" w:color="auto" w:fill="auto"/>
            <w:vAlign w:val="center"/>
          </w:tcPr>
          <w:p>
            <w:pPr>
              <w:pStyle w:val="182"/>
              <w:bidi w:val="0"/>
              <w:rPr>
                <w:color w:val="auto"/>
              </w:rPr>
            </w:pPr>
          </w:p>
        </w:tc>
        <w:tc>
          <w:tcPr>
            <w:tcW w:w="370" w:type="pct"/>
            <w:vMerge w:val="continue"/>
            <w:vAlign w:val="center"/>
          </w:tcPr>
          <w:p>
            <w:pPr>
              <w:pStyle w:val="182"/>
              <w:bidi w:val="0"/>
              <w:rPr>
                <w:color w:val="auto"/>
              </w:rPr>
            </w:pPr>
          </w:p>
        </w:tc>
        <w:tc>
          <w:tcPr>
            <w:tcW w:w="370" w:type="pct"/>
            <w:vMerge w:val="continue"/>
            <w:shd w:val="clear" w:color="auto" w:fill="auto"/>
            <w:vAlign w:val="center"/>
          </w:tcPr>
          <w:p>
            <w:pPr>
              <w:pStyle w:val="182"/>
              <w:bidi w:val="0"/>
              <w:rPr>
                <w:color w:val="auto"/>
              </w:rPr>
            </w:pPr>
          </w:p>
        </w:tc>
        <w:tc>
          <w:tcPr>
            <w:tcW w:w="415" w:type="pct"/>
            <w:vMerge w:val="continue"/>
            <w:shd w:val="clear" w:color="auto" w:fill="auto"/>
            <w:vAlign w:val="center"/>
          </w:tcPr>
          <w:p>
            <w:pPr>
              <w:pStyle w:val="182"/>
              <w:bidi w:val="0"/>
              <w:rPr>
                <w:color w:val="auto"/>
              </w:rPr>
            </w:pPr>
          </w:p>
        </w:tc>
        <w:tc>
          <w:tcPr>
            <w:tcW w:w="1918" w:type="pct"/>
            <w:shd w:val="clear" w:color="auto" w:fill="auto"/>
            <w:vAlign w:val="center"/>
          </w:tcPr>
          <w:p>
            <w:pPr>
              <w:pStyle w:val="182"/>
              <w:bidi w:val="0"/>
              <w:rPr>
                <w:color w:val="auto"/>
              </w:rPr>
            </w:pPr>
            <w:r>
              <w:rPr>
                <w:rFonts w:hint="eastAsia"/>
                <w:color w:val="auto"/>
              </w:rPr>
              <w:t>3、新建“两高”项目应按照《关于加强重点行业建设项目区域削减措施监督管理的通知》要求，依据区域环境质量改善目标，制定配套区域污染物削减方案，采取有效的污染物区域削减措施，腾出足够的环境容量。</w:t>
            </w:r>
          </w:p>
        </w:tc>
        <w:tc>
          <w:tcPr>
            <w:tcW w:w="1214" w:type="pct"/>
            <w:shd w:val="clear" w:color="auto" w:fill="auto"/>
            <w:vAlign w:val="center"/>
          </w:tcPr>
          <w:p>
            <w:pPr>
              <w:pStyle w:val="182"/>
              <w:bidi w:val="0"/>
              <w:rPr>
                <w:color w:val="auto"/>
              </w:rPr>
            </w:pPr>
            <w:r>
              <w:rPr>
                <w:color w:val="auto"/>
              </w:rPr>
              <w:t>本项目</w:t>
            </w:r>
            <w:r>
              <w:rPr>
                <w:rFonts w:hint="eastAsia"/>
                <w:color w:val="auto"/>
              </w:rPr>
              <w:t>不属于两高项目</w:t>
            </w:r>
            <w:r>
              <w:rPr>
                <w:color w:val="auto"/>
              </w:rPr>
              <w:t>。</w:t>
            </w:r>
          </w:p>
        </w:tc>
        <w:tc>
          <w:tcPr>
            <w:tcW w:w="334" w:type="pct"/>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9" w:type="pct"/>
            <w:vMerge w:val="continue"/>
            <w:shd w:val="clear" w:color="auto" w:fill="auto"/>
            <w:vAlign w:val="center"/>
          </w:tcPr>
          <w:p>
            <w:pPr>
              <w:pStyle w:val="182"/>
              <w:bidi w:val="0"/>
              <w:rPr>
                <w:color w:val="auto"/>
              </w:rPr>
            </w:pPr>
          </w:p>
        </w:tc>
        <w:tc>
          <w:tcPr>
            <w:tcW w:w="370" w:type="pct"/>
            <w:vMerge w:val="continue"/>
            <w:vAlign w:val="center"/>
          </w:tcPr>
          <w:p>
            <w:pPr>
              <w:pStyle w:val="182"/>
              <w:bidi w:val="0"/>
              <w:rPr>
                <w:color w:val="auto"/>
              </w:rPr>
            </w:pPr>
          </w:p>
        </w:tc>
        <w:tc>
          <w:tcPr>
            <w:tcW w:w="370" w:type="pct"/>
            <w:vMerge w:val="continue"/>
            <w:shd w:val="clear" w:color="auto" w:fill="auto"/>
            <w:vAlign w:val="center"/>
          </w:tcPr>
          <w:p>
            <w:pPr>
              <w:pStyle w:val="182"/>
              <w:bidi w:val="0"/>
              <w:rPr>
                <w:color w:val="auto"/>
              </w:rPr>
            </w:pPr>
          </w:p>
        </w:tc>
        <w:tc>
          <w:tcPr>
            <w:tcW w:w="415" w:type="pct"/>
            <w:vMerge w:val="continue"/>
            <w:shd w:val="clear" w:color="auto" w:fill="auto"/>
            <w:vAlign w:val="center"/>
          </w:tcPr>
          <w:p>
            <w:pPr>
              <w:pStyle w:val="182"/>
              <w:bidi w:val="0"/>
              <w:rPr>
                <w:color w:val="auto"/>
              </w:rPr>
            </w:pPr>
          </w:p>
        </w:tc>
        <w:tc>
          <w:tcPr>
            <w:tcW w:w="1918" w:type="pct"/>
            <w:shd w:val="clear" w:color="auto" w:fill="auto"/>
            <w:vAlign w:val="center"/>
          </w:tcPr>
          <w:p>
            <w:pPr>
              <w:pStyle w:val="182"/>
              <w:bidi w:val="0"/>
              <w:rPr>
                <w:color w:val="auto"/>
              </w:rPr>
            </w:pPr>
            <w:r>
              <w:rPr>
                <w:rFonts w:hint="eastAsia"/>
                <w:color w:val="auto"/>
              </w:rPr>
              <w:t>4、新建耗煤项目还应严格按规定采取煤炭消费减量替代措施，不得使用高污染燃料作为煤炭减量替代措施。</w:t>
            </w:r>
          </w:p>
        </w:tc>
        <w:tc>
          <w:tcPr>
            <w:tcW w:w="1214" w:type="pct"/>
            <w:shd w:val="clear" w:color="auto" w:fill="auto"/>
            <w:vAlign w:val="center"/>
          </w:tcPr>
          <w:p>
            <w:pPr>
              <w:pStyle w:val="182"/>
              <w:bidi w:val="0"/>
              <w:rPr>
                <w:color w:val="auto"/>
              </w:rPr>
            </w:pPr>
            <w:r>
              <w:rPr>
                <w:color w:val="auto"/>
              </w:rPr>
              <w:t>本项目</w:t>
            </w:r>
            <w:r>
              <w:rPr>
                <w:rFonts w:hint="eastAsia"/>
                <w:color w:val="auto"/>
              </w:rPr>
              <w:t>不</w:t>
            </w:r>
            <w:r>
              <w:rPr>
                <w:color w:val="auto"/>
              </w:rPr>
              <w:t>属于</w:t>
            </w:r>
            <w:r>
              <w:rPr>
                <w:rFonts w:hint="eastAsia"/>
                <w:color w:val="auto"/>
              </w:rPr>
              <w:t>新建耗煤项目。</w:t>
            </w:r>
          </w:p>
        </w:tc>
        <w:tc>
          <w:tcPr>
            <w:tcW w:w="334" w:type="pct"/>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9" w:type="pct"/>
            <w:vMerge w:val="continue"/>
            <w:shd w:val="clear" w:color="auto" w:fill="auto"/>
            <w:vAlign w:val="center"/>
          </w:tcPr>
          <w:p>
            <w:pPr>
              <w:pStyle w:val="182"/>
              <w:bidi w:val="0"/>
              <w:rPr>
                <w:color w:val="auto"/>
              </w:rPr>
            </w:pPr>
          </w:p>
        </w:tc>
        <w:tc>
          <w:tcPr>
            <w:tcW w:w="370" w:type="pct"/>
            <w:vMerge w:val="continue"/>
            <w:vAlign w:val="center"/>
          </w:tcPr>
          <w:p>
            <w:pPr>
              <w:pStyle w:val="182"/>
              <w:bidi w:val="0"/>
              <w:rPr>
                <w:color w:val="auto"/>
              </w:rPr>
            </w:pPr>
          </w:p>
        </w:tc>
        <w:tc>
          <w:tcPr>
            <w:tcW w:w="370" w:type="pct"/>
            <w:vMerge w:val="continue"/>
            <w:shd w:val="clear" w:color="auto" w:fill="auto"/>
            <w:vAlign w:val="center"/>
          </w:tcPr>
          <w:p>
            <w:pPr>
              <w:pStyle w:val="182"/>
              <w:bidi w:val="0"/>
              <w:rPr>
                <w:color w:val="auto"/>
              </w:rPr>
            </w:pPr>
          </w:p>
        </w:tc>
        <w:tc>
          <w:tcPr>
            <w:tcW w:w="415" w:type="pct"/>
            <w:vMerge w:val="continue"/>
            <w:shd w:val="clear" w:color="auto" w:fill="auto"/>
            <w:vAlign w:val="center"/>
          </w:tcPr>
          <w:p>
            <w:pPr>
              <w:pStyle w:val="182"/>
              <w:bidi w:val="0"/>
              <w:rPr>
                <w:color w:val="auto"/>
              </w:rPr>
            </w:pPr>
          </w:p>
        </w:tc>
        <w:tc>
          <w:tcPr>
            <w:tcW w:w="1918" w:type="pct"/>
            <w:shd w:val="clear" w:color="auto" w:fill="auto"/>
            <w:vAlign w:val="center"/>
          </w:tcPr>
          <w:p>
            <w:pPr>
              <w:pStyle w:val="182"/>
              <w:bidi w:val="0"/>
              <w:rPr>
                <w:color w:val="auto"/>
              </w:rPr>
            </w:pPr>
            <w:r>
              <w:rPr>
                <w:rFonts w:hint="eastAsia"/>
                <w:color w:val="auto"/>
              </w:rPr>
              <w:t>5、已出台超低排放要求的“两高”行业建设项目应满足超低排放要求。</w:t>
            </w:r>
          </w:p>
        </w:tc>
        <w:tc>
          <w:tcPr>
            <w:tcW w:w="1214" w:type="pct"/>
            <w:shd w:val="clear" w:color="auto" w:fill="auto"/>
            <w:vAlign w:val="center"/>
          </w:tcPr>
          <w:p>
            <w:pPr>
              <w:pStyle w:val="182"/>
              <w:bidi w:val="0"/>
              <w:rPr>
                <w:color w:val="auto"/>
              </w:rPr>
            </w:pPr>
            <w:r>
              <w:rPr>
                <w:color w:val="auto"/>
              </w:rPr>
              <w:t>本项目属于</w:t>
            </w:r>
            <w:r>
              <w:rPr>
                <w:rFonts w:hint="eastAsia"/>
                <w:color w:val="auto"/>
              </w:rPr>
              <w:t>不属于两高项目</w:t>
            </w:r>
            <w:r>
              <w:rPr>
                <w:color w:val="auto"/>
              </w:rPr>
              <w:t>。</w:t>
            </w:r>
          </w:p>
        </w:tc>
        <w:tc>
          <w:tcPr>
            <w:tcW w:w="334" w:type="pct"/>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9" w:type="pct"/>
            <w:vMerge w:val="continue"/>
            <w:shd w:val="clear" w:color="auto" w:fill="auto"/>
            <w:vAlign w:val="center"/>
          </w:tcPr>
          <w:p>
            <w:pPr>
              <w:pStyle w:val="182"/>
              <w:bidi w:val="0"/>
              <w:rPr>
                <w:color w:val="auto"/>
              </w:rPr>
            </w:pPr>
          </w:p>
        </w:tc>
        <w:tc>
          <w:tcPr>
            <w:tcW w:w="370" w:type="pct"/>
            <w:vMerge w:val="continue"/>
            <w:vAlign w:val="center"/>
          </w:tcPr>
          <w:p>
            <w:pPr>
              <w:pStyle w:val="182"/>
              <w:bidi w:val="0"/>
              <w:rPr>
                <w:color w:val="auto"/>
              </w:rPr>
            </w:pPr>
          </w:p>
        </w:tc>
        <w:tc>
          <w:tcPr>
            <w:tcW w:w="370" w:type="pct"/>
            <w:vMerge w:val="continue"/>
            <w:shd w:val="clear" w:color="auto" w:fill="auto"/>
            <w:vAlign w:val="center"/>
          </w:tcPr>
          <w:p>
            <w:pPr>
              <w:pStyle w:val="182"/>
              <w:bidi w:val="0"/>
              <w:rPr>
                <w:color w:val="auto"/>
              </w:rPr>
            </w:pPr>
          </w:p>
        </w:tc>
        <w:tc>
          <w:tcPr>
            <w:tcW w:w="415" w:type="pct"/>
            <w:shd w:val="clear" w:color="auto" w:fill="auto"/>
            <w:vAlign w:val="center"/>
          </w:tcPr>
          <w:p>
            <w:pPr>
              <w:pStyle w:val="182"/>
              <w:bidi w:val="0"/>
              <w:rPr>
                <w:color w:val="auto"/>
              </w:rPr>
            </w:pPr>
            <w:r>
              <w:rPr>
                <w:color w:val="auto"/>
              </w:rPr>
              <w:t>环境风险防控</w:t>
            </w:r>
          </w:p>
        </w:tc>
        <w:tc>
          <w:tcPr>
            <w:tcW w:w="1918" w:type="pct"/>
            <w:shd w:val="clear" w:color="auto" w:fill="auto"/>
            <w:vAlign w:val="center"/>
          </w:tcPr>
          <w:p>
            <w:pPr>
              <w:pStyle w:val="182"/>
              <w:bidi w:val="0"/>
              <w:rPr>
                <w:color w:val="auto"/>
              </w:rPr>
            </w:pPr>
            <w:r>
              <w:rPr>
                <w:color w:val="auto"/>
              </w:rPr>
              <w:t>完善园区级综合环境应急预案</w:t>
            </w:r>
            <w:r>
              <w:rPr>
                <w:rFonts w:hint="eastAsia"/>
                <w:color w:val="auto"/>
              </w:rPr>
              <w:t>，有计划地组织应急培训和演练，全面提升园区风险防控和事故应急处置能力。</w:t>
            </w:r>
          </w:p>
        </w:tc>
        <w:tc>
          <w:tcPr>
            <w:tcW w:w="1214" w:type="pct"/>
            <w:shd w:val="clear" w:color="auto" w:fill="auto"/>
            <w:vAlign w:val="center"/>
          </w:tcPr>
          <w:p>
            <w:pPr>
              <w:pStyle w:val="182"/>
              <w:bidi w:val="0"/>
              <w:rPr>
                <w:color w:val="auto"/>
              </w:rPr>
            </w:pPr>
            <w:r>
              <w:rPr>
                <w:rFonts w:hint="eastAsia"/>
                <w:color w:val="auto"/>
              </w:rPr>
              <w:t>符合园区管理要求。</w:t>
            </w:r>
          </w:p>
        </w:tc>
        <w:tc>
          <w:tcPr>
            <w:tcW w:w="334" w:type="pct"/>
            <w:shd w:val="clear" w:color="auto" w:fill="auto"/>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9" w:type="pct"/>
            <w:vMerge w:val="continue"/>
            <w:shd w:val="clear" w:color="auto" w:fill="auto"/>
            <w:vAlign w:val="center"/>
          </w:tcPr>
          <w:p>
            <w:pPr>
              <w:pStyle w:val="182"/>
              <w:bidi w:val="0"/>
              <w:rPr>
                <w:color w:val="auto"/>
              </w:rPr>
            </w:pPr>
          </w:p>
        </w:tc>
        <w:tc>
          <w:tcPr>
            <w:tcW w:w="370" w:type="pct"/>
            <w:vMerge w:val="continue"/>
            <w:vAlign w:val="center"/>
          </w:tcPr>
          <w:p>
            <w:pPr>
              <w:pStyle w:val="182"/>
              <w:bidi w:val="0"/>
              <w:rPr>
                <w:color w:val="auto"/>
              </w:rPr>
            </w:pPr>
          </w:p>
        </w:tc>
        <w:tc>
          <w:tcPr>
            <w:tcW w:w="370" w:type="pct"/>
            <w:vMerge w:val="continue"/>
            <w:shd w:val="clear" w:color="auto" w:fill="auto"/>
            <w:vAlign w:val="center"/>
          </w:tcPr>
          <w:p>
            <w:pPr>
              <w:pStyle w:val="182"/>
              <w:bidi w:val="0"/>
              <w:rPr>
                <w:color w:val="auto"/>
              </w:rPr>
            </w:pPr>
          </w:p>
        </w:tc>
        <w:tc>
          <w:tcPr>
            <w:tcW w:w="415" w:type="pct"/>
            <w:shd w:val="clear" w:color="auto" w:fill="auto"/>
            <w:vAlign w:val="center"/>
          </w:tcPr>
          <w:p>
            <w:pPr>
              <w:pStyle w:val="182"/>
              <w:bidi w:val="0"/>
              <w:rPr>
                <w:color w:val="auto"/>
              </w:rPr>
            </w:pPr>
            <w:r>
              <w:rPr>
                <w:color w:val="auto"/>
              </w:rPr>
              <w:t>资源利用效率要求</w:t>
            </w:r>
          </w:p>
        </w:tc>
        <w:tc>
          <w:tcPr>
            <w:tcW w:w="1918" w:type="pct"/>
            <w:shd w:val="clear" w:color="auto" w:fill="auto"/>
            <w:vAlign w:val="center"/>
          </w:tcPr>
          <w:p>
            <w:pPr>
              <w:pStyle w:val="182"/>
              <w:bidi w:val="0"/>
              <w:rPr>
                <w:color w:val="auto"/>
              </w:rPr>
            </w:pPr>
            <w:r>
              <w:rPr>
                <w:rFonts w:hint="eastAsia"/>
                <w:color w:val="auto"/>
              </w:rPr>
              <w:t>进一步优化能源结构，逐步实施集中供热和供气，加快集中供热设施及配套管网建设。</w:t>
            </w:r>
          </w:p>
        </w:tc>
        <w:tc>
          <w:tcPr>
            <w:tcW w:w="1214" w:type="pct"/>
            <w:shd w:val="clear" w:color="auto" w:fill="auto"/>
            <w:vAlign w:val="center"/>
          </w:tcPr>
          <w:p>
            <w:pPr>
              <w:pStyle w:val="182"/>
              <w:bidi w:val="0"/>
              <w:rPr>
                <w:color w:val="auto"/>
              </w:rPr>
            </w:pPr>
            <w:r>
              <w:rPr>
                <w:rFonts w:hint="eastAsia"/>
                <w:color w:val="auto"/>
              </w:rPr>
              <w:t>本项目蒸汽依托化纤厂新厂区供热锅炉。符合园区管理要求。</w:t>
            </w:r>
          </w:p>
        </w:tc>
        <w:tc>
          <w:tcPr>
            <w:tcW w:w="334" w:type="pct"/>
            <w:shd w:val="clear" w:color="auto" w:fill="auto"/>
            <w:vAlign w:val="center"/>
          </w:tcPr>
          <w:p>
            <w:pPr>
              <w:pStyle w:val="182"/>
              <w:bidi w:val="0"/>
              <w:rPr>
                <w:color w:val="auto"/>
              </w:rPr>
            </w:pPr>
            <w:r>
              <w:rPr>
                <w:rFonts w:hint="eastAsia"/>
                <w:color w:val="auto"/>
              </w:rPr>
              <w:t>符合</w:t>
            </w:r>
          </w:p>
        </w:tc>
      </w:tr>
    </w:tbl>
    <w:p>
      <w:pPr>
        <w:bidi w:val="0"/>
        <w:rPr>
          <w:color w:val="auto"/>
          <w:kern w:val="0"/>
          <w:szCs w:val="21"/>
        </w:rPr>
      </w:pPr>
      <w:r>
        <w:rPr>
          <w:rFonts w:hint="eastAsia"/>
          <w:color w:val="auto"/>
        </w:rPr>
        <w:t>由上表可知，由上表可知，本项目符合《新乡市“三线一单”生态环境准入清单》（试行的函）的相关要求。</w:t>
      </w:r>
    </w:p>
    <w:p>
      <w:pPr>
        <w:contextualSpacing/>
        <w:jc w:val="center"/>
        <w:textAlignment w:val="baseline"/>
        <w:rPr>
          <w:color w:val="auto"/>
          <w:kern w:val="0"/>
          <w:szCs w:val="21"/>
        </w:rPr>
      </w:pPr>
    </w:p>
    <w:p>
      <w:pPr>
        <w:contextualSpacing/>
        <w:jc w:val="center"/>
        <w:textAlignment w:val="baseline"/>
        <w:rPr>
          <w:color w:val="auto"/>
          <w:kern w:val="0"/>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26" w:charSpace="0"/>
        </w:sectPr>
      </w:pPr>
    </w:p>
    <w:p>
      <w:pPr>
        <w:pStyle w:val="9"/>
        <w:bidi w:val="0"/>
        <w:rPr>
          <w:color w:val="auto"/>
          <w:lang w:val="en-US" w:eastAsia="zh-CN"/>
        </w:rPr>
      </w:pPr>
      <w:r>
        <w:rPr>
          <w:color w:val="auto"/>
        </w:rPr>
        <w:t>2.11.</w:t>
      </w:r>
      <w:r>
        <w:rPr>
          <w:rFonts w:hint="eastAsia"/>
          <w:color w:val="auto"/>
          <w:lang w:val="en-US" w:eastAsia="zh-CN"/>
        </w:rPr>
        <w:t>5与</w:t>
      </w:r>
      <w:r>
        <w:rPr>
          <w:color w:val="auto"/>
          <w:lang w:val="en-US" w:eastAsia="zh-CN"/>
        </w:rPr>
        <w:t>《</w:t>
      </w:r>
      <w:r>
        <w:rPr>
          <w:rFonts w:hint="eastAsia"/>
          <w:color w:val="auto"/>
          <w:lang w:val="en-US" w:eastAsia="zh-CN"/>
        </w:rPr>
        <w:t>202</w:t>
      </w:r>
      <w:r>
        <w:rPr>
          <w:color w:val="auto"/>
          <w:lang w:val="en-US" w:eastAsia="zh-CN"/>
        </w:rPr>
        <w:t>1</w:t>
      </w:r>
      <w:r>
        <w:rPr>
          <w:rFonts w:hint="eastAsia"/>
          <w:color w:val="auto"/>
          <w:lang w:val="en-US" w:eastAsia="zh-CN"/>
        </w:rPr>
        <w:t>—</w:t>
      </w:r>
      <w:r>
        <w:rPr>
          <w:color w:val="auto"/>
          <w:lang w:val="en-US" w:eastAsia="zh-CN"/>
        </w:rPr>
        <w:t>2022年秋冬季大气污染综合治理攻坚方案》（</w:t>
      </w:r>
      <w:r>
        <w:rPr>
          <w:rFonts w:hint="eastAsia"/>
          <w:color w:val="auto"/>
          <w:lang w:val="en-US" w:eastAsia="zh-CN"/>
        </w:rPr>
        <w:t>环大气</w:t>
      </w:r>
      <w:r>
        <w:rPr>
          <w:color w:val="auto"/>
          <w:lang w:val="en-US" w:eastAsia="zh-CN"/>
        </w:rPr>
        <w:t>[20</w:t>
      </w:r>
      <w:r>
        <w:rPr>
          <w:rFonts w:hint="eastAsia"/>
          <w:color w:val="auto"/>
          <w:lang w:val="en-US" w:eastAsia="zh-CN"/>
        </w:rPr>
        <w:t>2</w:t>
      </w:r>
      <w:r>
        <w:rPr>
          <w:color w:val="auto"/>
          <w:lang w:val="en-US" w:eastAsia="zh-CN"/>
        </w:rPr>
        <w:t>1]104号）对比分析</w:t>
      </w:r>
    </w:p>
    <w:p>
      <w:pPr>
        <w:bidi w:val="0"/>
        <w:rPr>
          <w:color w:val="auto"/>
        </w:rPr>
      </w:pPr>
      <w:r>
        <w:rPr>
          <w:rFonts w:hint="eastAsia"/>
          <w:color w:val="auto"/>
        </w:rPr>
        <w:t>本项目与</w:t>
      </w:r>
      <w:r>
        <w:rPr>
          <w:color w:val="auto"/>
        </w:rPr>
        <w:t>《攻坚行动方案》</w:t>
      </w:r>
      <w:r>
        <w:rPr>
          <w:rFonts w:hint="eastAsia"/>
          <w:color w:val="auto"/>
        </w:rPr>
        <w:t>相符性分析见下表：</w:t>
      </w:r>
    </w:p>
    <w:p>
      <w:pPr>
        <w:pStyle w:val="181"/>
        <w:bidi w:val="0"/>
        <w:rPr>
          <w:color w:val="auto"/>
          <w:lang w:val="pt-BR"/>
        </w:rPr>
      </w:pPr>
      <w:r>
        <w:rPr>
          <w:color w:val="auto"/>
          <w:lang w:val="pt-BR"/>
        </w:rPr>
        <w:t>表</w:t>
      </w:r>
      <w:r>
        <w:rPr>
          <w:rFonts w:hint="eastAsia"/>
          <w:color w:val="auto"/>
          <w:lang w:val="pt-BR"/>
        </w:rPr>
        <w:t>2</w:t>
      </w:r>
      <w:r>
        <w:rPr>
          <w:rFonts w:hint="eastAsia"/>
          <w:color w:val="auto"/>
          <w:lang w:val="en-US" w:eastAsia="zh-CN"/>
        </w:rPr>
        <w:t>.11</w:t>
      </w:r>
      <w:r>
        <w:rPr>
          <w:rFonts w:hint="eastAsia"/>
          <w:color w:val="auto"/>
          <w:lang w:val="pt-BR"/>
        </w:rPr>
        <w:t>-</w:t>
      </w:r>
      <w:r>
        <w:rPr>
          <w:rFonts w:hint="eastAsia"/>
          <w:color w:val="auto"/>
          <w:lang w:val="en-US" w:eastAsia="zh-CN"/>
        </w:rPr>
        <w:t>5</w:t>
      </w:r>
      <w:r>
        <w:rPr>
          <w:color w:val="auto"/>
          <w:lang w:val="pt-BR"/>
        </w:rPr>
        <w:t xml:space="preserve">        与</w:t>
      </w:r>
      <w:r>
        <w:rPr>
          <w:rFonts w:hint="eastAsia"/>
          <w:color w:val="auto"/>
        </w:rPr>
        <w:t>《环大气[2021]104号》</w:t>
      </w:r>
      <w:r>
        <w:rPr>
          <w:color w:val="auto"/>
          <w:lang w:val="pt-BR"/>
        </w:rPr>
        <w:t>对比分析一览表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5526"/>
        <w:gridCol w:w="1307"/>
        <w:gridCol w:w="73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Align w:val="center"/>
          </w:tcPr>
          <w:p>
            <w:pPr>
              <w:pStyle w:val="182"/>
              <w:bidi w:val="0"/>
              <w:rPr>
                <w:color w:val="auto"/>
              </w:rPr>
            </w:pPr>
            <w:r>
              <w:rPr>
                <w:rFonts w:hint="eastAsia"/>
                <w:color w:val="auto"/>
              </w:rPr>
              <w:t>项目</w:t>
            </w:r>
          </w:p>
        </w:tc>
        <w:tc>
          <w:tcPr>
            <w:tcW w:w="3242" w:type="pct"/>
            <w:vAlign w:val="center"/>
          </w:tcPr>
          <w:p>
            <w:pPr>
              <w:pStyle w:val="182"/>
              <w:bidi w:val="0"/>
              <w:rPr>
                <w:color w:val="auto"/>
              </w:rPr>
            </w:pPr>
            <w:r>
              <w:rPr>
                <w:rFonts w:hint="eastAsia"/>
                <w:color w:val="auto"/>
              </w:rPr>
              <w:t>实施方案</w:t>
            </w:r>
          </w:p>
        </w:tc>
        <w:tc>
          <w:tcPr>
            <w:tcW w:w="767" w:type="pct"/>
            <w:vAlign w:val="center"/>
          </w:tcPr>
          <w:p>
            <w:pPr>
              <w:pStyle w:val="182"/>
              <w:bidi w:val="0"/>
              <w:rPr>
                <w:color w:val="auto"/>
              </w:rPr>
            </w:pPr>
            <w:r>
              <w:rPr>
                <w:rFonts w:hint="eastAsia"/>
                <w:color w:val="auto"/>
              </w:rPr>
              <w:t>本项目建设情况</w:t>
            </w:r>
          </w:p>
        </w:tc>
        <w:tc>
          <w:tcPr>
            <w:tcW w:w="429" w:type="pct"/>
            <w:vAlign w:val="center"/>
          </w:tcPr>
          <w:p>
            <w:pPr>
              <w:pStyle w:val="182"/>
              <w:bidi w:val="0"/>
              <w:rPr>
                <w:color w:val="auto"/>
              </w:rPr>
            </w:pPr>
            <w:r>
              <w:rPr>
                <w:rFonts w:hint="eastAsia"/>
                <w:color w:val="auto"/>
              </w:rPr>
              <w:t>对比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Align w:val="center"/>
          </w:tcPr>
          <w:p>
            <w:pPr>
              <w:pStyle w:val="182"/>
              <w:bidi w:val="0"/>
              <w:rPr>
                <w:color w:val="auto"/>
              </w:rPr>
            </w:pPr>
            <w:r>
              <w:rPr>
                <w:rFonts w:hint="eastAsia"/>
                <w:color w:val="auto"/>
              </w:rPr>
              <w:t>（四）深入开展锅炉和炉窑综合整治</w:t>
            </w:r>
          </w:p>
        </w:tc>
        <w:tc>
          <w:tcPr>
            <w:tcW w:w="3242" w:type="pct"/>
            <w:vAlign w:val="center"/>
          </w:tcPr>
          <w:p>
            <w:pPr>
              <w:pStyle w:val="182"/>
              <w:bidi w:val="0"/>
              <w:rPr>
                <w:color w:val="auto"/>
              </w:rPr>
            </w:pPr>
            <w:r>
              <w:rPr>
                <w:rFonts w:hint="eastAsia"/>
                <w:color w:val="auto"/>
              </w:rPr>
              <w:t>加大燃煤锅炉（含茶水炉、经营性炉灶、储粮烘干设备等燃煤设施）、炉窑淘汰整治力度。在保证电力、热力、天然气供应前提下，加快推进热电联产机组供热半径</w:t>
            </w:r>
            <w:r>
              <w:rPr>
                <w:color w:val="auto"/>
              </w:rPr>
              <w:t>30</w:t>
            </w:r>
            <w:r>
              <w:rPr>
                <w:rFonts w:hint="eastAsia"/>
                <w:color w:val="auto"/>
              </w:rPr>
              <w:t>公里范围内燃煤锅炉及落后燃煤小热电关停整合。</w:t>
            </w:r>
            <w:r>
              <w:rPr>
                <w:color w:val="auto"/>
              </w:rPr>
              <w:t>2021</w:t>
            </w:r>
            <w:r>
              <w:rPr>
                <w:rFonts w:hint="eastAsia"/>
                <w:color w:val="auto"/>
              </w:rPr>
              <w:t>年</w:t>
            </w:r>
            <w:r>
              <w:rPr>
                <w:color w:val="auto"/>
              </w:rPr>
              <w:t>12</w:t>
            </w:r>
            <w:r>
              <w:rPr>
                <w:rFonts w:hint="eastAsia"/>
                <w:color w:val="auto"/>
              </w:rPr>
              <w:t>月底前，基本淘汰每小时</w:t>
            </w:r>
            <w:r>
              <w:rPr>
                <w:color w:val="auto"/>
              </w:rPr>
              <w:t>35</w:t>
            </w:r>
            <w:r>
              <w:rPr>
                <w:rFonts w:hint="eastAsia"/>
                <w:color w:val="auto"/>
              </w:rPr>
              <w:t>蒸吨以下的燃煤锅炉，保留的燃煤锅炉，要逐一建立清单台账。工业锅炉“煤改气”要坚持“以气定改、以供定需”，在落实供气合同的条件下有序推进。全面淘汰炉膛直径</w:t>
            </w:r>
            <w:r>
              <w:rPr>
                <w:color w:val="auto"/>
              </w:rPr>
              <w:t>3</w:t>
            </w:r>
            <w:r>
              <w:rPr>
                <w:rFonts w:hint="eastAsia"/>
                <w:color w:val="auto"/>
              </w:rPr>
              <w:t>米以下的燃料类煤气发生炉及达不到环保要求的间歇式固定床煤气发生炉，取缔燃煤热风炉；以煤炭为燃料的加热炉、热处理炉、干燥炉等改用工业余热或电能，鼓励铸造行业冲天炉（</w:t>
            </w:r>
            <w:r>
              <w:rPr>
                <w:color w:val="auto"/>
              </w:rPr>
              <w:t>10</w:t>
            </w:r>
            <w:r>
              <w:rPr>
                <w:rFonts w:hint="eastAsia"/>
                <w:color w:val="auto"/>
              </w:rPr>
              <w:t>吨</w:t>
            </w:r>
            <w:r>
              <w:rPr>
                <w:color w:val="auto"/>
              </w:rPr>
              <w:t>/</w:t>
            </w:r>
            <w:r>
              <w:rPr>
                <w:rFonts w:hint="eastAsia"/>
                <w:color w:val="auto"/>
              </w:rPr>
              <w:t>小时及以下）改为电炉，加快推动岩棉等行业冲天炉改为电炉。</w:t>
            </w:r>
          </w:p>
          <w:p>
            <w:pPr>
              <w:pStyle w:val="182"/>
              <w:bidi w:val="0"/>
              <w:rPr>
                <w:color w:val="auto"/>
              </w:rPr>
            </w:pPr>
            <w:r>
              <w:rPr>
                <w:rFonts w:hint="eastAsia"/>
                <w:color w:val="auto"/>
              </w:rPr>
              <w:t>实施锅炉、炉窑大气污染治理设施升级改造。各地要以采用低效治理设施的燃煤锅炉、生物质锅炉、煤气锅炉和工业炉窑为重点，开展锅炉、炉窑大气污染治理情况排查抽测，对不能稳定达标排放的督促整改。实施治污设施提效升级，采取脱硫除尘一体化、脱硫脱硝一体化等低效治理工艺的应进行升级治理，确保稳定达标排放。采用氧化镁、氨法、单碱法、双碱法等脱硫工艺的，在秋冬季前要完成一次检修，防止脱硫系统堵塞，确保脱硫设施稳定运行。推进燃气锅炉低氮燃烧改造，对低氮燃烧器、烟气再循环系统、分级燃烧系统、燃料及风量调配系统等关键部件要严把质量关，确保低氮燃烧系统稳定运行；推动燃气锅炉取消烟气再循环系统开关阀，确有必要保留的，可通过设置电动阀、气动阀或铅封等方式加强监管。生物质锅炉应采用专用锅炉，配套旋风</w:t>
            </w:r>
            <w:r>
              <w:rPr>
                <w:color w:val="auto"/>
              </w:rPr>
              <w:t>+</w:t>
            </w:r>
            <w:r>
              <w:rPr>
                <w:rFonts w:hint="eastAsia"/>
                <w:color w:val="auto"/>
              </w:rPr>
              <w:t>布袋等高效除尘设施，禁止掺烧煤炭、垃圾、工业固体废物等其他物料，氮氧化物浓度超过排放标准限值的应配备脱硝设施；推进重点地区城市建成区生物质锅炉超低排放改造；采用</w:t>
            </w:r>
            <w:r>
              <w:rPr>
                <w:color w:val="auto"/>
              </w:rPr>
              <w:t>SCR</w:t>
            </w:r>
            <w:r>
              <w:rPr>
                <w:rFonts w:hint="eastAsia"/>
                <w:color w:val="auto"/>
              </w:rPr>
              <w:t>脱硝工艺的，秋冬季前要对催化剂使用状况开展检查，确保脱硝系统良好稳定运行。煤气锅炉应采用精脱硫煤气为燃料或配备高效脱硫设施，氮氧化物浓度超过排放标准限值的应配备脱硝设施。</w:t>
            </w:r>
          </w:p>
        </w:tc>
        <w:tc>
          <w:tcPr>
            <w:tcW w:w="767" w:type="pct"/>
            <w:vAlign w:val="center"/>
          </w:tcPr>
          <w:p>
            <w:pPr>
              <w:pStyle w:val="182"/>
              <w:bidi w:val="0"/>
              <w:rPr>
                <w:color w:val="auto"/>
              </w:rPr>
            </w:pPr>
            <w:r>
              <w:rPr>
                <w:rFonts w:hint="eastAsia"/>
                <w:b/>
                <w:bCs/>
                <w:color w:val="auto"/>
                <w:u w:val="single"/>
              </w:rPr>
              <w:t>本项目不新建燃煤锅炉</w:t>
            </w:r>
            <w:r>
              <w:rPr>
                <w:rFonts w:hint="eastAsia"/>
                <w:color w:val="auto"/>
              </w:rPr>
              <w:t>。</w:t>
            </w:r>
          </w:p>
        </w:tc>
        <w:tc>
          <w:tcPr>
            <w:tcW w:w="429" w:type="pct"/>
            <w:vAlign w:val="center"/>
          </w:tcPr>
          <w:p>
            <w:pPr>
              <w:pStyle w:val="182"/>
              <w:bidi w:val="0"/>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Align w:val="center"/>
          </w:tcPr>
          <w:p>
            <w:pPr>
              <w:pStyle w:val="182"/>
              <w:bidi w:val="0"/>
              <w:rPr>
                <w:color w:val="auto"/>
              </w:rPr>
            </w:pPr>
            <w:r>
              <w:rPr>
                <w:rFonts w:hint="eastAsia"/>
                <w:color w:val="auto"/>
              </w:rPr>
              <w:t>（五）扎实推进VOCs治理突出问题排查整治</w:t>
            </w:r>
          </w:p>
        </w:tc>
        <w:tc>
          <w:tcPr>
            <w:tcW w:w="3242" w:type="pct"/>
            <w:vAlign w:val="center"/>
          </w:tcPr>
          <w:p>
            <w:pPr>
              <w:pStyle w:val="182"/>
              <w:bidi w:val="0"/>
              <w:rPr>
                <w:color w:val="auto"/>
              </w:rPr>
            </w:pPr>
            <w:r>
              <w:rPr>
                <w:rFonts w:hint="eastAsia"/>
                <w:color w:val="auto"/>
              </w:rPr>
              <w:t>严格落实《关于加快解决当前挥发性有机物治理突出问题的通知》有关要求，高质量完成排查治理工作。2021年10月底前，以石化、化工、工业涂装、包装印刷以及油品储运销为重点，结合本地特色产业，组织企业针对挥发性有机液体储罐、装卸、敞开液面、泄漏检测与修复、废气收集、废气旁路、治理设施、加油站、非正常工况、产品VOCs含量等10个关键环节完成一轮排查工作。在企业自查基础上，各地生态环境部门开展一轮检查抽测，对排污许可重点管理企业全覆盖。2021年12月底前，各地对检查抽测以及夏季臭氧污染防治监督帮扶工作中发现存在的突出问题，指导企业制定整改方案加快按照治理要求进行整治，提高VOCs治理工作的针对性和有效性，做到“夏病冬治”。加强国家和地方涂料、油墨、胶粘剂、清洗剂等产品VOCs含量限值标准执行情况的监督检查。培育树立一批VOCs治理的标杆企业，加大宣传力度，形成带动效应。</w:t>
            </w:r>
          </w:p>
        </w:tc>
        <w:tc>
          <w:tcPr>
            <w:tcW w:w="767" w:type="pct"/>
            <w:vAlign w:val="center"/>
          </w:tcPr>
          <w:p>
            <w:pPr>
              <w:pStyle w:val="182"/>
              <w:bidi w:val="0"/>
              <w:rPr>
                <w:color w:val="auto"/>
              </w:rPr>
            </w:pPr>
            <w:r>
              <w:rPr>
                <w:rFonts w:hint="eastAsia"/>
                <w:color w:val="auto"/>
              </w:rPr>
              <w:t>本项目为生物基材料制造，不属于石化、化工、工业涂装、包装印刷以及油品储运销项目，生产过程中</w:t>
            </w:r>
            <w:r>
              <w:rPr>
                <w:rFonts w:hint="eastAsia"/>
                <w:color w:val="auto"/>
                <w:lang w:val="en-US" w:eastAsia="zh-CN"/>
              </w:rPr>
              <w:t>不</w:t>
            </w:r>
            <w:r>
              <w:rPr>
                <w:rFonts w:hint="eastAsia"/>
                <w:color w:val="auto"/>
              </w:rPr>
              <w:t>产生有机废气。</w:t>
            </w:r>
          </w:p>
        </w:tc>
        <w:tc>
          <w:tcPr>
            <w:tcW w:w="429" w:type="pct"/>
            <w:vAlign w:val="center"/>
          </w:tcPr>
          <w:p>
            <w:pPr>
              <w:pStyle w:val="182"/>
              <w:bidi w:val="0"/>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Align w:val="center"/>
          </w:tcPr>
          <w:p>
            <w:pPr>
              <w:pStyle w:val="182"/>
              <w:bidi w:val="0"/>
              <w:rPr>
                <w:color w:val="auto"/>
              </w:rPr>
            </w:pPr>
            <w:r>
              <w:rPr>
                <w:rFonts w:hint="eastAsia"/>
                <w:color w:val="auto"/>
              </w:rPr>
              <w:t>（九）加强扬尘综合管控</w:t>
            </w:r>
          </w:p>
        </w:tc>
        <w:tc>
          <w:tcPr>
            <w:tcW w:w="3242" w:type="pct"/>
            <w:vAlign w:val="center"/>
          </w:tcPr>
          <w:p>
            <w:pPr>
              <w:pStyle w:val="182"/>
              <w:bidi w:val="0"/>
              <w:rPr>
                <w:color w:val="auto"/>
              </w:rPr>
            </w:pPr>
            <w:r>
              <w:rPr>
                <w:rFonts w:hint="eastAsia"/>
                <w:color w:val="auto"/>
              </w:rPr>
              <w:t>强化扬尘管控，鼓励各地细化降尘量控制要求，逐月实施区县降尘量监测排名。加强施工扬尘精细化管控，城市工地严格执行“六个百分之百”。强化道路扬尘整治，推进吸尘式机械化湿式清扫作业，加大城市外环路、城市出入口、</w:t>
            </w:r>
            <w:r>
              <w:rPr>
                <w:rFonts w:hint="eastAsia"/>
                <w:color w:val="auto"/>
                <w:lang w:eastAsia="zh-CN"/>
              </w:rPr>
              <w:t>城乡接合部</w:t>
            </w:r>
            <w:r>
              <w:rPr>
                <w:rFonts w:hint="eastAsia"/>
                <w:color w:val="auto"/>
              </w:rPr>
              <w:t>等重要路段冲洗保洁力度。对城市公共区域、长期未开发的建设裸地，以及废旧厂区、物流园、大型停车场等进行排查建档，采取绿化、硬化等措施及时整治扬尘。加强铁路沿线防尘网排查整治，不符合要求的及时更换，废弃的及时回收。</w:t>
            </w:r>
            <w:r>
              <w:rPr>
                <w:color w:val="auto"/>
              </w:rPr>
              <w:t>2021</w:t>
            </w:r>
            <w:r>
              <w:rPr>
                <w:rFonts w:hint="eastAsia"/>
                <w:color w:val="auto"/>
              </w:rPr>
              <w:t>年底前，沿海及内河大型煤炭、矿石等干散货码头和主要交通干线、铁路物料堆场全面完成抑尘设施建设和物料输送系统封闭改造。</w:t>
            </w:r>
          </w:p>
        </w:tc>
        <w:tc>
          <w:tcPr>
            <w:tcW w:w="767" w:type="pct"/>
            <w:vAlign w:val="center"/>
          </w:tcPr>
          <w:p>
            <w:pPr>
              <w:pStyle w:val="182"/>
              <w:bidi w:val="0"/>
              <w:rPr>
                <w:color w:val="auto"/>
              </w:rPr>
            </w:pPr>
            <w:r>
              <w:rPr>
                <w:rFonts w:hint="eastAsia"/>
                <w:b/>
                <w:bCs/>
                <w:color w:val="auto"/>
                <w:u w:val="single"/>
              </w:rPr>
              <w:t>本项目施工期将严格按照“</w:t>
            </w:r>
            <w:r>
              <w:rPr>
                <w:rFonts w:hint="eastAsia"/>
                <w:b/>
                <w:bCs/>
                <w:color w:val="auto"/>
                <w:u w:val="single"/>
                <w:lang w:val="en-US" w:eastAsia="zh-CN"/>
              </w:rPr>
              <w:t>六</w:t>
            </w:r>
            <w:r>
              <w:rPr>
                <w:rFonts w:hint="eastAsia"/>
                <w:b/>
                <w:bCs/>
                <w:color w:val="auto"/>
                <w:u w:val="single"/>
              </w:rPr>
              <w:t>个百分之百”要求施工。</w:t>
            </w:r>
          </w:p>
        </w:tc>
        <w:tc>
          <w:tcPr>
            <w:tcW w:w="429" w:type="pct"/>
            <w:vAlign w:val="center"/>
          </w:tcPr>
          <w:p>
            <w:pPr>
              <w:pStyle w:val="182"/>
              <w:bidi w:val="0"/>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Align w:val="center"/>
          </w:tcPr>
          <w:p>
            <w:pPr>
              <w:pStyle w:val="182"/>
              <w:bidi w:val="0"/>
              <w:rPr>
                <w:color w:val="auto"/>
              </w:rPr>
            </w:pPr>
            <w:r>
              <w:rPr>
                <w:rFonts w:hint="eastAsia"/>
                <w:color w:val="auto"/>
              </w:rPr>
              <w:t>（十）有效应对重污染天气</w:t>
            </w:r>
          </w:p>
        </w:tc>
        <w:tc>
          <w:tcPr>
            <w:tcW w:w="3242" w:type="pct"/>
            <w:vAlign w:val="center"/>
          </w:tcPr>
          <w:p>
            <w:pPr>
              <w:pStyle w:val="182"/>
              <w:bidi w:val="0"/>
              <w:rPr>
                <w:color w:val="auto"/>
              </w:rPr>
            </w:pPr>
            <w:r>
              <w:rPr>
                <w:rFonts w:hint="eastAsia"/>
                <w:color w:val="auto"/>
              </w:rPr>
              <w:t>持续优化绩效分级应急减排工作。各地应严格按照《重污染天气重点行业绩效分级及减排措施》及其补充说明的相关要求，持续推进重点行业绩效分级工作，并针对地方特色行业，结合实际污染排放水平自行制定绩效分级标准，实施差异化减排措施。在此基础上，进一步完善应急减排清单，梳理保障民生、保障城市正常运转或涉及国家战略性产业等保障类企业名单，细化除小微涉气企业外的非保障类企业管控措施。做到减排清单涉气企业覆盖全、保障类企业名单真实有效、非保障类企业管控措施可落地、可核查。落实《关于进一步做好水泥常态化错峰生产的通知》要求，做好水泥行业错峰生产工作。</w:t>
            </w:r>
          </w:p>
        </w:tc>
        <w:tc>
          <w:tcPr>
            <w:tcW w:w="767" w:type="pct"/>
            <w:vAlign w:val="center"/>
          </w:tcPr>
          <w:p>
            <w:pPr>
              <w:pStyle w:val="182"/>
              <w:bidi w:val="0"/>
              <w:rPr>
                <w:color w:val="auto"/>
              </w:rPr>
            </w:pPr>
            <w:r>
              <w:rPr>
                <w:rFonts w:hint="eastAsia"/>
                <w:color w:val="auto"/>
              </w:rPr>
              <w:t>本项目建成后按照要求进行绩效定级，并按照应急减排要求进行生产。</w:t>
            </w:r>
          </w:p>
        </w:tc>
        <w:tc>
          <w:tcPr>
            <w:tcW w:w="429" w:type="pct"/>
            <w:vAlign w:val="center"/>
          </w:tcPr>
          <w:p>
            <w:pPr>
              <w:pStyle w:val="182"/>
              <w:bidi w:val="0"/>
              <w:rPr>
                <w:color w:val="auto"/>
              </w:rPr>
            </w:pPr>
            <w:r>
              <w:rPr>
                <w:rFonts w:hint="eastAsia"/>
                <w:color w:val="auto"/>
              </w:rPr>
              <w:t>符合</w:t>
            </w:r>
          </w:p>
        </w:tc>
      </w:tr>
    </w:tbl>
    <w:p>
      <w:pPr>
        <w:bidi w:val="0"/>
        <w:rPr>
          <w:color w:val="auto"/>
        </w:rPr>
        <w:sectPr>
          <w:footerReference r:id="rId16" w:type="even"/>
          <w:pgSz w:w="11906" w:h="16838"/>
          <w:pgMar w:top="1440" w:right="1800" w:bottom="1440" w:left="1800" w:header="850" w:footer="850" w:gutter="0"/>
          <w:pgBorders>
            <w:top w:val="none" w:sz="0" w:space="0"/>
            <w:left w:val="none" w:sz="0" w:space="0"/>
            <w:bottom w:val="none" w:sz="0" w:space="0"/>
            <w:right w:val="none" w:sz="0" w:space="0"/>
          </w:pgBorders>
          <w:pgNumType w:fmt="decimal"/>
          <w:cols w:space="720" w:num="1"/>
          <w:docGrid w:linePitch="312" w:charSpace="0"/>
        </w:sectPr>
      </w:pPr>
      <w:r>
        <w:rPr>
          <w:color w:val="auto"/>
        </w:rPr>
        <w:t>由上表可知，本项目符合《202</w:t>
      </w:r>
      <w:r>
        <w:rPr>
          <w:rFonts w:hint="eastAsia"/>
          <w:color w:val="auto"/>
        </w:rPr>
        <w:t>1</w:t>
      </w:r>
      <w:r>
        <w:rPr>
          <w:color w:val="auto"/>
        </w:rPr>
        <w:t>-202</w:t>
      </w:r>
      <w:r>
        <w:rPr>
          <w:rFonts w:hint="eastAsia"/>
          <w:color w:val="auto"/>
        </w:rPr>
        <w:t>2</w:t>
      </w:r>
      <w:r>
        <w:rPr>
          <w:color w:val="auto"/>
        </w:rPr>
        <w:t>秋冬季攻坚方案》相关要求。</w:t>
      </w:r>
    </w:p>
    <w:p>
      <w:pPr>
        <w:pStyle w:val="9"/>
        <w:bidi w:val="0"/>
        <w:rPr>
          <w:color w:val="auto"/>
        </w:rPr>
      </w:pPr>
      <w:r>
        <w:rPr>
          <w:color w:val="auto"/>
        </w:rPr>
        <w:t>2.11.6与《新乡市环境污染防治攻坚指挥部办公室关于印发新乡市2022年大气、水、土壤污染防治攻坚战及农业农村污染治理攻坚战实施方案的通知》（新环攻坚办</w:t>
      </w:r>
      <w:r>
        <w:rPr>
          <w:color w:val="auto"/>
          <w:lang w:val="en-US" w:eastAsia="zh-CN"/>
        </w:rPr>
        <w:t>〔2022〕</w:t>
      </w:r>
      <w:r>
        <w:rPr>
          <w:color w:val="auto"/>
        </w:rPr>
        <w:t>60号）相符性分析</w:t>
      </w:r>
    </w:p>
    <w:p>
      <w:pPr>
        <w:bidi w:val="0"/>
        <w:rPr>
          <w:color w:val="auto"/>
        </w:rPr>
      </w:pPr>
      <w:r>
        <w:rPr>
          <w:rFonts w:hint="eastAsia"/>
          <w:color w:val="auto"/>
        </w:rPr>
        <w:t>根据《新乡市环境污染防治攻坚指挥部办公室关于印发新乡市</w:t>
      </w:r>
      <w:r>
        <w:rPr>
          <w:color w:val="auto"/>
        </w:rPr>
        <w:t>2022</w:t>
      </w:r>
      <w:r>
        <w:rPr>
          <w:rFonts w:hint="eastAsia"/>
          <w:color w:val="auto"/>
        </w:rPr>
        <w:t>年大气、水、土壤污染防治攻坚战及农业农村污染治理攻坚战实施方案的通知》（新环攻坚办〔</w:t>
      </w:r>
      <w:r>
        <w:rPr>
          <w:color w:val="auto"/>
        </w:rPr>
        <w:t>2022</w:t>
      </w:r>
      <w:r>
        <w:rPr>
          <w:rFonts w:hint="eastAsia"/>
          <w:color w:val="auto"/>
        </w:rPr>
        <w:t>〕</w:t>
      </w:r>
      <w:r>
        <w:rPr>
          <w:color w:val="auto"/>
        </w:rPr>
        <w:t>60</w:t>
      </w:r>
      <w:r>
        <w:rPr>
          <w:rFonts w:hint="eastAsia"/>
          <w:color w:val="auto"/>
        </w:rPr>
        <w:t>号）的内容，结合本项目的情况，该方案中</w:t>
      </w:r>
      <w:r>
        <w:rPr>
          <w:rFonts w:hint="eastAsia"/>
          <w:color w:val="auto"/>
          <w:lang w:eastAsia="zh-CN"/>
        </w:rPr>
        <w:t>涉及</w:t>
      </w:r>
      <w:r>
        <w:rPr>
          <w:rFonts w:hint="eastAsia"/>
          <w:color w:val="auto"/>
        </w:rPr>
        <w:t>本项目的内容与本项目实际情况的对比情况有：</w:t>
      </w:r>
    </w:p>
    <w:p>
      <w:pPr>
        <w:pStyle w:val="181"/>
        <w:bidi w:val="0"/>
        <w:rPr>
          <w:color w:val="auto"/>
        </w:rPr>
      </w:pPr>
      <w:r>
        <w:rPr>
          <w:color w:val="auto"/>
        </w:rPr>
        <w:t>表</w:t>
      </w:r>
      <w:r>
        <w:rPr>
          <w:rFonts w:hint="eastAsia"/>
          <w:color w:val="auto"/>
        </w:rPr>
        <w:t>2</w:t>
      </w:r>
      <w:r>
        <w:rPr>
          <w:rFonts w:hint="eastAsia"/>
          <w:color w:val="auto"/>
          <w:lang w:val="en-US" w:eastAsia="zh-CN"/>
        </w:rPr>
        <w:t>.11</w:t>
      </w:r>
      <w:r>
        <w:rPr>
          <w:rFonts w:hint="eastAsia"/>
          <w:color w:val="auto"/>
        </w:rPr>
        <w:t>-</w:t>
      </w:r>
      <w:r>
        <w:rPr>
          <w:rFonts w:hint="eastAsia"/>
          <w:color w:val="auto"/>
          <w:lang w:val="en-US" w:eastAsia="zh-CN"/>
        </w:rPr>
        <w:t>6</w:t>
      </w:r>
      <w:r>
        <w:rPr>
          <w:rFonts w:hint="eastAsia"/>
          <w:color w:val="auto"/>
        </w:rPr>
        <w:t xml:space="preserve">  本项目建设与《新环攻坚办〔</w:t>
      </w:r>
      <w:r>
        <w:rPr>
          <w:color w:val="auto"/>
        </w:rPr>
        <w:t>2022</w:t>
      </w:r>
      <w:r>
        <w:rPr>
          <w:rFonts w:hint="eastAsia"/>
          <w:color w:val="auto"/>
        </w:rPr>
        <w:t>〕</w:t>
      </w:r>
      <w:r>
        <w:rPr>
          <w:color w:val="auto"/>
        </w:rPr>
        <w:t>60</w:t>
      </w:r>
      <w:r>
        <w:rPr>
          <w:rFonts w:hint="eastAsia"/>
          <w:color w:val="auto"/>
        </w:rPr>
        <w:t>号》</w:t>
      </w:r>
      <w:r>
        <w:rPr>
          <w:color w:val="auto"/>
        </w:rPr>
        <w:t>对比分析表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706"/>
        <w:gridCol w:w="4735"/>
        <w:gridCol w:w="2253"/>
        <w:gridCol w:w="7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230" w:type="pct"/>
            <w:gridSpan w:val="2"/>
            <w:vAlign w:val="center"/>
          </w:tcPr>
          <w:p>
            <w:pPr>
              <w:pStyle w:val="182"/>
              <w:bidi w:val="0"/>
              <w:rPr>
                <w:color w:val="auto"/>
              </w:rPr>
            </w:pPr>
            <w:r>
              <w:rPr>
                <w:color w:val="auto"/>
              </w:rPr>
              <w:t>与本项目相关条文</w:t>
            </w:r>
          </w:p>
        </w:tc>
        <w:tc>
          <w:tcPr>
            <w:tcW w:w="1338" w:type="pct"/>
            <w:vAlign w:val="center"/>
          </w:tcPr>
          <w:p>
            <w:pPr>
              <w:pStyle w:val="182"/>
              <w:bidi w:val="0"/>
              <w:rPr>
                <w:color w:val="auto"/>
              </w:rPr>
            </w:pPr>
            <w:r>
              <w:rPr>
                <w:color w:val="auto"/>
              </w:rPr>
              <w:t>本项目情况</w:t>
            </w:r>
          </w:p>
        </w:tc>
        <w:tc>
          <w:tcPr>
            <w:tcW w:w="432" w:type="pct"/>
            <w:vAlign w:val="center"/>
          </w:tcPr>
          <w:p>
            <w:pPr>
              <w:pStyle w:val="182"/>
              <w:bidi w:val="0"/>
              <w:rPr>
                <w:color w:val="auto"/>
              </w:rPr>
            </w:pPr>
            <w:r>
              <w:rPr>
                <w:color w:val="auto"/>
              </w:rPr>
              <w:t>对比结果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00" w:type="pct"/>
            <w:gridSpan w:val="4"/>
            <w:vAlign w:val="center"/>
          </w:tcPr>
          <w:p>
            <w:pPr>
              <w:pStyle w:val="182"/>
              <w:bidi w:val="0"/>
              <w:rPr>
                <w:color w:val="auto"/>
              </w:rPr>
            </w:pPr>
            <w:r>
              <w:rPr>
                <w:color w:val="auto"/>
              </w:rPr>
              <w:t>《新乡市2022年大气污染防治攻坚战实施方案》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Align w:val="center"/>
          </w:tcPr>
          <w:p>
            <w:pPr>
              <w:pStyle w:val="182"/>
              <w:bidi w:val="0"/>
              <w:rPr>
                <w:color w:val="auto"/>
              </w:rPr>
            </w:pPr>
            <w:r>
              <w:rPr>
                <w:color w:val="auto"/>
              </w:rPr>
              <w:t>3.严格项目准入，推进绿色低碳产业发展</w:t>
            </w:r>
          </w:p>
        </w:tc>
        <w:tc>
          <w:tcPr>
            <w:tcW w:w="2812" w:type="pct"/>
            <w:vAlign w:val="center"/>
          </w:tcPr>
          <w:p>
            <w:pPr>
              <w:pStyle w:val="182"/>
              <w:bidi w:val="0"/>
              <w:rPr>
                <w:color w:val="auto"/>
              </w:rPr>
            </w:pPr>
            <w:r>
              <w:rPr>
                <w:color w:val="auto"/>
              </w:rPr>
              <w:t>项目准入严格落实国家产业规划、产业政策、“三线一单”、规划环评，以及产能置换、煤炭消费减量替代、区域污染物削减等相关要求，积极支持节能环保、新能源等战略性新兴产业发展，坚决遏制高耗能、高排放项目盲目建设，“两高”项目由省级相关部门实施联合会商联审机制。严禁新增钢铁、电解铝、水泥熟料、平板玻璃、传统煤化工（甲醇、合成氨）、氧化铝、焦化、铸造、铝用碳素、烧结砖瓦、铁合金等行业产能。禁止耐火材料、铅锌冶炼（含再生铅）行业单纯新增产能。水泥行业产能置换项目应实现矿石皮带廊密闭运输、大宗物料产品清洁运输。强化项目环评及“三同时”管理，国家、省绩效分级重点行业企业新建、扩建项目达到A级绩效水平，改建项目达到B级以上绩效水平。</w:t>
            </w:r>
          </w:p>
        </w:tc>
        <w:tc>
          <w:tcPr>
            <w:tcW w:w="1338" w:type="pct"/>
            <w:vAlign w:val="center"/>
          </w:tcPr>
          <w:p>
            <w:pPr>
              <w:pStyle w:val="182"/>
              <w:bidi w:val="0"/>
              <w:rPr>
                <w:color w:val="auto"/>
              </w:rPr>
            </w:pPr>
            <w:r>
              <w:rPr>
                <w:color w:val="auto"/>
              </w:rPr>
              <w:t>本项目</w:t>
            </w:r>
            <w:r>
              <w:rPr>
                <w:rFonts w:hint="eastAsia"/>
                <w:color w:val="auto"/>
              </w:rPr>
              <w:t>属于生物基化学纤维制造</w:t>
            </w:r>
            <w:r>
              <w:rPr>
                <w:color w:val="auto"/>
              </w:rPr>
              <w:t>，不属</w:t>
            </w:r>
            <w:r>
              <w:rPr>
                <w:rFonts w:hint="eastAsia"/>
                <w:color w:val="auto"/>
              </w:rPr>
              <w:t>高</w:t>
            </w:r>
            <w:r>
              <w:rPr>
                <w:color w:val="auto"/>
              </w:rPr>
              <w:t>耗能、高排放项目。本项目将严格按照生态环境准入要求建设，按要求进行环评及“三同时”建设，将按国家、省绩效分级</w:t>
            </w:r>
            <w:r>
              <w:rPr>
                <w:rFonts w:hint="eastAsia"/>
                <w:color w:val="auto"/>
              </w:rPr>
              <w:t>先进性企业</w:t>
            </w:r>
            <w:r>
              <w:rPr>
                <w:color w:val="auto"/>
              </w:rPr>
              <w:t>要求进行建设。</w:t>
            </w:r>
          </w:p>
        </w:tc>
        <w:tc>
          <w:tcPr>
            <w:tcW w:w="432" w:type="pct"/>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Align w:val="center"/>
          </w:tcPr>
          <w:p>
            <w:pPr>
              <w:pStyle w:val="182"/>
              <w:bidi w:val="0"/>
              <w:rPr>
                <w:color w:val="auto"/>
              </w:rPr>
            </w:pPr>
            <w:r>
              <w:rPr>
                <w:color w:val="auto"/>
              </w:rPr>
              <w:t>23.加快推进VOCs含量原辅材料源头替代</w:t>
            </w:r>
          </w:p>
        </w:tc>
        <w:tc>
          <w:tcPr>
            <w:tcW w:w="2812" w:type="pct"/>
            <w:vAlign w:val="center"/>
          </w:tcPr>
          <w:p>
            <w:pPr>
              <w:pStyle w:val="182"/>
              <w:bidi w:val="0"/>
              <w:rPr>
                <w:color w:val="auto"/>
              </w:rPr>
            </w:pPr>
            <w:r>
              <w:rPr>
                <w:color w:val="auto"/>
              </w:rPr>
              <w:t>推广新兴技术和原辅材料，制定实施汽车制造、工业涂装、家具制造、包装印刷、钢结构制造、工程机械等行业溶剂型涂料、油墨、胶粘剂、清洗剂使用低VOCs含量原辅材料替代计划。对原辅材料全部实施源头替代的企业或生产工序，在重污染天气应急管控期间可实施自主减排。对无法实现低VOCs原辅材料替代的工序，在保证安全情况下，应在密闭设备、密闭空间作业或安装二次密闭设施，收集处理VOCs废气。</w:t>
            </w:r>
          </w:p>
        </w:tc>
        <w:tc>
          <w:tcPr>
            <w:tcW w:w="1338" w:type="pct"/>
            <w:vAlign w:val="center"/>
          </w:tcPr>
          <w:p>
            <w:pPr>
              <w:pStyle w:val="182"/>
              <w:bidi w:val="0"/>
              <w:rPr>
                <w:color w:val="auto"/>
              </w:rPr>
            </w:pPr>
            <w:r>
              <w:rPr>
                <w:color w:val="auto"/>
              </w:rPr>
              <w:t>本项目</w:t>
            </w:r>
            <w:r>
              <w:rPr>
                <w:rFonts w:hint="eastAsia"/>
                <w:color w:val="auto"/>
              </w:rPr>
              <w:t>车间内无涉VOCs物料暂存处。</w:t>
            </w:r>
          </w:p>
        </w:tc>
        <w:tc>
          <w:tcPr>
            <w:tcW w:w="432" w:type="pct"/>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Align w:val="center"/>
          </w:tcPr>
          <w:p>
            <w:pPr>
              <w:pStyle w:val="182"/>
              <w:bidi w:val="0"/>
              <w:rPr>
                <w:color w:val="auto"/>
              </w:rPr>
            </w:pPr>
            <w:r>
              <w:rPr>
                <w:color w:val="auto"/>
              </w:rPr>
              <w:t>24.开展简易低效VOCs治理设施升级改造</w:t>
            </w:r>
          </w:p>
        </w:tc>
        <w:tc>
          <w:tcPr>
            <w:tcW w:w="2812" w:type="pct"/>
            <w:vAlign w:val="center"/>
          </w:tcPr>
          <w:p>
            <w:pPr>
              <w:pStyle w:val="182"/>
              <w:bidi w:val="0"/>
              <w:rPr>
                <w:color w:val="auto"/>
              </w:rPr>
            </w:pPr>
            <w:r>
              <w:rPr>
                <w:color w:val="auto"/>
              </w:rPr>
              <w:t>组织对涉VOCs企业治理设施建设情况、工艺类型、处理能力、运行情况、耗材或药剂更换情况、能源消耗情况和废过滤棉、废催化剂、废吸附剂、废吸收剂、废有机溶剂等二次污染物规范化处置情况进行全面检查，对治理设施设计不规范、与生产系统不匹配，单独使用光催化、光氧化、低温等离子等低效技术，治理设施建设和运行效果差的，建立清单台账，力争2022年6月底前基本完成升级改造并开展检测验收，严把工程质量，确保稳定达标排放。</w:t>
            </w:r>
          </w:p>
        </w:tc>
        <w:tc>
          <w:tcPr>
            <w:tcW w:w="1338" w:type="pct"/>
            <w:vAlign w:val="center"/>
          </w:tcPr>
          <w:p>
            <w:pPr>
              <w:pStyle w:val="182"/>
              <w:bidi w:val="0"/>
              <w:rPr>
                <w:color w:val="auto"/>
              </w:rPr>
            </w:pPr>
            <w:r>
              <w:rPr>
                <w:rFonts w:hint="eastAsia"/>
                <w:color w:val="auto"/>
              </w:rPr>
              <w:t>本项目</w:t>
            </w:r>
            <w:r>
              <w:rPr>
                <w:rFonts w:hint="eastAsia"/>
                <w:color w:val="auto"/>
                <w:lang w:val="en-US" w:eastAsia="zh-CN"/>
              </w:rPr>
              <w:t>不涉及</w:t>
            </w:r>
            <w:r>
              <w:rPr>
                <w:rFonts w:hint="eastAsia"/>
                <w:color w:val="auto"/>
              </w:rPr>
              <w:t>VOCs</w:t>
            </w:r>
            <w:r>
              <w:rPr>
                <w:rFonts w:hint="eastAsia"/>
                <w:color w:val="auto"/>
                <w:lang w:val="en-US" w:eastAsia="zh-CN"/>
              </w:rPr>
              <w:t>排放</w:t>
            </w:r>
            <w:r>
              <w:rPr>
                <w:rFonts w:hint="eastAsia"/>
                <w:color w:val="auto"/>
              </w:rPr>
              <w:t>。</w:t>
            </w:r>
          </w:p>
        </w:tc>
        <w:tc>
          <w:tcPr>
            <w:tcW w:w="432" w:type="pct"/>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Align w:val="center"/>
          </w:tcPr>
          <w:p>
            <w:pPr>
              <w:pStyle w:val="182"/>
              <w:bidi w:val="0"/>
              <w:rPr>
                <w:color w:val="auto"/>
              </w:rPr>
            </w:pPr>
            <w:r>
              <w:rPr>
                <w:color w:val="auto"/>
              </w:rPr>
              <w:t>25.提升VOCs无组织排放治理水平</w:t>
            </w:r>
          </w:p>
        </w:tc>
        <w:tc>
          <w:tcPr>
            <w:tcW w:w="2812" w:type="pct"/>
            <w:vAlign w:val="center"/>
          </w:tcPr>
          <w:p>
            <w:pPr>
              <w:pStyle w:val="182"/>
              <w:bidi w:val="0"/>
              <w:rPr>
                <w:color w:val="auto"/>
              </w:rPr>
            </w:pPr>
            <w:r>
              <w:rPr>
                <w:color w:val="auto"/>
              </w:rPr>
              <w:t>2022年5月底前，全面排查含VOCs物料储存、转移和输送、设备与管线组件、敞开液面以及工艺过程等环节无组织排放情况，组织开展VOCs抽测，开展工业涂装、印刷行业挥发性有机物排放标准执行情况检查，对达不到相关标准要求的问题进行整治。煤化工、制药、农药行业重点治理储罐配件失效，装载和污水处理密闭收集效果差，装置区废水预处理池、废水储罐废气未收集，</w:t>
            </w:r>
            <w:r>
              <w:rPr>
                <w:rFonts w:hint="eastAsia"/>
                <w:color w:val="auto"/>
                <w:lang w:eastAsia="zh-CN"/>
              </w:rPr>
              <w:t>泄漏</w:t>
            </w:r>
            <w:r>
              <w:rPr>
                <w:color w:val="auto"/>
              </w:rPr>
              <w:t>检测与修复（LDAR）工作不符合标准规范等问题；工业涂装、包装印刷等行业重点治理集气罩收集效果差、含VOCs原辅材料和废料储存不密闭等问题。</w:t>
            </w:r>
          </w:p>
        </w:tc>
        <w:tc>
          <w:tcPr>
            <w:tcW w:w="1338" w:type="pct"/>
            <w:vAlign w:val="center"/>
          </w:tcPr>
          <w:p>
            <w:pPr>
              <w:pStyle w:val="182"/>
              <w:bidi w:val="0"/>
              <w:rPr>
                <w:color w:val="auto"/>
              </w:rPr>
            </w:pPr>
            <w:r>
              <w:rPr>
                <w:color w:val="auto"/>
              </w:rPr>
              <w:t>本项目</w:t>
            </w:r>
            <w:r>
              <w:rPr>
                <w:rFonts w:hint="eastAsia"/>
                <w:color w:val="auto"/>
              </w:rPr>
              <w:t>车间内无涉VOCs物料暂存处。</w:t>
            </w:r>
          </w:p>
        </w:tc>
        <w:tc>
          <w:tcPr>
            <w:tcW w:w="432" w:type="pct"/>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00" w:type="pct"/>
            <w:gridSpan w:val="4"/>
            <w:vAlign w:val="center"/>
          </w:tcPr>
          <w:p>
            <w:pPr>
              <w:pStyle w:val="182"/>
              <w:bidi w:val="0"/>
              <w:rPr>
                <w:color w:val="auto"/>
              </w:rPr>
            </w:pPr>
            <w:r>
              <w:rPr>
                <w:color w:val="auto"/>
              </w:rPr>
              <w:t>《新乡市2022年水污染防治攻坚战实施方案》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Align w:val="center"/>
          </w:tcPr>
          <w:p>
            <w:pPr>
              <w:pStyle w:val="182"/>
              <w:bidi w:val="0"/>
              <w:rPr>
                <w:color w:val="auto"/>
              </w:rPr>
            </w:pPr>
            <w:r>
              <w:rPr>
                <w:color w:val="auto"/>
              </w:rPr>
              <w:t>14.调整优化产业结构</w:t>
            </w:r>
          </w:p>
        </w:tc>
        <w:tc>
          <w:tcPr>
            <w:tcW w:w="2812" w:type="pct"/>
            <w:vAlign w:val="center"/>
          </w:tcPr>
          <w:p>
            <w:pPr>
              <w:pStyle w:val="182"/>
              <w:bidi w:val="0"/>
              <w:rPr>
                <w:color w:val="auto"/>
              </w:rPr>
            </w:pPr>
            <w:r>
              <w:rPr>
                <w:color w:val="auto"/>
              </w:rPr>
              <w:t>严格执行“三线一单”生态环境分区管控要求，对重点区域、重点流域、重点行业和产业布局开展规划环评。持续推进化工、电镀、皮革、造纸、印染、农副食品加工等行业绿色化改造转型升级，推进化工、印染、电镀等产业集群提升改造。推动重点行业、重点区域产业布局调整，实施传统产业兼并重组、城市建成区高污染企业退城入园和敏感区域、水污染严重地区高污染企业布局优化，制定实施落后产能淘汰方案。严禁在黄河干流及主要支流临岸一定范围内新建“两高一资”项目及相关产业园区。</w:t>
            </w:r>
          </w:p>
        </w:tc>
        <w:tc>
          <w:tcPr>
            <w:tcW w:w="1338" w:type="pct"/>
            <w:vAlign w:val="center"/>
          </w:tcPr>
          <w:p>
            <w:pPr>
              <w:pStyle w:val="182"/>
              <w:bidi w:val="0"/>
              <w:rPr>
                <w:color w:val="auto"/>
              </w:rPr>
            </w:pPr>
            <w:r>
              <w:rPr>
                <w:color w:val="auto"/>
              </w:rPr>
              <w:t>本项目</w:t>
            </w:r>
            <w:r>
              <w:rPr>
                <w:rFonts w:hint="eastAsia"/>
                <w:color w:val="auto"/>
              </w:rPr>
              <w:t>属于生物基化学纤维制造</w:t>
            </w:r>
            <w:r>
              <w:rPr>
                <w:color w:val="auto"/>
              </w:rPr>
              <w:t>，</w:t>
            </w:r>
            <w:r>
              <w:rPr>
                <w:rFonts w:hint="eastAsia"/>
                <w:color w:val="auto"/>
              </w:rPr>
              <w:t>位于新乡经济技术开发区内</w:t>
            </w:r>
            <w:r>
              <w:rPr>
                <w:color w:val="auto"/>
              </w:rPr>
              <w:t>，不属于“两高一资项目”。</w:t>
            </w:r>
          </w:p>
        </w:tc>
        <w:tc>
          <w:tcPr>
            <w:tcW w:w="432" w:type="pct"/>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00" w:type="pct"/>
            <w:gridSpan w:val="4"/>
            <w:vAlign w:val="center"/>
          </w:tcPr>
          <w:p>
            <w:pPr>
              <w:pStyle w:val="182"/>
              <w:bidi w:val="0"/>
              <w:rPr>
                <w:color w:val="auto"/>
              </w:rPr>
            </w:pPr>
            <w:r>
              <w:rPr>
                <w:color w:val="auto"/>
              </w:rPr>
              <w:t>《新乡市2022年土壤污染防治攻坚战实施方案》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Align w:val="center"/>
          </w:tcPr>
          <w:p>
            <w:pPr>
              <w:pStyle w:val="182"/>
              <w:bidi w:val="0"/>
              <w:rPr>
                <w:color w:val="auto"/>
              </w:rPr>
            </w:pPr>
            <w:r>
              <w:rPr>
                <w:color w:val="auto"/>
              </w:rPr>
              <w:t>8. 严格固体废物环境管理</w:t>
            </w:r>
          </w:p>
        </w:tc>
        <w:tc>
          <w:tcPr>
            <w:tcW w:w="2812" w:type="pct"/>
            <w:vAlign w:val="center"/>
          </w:tcPr>
          <w:p>
            <w:pPr>
              <w:pStyle w:val="182"/>
              <w:bidi w:val="0"/>
              <w:rPr>
                <w:b/>
                <w:bCs/>
                <w:color w:val="auto"/>
                <w:u w:val="single"/>
              </w:rPr>
            </w:pPr>
            <w:r>
              <w:rPr>
                <w:rFonts w:hint="eastAsia"/>
                <w:b/>
                <w:bCs/>
                <w:color w:val="auto"/>
                <w:u w:val="single"/>
              </w:rPr>
              <w:t>全面提升危险废物环境监管、利用处置和环境风险防范“三个能力”，推进医疗废物和危险废物集中处置项目建设，开展铅酸蓄电池收集试点工作。动态更新危险废物“四个清单”，有序推进固废信息化建设。</w:t>
            </w:r>
          </w:p>
        </w:tc>
        <w:tc>
          <w:tcPr>
            <w:tcW w:w="1338" w:type="pct"/>
            <w:vAlign w:val="center"/>
          </w:tcPr>
          <w:p>
            <w:pPr>
              <w:pStyle w:val="182"/>
              <w:bidi w:val="0"/>
              <w:rPr>
                <w:b/>
                <w:bCs/>
                <w:color w:val="auto"/>
                <w:u w:val="single"/>
              </w:rPr>
            </w:pPr>
            <w:r>
              <w:rPr>
                <w:b/>
                <w:bCs/>
                <w:color w:val="auto"/>
                <w:u w:val="single"/>
              </w:rPr>
              <w:t>本项目</w:t>
            </w:r>
            <w:r>
              <w:rPr>
                <w:rFonts w:hint="eastAsia"/>
                <w:b/>
                <w:bCs/>
                <w:color w:val="auto"/>
                <w:u w:val="single"/>
              </w:rPr>
              <w:t>厂区现有危险废物暂存间一座，有防风、防晒、防渗漏、防雨淋设施，符合《危险废物贮存污染控制标准》（GB 18597-2023）</w:t>
            </w:r>
            <w:r>
              <w:rPr>
                <w:b/>
                <w:bCs/>
                <w:color w:val="auto"/>
                <w:u w:val="single"/>
              </w:rPr>
              <w:t>的要求</w:t>
            </w:r>
            <w:r>
              <w:rPr>
                <w:rFonts w:hint="eastAsia"/>
                <w:b/>
                <w:bCs/>
                <w:color w:val="auto"/>
                <w:u w:val="single"/>
              </w:rPr>
              <w:t>，按照《危险废物产生单位管理计划制定指南》如实记载产生危险废物的种类、数量、流向、贮存、利用、处置等信息。</w:t>
            </w:r>
          </w:p>
        </w:tc>
        <w:tc>
          <w:tcPr>
            <w:tcW w:w="432" w:type="pct"/>
            <w:vAlign w:val="center"/>
          </w:tcPr>
          <w:p>
            <w:pPr>
              <w:pStyle w:val="182"/>
              <w:bidi w:val="0"/>
              <w:rPr>
                <w:b/>
                <w:bCs/>
                <w:color w:val="auto"/>
                <w:u w:val="single"/>
              </w:rPr>
            </w:pPr>
            <w:r>
              <w:rPr>
                <w:b/>
                <w:bCs/>
                <w:color w:val="auto"/>
                <w:u w:val="single"/>
              </w:rPr>
              <w:t>符合</w:t>
            </w:r>
          </w:p>
        </w:tc>
      </w:tr>
    </w:tbl>
    <w:p>
      <w:pPr>
        <w:bidi w:val="0"/>
        <w:rPr>
          <w:rFonts w:hint="eastAsia"/>
          <w:color w:val="auto"/>
        </w:rPr>
        <w:sectPr>
          <w:pgSz w:w="11906" w:h="16838"/>
          <w:pgMar w:top="1440" w:right="1800" w:bottom="1440" w:left="1800" w:header="850" w:footer="850"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rPr>
        <w:t>由上表可知，本项目符合《新乡市环境污染防治攻坚指挥部办公室关于印发新乡市</w:t>
      </w:r>
      <w:r>
        <w:rPr>
          <w:color w:val="auto"/>
        </w:rPr>
        <w:t>2022年大气、水、土壤污染防治攻坚战及农业农村污染治理攻坚实施方案的通知</w:t>
      </w:r>
      <w:r>
        <w:rPr>
          <w:rFonts w:hint="eastAsia"/>
          <w:color w:val="auto"/>
        </w:rPr>
        <w:t>》的相关要求。</w:t>
      </w:r>
    </w:p>
    <w:p>
      <w:pPr>
        <w:pStyle w:val="9"/>
        <w:bidi w:val="0"/>
        <w:rPr>
          <w:color w:val="auto"/>
        </w:rPr>
      </w:pPr>
      <w:r>
        <w:rPr>
          <w:rFonts w:hint="eastAsia"/>
          <w:color w:val="auto"/>
        </w:rPr>
        <w:t>2</w:t>
      </w:r>
      <w:r>
        <w:rPr>
          <w:color w:val="auto"/>
        </w:rPr>
        <w:t>.11.</w:t>
      </w:r>
      <w:r>
        <w:rPr>
          <w:rFonts w:hint="eastAsia"/>
          <w:color w:val="auto"/>
          <w:lang w:val="en-US" w:eastAsia="zh-CN"/>
        </w:rPr>
        <w:t>7</w:t>
      </w:r>
      <w:r>
        <w:rPr>
          <w:rFonts w:hint="eastAsia"/>
          <w:color w:val="auto"/>
        </w:rPr>
        <w:t>与《河南省2022年大气、水、土壤污染防治攻坚战及农业农村污染治理攻坚战实施方案的通知》（豫环委办</w:t>
      </w:r>
      <w:r>
        <w:rPr>
          <w:rFonts w:hint="eastAsia"/>
          <w:color w:val="auto"/>
          <w:lang w:eastAsia="zh-CN"/>
        </w:rPr>
        <w:t>〔</w:t>
      </w:r>
      <w:r>
        <w:rPr>
          <w:rFonts w:hint="eastAsia"/>
          <w:color w:val="auto"/>
        </w:rPr>
        <w:t>2022</w:t>
      </w:r>
      <w:r>
        <w:rPr>
          <w:rFonts w:hint="eastAsia"/>
          <w:color w:val="auto"/>
          <w:lang w:eastAsia="zh-CN"/>
        </w:rPr>
        <w:t>〕</w:t>
      </w:r>
      <w:r>
        <w:rPr>
          <w:rFonts w:hint="eastAsia"/>
          <w:color w:val="auto"/>
        </w:rPr>
        <w:t>9号）（以下简称《2022年攻坚战实施方案》）相符性分析</w:t>
      </w:r>
    </w:p>
    <w:p>
      <w:pPr>
        <w:pStyle w:val="181"/>
        <w:bidi w:val="0"/>
        <w:rPr>
          <w:color w:val="auto"/>
        </w:rPr>
      </w:pPr>
      <w:r>
        <w:rPr>
          <w:color w:val="auto"/>
        </w:rPr>
        <w:t>表</w:t>
      </w:r>
      <w:r>
        <w:rPr>
          <w:rFonts w:hint="eastAsia"/>
          <w:color w:val="auto"/>
        </w:rPr>
        <w:t>2</w:t>
      </w:r>
      <w:r>
        <w:rPr>
          <w:rFonts w:hint="eastAsia"/>
          <w:color w:val="auto"/>
          <w:lang w:val="en-US" w:eastAsia="zh-CN"/>
        </w:rPr>
        <w:t>.11</w:t>
      </w:r>
      <w:r>
        <w:rPr>
          <w:rFonts w:hint="eastAsia"/>
          <w:color w:val="auto"/>
        </w:rPr>
        <w:t>-</w:t>
      </w:r>
      <w:r>
        <w:rPr>
          <w:rFonts w:hint="eastAsia"/>
          <w:color w:val="auto"/>
          <w:lang w:val="en-US" w:eastAsia="zh-CN"/>
        </w:rPr>
        <w:t>7</w:t>
      </w:r>
      <w:r>
        <w:rPr>
          <w:rFonts w:hint="eastAsia"/>
          <w:color w:val="auto"/>
        </w:rPr>
        <w:t xml:space="preserve">  </w:t>
      </w:r>
      <w:r>
        <w:rPr>
          <w:color w:val="auto"/>
        </w:rPr>
        <w:t xml:space="preserve">   </w:t>
      </w:r>
      <w:r>
        <w:rPr>
          <w:rFonts w:hint="eastAsia"/>
          <w:color w:val="auto"/>
        </w:rPr>
        <w:t>本项目建设与《2</w:t>
      </w:r>
      <w:r>
        <w:rPr>
          <w:color w:val="auto"/>
        </w:rPr>
        <w:t>022</w:t>
      </w:r>
      <w:r>
        <w:rPr>
          <w:rFonts w:hint="eastAsia"/>
          <w:color w:val="auto"/>
        </w:rPr>
        <w:t>年攻坚实施方案》</w:t>
      </w:r>
      <w:r>
        <w:rPr>
          <w:color w:val="auto"/>
        </w:rPr>
        <w:t>对比分析表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959"/>
        <w:gridCol w:w="3631"/>
        <w:gridCol w:w="3087"/>
        <w:gridCol w:w="74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2725" w:type="pct"/>
            <w:gridSpan w:val="2"/>
            <w:vAlign w:val="center"/>
          </w:tcPr>
          <w:p>
            <w:pPr>
              <w:pStyle w:val="182"/>
              <w:bidi w:val="0"/>
              <w:rPr>
                <w:color w:val="auto"/>
              </w:rPr>
            </w:pPr>
            <w:r>
              <w:rPr>
                <w:color w:val="auto"/>
              </w:rPr>
              <w:t>与本项目相关</w:t>
            </w:r>
            <w:r>
              <w:rPr>
                <w:rFonts w:hint="eastAsia"/>
                <w:color w:val="auto"/>
              </w:rPr>
              <w:t>条款</w:t>
            </w:r>
          </w:p>
        </w:tc>
        <w:tc>
          <w:tcPr>
            <w:tcW w:w="1833" w:type="pct"/>
            <w:vAlign w:val="center"/>
          </w:tcPr>
          <w:p>
            <w:pPr>
              <w:pStyle w:val="182"/>
              <w:bidi w:val="0"/>
              <w:rPr>
                <w:color w:val="auto"/>
              </w:rPr>
            </w:pPr>
            <w:r>
              <w:rPr>
                <w:color w:val="auto"/>
              </w:rPr>
              <w:t>本项目情况</w:t>
            </w:r>
          </w:p>
        </w:tc>
        <w:tc>
          <w:tcPr>
            <w:tcW w:w="441" w:type="pct"/>
            <w:vAlign w:val="center"/>
          </w:tcPr>
          <w:p>
            <w:pPr>
              <w:pStyle w:val="182"/>
              <w:bidi w:val="0"/>
              <w:rPr>
                <w:color w:val="auto"/>
              </w:rPr>
            </w:pPr>
            <w:r>
              <w:rPr>
                <w:color w:val="auto"/>
              </w:rPr>
              <w:t>对比结果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000" w:type="pct"/>
            <w:gridSpan w:val="4"/>
            <w:vAlign w:val="center"/>
          </w:tcPr>
          <w:p>
            <w:pPr>
              <w:pStyle w:val="182"/>
              <w:bidi w:val="0"/>
              <w:rPr>
                <w:color w:val="auto"/>
              </w:rPr>
            </w:pPr>
            <w:r>
              <w:rPr>
                <w:color w:val="auto"/>
              </w:rPr>
              <w:t>《</w:t>
            </w:r>
            <w:r>
              <w:rPr>
                <w:rFonts w:hint="eastAsia"/>
                <w:color w:val="auto"/>
              </w:rPr>
              <w:t>河南省</w:t>
            </w:r>
            <w:r>
              <w:rPr>
                <w:color w:val="auto"/>
              </w:rPr>
              <w:t>202</w:t>
            </w:r>
            <w:r>
              <w:rPr>
                <w:rFonts w:hint="eastAsia"/>
                <w:color w:val="auto"/>
              </w:rPr>
              <w:t>2</w:t>
            </w:r>
            <w:r>
              <w:rPr>
                <w:color w:val="auto"/>
              </w:rPr>
              <w:t>年大气污染防治攻坚战实施方案》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70" w:type="pct"/>
            <w:vAlign w:val="center"/>
          </w:tcPr>
          <w:p>
            <w:pPr>
              <w:pStyle w:val="182"/>
              <w:bidi w:val="0"/>
              <w:rPr>
                <w:color w:val="auto"/>
              </w:rPr>
            </w:pPr>
            <w:r>
              <w:rPr>
                <w:rFonts w:hint="eastAsia"/>
                <w:color w:val="auto"/>
              </w:rPr>
              <w:t>3.推进绿色低碳产业发展</w:t>
            </w:r>
          </w:p>
        </w:tc>
        <w:tc>
          <w:tcPr>
            <w:tcW w:w="2156" w:type="pct"/>
            <w:vAlign w:val="center"/>
          </w:tcPr>
          <w:p>
            <w:pPr>
              <w:pStyle w:val="182"/>
              <w:bidi w:val="0"/>
              <w:rPr>
                <w:color w:val="auto"/>
              </w:rPr>
            </w:pPr>
            <w:r>
              <w:rPr>
                <w:color w:val="auto"/>
              </w:rPr>
              <w:t>落实国家产业规划、产业政策、“三线一单”、规划环评，以及产能置换、煤炭消费减量替代、区域污染物削减等相关要求，积极支持节能环保、新能源等战略性新兴产业发展，坚决遏制高耗能、高排放项目盲目建设。落实“两高”项目会商联审机制，强化项目环评及“三同时”管理，重点行业企业新建、扩建项目达到A级绩效水平，改建项目达到B级</w:t>
            </w:r>
            <w:r>
              <w:rPr>
                <w:rFonts w:hint="eastAsia"/>
                <w:color w:val="auto"/>
              </w:rPr>
              <w:t>以</w:t>
            </w:r>
            <w:r>
              <w:rPr>
                <w:color w:val="auto"/>
              </w:rPr>
              <w:t>上绩效水平。严禁新增</w:t>
            </w:r>
            <w:r>
              <w:rPr>
                <w:rFonts w:hint="eastAsia"/>
                <w:color w:val="auto"/>
              </w:rPr>
              <w:t>钢铁</w:t>
            </w:r>
            <w:r>
              <w:rPr>
                <w:color w:val="auto"/>
              </w:rPr>
              <w:t>、电解铝、水泥熟料</w:t>
            </w:r>
            <w:r>
              <w:rPr>
                <w:rFonts w:hint="eastAsia"/>
                <w:color w:val="auto"/>
              </w:rPr>
              <w:t>、</w:t>
            </w:r>
            <w:r>
              <w:rPr>
                <w:color w:val="auto"/>
              </w:rPr>
              <w:t>平板</w:t>
            </w:r>
            <w:r>
              <w:rPr>
                <w:rFonts w:hint="eastAsia"/>
                <w:color w:val="auto"/>
              </w:rPr>
              <w:t>玻璃</w:t>
            </w:r>
            <w:r>
              <w:rPr>
                <w:color w:val="auto"/>
              </w:rPr>
              <w:t>、煤化工（甲醇、合成氨）、氧化铝、焦化、铸造、铝用碳素、烧结砖瓦、铁合金等行业产能。禁止耐火材料、铅锌冶炼（含再生铅）行业单纯新增产能。水泥行业产能置换项目应实现矿石皮带廊密闭运输，大宗物料产品清洁运输。</w:t>
            </w:r>
          </w:p>
        </w:tc>
        <w:tc>
          <w:tcPr>
            <w:tcW w:w="1833" w:type="pct"/>
            <w:vAlign w:val="center"/>
          </w:tcPr>
          <w:p>
            <w:pPr>
              <w:pStyle w:val="182"/>
              <w:bidi w:val="0"/>
              <w:rPr>
                <w:color w:val="auto"/>
              </w:rPr>
            </w:pPr>
            <w:r>
              <w:rPr>
                <w:color w:val="auto"/>
              </w:rPr>
              <w:t>本项目符合国家产业规划、产业政策、“三线一单”、规划环评以及区域污染物削减等相关要求；根据《关于建立“两高”项目会商联审机制的通知》，</w:t>
            </w:r>
            <w:r>
              <w:rPr>
                <w:rFonts w:hint="eastAsia"/>
                <w:color w:val="auto"/>
              </w:rPr>
              <w:t>项目不属于“两高”项目。本项目为</w:t>
            </w:r>
            <w:r>
              <w:rPr>
                <w:rFonts w:hint="eastAsia"/>
                <w:color w:val="auto"/>
                <w:lang w:val="en-US" w:eastAsia="zh-CN"/>
              </w:rPr>
              <w:t>扩建</w:t>
            </w:r>
            <w:r>
              <w:rPr>
                <w:rFonts w:hint="eastAsia"/>
                <w:color w:val="auto"/>
              </w:rPr>
              <w:t>项目，将根据《河南省重污染天气通用行业应急减排措施制定技术指南</w:t>
            </w:r>
            <w:r>
              <w:rPr>
                <w:rFonts w:hint="eastAsia"/>
                <w:color w:val="auto"/>
                <w:lang w:eastAsia="zh-CN"/>
              </w:rPr>
              <w:t>（</w:t>
            </w:r>
            <w:r>
              <w:rPr>
                <w:rFonts w:hint="eastAsia"/>
                <w:color w:val="auto"/>
              </w:rPr>
              <w:t>2021年修订</w:t>
            </w:r>
            <w:r>
              <w:rPr>
                <w:rFonts w:hint="eastAsia"/>
                <w:color w:val="auto"/>
                <w:lang w:eastAsia="zh-CN"/>
              </w:rPr>
              <w:t>）</w:t>
            </w:r>
            <w:r>
              <w:rPr>
                <w:rFonts w:hint="eastAsia"/>
                <w:color w:val="auto"/>
              </w:rPr>
              <w:t>》中涉颗粒物要求进行建设。项目不属于</w:t>
            </w:r>
            <w:r>
              <w:rPr>
                <w:color w:val="auto"/>
              </w:rPr>
              <w:t>钢铁、电解铝、水泥熟料、平板玻璃、煤化工（甲醇、合成氨）、</w:t>
            </w:r>
            <w:r>
              <w:rPr>
                <w:rFonts w:hint="eastAsia"/>
                <w:color w:val="auto"/>
              </w:rPr>
              <w:t>氧化</w:t>
            </w:r>
            <w:r>
              <w:rPr>
                <w:color w:val="auto"/>
              </w:rPr>
              <w:t>铝、焦化、铸造、铝用</w:t>
            </w:r>
            <w:r>
              <w:rPr>
                <w:rFonts w:hint="eastAsia"/>
                <w:color w:val="auto"/>
              </w:rPr>
              <w:t>碳素</w:t>
            </w:r>
            <w:r>
              <w:rPr>
                <w:color w:val="auto"/>
              </w:rPr>
              <w:t>、烧结砖瓦、铁合</w:t>
            </w:r>
            <w:r>
              <w:rPr>
                <w:rFonts w:hint="eastAsia"/>
                <w:color w:val="auto"/>
              </w:rPr>
              <w:t>金</w:t>
            </w:r>
            <w:r>
              <w:rPr>
                <w:color w:val="auto"/>
              </w:rPr>
              <w:t>等</w:t>
            </w:r>
            <w:r>
              <w:rPr>
                <w:rFonts w:hint="eastAsia"/>
                <w:color w:val="auto"/>
              </w:rPr>
              <w:t>行业</w:t>
            </w:r>
            <w:r>
              <w:rPr>
                <w:color w:val="auto"/>
              </w:rPr>
              <w:t>。</w:t>
            </w:r>
            <w:r>
              <w:rPr>
                <w:rFonts w:hint="eastAsia"/>
                <w:color w:val="auto"/>
              </w:rPr>
              <w:t>项目不属于耐火材料、</w:t>
            </w:r>
            <w:r>
              <w:rPr>
                <w:color w:val="auto"/>
              </w:rPr>
              <w:t>铅锌冶炼（含再生铅）行业</w:t>
            </w:r>
            <w:r>
              <w:rPr>
                <w:rFonts w:hint="eastAsia"/>
                <w:color w:val="auto"/>
              </w:rPr>
              <w:t>，不属于水泥行业。</w:t>
            </w:r>
          </w:p>
        </w:tc>
        <w:tc>
          <w:tcPr>
            <w:tcW w:w="441" w:type="pct"/>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70" w:type="pct"/>
            <w:vAlign w:val="center"/>
          </w:tcPr>
          <w:p>
            <w:pPr>
              <w:pStyle w:val="182"/>
              <w:bidi w:val="0"/>
              <w:rPr>
                <w:color w:val="auto"/>
              </w:rPr>
            </w:pPr>
            <w:r>
              <w:rPr>
                <w:rFonts w:hint="eastAsia"/>
                <w:color w:val="auto"/>
              </w:rPr>
              <w:t>4.提升重点行业节能降碳水平</w:t>
            </w:r>
          </w:p>
        </w:tc>
        <w:tc>
          <w:tcPr>
            <w:tcW w:w="2156" w:type="pct"/>
            <w:vAlign w:val="center"/>
          </w:tcPr>
          <w:p>
            <w:pPr>
              <w:pStyle w:val="182"/>
              <w:bidi w:val="0"/>
              <w:rPr>
                <w:color w:val="auto"/>
              </w:rPr>
            </w:pPr>
            <w:r>
              <w:rPr>
                <w:color w:val="auto"/>
              </w:rPr>
              <w:t>实施重点用能单位节能降碳改造工程</w:t>
            </w:r>
            <w:r>
              <w:rPr>
                <w:rFonts w:hint="eastAsia"/>
                <w:color w:val="auto"/>
              </w:rPr>
              <w:t>，</w:t>
            </w:r>
            <w:r>
              <w:rPr>
                <w:color w:val="auto"/>
              </w:rPr>
              <w:t>以钢铁、化工、建材、有色、石化等高耗能行业为重点</w:t>
            </w:r>
            <w:r>
              <w:rPr>
                <w:rFonts w:hint="eastAsia"/>
                <w:color w:val="auto"/>
              </w:rPr>
              <w:t>，</w:t>
            </w:r>
            <w:r>
              <w:rPr>
                <w:color w:val="auto"/>
              </w:rPr>
              <w:t>对标能效标杆值</w:t>
            </w:r>
            <w:r>
              <w:rPr>
                <w:rFonts w:hint="eastAsia"/>
                <w:color w:val="auto"/>
              </w:rPr>
              <w:t>，</w:t>
            </w:r>
            <w:r>
              <w:rPr>
                <w:color w:val="auto"/>
              </w:rPr>
              <w:t>组织重点用能单位实施节能降碳改造。</w:t>
            </w:r>
          </w:p>
        </w:tc>
        <w:tc>
          <w:tcPr>
            <w:tcW w:w="1833" w:type="pct"/>
            <w:vAlign w:val="center"/>
          </w:tcPr>
          <w:p>
            <w:pPr>
              <w:pStyle w:val="182"/>
              <w:bidi w:val="0"/>
              <w:rPr>
                <w:color w:val="auto"/>
              </w:rPr>
            </w:pPr>
            <w:r>
              <w:rPr>
                <w:color w:val="auto"/>
              </w:rPr>
              <w:t>本项目为</w:t>
            </w:r>
            <w:r>
              <w:rPr>
                <w:rFonts w:hint="eastAsia"/>
                <w:color w:val="auto"/>
              </w:rPr>
              <w:t>生物基化学纤维制造</w:t>
            </w:r>
            <w:r>
              <w:rPr>
                <w:color w:val="auto"/>
              </w:rPr>
              <w:t>，不属于钢铁、化工、建材、有色、石化等高耗能行业。</w:t>
            </w:r>
          </w:p>
        </w:tc>
        <w:tc>
          <w:tcPr>
            <w:tcW w:w="441" w:type="pct"/>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000" w:type="pct"/>
            <w:gridSpan w:val="4"/>
            <w:vAlign w:val="center"/>
          </w:tcPr>
          <w:p>
            <w:pPr>
              <w:pStyle w:val="182"/>
              <w:bidi w:val="0"/>
              <w:rPr>
                <w:color w:val="auto"/>
              </w:rPr>
            </w:pPr>
            <w:r>
              <w:rPr>
                <w:color w:val="auto"/>
              </w:rPr>
              <w:t>《</w:t>
            </w:r>
            <w:r>
              <w:rPr>
                <w:rFonts w:hint="eastAsia"/>
                <w:color w:val="auto"/>
              </w:rPr>
              <w:t>河南省</w:t>
            </w:r>
            <w:r>
              <w:rPr>
                <w:color w:val="auto"/>
              </w:rPr>
              <w:t>202</w:t>
            </w:r>
            <w:r>
              <w:rPr>
                <w:rFonts w:hint="eastAsia"/>
                <w:color w:val="auto"/>
              </w:rPr>
              <w:t>2</w:t>
            </w:r>
            <w:r>
              <w:rPr>
                <w:color w:val="auto"/>
              </w:rPr>
              <w:t>年水污染防治攻坚战实施方案》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70" w:type="pct"/>
            <w:vAlign w:val="center"/>
          </w:tcPr>
          <w:p>
            <w:pPr>
              <w:pStyle w:val="182"/>
              <w:bidi w:val="0"/>
              <w:rPr>
                <w:color w:val="auto"/>
              </w:rPr>
            </w:pPr>
            <w:r>
              <w:rPr>
                <w:rFonts w:hint="eastAsia"/>
                <w:color w:val="auto"/>
              </w:rPr>
              <w:t>14.调整优化产业结构</w:t>
            </w:r>
          </w:p>
        </w:tc>
        <w:tc>
          <w:tcPr>
            <w:tcW w:w="2156" w:type="pct"/>
            <w:vAlign w:val="center"/>
          </w:tcPr>
          <w:p>
            <w:pPr>
              <w:pStyle w:val="182"/>
              <w:bidi w:val="0"/>
              <w:rPr>
                <w:color w:val="auto"/>
              </w:rPr>
            </w:pPr>
            <w:r>
              <w:rPr>
                <w:color w:val="auto"/>
              </w:rPr>
              <w:t>落实“三线一单”生态环境分区管控体系</w:t>
            </w:r>
            <w:r>
              <w:rPr>
                <w:rFonts w:hint="eastAsia"/>
                <w:color w:val="auto"/>
              </w:rPr>
              <w:t>，</w:t>
            </w:r>
            <w:r>
              <w:rPr>
                <w:color w:val="auto"/>
              </w:rPr>
              <w:t>加强重点区域、重点流域、重点行业和产业布局规划环评。持续推进钢铁、有色、石化、化工、电镀、皮革、造纸、印染、农副食品加工等行业改造转型升级</w:t>
            </w:r>
            <w:r>
              <w:rPr>
                <w:rFonts w:hint="eastAsia"/>
                <w:color w:val="auto"/>
              </w:rPr>
              <w:t>，</w:t>
            </w:r>
            <w:r>
              <w:rPr>
                <w:color w:val="auto"/>
              </w:rPr>
              <w:t>推动化工、印染、电镀等产业集群提升改造。</w:t>
            </w:r>
          </w:p>
        </w:tc>
        <w:tc>
          <w:tcPr>
            <w:tcW w:w="1833" w:type="pct"/>
            <w:vAlign w:val="center"/>
          </w:tcPr>
          <w:p>
            <w:pPr>
              <w:pStyle w:val="182"/>
              <w:bidi w:val="0"/>
              <w:rPr>
                <w:color w:val="auto"/>
              </w:rPr>
            </w:pPr>
            <w:r>
              <w:rPr>
                <w:color w:val="auto"/>
              </w:rPr>
              <w:t>本项目符合“三线一单”和产业布局规划要求，项目</w:t>
            </w:r>
            <w:r>
              <w:rPr>
                <w:rFonts w:hint="eastAsia"/>
                <w:color w:val="auto"/>
              </w:rPr>
              <w:t>生物基化学纤维制造</w:t>
            </w:r>
            <w:r>
              <w:rPr>
                <w:color w:val="auto"/>
              </w:rPr>
              <w:t>，不属于钢铁、有色、石化、化工、电镀、皮革、造纸、印染、农副食品加工等行业。</w:t>
            </w:r>
          </w:p>
        </w:tc>
        <w:tc>
          <w:tcPr>
            <w:tcW w:w="441" w:type="pct"/>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70" w:type="pct"/>
            <w:vAlign w:val="center"/>
          </w:tcPr>
          <w:p>
            <w:pPr>
              <w:pStyle w:val="182"/>
              <w:bidi w:val="0"/>
              <w:rPr>
                <w:color w:val="auto"/>
              </w:rPr>
            </w:pPr>
            <w:r>
              <w:rPr>
                <w:rFonts w:hint="eastAsia"/>
                <w:color w:val="auto"/>
              </w:rPr>
              <w:t>15.推动企业绿色发展</w:t>
            </w:r>
          </w:p>
        </w:tc>
        <w:tc>
          <w:tcPr>
            <w:tcW w:w="2156" w:type="pct"/>
            <w:vAlign w:val="center"/>
          </w:tcPr>
          <w:p>
            <w:pPr>
              <w:pStyle w:val="182"/>
              <w:bidi w:val="0"/>
              <w:rPr>
                <w:color w:val="auto"/>
              </w:rPr>
            </w:pPr>
            <w:r>
              <w:rPr>
                <w:color w:val="auto"/>
              </w:rPr>
              <w:t>在造纸、焦化、氮肥、农副食品加工、皮革、印染、有色、原料药制造、电镀等重点水污染物排放行业</w:t>
            </w:r>
            <w:r>
              <w:rPr>
                <w:rFonts w:hint="eastAsia"/>
                <w:color w:val="auto"/>
              </w:rPr>
              <w:t>，</w:t>
            </w:r>
            <w:r>
              <w:rPr>
                <w:color w:val="auto"/>
              </w:rPr>
              <w:t>推动清洁生产改造</w:t>
            </w:r>
            <w:r>
              <w:rPr>
                <w:rFonts w:hint="eastAsia"/>
                <w:color w:val="auto"/>
              </w:rPr>
              <w:t>，</w:t>
            </w:r>
            <w:r>
              <w:rPr>
                <w:color w:val="auto"/>
              </w:rPr>
              <w:t>减少单位产品耗水量和单位产品排污量。</w:t>
            </w:r>
          </w:p>
        </w:tc>
        <w:tc>
          <w:tcPr>
            <w:tcW w:w="1833" w:type="pct"/>
            <w:vAlign w:val="center"/>
          </w:tcPr>
          <w:p>
            <w:pPr>
              <w:pStyle w:val="182"/>
              <w:bidi w:val="0"/>
              <w:rPr>
                <w:color w:val="auto"/>
              </w:rPr>
            </w:pPr>
            <w:r>
              <w:rPr>
                <w:color w:val="auto"/>
              </w:rPr>
              <w:t>本项目不属于造纸、焦化、氮肥、农副食品加工、皮革、印染、有色、原料药制造、电镀等重点水污染物排放行业。</w:t>
            </w:r>
          </w:p>
        </w:tc>
        <w:tc>
          <w:tcPr>
            <w:tcW w:w="441" w:type="pct"/>
            <w:vAlign w:val="center"/>
          </w:tcPr>
          <w:p>
            <w:pPr>
              <w:pStyle w:val="182"/>
              <w:bidi w:val="0"/>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000" w:type="pct"/>
            <w:gridSpan w:val="4"/>
            <w:vAlign w:val="center"/>
          </w:tcPr>
          <w:p>
            <w:pPr>
              <w:pStyle w:val="182"/>
              <w:bidi w:val="0"/>
              <w:rPr>
                <w:color w:val="auto"/>
              </w:rPr>
            </w:pPr>
            <w:r>
              <w:rPr>
                <w:color w:val="auto"/>
              </w:rPr>
              <w:t>《</w:t>
            </w:r>
            <w:r>
              <w:rPr>
                <w:rFonts w:hint="eastAsia"/>
                <w:color w:val="auto"/>
              </w:rPr>
              <w:t>河南省</w:t>
            </w:r>
            <w:r>
              <w:rPr>
                <w:color w:val="auto"/>
              </w:rPr>
              <w:t>202</w:t>
            </w:r>
            <w:r>
              <w:rPr>
                <w:rFonts w:hint="eastAsia"/>
                <w:color w:val="auto"/>
              </w:rPr>
              <w:t>2</w:t>
            </w:r>
            <w:r>
              <w:rPr>
                <w:color w:val="auto"/>
              </w:rPr>
              <w:t>年土壤污染防治攻坚战实施方案》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570" w:type="pct"/>
            <w:vAlign w:val="center"/>
          </w:tcPr>
          <w:p>
            <w:pPr>
              <w:pStyle w:val="182"/>
              <w:bidi w:val="0"/>
              <w:rPr>
                <w:color w:val="auto"/>
              </w:rPr>
            </w:pPr>
            <w:r>
              <w:rPr>
                <w:rFonts w:hint="eastAsia"/>
                <w:color w:val="auto"/>
              </w:rPr>
              <w:t>3.推动涉重金属企业绿色化发展</w:t>
            </w:r>
          </w:p>
        </w:tc>
        <w:tc>
          <w:tcPr>
            <w:tcW w:w="2156" w:type="pct"/>
            <w:vAlign w:val="center"/>
          </w:tcPr>
          <w:p>
            <w:pPr>
              <w:pStyle w:val="182"/>
              <w:bidi w:val="0"/>
              <w:rPr>
                <w:color w:val="auto"/>
              </w:rPr>
            </w:pPr>
            <w:r>
              <w:rPr>
                <w:color w:val="auto"/>
              </w:rPr>
              <w:t>支持涉重金属企业提标改造</w:t>
            </w:r>
            <w:r>
              <w:rPr>
                <w:rFonts w:hint="eastAsia"/>
                <w:color w:val="auto"/>
              </w:rPr>
              <w:t>，</w:t>
            </w:r>
            <w:r>
              <w:rPr>
                <w:color w:val="auto"/>
              </w:rPr>
              <w:t>建立完善全口径涉重金属重点行业企业清单动态调整机制</w:t>
            </w:r>
            <w:r>
              <w:rPr>
                <w:rFonts w:hint="eastAsia"/>
                <w:color w:val="auto"/>
              </w:rPr>
              <w:t>，</w:t>
            </w:r>
            <w:r>
              <w:rPr>
                <w:color w:val="auto"/>
              </w:rPr>
              <w:t>及时完善更新全口径清单企业信息及生产状态。新、改、扩建重点行业建设项目重金属</w:t>
            </w:r>
            <w:r>
              <w:rPr>
                <w:rFonts w:hint="eastAsia"/>
                <w:color w:val="auto"/>
              </w:rPr>
              <w:t>污染物</w:t>
            </w:r>
            <w:r>
              <w:rPr>
                <w:color w:val="auto"/>
              </w:rPr>
              <w:t>排放实施“减量替代”。</w:t>
            </w:r>
          </w:p>
        </w:tc>
        <w:tc>
          <w:tcPr>
            <w:tcW w:w="1833" w:type="pct"/>
            <w:vAlign w:val="center"/>
          </w:tcPr>
          <w:p>
            <w:pPr>
              <w:pStyle w:val="182"/>
              <w:bidi w:val="0"/>
              <w:rPr>
                <w:color w:val="auto"/>
              </w:rPr>
            </w:pPr>
            <w:r>
              <w:rPr>
                <w:color w:val="auto"/>
              </w:rPr>
              <w:t>本项目不涉及重金属污染物排放。</w:t>
            </w:r>
          </w:p>
        </w:tc>
        <w:tc>
          <w:tcPr>
            <w:tcW w:w="441" w:type="pct"/>
            <w:vAlign w:val="center"/>
          </w:tcPr>
          <w:p>
            <w:pPr>
              <w:pStyle w:val="182"/>
              <w:bidi w:val="0"/>
              <w:rPr>
                <w:color w:val="auto"/>
              </w:rPr>
            </w:pPr>
            <w:r>
              <w:rPr>
                <w:color w:val="auto"/>
              </w:rPr>
              <w:t>符合</w:t>
            </w:r>
          </w:p>
        </w:tc>
      </w:tr>
    </w:tbl>
    <w:p>
      <w:pPr>
        <w:pStyle w:val="9"/>
        <w:bidi w:val="0"/>
        <w:rPr>
          <w:color w:val="auto"/>
        </w:rPr>
      </w:pPr>
      <w:r>
        <w:rPr>
          <w:rFonts w:hint="eastAsia"/>
          <w:color w:val="auto"/>
        </w:rPr>
        <w:t>2</w:t>
      </w:r>
      <w:r>
        <w:rPr>
          <w:color w:val="auto"/>
        </w:rPr>
        <w:t>.11.</w:t>
      </w:r>
      <w:r>
        <w:rPr>
          <w:rFonts w:hint="eastAsia"/>
          <w:color w:val="auto"/>
          <w:lang w:val="en-US" w:eastAsia="zh-CN"/>
        </w:rPr>
        <w:t>8</w:t>
      </w:r>
      <w:r>
        <w:rPr>
          <w:rFonts w:hint="eastAsia"/>
          <w:color w:val="auto"/>
        </w:rPr>
        <w:t>与《河南省“十四五”生态环境保护和生态经济发展规划的通知》（豫政[</w:t>
      </w:r>
      <w:r>
        <w:rPr>
          <w:color w:val="auto"/>
        </w:rPr>
        <w:t>2021]44</w:t>
      </w:r>
      <w:r>
        <w:rPr>
          <w:rFonts w:hint="eastAsia"/>
          <w:color w:val="auto"/>
        </w:rPr>
        <w:t>号）相符性分析</w:t>
      </w:r>
    </w:p>
    <w:p>
      <w:pPr>
        <w:bidi w:val="0"/>
        <w:rPr>
          <w:color w:val="auto"/>
        </w:rPr>
      </w:pPr>
      <w:r>
        <w:rPr>
          <w:rFonts w:hint="eastAsia"/>
          <w:color w:val="auto"/>
        </w:rPr>
        <w:t>本项目与《河南省“十四五”生态环境保护和生态经济发展规划的通知》（豫政[</w:t>
      </w:r>
      <w:r>
        <w:rPr>
          <w:color w:val="auto"/>
        </w:rPr>
        <w:t>2021]44号</w:t>
      </w:r>
      <w:r>
        <w:rPr>
          <w:rFonts w:hint="eastAsia"/>
          <w:color w:val="auto"/>
        </w:rPr>
        <w:t>）</w:t>
      </w:r>
      <w:r>
        <w:rPr>
          <w:color w:val="auto"/>
        </w:rPr>
        <w:t>（以下简称《</w:t>
      </w:r>
      <w:r>
        <w:rPr>
          <w:rFonts w:hint="eastAsia"/>
          <w:color w:val="auto"/>
        </w:rPr>
        <w:t>通知</w:t>
      </w:r>
      <w:r>
        <w:rPr>
          <w:color w:val="auto"/>
        </w:rPr>
        <w:t>》）</w:t>
      </w:r>
      <w:r>
        <w:rPr>
          <w:rFonts w:hint="eastAsia"/>
          <w:color w:val="auto"/>
        </w:rPr>
        <w:t>对比分析见下表。</w:t>
      </w:r>
    </w:p>
    <w:p>
      <w:pPr>
        <w:pStyle w:val="181"/>
        <w:bidi w:val="0"/>
        <w:rPr>
          <w:color w:val="auto"/>
        </w:rPr>
      </w:pPr>
      <w:r>
        <w:rPr>
          <w:color w:val="auto"/>
        </w:rPr>
        <w:t>表</w:t>
      </w:r>
      <w:r>
        <w:rPr>
          <w:rFonts w:hint="eastAsia"/>
          <w:color w:val="auto"/>
        </w:rPr>
        <w:t>2</w:t>
      </w:r>
      <w:r>
        <w:rPr>
          <w:rFonts w:hint="eastAsia"/>
          <w:color w:val="auto"/>
          <w:lang w:val="en-US" w:eastAsia="zh-CN"/>
        </w:rPr>
        <w:t>.11</w:t>
      </w:r>
      <w:r>
        <w:rPr>
          <w:rFonts w:hint="eastAsia"/>
          <w:color w:val="auto"/>
        </w:rPr>
        <w:t>-</w:t>
      </w:r>
      <w:r>
        <w:rPr>
          <w:rFonts w:hint="eastAsia"/>
          <w:color w:val="auto"/>
          <w:lang w:val="en-US" w:eastAsia="zh-CN"/>
        </w:rPr>
        <w:t>8</w:t>
      </w:r>
      <w:r>
        <w:rPr>
          <w:rFonts w:hint="eastAsia"/>
          <w:color w:val="auto"/>
        </w:rPr>
        <w:t xml:space="preserve">  </w:t>
      </w:r>
      <w:r>
        <w:rPr>
          <w:color w:val="auto"/>
        </w:rPr>
        <w:t xml:space="preserve">       </w:t>
      </w:r>
      <w:r>
        <w:rPr>
          <w:rFonts w:hint="eastAsia"/>
          <w:color w:val="auto"/>
        </w:rPr>
        <w:t>本项目建设与《通知》</w:t>
      </w:r>
      <w:r>
        <w:rPr>
          <w:color w:val="auto"/>
        </w:rPr>
        <w:t>对比分析表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18"/>
        <w:gridCol w:w="945"/>
        <w:gridCol w:w="4183"/>
        <w:gridCol w:w="23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951" w:type="dxa"/>
            <w:gridSpan w:val="3"/>
            <w:vAlign w:val="center"/>
          </w:tcPr>
          <w:p>
            <w:pPr>
              <w:pStyle w:val="182"/>
              <w:bidi w:val="0"/>
              <w:rPr>
                <w:color w:val="auto"/>
              </w:rPr>
            </w:pPr>
            <w:r>
              <w:rPr>
                <w:color w:val="auto"/>
              </w:rPr>
              <w:t>与本项目相关条文</w:t>
            </w:r>
          </w:p>
        </w:tc>
        <w:tc>
          <w:tcPr>
            <w:tcW w:w="2381" w:type="dxa"/>
            <w:vAlign w:val="center"/>
          </w:tcPr>
          <w:p>
            <w:pPr>
              <w:pStyle w:val="182"/>
              <w:bidi w:val="0"/>
              <w:rPr>
                <w:color w:val="auto"/>
              </w:rPr>
            </w:pPr>
            <w:r>
              <w:rPr>
                <w:color w:val="auto"/>
              </w:rPr>
              <w:t>本项目情况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dxa"/>
            <w:vAlign w:val="center"/>
          </w:tcPr>
          <w:p>
            <w:pPr>
              <w:pStyle w:val="182"/>
              <w:bidi w:val="0"/>
              <w:rPr>
                <w:color w:val="auto"/>
              </w:rPr>
            </w:pPr>
            <w:r>
              <w:rPr>
                <w:rFonts w:hint="eastAsia"/>
                <w:color w:val="auto"/>
              </w:rPr>
              <w:t>第二章</w:t>
            </w:r>
          </w:p>
          <w:p>
            <w:pPr>
              <w:pStyle w:val="182"/>
              <w:bidi w:val="0"/>
              <w:rPr>
                <w:color w:val="auto"/>
              </w:rPr>
            </w:pPr>
            <w:r>
              <w:rPr>
                <w:rFonts w:hint="eastAsia"/>
                <w:color w:val="auto"/>
              </w:rPr>
              <w:t>总体要求</w:t>
            </w:r>
          </w:p>
        </w:tc>
        <w:tc>
          <w:tcPr>
            <w:tcW w:w="946" w:type="dxa"/>
            <w:vAlign w:val="center"/>
          </w:tcPr>
          <w:p>
            <w:pPr>
              <w:pStyle w:val="182"/>
              <w:bidi w:val="0"/>
              <w:rPr>
                <w:color w:val="auto"/>
              </w:rPr>
            </w:pPr>
            <w:r>
              <w:rPr>
                <w:rFonts w:hint="eastAsia"/>
                <w:color w:val="auto"/>
              </w:rPr>
              <w:t>第三节 目标指标</w:t>
            </w:r>
          </w:p>
        </w:tc>
        <w:tc>
          <w:tcPr>
            <w:tcW w:w="4187" w:type="dxa"/>
            <w:vAlign w:val="center"/>
          </w:tcPr>
          <w:p>
            <w:pPr>
              <w:pStyle w:val="182"/>
              <w:bidi w:val="0"/>
              <w:rPr>
                <w:color w:val="auto"/>
              </w:rPr>
            </w:pPr>
            <w:r>
              <w:rPr>
                <w:color w:val="auto"/>
              </w:rPr>
              <w:t>环境风险有效防控</w:t>
            </w:r>
            <w:r>
              <w:rPr>
                <w:rFonts w:hint="eastAsia"/>
                <w:color w:val="auto"/>
              </w:rPr>
              <w:t>。</w:t>
            </w:r>
          </w:p>
          <w:p>
            <w:pPr>
              <w:pStyle w:val="182"/>
              <w:bidi w:val="0"/>
              <w:rPr>
                <w:color w:val="auto"/>
              </w:rPr>
            </w:pPr>
            <w:r>
              <w:rPr>
                <w:color w:val="auto"/>
              </w:rPr>
              <w:t>土壤安全利用水平持续提升。医疗废物、危险废物收集处置能力明显增强，重金属和尾矿库环境风险管控持续强化，核与辐射安全水平大幅提升。</w:t>
            </w:r>
          </w:p>
        </w:tc>
        <w:tc>
          <w:tcPr>
            <w:tcW w:w="2381" w:type="dxa"/>
            <w:vAlign w:val="center"/>
          </w:tcPr>
          <w:p>
            <w:pPr>
              <w:pStyle w:val="182"/>
              <w:bidi w:val="0"/>
              <w:rPr>
                <w:color w:val="auto"/>
              </w:rPr>
            </w:pPr>
            <w:r>
              <w:rPr>
                <w:color w:val="auto"/>
              </w:rPr>
              <w:t>本项目</w:t>
            </w:r>
            <w:r>
              <w:rPr>
                <w:rFonts w:hint="eastAsia"/>
                <w:color w:val="auto"/>
              </w:rPr>
              <w:t>厂区已做好硬化，并做好地面防渗，减少风险物质泄露时对土壤的危害</w:t>
            </w:r>
            <w:r>
              <w:rPr>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dxa"/>
            <w:vMerge w:val="restart"/>
            <w:vAlign w:val="center"/>
          </w:tcPr>
          <w:p>
            <w:pPr>
              <w:pStyle w:val="182"/>
              <w:bidi w:val="0"/>
              <w:rPr>
                <w:color w:val="auto"/>
              </w:rPr>
            </w:pPr>
            <w:r>
              <w:rPr>
                <w:rFonts w:hint="eastAsia"/>
                <w:color w:val="auto"/>
              </w:rPr>
              <w:t>第三章</w:t>
            </w:r>
          </w:p>
          <w:p>
            <w:pPr>
              <w:pStyle w:val="182"/>
              <w:bidi w:val="0"/>
              <w:rPr>
                <w:color w:val="auto"/>
              </w:rPr>
            </w:pPr>
            <w:r>
              <w:rPr>
                <w:color w:val="auto"/>
              </w:rPr>
              <w:t>推动绿色低碳转型，</w:t>
            </w:r>
          </w:p>
          <w:p>
            <w:pPr>
              <w:pStyle w:val="182"/>
              <w:bidi w:val="0"/>
              <w:rPr>
                <w:color w:val="auto"/>
              </w:rPr>
            </w:pPr>
            <w:r>
              <w:rPr>
                <w:color w:val="auto"/>
              </w:rPr>
              <w:t>打造黄河流域生态保护和高质量发展示范区</w:t>
            </w:r>
          </w:p>
        </w:tc>
        <w:tc>
          <w:tcPr>
            <w:tcW w:w="946" w:type="dxa"/>
            <w:vAlign w:val="center"/>
          </w:tcPr>
          <w:p>
            <w:pPr>
              <w:pStyle w:val="182"/>
              <w:bidi w:val="0"/>
              <w:rPr>
                <w:color w:val="auto"/>
              </w:rPr>
            </w:pPr>
            <w:r>
              <w:rPr>
                <w:rFonts w:hint="eastAsia"/>
                <w:color w:val="auto"/>
              </w:rPr>
              <w:t xml:space="preserve">第二节 </w:t>
            </w:r>
            <w:r>
              <w:rPr>
                <w:color w:val="auto"/>
              </w:rPr>
              <w:t>构建区域绿色发展格局</w:t>
            </w:r>
          </w:p>
        </w:tc>
        <w:tc>
          <w:tcPr>
            <w:tcW w:w="4187" w:type="dxa"/>
            <w:vAlign w:val="center"/>
          </w:tcPr>
          <w:p>
            <w:pPr>
              <w:pStyle w:val="182"/>
              <w:bidi w:val="0"/>
              <w:rPr>
                <w:color w:val="auto"/>
              </w:rPr>
            </w:pPr>
            <w:r>
              <w:rPr>
                <w:color w:val="auto"/>
              </w:rPr>
              <w:t>实施生态环境分区管控。</w:t>
            </w:r>
          </w:p>
          <w:p>
            <w:pPr>
              <w:pStyle w:val="182"/>
              <w:bidi w:val="0"/>
              <w:rPr>
                <w:color w:val="auto"/>
              </w:rPr>
            </w:pPr>
            <w:r>
              <w:rPr>
                <w:color w:val="auto"/>
              </w:rPr>
              <w:t>衔接国土空间规划分区和用途管制要求，将生态保护红线、环境质量底线、资源利用上线的硬约束落实到环境管控单元，建立差别化的生态环境准入清单，加强“三线一单”在地方立法、政策制定、环境准入、园区管理、执法监管等方面的应用。健全以环境影响评价制度为主体的生态环境源头预防体系，严格规划环评审查和建设项目环境准入，开展重大经济技术政策的生态环境影响分析和重大生态环境政策的社会经济影响评价。</w:t>
            </w:r>
          </w:p>
        </w:tc>
        <w:tc>
          <w:tcPr>
            <w:tcW w:w="2381" w:type="dxa"/>
            <w:vAlign w:val="center"/>
          </w:tcPr>
          <w:p>
            <w:pPr>
              <w:pStyle w:val="182"/>
              <w:bidi w:val="0"/>
              <w:rPr>
                <w:color w:val="auto"/>
              </w:rPr>
            </w:pPr>
            <w:r>
              <w:rPr>
                <w:color w:val="auto"/>
              </w:rPr>
              <w:t>本项目</w:t>
            </w:r>
            <w:r>
              <w:rPr>
                <w:rFonts w:hint="eastAsia"/>
                <w:color w:val="auto"/>
              </w:rPr>
              <w:t>属于生物基化学纤维制造</w:t>
            </w:r>
            <w:r>
              <w:rPr>
                <w:color w:val="auto"/>
              </w:rPr>
              <w:t>，</w:t>
            </w:r>
            <w:r>
              <w:rPr>
                <w:rFonts w:hint="eastAsia"/>
                <w:color w:val="auto"/>
              </w:rPr>
              <w:t>项目位于</w:t>
            </w:r>
            <w:r>
              <w:rPr>
                <w:color w:val="auto"/>
              </w:rPr>
              <w:t>新乡经济技术开发区中的化纤纺织产业集中区</w:t>
            </w:r>
            <w:r>
              <w:rPr>
                <w:rFonts w:hint="eastAsia"/>
                <w:color w:val="auto"/>
              </w:rPr>
              <w:t>，项目建设符合“三线一单”生态环境分区管控的要求。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dxa"/>
            <w:vMerge w:val="continue"/>
            <w:vAlign w:val="center"/>
          </w:tcPr>
          <w:p>
            <w:pPr>
              <w:pStyle w:val="182"/>
              <w:bidi w:val="0"/>
              <w:rPr>
                <w:color w:val="auto"/>
              </w:rPr>
            </w:pPr>
          </w:p>
        </w:tc>
        <w:tc>
          <w:tcPr>
            <w:tcW w:w="946" w:type="dxa"/>
            <w:vAlign w:val="center"/>
          </w:tcPr>
          <w:p>
            <w:pPr>
              <w:pStyle w:val="182"/>
              <w:bidi w:val="0"/>
              <w:rPr>
                <w:color w:val="auto"/>
              </w:rPr>
            </w:pPr>
            <w:r>
              <w:rPr>
                <w:rFonts w:hint="eastAsia"/>
                <w:color w:val="auto"/>
              </w:rPr>
              <w:t>第三节 优化升级绿色发展方式</w:t>
            </w:r>
          </w:p>
        </w:tc>
        <w:tc>
          <w:tcPr>
            <w:tcW w:w="4187" w:type="dxa"/>
            <w:vAlign w:val="center"/>
          </w:tcPr>
          <w:p>
            <w:pPr>
              <w:pStyle w:val="182"/>
              <w:bidi w:val="0"/>
              <w:rPr>
                <w:color w:val="auto"/>
              </w:rPr>
            </w:pPr>
            <w:r>
              <w:rPr>
                <w:color w:val="auto"/>
              </w:rPr>
              <w:t>坚决遏制“两高”项目盲目发展，严把准入关口，严格分类处置，落实产能置换、煤炭消费减量替代和污染物排放区域削减等要求，对不符合规定的项目坚决停批停建。依法依规淘汰落后产能和化解过剩产能，支持钢铁、水泥、电解铝、玻璃等重点行业进行产能置换、装备大型化改造、重组整合，鼓励高炉—转炉长流程钢铁企业转型为电炉短流程企业。原则上禁止新增钢铁、电解铝、水泥、平板玻璃、传统煤化工（甲醇、合成氨）、焦化、铝用炭素、砖瓦窑、耐火材料、铅锌冶炼（含再生铅）等行业产能，合理控制煤制油气产能，严控新增炼油产能。</w:t>
            </w:r>
          </w:p>
        </w:tc>
        <w:tc>
          <w:tcPr>
            <w:tcW w:w="2381" w:type="dxa"/>
            <w:vAlign w:val="center"/>
          </w:tcPr>
          <w:p>
            <w:pPr>
              <w:pStyle w:val="182"/>
              <w:bidi w:val="0"/>
              <w:rPr>
                <w:color w:val="auto"/>
              </w:rPr>
            </w:pPr>
            <w:r>
              <w:rPr>
                <w:color w:val="auto"/>
              </w:rPr>
              <w:t>本项目</w:t>
            </w:r>
            <w:r>
              <w:rPr>
                <w:rFonts w:hint="eastAsia"/>
                <w:color w:val="auto"/>
              </w:rPr>
              <w:t>属于生物基化学纤维制造，</w:t>
            </w:r>
            <w:r>
              <w:rPr>
                <w:color w:val="auto"/>
              </w:rPr>
              <w:t>不属于“两高项目”</w:t>
            </w: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dxa"/>
            <w:vAlign w:val="center"/>
          </w:tcPr>
          <w:p>
            <w:pPr>
              <w:pStyle w:val="182"/>
              <w:bidi w:val="0"/>
              <w:rPr>
                <w:color w:val="auto"/>
              </w:rPr>
            </w:pPr>
            <w:r>
              <w:rPr>
                <w:rFonts w:hint="eastAsia"/>
                <w:color w:val="auto"/>
              </w:rPr>
              <w:t>第四章</w:t>
            </w:r>
          </w:p>
          <w:p>
            <w:pPr>
              <w:pStyle w:val="182"/>
              <w:bidi w:val="0"/>
              <w:rPr>
                <w:color w:val="auto"/>
              </w:rPr>
            </w:pPr>
            <w:r>
              <w:rPr>
                <w:color w:val="auto"/>
              </w:rPr>
              <w:t>深入打好污染防治攻坚战，持续改善环境质量</w:t>
            </w:r>
          </w:p>
        </w:tc>
        <w:tc>
          <w:tcPr>
            <w:tcW w:w="946" w:type="dxa"/>
            <w:vAlign w:val="center"/>
          </w:tcPr>
          <w:p>
            <w:pPr>
              <w:pStyle w:val="182"/>
              <w:bidi w:val="0"/>
              <w:rPr>
                <w:color w:val="auto"/>
              </w:rPr>
            </w:pPr>
            <w:r>
              <w:rPr>
                <w:rFonts w:hint="eastAsia"/>
                <w:color w:val="auto"/>
              </w:rPr>
              <w:t xml:space="preserve">第一节 </w:t>
            </w:r>
            <w:r>
              <w:rPr>
                <w:color w:val="auto"/>
              </w:rPr>
              <w:t>深入打好蓝天保卫战</w:t>
            </w:r>
          </w:p>
        </w:tc>
        <w:tc>
          <w:tcPr>
            <w:tcW w:w="4187" w:type="dxa"/>
            <w:vAlign w:val="center"/>
          </w:tcPr>
          <w:p>
            <w:pPr>
              <w:pStyle w:val="182"/>
              <w:bidi w:val="0"/>
              <w:rPr>
                <w:color w:val="auto"/>
              </w:rPr>
            </w:pPr>
            <w:r>
              <w:rPr>
                <w:color w:val="auto"/>
              </w:rPr>
              <w:t>加强VOCs全过程综合管控。建立完善石化、化工、包装印刷、工业涂装、家具制造等重点行业源头、过程和末端全过程综合控制体系，实施VOCs排放总量控制。开展涉VOCs产业集群排查及分类治理，推进省级开发区、企业集群因地制宜推广建设涉VOCs“绿岛”项目，统筹规划建设一批集中涂装中心、活性炭集中处理中心、有机溶剂回收中心。开展原油、成品油、有机化学品等储罐排查，逐步取消炼油、石化、煤化工、制药、农药、化工、工业涂装、包装印刷等企业非必要的VOCs废气排放系统旁路。完善行业和产品标准体系，扩大低（无）VOCs产品标准的覆盖范围。全面推进使用低VOCs含量涂料、油墨、胶粘剂、清洗剂等，建立低VOCs含量产品标志制度。加强汽修行业综合治理，加大餐饮油烟污染治理力度。</w:t>
            </w:r>
          </w:p>
        </w:tc>
        <w:tc>
          <w:tcPr>
            <w:tcW w:w="2381" w:type="dxa"/>
            <w:vAlign w:val="center"/>
          </w:tcPr>
          <w:p>
            <w:pPr>
              <w:pStyle w:val="182"/>
              <w:bidi w:val="0"/>
              <w:rPr>
                <w:rFonts w:hint="eastAsia" w:eastAsia="宋体"/>
                <w:color w:val="auto"/>
                <w:lang w:val="en-US" w:eastAsia="zh-CN"/>
              </w:rPr>
            </w:pPr>
            <w:r>
              <w:rPr>
                <w:rFonts w:hint="eastAsia"/>
                <w:color w:val="auto"/>
                <w:lang w:val="en-US" w:eastAsia="zh-CN"/>
              </w:rPr>
              <w:t>本项目不涉及</w:t>
            </w:r>
            <w:r>
              <w:rPr>
                <w:color w:val="auto"/>
              </w:rPr>
              <w:t>VOCs</w:t>
            </w:r>
            <w:r>
              <w:rPr>
                <w:rFonts w:hint="eastAsia"/>
                <w:color w:val="auto"/>
                <w:lang w:val="en-US" w:eastAsia="zh-CN"/>
              </w:rPr>
              <w:t>排放。</w:t>
            </w:r>
          </w:p>
        </w:tc>
      </w:tr>
    </w:tbl>
    <w:p>
      <w:pPr>
        <w:pStyle w:val="9"/>
        <w:bidi w:val="0"/>
        <w:rPr>
          <w:color w:val="auto"/>
        </w:rPr>
      </w:pPr>
      <w:r>
        <w:rPr>
          <w:rFonts w:hint="eastAsia"/>
          <w:color w:val="auto"/>
        </w:rPr>
        <w:t>2</w:t>
      </w:r>
      <w:r>
        <w:rPr>
          <w:color w:val="auto"/>
        </w:rPr>
        <w:t>.11.</w:t>
      </w:r>
      <w:r>
        <w:rPr>
          <w:rFonts w:hint="eastAsia"/>
          <w:color w:val="auto"/>
          <w:lang w:val="en-US" w:eastAsia="zh-CN"/>
        </w:rPr>
        <w:t>9</w:t>
      </w:r>
      <w:r>
        <w:rPr>
          <w:rFonts w:hint="eastAsia"/>
          <w:color w:val="auto"/>
        </w:rPr>
        <w:t xml:space="preserve">与《新乡市“十四五”生态环境保护和生态经济发展规划》（新乡市生态环境局和新乡市发改委 </w:t>
      </w:r>
      <w:r>
        <w:rPr>
          <w:color w:val="auto"/>
        </w:rPr>
        <w:t>2022.4</w:t>
      </w:r>
      <w:r>
        <w:rPr>
          <w:rFonts w:hint="eastAsia"/>
          <w:color w:val="auto"/>
        </w:rPr>
        <w:t>）相符性分析</w:t>
      </w:r>
    </w:p>
    <w:p>
      <w:pPr>
        <w:bidi w:val="0"/>
        <w:rPr>
          <w:color w:val="auto"/>
        </w:rPr>
      </w:pPr>
      <w:r>
        <w:rPr>
          <w:rFonts w:hint="eastAsia"/>
          <w:color w:val="auto"/>
        </w:rPr>
        <w:t>本项目与《新乡市“十四五”生态环境保护和生态经济发展规划》</w:t>
      </w:r>
      <w:r>
        <w:rPr>
          <w:color w:val="auto"/>
        </w:rPr>
        <w:t>（以下简称《</w:t>
      </w:r>
      <w:r>
        <w:rPr>
          <w:rFonts w:hint="eastAsia"/>
          <w:color w:val="auto"/>
        </w:rPr>
        <w:t>规划</w:t>
      </w:r>
      <w:r>
        <w:rPr>
          <w:color w:val="auto"/>
        </w:rPr>
        <w:t>》）</w:t>
      </w:r>
      <w:r>
        <w:rPr>
          <w:rFonts w:hint="eastAsia"/>
          <w:color w:val="auto"/>
        </w:rPr>
        <w:t>对比分析见下表。</w:t>
      </w:r>
    </w:p>
    <w:p>
      <w:pPr>
        <w:pStyle w:val="181"/>
        <w:bidi w:val="0"/>
        <w:rPr>
          <w:color w:val="auto"/>
        </w:rPr>
      </w:pPr>
      <w:r>
        <w:rPr>
          <w:color w:val="auto"/>
        </w:rPr>
        <w:t>表</w:t>
      </w:r>
      <w:r>
        <w:rPr>
          <w:rFonts w:hint="eastAsia"/>
          <w:color w:val="auto"/>
        </w:rPr>
        <w:t>2</w:t>
      </w:r>
      <w:r>
        <w:rPr>
          <w:rFonts w:hint="eastAsia"/>
          <w:color w:val="auto"/>
          <w:lang w:val="en-US" w:eastAsia="zh-CN"/>
        </w:rPr>
        <w:t>.11</w:t>
      </w:r>
      <w:r>
        <w:rPr>
          <w:rFonts w:hint="eastAsia"/>
          <w:color w:val="auto"/>
        </w:rPr>
        <w:t>-</w:t>
      </w:r>
      <w:r>
        <w:rPr>
          <w:rFonts w:hint="eastAsia"/>
          <w:color w:val="auto"/>
          <w:lang w:val="en-US" w:eastAsia="zh-CN"/>
        </w:rPr>
        <w:t>9</w:t>
      </w:r>
      <w:r>
        <w:rPr>
          <w:rFonts w:hint="eastAsia"/>
          <w:color w:val="auto"/>
        </w:rPr>
        <w:t xml:space="preserve">  </w:t>
      </w:r>
      <w:r>
        <w:rPr>
          <w:color w:val="auto"/>
        </w:rPr>
        <w:t xml:space="preserve">       </w:t>
      </w:r>
      <w:r>
        <w:rPr>
          <w:rFonts w:hint="eastAsia"/>
          <w:color w:val="auto"/>
        </w:rPr>
        <w:t>本项目建设与《规划》</w:t>
      </w:r>
      <w:r>
        <w:rPr>
          <w:color w:val="auto"/>
        </w:rPr>
        <w:t>对比分析表</w:t>
      </w:r>
    </w:p>
    <w:tbl>
      <w:tblPr>
        <w:tblStyle w:val="3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804"/>
        <w:gridCol w:w="932"/>
        <w:gridCol w:w="4042"/>
        <w:gridCol w:w="25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3495" w:type="pct"/>
            <w:gridSpan w:val="3"/>
            <w:vAlign w:val="center"/>
          </w:tcPr>
          <w:p>
            <w:pPr>
              <w:pStyle w:val="182"/>
              <w:bidi w:val="0"/>
              <w:rPr>
                <w:color w:val="auto"/>
              </w:rPr>
            </w:pPr>
            <w:r>
              <w:rPr>
                <w:color w:val="auto"/>
              </w:rPr>
              <w:t>与本项目相关条文</w:t>
            </w:r>
          </w:p>
        </w:tc>
        <w:tc>
          <w:tcPr>
            <w:tcW w:w="1505" w:type="pct"/>
            <w:vAlign w:val="center"/>
          </w:tcPr>
          <w:p>
            <w:pPr>
              <w:pStyle w:val="182"/>
              <w:bidi w:val="0"/>
              <w:rPr>
                <w:color w:val="auto"/>
              </w:rPr>
            </w:pPr>
            <w:r>
              <w:rPr>
                <w:color w:val="auto"/>
              </w:rPr>
              <w:t>本项目情况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491" w:type="pct"/>
            <w:vAlign w:val="center"/>
          </w:tcPr>
          <w:p>
            <w:pPr>
              <w:pStyle w:val="182"/>
              <w:bidi w:val="0"/>
              <w:rPr>
                <w:color w:val="auto"/>
              </w:rPr>
            </w:pPr>
            <w:r>
              <w:rPr>
                <w:rFonts w:hint="eastAsia"/>
                <w:color w:val="auto"/>
              </w:rPr>
              <w:t>第二章</w:t>
            </w:r>
          </w:p>
          <w:p>
            <w:pPr>
              <w:pStyle w:val="182"/>
              <w:bidi w:val="0"/>
              <w:rPr>
                <w:color w:val="auto"/>
              </w:rPr>
            </w:pPr>
            <w:r>
              <w:rPr>
                <w:rFonts w:hint="eastAsia"/>
                <w:color w:val="auto"/>
              </w:rPr>
              <w:t>总体要求</w:t>
            </w:r>
          </w:p>
        </w:tc>
        <w:tc>
          <w:tcPr>
            <w:tcW w:w="568" w:type="pct"/>
            <w:vAlign w:val="center"/>
          </w:tcPr>
          <w:p>
            <w:pPr>
              <w:pStyle w:val="182"/>
              <w:bidi w:val="0"/>
              <w:rPr>
                <w:color w:val="auto"/>
              </w:rPr>
            </w:pPr>
            <w:r>
              <w:rPr>
                <w:rFonts w:hint="eastAsia"/>
                <w:color w:val="auto"/>
              </w:rPr>
              <w:t>第三节 主要目标</w:t>
            </w:r>
          </w:p>
        </w:tc>
        <w:tc>
          <w:tcPr>
            <w:tcW w:w="2436" w:type="pct"/>
            <w:vAlign w:val="center"/>
          </w:tcPr>
          <w:p>
            <w:pPr>
              <w:pStyle w:val="182"/>
              <w:bidi w:val="0"/>
              <w:rPr>
                <w:color w:val="auto"/>
              </w:rPr>
            </w:pPr>
            <w:r>
              <w:rPr>
                <w:color w:val="auto"/>
              </w:rPr>
              <w:t>环境风险有效稳定防控</w:t>
            </w:r>
            <w:r>
              <w:rPr>
                <w:rFonts w:hint="eastAsia"/>
                <w:color w:val="auto"/>
              </w:rPr>
              <w:t>。</w:t>
            </w:r>
          </w:p>
          <w:p>
            <w:pPr>
              <w:pStyle w:val="182"/>
              <w:bidi w:val="0"/>
              <w:rPr>
                <w:color w:val="auto"/>
              </w:rPr>
            </w:pPr>
            <w:r>
              <w:rPr>
                <w:color w:val="auto"/>
              </w:rPr>
              <w:t>土壤安全利用水平稳步提升，医疗废物、危险废物收集处置能力明显增强，核与辐射安全水平大幅提升。</w:t>
            </w:r>
          </w:p>
        </w:tc>
        <w:tc>
          <w:tcPr>
            <w:tcW w:w="1505" w:type="pct"/>
            <w:vAlign w:val="center"/>
          </w:tcPr>
          <w:p>
            <w:pPr>
              <w:pStyle w:val="182"/>
              <w:bidi w:val="0"/>
              <w:rPr>
                <w:color w:val="auto"/>
              </w:rPr>
            </w:pPr>
            <w:r>
              <w:rPr>
                <w:color w:val="auto"/>
              </w:rPr>
              <w:t>本项目</w:t>
            </w:r>
            <w:r>
              <w:rPr>
                <w:rFonts w:hint="eastAsia"/>
                <w:color w:val="auto"/>
              </w:rPr>
              <w:t>厂区</w:t>
            </w:r>
            <w:r>
              <w:rPr>
                <w:rFonts w:hint="eastAsia"/>
                <w:color w:val="auto"/>
                <w:lang w:val="en-US" w:eastAsia="zh-CN"/>
              </w:rPr>
              <w:t>将</w:t>
            </w:r>
            <w:r>
              <w:rPr>
                <w:rFonts w:hint="eastAsia"/>
                <w:color w:val="auto"/>
              </w:rPr>
              <w:t>做好硬化，并做好地面防渗，减少风险物质泄露时对土壤的危害</w:t>
            </w:r>
            <w:r>
              <w:rPr>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491" w:type="pct"/>
            <w:vMerge w:val="restart"/>
            <w:vAlign w:val="center"/>
          </w:tcPr>
          <w:p>
            <w:pPr>
              <w:pStyle w:val="182"/>
              <w:bidi w:val="0"/>
              <w:rPr>
                <w:color w:val="auto"/>
              </w:rPr>
            </w:pPr>
            <w:r>
              <w:rPr>
                <w:rFonts w:hint="eastAsia"/>
                <w:color w:val="auto"/>
              </w:rPr>
              <w:t>第三章</w:t>
            </w:r>
          </w:p>
          <w:p>
            <w:pPr>
              <w:pStyle w:val="182"/>
              <w:bidi w:val="0"/>
              <w:rPr>
                <w:color w:val="auto"/>
              </w:rPr>
            </w:pPr>
            <w:r>
              <w:rPr>
                <w:rFonts w:hint="eastAsia"/>
                <w:color w:val="auto"/>
              </w:rPr>
              <w:t>绿色低碳转型，提升黄河生态</w:t>
            </w:r>
          </w:p>
        </w:tc>
        <w:tc>
          <w:tcPr>
            <w:tcW w:w="568" w:type="pct"/>
            <w:vAlign w:val="center"/>
          </w:tcPr>
          <w:p>
            <w:pPr>
              <w:pStyle w:val="182"/>
              <w:bidi w:val="0"/>
              <w:rPr>
                <w:color w:val="auto"/>
              </w:rPr>
            </w:pPr>
            <w:r>
              <w:rPr>
                <w:rFonts w:hint="eastAsia"/>
                <w:color w:val="auto"/>
              </w:rPr>
              <w:t>第二节 统筹区域绿色发展格局</w:t>
            </w:r>
          </w:p>
        </w:tc>
        <w:tc>
          <w:tcPr>
            <w:tcW w:w="2436" w:type="pct"/>
            <w:vAlign w:val="center"/>
          </w:tcPr>
          <w:p>
            <w:pPr>
              <w:pStyle w:val="182"/>
              <w:bidi w:val="0"/>
              <w:rPr>
                <w:color w:val="auto"/>
              </w:rPr>
            </w:pPr>
            <w:r>
              <w:rPr>
                <w:color w:val="auto"/>
              </w:rPr>
              <w:t>完善生态环境分区管控机制。</w:t>
            </w:r>
          </w:p>
          <w:p>
            <w:pPr>
              <w:pStyle w:val="182"/>
              <w:bidi w:val="0"/>
              <w:rPr>
                <w:color w:val="auto"/>
              </w:rPr>
            </w:pPr>
            <w:r>
              <w:rPr>
                <w:color w:val="auto"/>
              </w:rPr>
              <w:t>落实“三线一单”生态环境分区管控体系，构建以“三线一单”为空间管控基础、环境影响评价为环境准入把关、排污许可为企业运行守法依据的生态环境管理框架，严格规划环评审查和建设项目环境准入，从源头预防环境污染和生态破坏。</w:t>
            </w:r>
          </w:p>
        </w:tc>
        <w:tc>
          <w:tcPr>
            <w:tcW w:w="1505" w:type="pct"/>
            <w:vAlign w:val="center"/>
          </w:tcPr>
          <w:p>
            <w:pPr>
              <w:pStyle w:val="182"/>
              <w:bidi w:val="0"/>
              <w:rPr>
                <w:color w:val="auto"/>
              </w:rPr>
            </w:pPr>
            <w:r>
              <w:rPr>
                <w:color w:val="auto"/>
              </w:rPr>
              <w:t>本项目</w:t>
            </w:r>
            <w:r>
              <w:rPr>
                <w:rFonts w:hint="eastAsia"/>
                <w:color w:val="auto"/>
              </w:rPr>
              <w:t>属于生物基化学纤维制造</w:t>
            </w:r>
            <w:r>
              <w:rPr>
                <w:color w:val="auto"/>
              </w:rPr>
              <w:t>，</w:t>
            </w:r>
            <w:r>
              <w:rPr>
                <w:rFonts w:hint="eastAsia"/>
                <w:color w:val="auto"/>
              </w:rPr>
              <w:t>项目位于</w:t>
            </w:r>
            <w:r>
              <w:rPr>
                <w:color w:val="auto"/>
              </w:rPr>
              <w:t>新乡经济技术开发区中的化纤纺织产业集中区</w:t>
            </w:r>
            <w:r>
              <w:rPr>
                <w:rFonts w:hint="eastAsia"/>
                <w:color w:val="auto"/>
              </w:rPr>
              <w:t>，项目建设符合“三线一单”生态环境分区管控的要求。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491" w:type="pct"/>
            <w:vMerge w:val="continue"/>
            <w:vAlign w:val="center"/>
          </w:tcPr>
          <w:p>
            <w:pPr>
              <w:pStyle w:val="182"/>
              <w:bidi w:val="0"/>
              <w:rPr>
                <w:color w:val="auto"/>
              </w:rPr>
            </w:pPr>
          </w:p>
        </w:tc>
        <w:tc>
          <w:tcPr>
            <w:tcW w:w="568" w:type="pct"/>
            <w:vAlign w:val="center"/>
          </w:tcPr>
          <w:p>
            <w:pPr>
              <w:pStyle w:val="182"/>
              <w:bidi w:val="0"/>
              <w:rPr>
                <w:color w:val="auto"/>
              </w:rPr>
            </w:pPr>
            <w:r>
              <w:rPr>
                <w:rFonts w:hint="eastAsia"/>
                <w:color w:val="auto"/>
              </w:rPr>
              <w:t>第三节 优化绿色产业发展方式</w:t>
            </w:r>
          </w:p>
        </w:tc>
        <w:tc>
          <w:tcPr>
            <w:tcW w:w="2436" w:type="pct"/>
            <w:vAlign w:val="center"/>
          </w:tcPr>
          <w:p>
            <w:pPr>
              <w:pStyle w:val="182"/>
              <w:bidi w:val="0"/>
              <w:rPr>
                <w:color w:val="auto"/>
              </w:rPr>
            </w:pPr>
            <w:r>
              <w:rPr>
                <w:color w:val="auto"/>
              </w:rPr>
              <w:t>遏制“两高”项目发展。</w:t>
            </w:r>
          </w:p>
          <w:p>
            <w:pPr>
              <w:pStyle w:val="182"/>
              <w:bidi w:val="0"/>
              <w:rPr>
                <w:color w:val="auto"/>
              </w:rPr>
            </w:pPr>
            <w:r>
              <w:rPr>
                <w:color w:val="auto"/>
              </w:rPr>
              <w:t>坚决遏制高耗能、高排放（以下简称“两高”）项目盲目发展。加强能耗总量和强度双控、煤炭消费总量和污染物排放总量控制。强化“两高”项目规划约束，实施“两高”项目台账管理。组织实施重点用能单位节能降碳改造行动，将存量“两高”项目纳入改造项目清单。依法依规淘汰落后产能和化解过剩产能，实施落后产能清零行动。原则上禁止新增钢铁、电解铝、水泥、平板玻璃、传统煤化工（甲醇、合成氨）、焦化、铝用炭素、砖瓦窑、耐火材料、铅锌冶炼（含再生铅）等行业产能。过剩产能搬迁、改建项目，按照国家、省有关规定，实行污染物排放削减替代。</w:t>
            </w:r>
          </w:p>
        </w:tc>
        <w:tc>
          <w:tcPr>
            <w:tcW w:w="1505" w:type="pct"/>
            <w:vAlign w:val="center"/>
          </w:tcPr>
          <w:p>
            <w:pPr>
              <w:pStyle w:val="182"/>
              <w:bidi w:val="0"/>
              <w:rPr>
                <w:color w:val="auto"/>
              </w:rPr>
            </w:pPr>
            <w:r>
              <w:rPr>
                <w:color w:val="auto"/>
              </w:rPr>
              <w:t>本项目</w:t>
            </w:r>
            <w:r>
              <w:rPr>
                <w:rFonts w:hint="eastAsia"/>
                <w:color w:val="auto"/>
              </w:rPr>
              <w:t>属于生物基化学纤维制造，</w:t>
            </w:r>
            <w:r>
              <w:rPr>
                <w:color w:val="auto"/>
              </w:rPr>
              <w:t>不属于“两高项目”</w:t>
            </w: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646" w:hRule="atLeast"/>
        </w:trPr>
        <w:tc>
          <w:tcPr>
            <w:tcW w:w="491" w:type="pct"/>
            <w:vMerge w:val="restart"/>
            <w:vAlign w:val="center"/>
          </w:tcPr>
          <w:p>
            <w:pPr>
              <w:pStyle w:val="182"/>
              <w:bidi w:val="0"/>
              <w:rPr>
                <w:color w:val="auto"/>
              </w:rPr>
            </w:pPr>
            <w:r>
              <w:rPr>
                <w:rFonts w:hint="eastAsia"/>
                <w:color w:val="auto"/>
              </w:rPr>
              <w:t>第四章</w:t>
            </w:r>
          </w:p>
          <w:p>
            <w:pPr>
              <w:pStyle w:val="182"/>
              <w:bidi w:val="0"/>
              <w:rPr>
                <w:color w:val="auto"/>
              </w:rPr>
            </w:pPr>
            <w:r>
              <w:rPr>
                <w:rFonts w:hint="eastAsia"/>
                <w:color w:val="auto"/>
              </w:rPr>
              <w:t>坚持协同治理，持续改善大气环境</w:t>
            </w:r>
          </w:p>
        </w:tc>
        <w:tc>
          <w:tcPr>
            <w:tcW w:w="568" w:type="pct"/>
            <w:vMerge w:val="restart"/>
            <w:vAlign w:val="center"/>
          </w:tcPr>
          <w:p>
            <w:pPr>
              <w:pStyle w:val="182"/>
              <w:bidi w:val="0"/>
              <w:rPr>
                <w:color w:val="auto"/>
              </w:rPr>
            </w:pPr>
            <w:r>
              <w:rPr>
                <w:rFonts w:hint="eastAsia"/>
                <w:color w:val="auto"/>
              </w:rPr>
              <w:t>第一节 推进工业污染物深度治理</w:t>
            </w:r>
          </w:p>
        </w:tc>
        <w:tc>
          <w:tcPr>
            <w:tcW w:w="2436" w:type="pct"/>
            <w:vAlign w:val="center"/>
          </w:tcPr>
          <w:p>
            <w:pPr>
              <w:pStyle w:val="182"/>
              <w:bidi w:val="0"/>
              <w:rPr>
                <w:color w:val="auto"/>
              </w:rPr>
            </w:pPr>
            <w:r>
              <w:rPr>
                <w:color w:val="auto"/>
              </w:rPr>
              <w:t>加强工业炉窑和锅炉污染治理。</w:t>
            </w:r>
          </w:p>
          <w:p>
            <w:pPr>
              <w:pStyle w:val="182"/>
              <w:bidi w:val="0"/>
              <w:rPr>
                <w:color w:val="auto"/>
              </w:rPr>
            </w:pPr>
            <w:r>
              <w:rPr>
                <w:color w:val="auto"/>
              </w:rPr>
              <w:t>深入推进工业炉窑大气污染综合治理。加快完成铸造行业清洁能源改造，全面提升铸造、铁合金石灰窑、耐火材料制品、砖瓦窑、有色金属冶炼及压延等工业窑炉的治污设施处理能力。新建</w:t>
            </w:r>
            <w:r>
              <w:rPr>
                <w:rFonts w:hint="eastAsia"/>
                <w:color w:val="auto"/>
                <w:lang w:eastAsia="zh-CN"/>
              </w:rPr>
              <w:t>天然气</w:t>
            </w:r>
            <w:r>
              <w:rPr>
                <w:color w:val="auto"/>
              </w:rPr>
              <w:t>锅炉应采取低氮燃烧和烟气循环技术。持续推进</w:t>
            </w:r>
            <w:r>
              <w:rPr>
                <w:rFonts w:hint="eastAsia"/>
                <w:color w:val="auto"/>
                <w:lang w:eastAsia="zh-CN"/>
              </w:rPr>
              <w:t>城乡接合部</w:t>
            </w:r>
            <w:r>
              <w:rPr>
                <w:color w:val="auto"/>
              </w:rPr>
              <w:t>、供热管道未铺设地区、燃煤锅炉的取缔或改造。加强生物质锅炉燃料品质及排放管控，淘汰污染物排放不符合要求的生物质锅炉。</w:t>
            </w:r>
          </w:p>
        </w:tc>
        <w:tc>
          <w:tcPr>
            <w:tcW w:w="1505" w:type="pct"/>
            <w:vAlign w:val="center"/>
          </w:tcPr>
          <w:p>
            <w:pPr>
              <w:pStyle w:val="182"/>
              <w:bidi w:val="0"/>
              <w:rPr>
                <w:color w:val="auto"/>
              </w:rPr>
            </w:pPr>
            <w:r>
              <w:rPr>
                <w:rFonts w:hint="eastAsia"/>
                <w:b/>
                <w:bCs/>
                <w:color w:val="auto"/>
                <w:u w:val="single"/>
              </w:rPr>
              <w:t>本项目热源依托化纤厂新厂区</w:t>
            </w:r>
            <w:r>
              <w:rPr>
                <w:rFonts w:hint="eastAsia"/>
                <w:b/>
                <w:bCs/>
                <w:color w:val="auto"/>
                <w:u w:val="single"/>
                <w:lang w:val="en-US" w:eastAsia="zh-CN"/>
              </w:rPr>
              <w:t>新建1</w:t>
            </w:r>
            <w:r>
              <w:rPr>
                <w:rFonts w:hint="default" w:ascii="Arial" w:hAnsi="Arial" w:cs="Arial"/>
                <w:b/>
                <w:bCs/>
                <w:color w:val="auto"/>
                <w:u w:val="single"/>
                <w:lang w:val="en-US" w:eastAsia="zh-CN"/>
              </w:rPr>
              <w:t>×</w:t>
            </w:r>
            <w:r>
              <w:rPr>
                <w:rFonts w:hint="eastAsia"/>
                <w:b/>
                <w:bCs/>
                <w:color w:val="auto"/>
                <w:u w:val="single"/>
                <w:lang w:val="en-US" w:eastAsia="zh-CN"/>
              </w:rPr>
              <w:t>360t/h锅炉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491" w:type="pct"/>
            <w:vMerge w:val="continue"/>
            <w:vAlign w:val="center"/>
          </w:tcPr>
          <w:p>
            <w:pPr>
              <w:pStyle w:val="182"/>
              <w:bidi w:val="0"/>
              <w:rPr>
                <w:color w:val="auto"/>
              </w:rPr>
            </w:pPr>
          </w:p>
        </w:tc>
        <w:tc>
          <w:tcPr>
            <w:tcW w:w="568" w:type="pct"/>
            <w:vMerge w:val="continue"/>
            <w:vAlign w:val="center"/>
          </w:tcPr>
          <w:p>
            <w:pPr>
              <w:pStyle w:val="182"/>
              <w:bidi w:val="0"/>
              <w:rPr>
                <w:color w:val="auto"/>
              </w:rPr>
            </w:pPr>
          </w:p>
        </w:tc>
        <w:tc>
          <w:tcPr>
            <w:tcW w:w="2436" w:type="pct"/>
            <w:vAlign w:val="center"/>
          </w:tcPr>
          <w:p>
            <w:pPr>
              <w:pStyle w:val="182"/>
              <w:bidi w:val="0"/>
              <w:rPr>
                <w:color w:val="auto"/>
              </w:rPr>
            </w:pPr>
            <w:r>
              <w:rPr>
                <w:color w:val="auto"/>
              </w:rPr>
              <w:t>推进重点行业绩效分级管理。</w:t>
            </w:r>
          </w:p>
          <w:p>
            <w:pPr>
              <w:pStyle w:val="182"/>
              <w:bidi w:val="0"/>
              <w:rPr>
                <w:color w:val="auto"/>
              </w:rPr>
            </w:pPr>
            <w:r>
              <w:rPr>
                <w:color w:val="auto"/>
              </w:rPr>
              <w:t>规范和加强重点行业企业绩效分级管理工作，坚持绩效评级与当地环境质量达标挂钩，培育推动企业“梯度达标”，促进行业治理能力治理水平整体升级。2025年年底前重点行业绩效分级A、B级企业力争达到70%。</w:t>
            </w:r>
          </w:p>
        </w:tc>
        <w:tc>
          <w:tcPr>
            <w:tcW w:w="1505" w:type="pct"/>
            <w:vAlign w:val="center"/>
          </w:tcPr>
          <w:p>
            <w:pPr>
              <w:pStyle w:val="182"/>
              <w:bidi w:val="0"/>
              <w:rPr>
                <w:color w:val="auto"/>
              </w:rPr>
            </w:pPr>
            <w:r>
              <w:rPr>
                <w:rFonts w:hint="eastAsia"/>
                <w:color w:val="auto"/>
              </w:rPr>
              <w:t>本项目将严格按照河南省生态环境厅《河南省重污染天气通用行业应急减排措施制定技术指南（2021年修订</w:t>
            </w:r>
            <w:r>
              <w:rPr>
                <w:rFonts w:hint="eastAsia"/>
                <w:color w:val="auto"/>
                <w:lang w:eastAsia="zh-CN"/>
              </w:rPr>
              <w:t>）</w:t>
            </w:r>
            <w:r>
              <w:rPr>
                <w:rFonts w:hint="eastAsia"/>
                <w:color w:val="auto"/>
              </w:rPr>
              <w:t>》中涉颗粒物要求绩效先进性企业的要求进行设计建设。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491" w:type="pct"/>
            <w:vMerge w:val="continue"/>
            <w:vAlign w:val="center"/>
          </w:tcPr>
          <w:p>
            <w:pPr>
              <w:pStyle w:val="182"/>
              <w:bidi w:val="0"/>
              <w:rPr>
                <w:color w:val="auto"/>
              </w:rPr>
            </w:pPr>
          </w:p>
        </w:tc>
        <w:tc>
          <w:tcPr>
            <w:tcW w:w="568" w:type="pct"/>
            <w:vAlign w:val="center"/>
          </w:tcPr>
          <w:p>
            <w:pPr>
              <w:pStyle w:val="182"/>
              <w:bidi w:val="0"/>
              <w:rPr>
                <w:color w:val="auto"/>
              </w:rPr>
            </w:pPr>
            <w:r>
              <w:rPr>
                <w:rFonts w:hint="eastAsia"/>
                <w:color w:val="auto"/>
              </w:rPr>
              <w:t>第二节 加大VOCs综合整治力度</w:t>
            </w:r>
          </w:p>
        </w:tc>
        <w:tc>
          <w:tcPr>
            <w:tcW w:w="2436" w:type="pct"/>
            <w:vAlign w:val="center"/>
          </w:tcPr>
          <w:p>
            <w:pPr>
              <w:pStyle w:val="182"/>
              <w:bidi w:val="0"/>
              <w:rPr>
                <w:color w:val="auto"/>
              </w:rPr>
            </w:pPr>
            <w:r>
              <w:rPr>
                <w:color w:val="auto"/>
              </w:rPr>
              <w:t>加强VOCs无组织排放整治。</w:t>
            </w:r>
          </w:p>
          <w:p>
            <w:pPr>
              <w:pStyle w:val="182"/>
              <w:bidi w:val="0"/>
              <w:rPr>
                <w:color w:val="auto"/>
              </w:rPr>
            </w:pPr>
            <w:r>
              <w:rPr>
                <w:color w:val="auto"/>
              </w:rPr>
              <w:t>按照“应收尽收、分质收集”原则，将无组织排放转变为有组织排放进行集中治理，选择适宜高效治理技术，巩固提升废气收集率、治理设施同步运行率和污染物去除率。进一步严格排查含VOCs物料储存、转移和输送、设备与管线组件泄露、敞开液面逃逸以及工艺过程五类排放源，督促企业通过采取设备与场所密闭、工艺改进废气有效收集等措施，对VOCs无组织排放废气进行综合治理。规范开展</w:t>
            </w:r>
            <w:r>
              <w:rPr>
                <w:rFonts w:hint="eastAsia"/>
                <w:color w:val="auto"/>
                <w:lang w:eastAsia="zh-CN"/>
              </w:rPr>
              <w:t>泄漏</w:t>
            </w:r>
            <w:r>
              <w:rPr>
                <w:color w:val="auto"/>
              </w:rPr>
              <w:t>检测与修复（LDAR），定期开展LDAR工作，及时修复泄漏点，化工产业园区建立统一的LDAR信息管理平台。</w:t>
            </w:r>
          </w:p>
        </w:tc>
        <w:tc>
          <w:tcPr>
            <w:tcW w:w="1505" w:type="pct"/>
            <w:vAlign w:val="center"/>
          </w:tcPr>
          <w:p>
            <w:pPr>
              <w:pStyle w:val="182"/>
              <w:bidi w:val="0"/>
              <w:rPr>
                <w:rFonts w:hint="eastAsia" w:eastAsia="宋体"/>
                <w:color w:val="auto"/>
                <w:lang w:eastAsia="zh-CN"/>
              </w:rPr>
            </w:pPr>
            <w:r>
              <w:rPr>
                <w:rFonts w:hint="eastAsia"/>
                <w:b/>
                <w:bCs/>
                <w:color w:val="auto"/>
                <w:u w:val="single"/>
              </w:rPr>
              <w:t>本项目属于</w:t>
            </w:r>
            <w:r>
              <w:rPr>
                <w:rFonts w:hint="eastAsia"/>
                <w:b/>
                <w:bCs/>
                <w:color w:val="auto"/>
                <w:u w:val="single"/>
                <w:lang w:val="en-US" w:eastAsia="zh-CN"/>
              </w:rPr>
              <w:t>扩建</w:t>
            </w:r>
            <w:r>
              <w:rPr>
                <w:rFonts w:hint="eastAsia"/>
                <w:b/>
                <w:bCs/>
                <w:color w:val="auto"/>
                <w:u w:val="single"/>
              </w:rPr>
              <w:t>项目，</w:t>
            </w:r>
            <w:r>
              <w:rPr>
                <w:rFonts w:hint="eastAsia"/>
                <w:b/>
                <w:bCs/>
                <w:color w:val="auto"/>
                <w:u w:val="single"/>
                <w:lang w:val="en-US" w:eastAsia="zh-CN"/>
              </w:rPr>
              <w:t>不涉及</w:t>
            </w:r>
            <w:r>
              <w:rPr>
                <w:rFonts w:hint="eastAsia"/>
                <w:b/>
                <w:bCs/>
                <w:color w:val="auto"/>
                <w:u w:val="single"/>
              </w:rPr>
              <w:t>VOCs排放</w:t>
            </w:r>
            <w:r>
              <w:rPr>
                <w:rFonts w:hint="eastAsia"/>
                <w:b/>
                <w:bCs/>
                <w:color w:val="auto"/>
                <w:u w:val="singl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491" w:type="pct"/>
            <w:vMerge w:val="continue"/>
            <w:vAlign w:val="center"/>
          </w:tcPr>
          <w:p>
            <w:pPr>
              <w:pStyle w:val="182"/>
              <w:bidi w:val="0"/>
              <w:rPr>
                <w:color w:val="auto"/>
              </w:rPr>
            </w:pPr>
          </w:p>
        </w:tc>
        <w:tc>
          <w:tcPr>
            <w:tcW w:w="568" w:type="pct"/>
            <w:vAlign w:val="center"/>
          </w:tcPr>
          <w:p>
            <w:pPr>
              <w:pStyle w:val="182"/>
              <w:bidi w:val="0"/>
              <w:rPr>
                <w:color w:val="auto"/>
              </w:rPr>
            </w:pPr>
            <w:r>
              <w:rPr>
                <w:rFonts w:hint="eastAsia"/>
                <w:color w:val="auto"/>
              </w:rPr>
              <w:t>第四节 加强扬尘恶臭等污染治理</w:t>
            </w:r>
          </w:p>
        </w:tc>
        <w:tc>
          <w:tcPr>
            <w:tcW w:w="2436" w:type="pct"/>
            <w:vAlign w:val="center"/>
          </w:tcPr>
          <w:p>
            <w:pPr>
              <w:pStyle w:val="182"/>
              <w:bidi w:val="0"/>
              <w:rPr>
                <w:color w:val="auto"/>
              </w:rPr>
            </w:pPr>
            <w:r>
              <w:rPr>
                <w:color w:val="auto"/>
              </w:rPr>
              <w:t>强化扬尘综合治理。</w:t>
            </w:r>
          </w:p>
          <w:p>
            <w:pPr>
              <w:pStyle w:val="182"/>
              <w:bidi w:val="0"/>
              <w:rPr>
                <w:color w:val="auto"/>
              </w:rPr>
            </w:pPr>
            <w:r>
              <w:rPr>
                <w:color w:val="auto"/>
              </w:rPr>
              <w:t>加快智慧化工地建设，对施工工地主要扬尘产生点安装视频监控装置，实施全过程监控，严格落实绿色施工和“六个百分百”要求。渣土物料运输车辆管理纳入日常安全文明施工监督范围，加强扬尘管理，保持行驶途中全密闭，增强视频监控车牌号识别。加强施工扬尘监管执法、强化重污染天气预警、大风天气条件下扬尘管控。道路、水务等线性工程进行分段施工。持续开展城市清洁行动，进一步扩大道路机械化清扫和洒水范围，提高城市道路清扫、冲洗的机械化率，增加道路冲洗保洁频次，遏制随风起尘和交通扬尘。</w:t>
            </w:r>
          </w:p>
        </w:tc>
        <w:tc>
          <w:tcPr>
            <w:tcW w:w="1505" w:type="pct"/>
            <w:vAlign w:val="center"/>
          </w:tcPr>
          <w:p>
            <w:pPr>
              <w:pStyle w:val="182"/>
              <w:bidi w:val="0"/>
              <w:rPr>
                <w:color w:val="auto"/>
              </w:rPr>
            </w:pPr>
            <w:r>
              <w:rPr>
                <w:rFonts w:hint="eastAsia"/>
                <w:b/>
                <w:bCs/>
                <w:color w:val="auto"/>
                <w:u w:val="single"/>
              </w:rPr>
              <w:t>本项目施工期将严格按照“六个百分之百”要求施工</w:t>
            </w: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491" w:type="pct"/>
            <w:vAlign w:val="center"/>
          </w:tcPr>
          <w:p>
            <w:pPr>
              <w:pStyle w:val="182"/>
              <w:bidi w:val="0"/>
              <w:rPr>
                <w:color w:val="auto"/>
              </w:rPr>
            </w:pPr>
            <w:r>
              <w:rPr>
                <w:rFonts w:hint="eastAsia"/>
                <w:color w:val="auto"/>
              </w:rPr>
              <w:t>第五章</w:t>
            </w:r>
          </w:p>
          <w:p>
            <w:pPr>
              <w:pStyle w:val="182"/>
              <w:bidi w:val="0"/>
              <w:rPr>
                <w:color w:val="auto"/>
              </w:rPr>
            </w:pPr>
            <w:r>
              <w:rPr>
                <w:rFonts w:hint="eastAsia"/>
                <w:color w:val="auto"/>
              </w:rPr>
              <w:t>实施“三水统筹”，稳步提升水生态环境</w:t>
            </w:r>
          </w:p>
        </w:tc>
        <w:tc>
          <w:tcPr>
            <w:tcW w:w="568" w:type="pct"/>
            <w:vAlign w:val="center"/>
          </w:tcPr>
          <w:p>
            <w:pPr>
              <w:pStyle w:val="182"/>
              <w:bidi w:val="0"/>
              <w:rPr>
                <w:color w:val="auto"/>
              </w:rPr>
            </w:pPr>
            <w:r>
              <w:rPr>
                <w:rFonts w:hint="eastAsia"/>
                <w:color w:val="auto"/>
              </w:rPr>
              <w:t>第三节 持续深化水污染治理</w:t>
            </w:r>
          </w:p>
        </w:tc>
        <w:tc>
          <w:tcPr>
            <w:tcW w:w="2436" w:type="pct"/>
            <w:vAlign w:val="center"/>
          </w:tcPr>
          <w:p>
            <w:pPr>
              <w:pStyle w:val="182"/>
              <w:bidi w:val="0"/>
              <w:rPr>
                <w:color w:val="auto"/>
              </w:rPr>
            </w:pPr>
            <w:r>
              <w:rPr>
                <w:color w:val="auto"/>
              </w:rPr>
              <w:t>深入开展工业污染防治。</w:t>
            </w:r>
          </w:p>
          <w:p>
            <w:pPr>
              <w:pStyle w:val="182"/>
              <w:bidi w:val="0"/>
              <w:rPr>
                <w:color w:val="auto"/>
              </w:rPr>
            </w:pPr>
            <w:r>
              <w:rPr>
                <w:color w:val="auto"/>
              </w:rPr>
              <w:t>推进涉水工业企业全面达标排放，实现工业污染全过程持续控制。加快推进印染、化工、制药等重污染行业专项治理，分类实施关停取缔、整合搬迁、提升改造等措施，依法淘汰涉及污染的落后产能，促使行业转型升级。实现工业污染全过程持续控制，加大对污染物排放超标或者重点污染物排放超总量的企业予以综合整治。全面落实排污许可证管理制度，加强对涉及危险废物、高浓度废液等排放的工业企业的日常监管。</w:t>
            </w:r>
          </w:p>
        </w:tc>
        <w:tc>
          <w:tcPr>
            <w:tcW w:w="1505" w:type="pct"/>
            <w:vAlign w:val="center"/>
          </w:tcPr>
          <w:p>
            <w:pPr>
              <w:pStyle w:val="182"/>
              <w:bidi w:val="0"/>
              <w:rPr>
                <w:color w:val="auto"/>
              </w:rPr>
            </w:pPr>
            <w:r>
              <w:rPr>
                <w:color w:val="auto"/>
              </w:rPr>
              <w:t>项目废水经污水处理站处理后进入小店污水处理厂进一步处理。202</w:t>
            </w:r>
            <w:r>
              <w:rPr>
                <w:rFonts w:hint="eastAsia"/>
                <w:color w:val="auto"/>
                <w:lang w:val="en-US" w:eastAsia="zh-CN"/>
              </w:rPr>
              <w:t>2</w:t>
            </w:r>
            <w:r>
              <w:rPr>
                <w:color w:val="auto"/>
              </w:rPr>
              <w:t>年8月</w:t>
            </w:r>
            <w:r>
              <w:rPr>
                <w:rFonts w:hint="eastAsia"/>
                <w:color w:val="auto"/>
                <w:lang w:val="en-US" w:eastAsia="zh-CN"/>
              </w:rPr>
              <w:t>31</w:t>
            </w:r>
            <w:r>
              <w:rPr>
                <w:color w:val="auto"/>
              </w:rPr>
              <w:t>日，企业申请取得排污许可证，证书编号为</w:t>
            </w:r>
            <w:r>
              <w:rPr>
                <w:rFonts w:hint="eastAsia"/>
                <w:color w:val="auto"/>
                <w:lang w:eastAsia="zh-CN"/>
              </w:rPr>
              <w:t>：</w:t>
            </w:r>
            <w:r>
              <w:rPr>
                <w:rFonts w:hint="eastAsia"/>
                <w:color w:val="auto"/>
                <w:lang w:val="en-US" w:eastAsia="zh-CN"/>
              </w:rPr>
              <w:t>914100001700014285002P</w:t>
            </w:r>
            <w:r>
              <w:rPr>
                <w:color w:val="auto"/>
              </w:rPr>
              <w:t>。</w:t>
            </w:r>
          </w:p>
          <w:p>
            <w:pPr>
              <w:pStyle w:val="182"/>
              <w:bidi w:val="0"/>
              <w:rPr>
                <w:color w:val="auto"/>
              </w:rPr>
            </w:pPr>
            <w:r>
              <w:rPr>
                <w:rFonts w:hint="eastAsia"/>
                <w:color w:val="auto"/>
                <w:lang w:val="en-US" w:eastAsia="zh-CN"/>
              </w:rPr>
              <w:t>菌草杂质</w:t>
            </w:r>
            <w:r>
              <w:rPr>
                <w:rFonts w:hint="eastAsia"/>
                <w:color w:val="auto"/>
              </w:rPr>
              <w:t>送化纤厂新厂区锅炉燃烧。</w:t>
            </w:r>
          </w:p>
        </w:tc>
      </w:tr>
    </w:tbl>
    <w:p>
      <w:pPr>
        <w:pStyle w:val="9"/>
        <w:bidi w:val="0"/>
        <w:rPr>
          <w:color w:val="auto"/>
        </w:rPr>
      </w:pPr>
      <w:r>
        <w:rPr>
          <w:rFonts w:hint="eastAsia"/>
          <w:color w:val="auto"/>
        </w:rPr>
        <w:t>2</w:t>
      </w:r>
      <w:r>
        <w:rPr>
          <w:color w:val="auto"/>
        </w:rPr>
        <w:t>.11.</w:t>
      </w:r>
      <w:r>
        <w:rPr>
          <w:rFonts w:hint="eastAsia"/>
          <w:color w:val="auto"/>
          <w:lang w:val="en-US" w:eastAsia="zh-CN"/>
        </w:rPr>
        <w:t>10</w:t>
      </w:r>
      <w:r>
        <w:rPr>
          <w:rFonts w:hint="eastAsia"/>
          <w:color w:val="auto"/>
        </w:rPr>
        <w:t>与《</w:t>
      </w:r>
      <w:r>
        <w:rPr>
          <w:color w:val="auto"/>
        </w:rPr>
        <w:t>中共中央 国务院关于深入打好污染防治攻坚战的意见</w:t>
      </w:r>
      <w:r>
        <w:rPr>
          <w:rFonts w:hint="eastAsia"/>
          <w:color w:val="auto"/>
        </w:rPr>
        <w:t>》（2</w:t>
      </w:r>
      <w:r>
        <w:rPr>
          <w:color w:val="auto"/>
        </w:rPr>
        <w:t>021</w:t>
      </w:r>
      <w:r>
        <w:rPr>
          <w:rFonts w:hint="eastAsia"/>
          <w:color w:val="auto"/>
        </w:rPr>
        <w:t>.</w:t>
      </w:r>
      <w:r>
        <w:rPr>
          <w:color w:val="auto"/>
        </w:rPr>
        <w:t>11.2</w:t>
      </w:r>
      <w:r>
        <w:rPr>
          <w:rFonts w:hint="eastAsia"/>
          <w:color w:val="auto"/>
        </w:rPr>
        <w:t>）相符性分析</w:t>
      </w:r>
    </w:p>
    <w:p>
      <w:pPr>
        <w:bidi w:val="0"/>
        <w:rPr>
          <w:color w:val="auto"/>
        </w:rPr>
      </w:pPr>
      <w:r>
        <w:rPr>
          <w:rFonts w:hint="eastAsia"/>
          <w:color w:val="auto"/>
        </w:rPr>
        <w:t>本项目与《</w:t>
      </w:r>
      <w:r>
        <w:rPr>
          <w:color w:val="auto"/>
        </w:rPr>
        <w:t>中共中央 国务院关于深入打好污染防治攻坚战的意见</w:t>
      </w:r>
      <w:r>
        <w:rPr>
          <w:rFonts w:hint="eastAsia"/>
          <w:color w:val="auto"/>
        </w:rPr>
        <w:t>》（2</w:t>
      </w:r>
      <w:r>
        <w:rPr>
          <w:color w:val="auto"/>
        </w:rPr>
        <w:t>021</w:t>
      </w:r>
      <w:r>
        <w:rPr>
          <w:rFonts w:hint="eastAsia"/>
          <w:color w:val="auto"/>
        </w:rPr>
        <w:t>.</w:t>
      </w:r>
      <w:r>
        <w:rPr>
          <w:color w:val="auto"/>
        </w:rPr>
        <w:t>11.2</w:t>
      </w:r>
      <w:r>
        <w:rPr>
          <w:rFonts w:hint="eastAsia"/>
          <w:color w:val="auto"/>
        </w:rPr>
        <w:t>）</w:t>
      </w:r>
      <w:r>
        <w:rPr>
          <w:color w:val="auto"/>
        </w:rPr>
        <w:t>（以下简称《</w:t>
      </w:r>
      <w:r>
        <w:rPr>
          <w:rFonts w:hint="eastAsia"/>
          <w:color w:val="auto"/>
        </w:rPr>
        <w:t>意见</w:t>
      </w:r>
      <w:r>
        <w:rPr>
          <w:color w:val="auto"/>
        </w:rPr>
        <w:t>》）</w:t>
      </w:r>
      <w:r>
        <w:rPr>
          <w:rFonts w:hint="eastAsia"/>
          <w:color w:val="auto"/>
        </w:rPr>
        <w:t>对比分析见下表。</w:t>
      </w:r>
    </w:p>
    <w:p>
      <w:pPr>
        <w:pStyle w:val="181"/>
        <w:bidi w:val="0"/>
        <w:rPr>
          <w:color w:val="auto"/>
        </w:rPr>
      </w:pPr>
      <w:r>
        <w:rPr>
          <w:color w:val="auto"/>
        </w:rPr>
        <w:t>表</w:t>
      </w:r>
      <w:r>
        <w:rPr>
          <w:rFonts w:hint="eastAsia"/>
          <w:color w:val="auto"/>
        </w:rPr>
        <w:t>2</w:t>
      </w:r>
      <w:r>
        <w:rPr>
          <w:rFonts w:hint="eastAsia"/>
          <w:color w:val="auto"/>
          <w:lang w:val="en-US" w:eastAsia="zh-CN"/>
        </w:rPr>
        <w:t>.11</w:t>
      </w:r>
      <w:r>
        <w:rPr>
          <w:rFonts w:hint="eastAsia"/>
          <w:color w:val="auto"/>
        </w:rPr>
        <w:t>-</w:t>
      </w:r>
      <w:r>
        <w:rPr>
          <w:rFonts w:hint="eastAsia"/>
          <w:color w:val="auto"/>
          <w:lang w:val="en-US" w:eastAsia="zh-CN"/>
        </w:rPr>
        <w:t>10</w:t>
      </w:r>
      <w:r>
        <w:rPr>
          <w:rFonts w:hint="eastAsia"/>
          <w:color w:val="auto"/>
        </w:rPr>
        <w:t xml:space="preserve">  </w:t>
      </w:r>
      <w:r>
        <w:rPr>
          <w:color w:val="auto"/>
        </w:rPr>
        <w:t xml:space="preserve">       </w:t>
      </w:r>
      <w:r>
        <w:rPr>
          <w:rFonts w:hint="eastAsia"/>
          <w:color w:val="auto"/>
        </w:rPr>
        <w:t>本项目建设与《意见》</w:t>
      </w:r>
      <w:r>
        <w:rPr>
          <w:color w:val="auto"/>
        </w:rPr>
        <w:t>对比分析表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12"/>
        <w:gridCol w:w="4771"/>
        <w:gridCol w:w="2153"/>
        <w:gridCol w:w="6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Align w:val="center"/>
          </w:tcPr>
          <w:p>
            <w:pPr>
              <w:pStyle w:val="182"/>
              <w:bidi w:val="0"/>
              <w:rPr>
                <w:b/>
                <w:bCs/>
                <w:color w:val="auto"/>
              </w:rPr>
            </w:pPr>
            <w:r>
              <w:rPr>
                <w:rFonts w:hint="eastAsia"/>
                <w:b/>
                <w:bCs/>
                <w:color w:val="auto"/>
              </w:rPr>
              <w:t>项目</w:t>
            </w:r>
          </w:p>
        </w:tc>
        <w:tc>
          <w:tcPr>
            <w:tcW w:w="2826" w:type="pct"/>
            <w:vAlign w:val="center"/>
          </w:tcPr>
          <w:p>
            <w:pPr>
              <w:pStyle w:val="182"/>
              <w:bidi w:val="0"/>
              <w:rPr>
                <w:b/>
                <w:bCs/>
                <w:color w:val="auto"/>
              </w:rPr>
            </w:pPr>
            <w:r>
              <w:rPr>
                <w:b/>
                <w:bCs/>
                <w:color w:val="auto"/>
              </w:rPr>
              <w:t>与本项目相关条文</w:t>
            </w:r>
          </w:p>
        </w:tc>
        <w:tc>
          <w:tcPr>
            <w:tcW w:w="1183" w:type="pct"/>
            <w:vAlign w:val="center"/>
          </w:tcPr>
          <w:p>
            <w:pPr>
              <w:pStyle w:val="182"/>
              <w:bidi w:val="0"/>
              <w:rPr>
                <w:b/>
                <w:bCs/>
                <w:color w:val="auto"/>
              </w:rPr>
            </w:pPr>
            <w:r>
              <w:rPr>
                <w:rFonts w:hint="eastAsia"/>
                <w:b/>
                <w:bCs/>
                <w:color w:val="auto"/>
              </w:rPr>
              <w:t>本项目建设情况</w:t>
            </w:r>
          </w:p>
        </w:tc>
        <w:tc>
          <w:tcPr>
            <w:tcW w:w="429" w:type="pct"/>
            <w:vAlign w:val="center"/>
          </w:tcPr>
          <w:p>
            <w:pPr>
              <w:pStyle w:val="182"/>
              <w:bidi w:val="0"/>
              <w:rPr>
                <w:b/>
                <w:bCs/>
                <w:color w:val="auto"/>
              </w:rPr>
            </w:pPr>
            <w:r>
              <w:rPr>
                <w:rFonts w:hint="eastAsia"/>
                <w:b/>
                <w:bCs/>
                <w:color w:val="auto"/>
              </w:rPr>
              <w:t>对比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Align w:val="center"/>
          </w:tcPr>
          <w:p>
            <w:pPr>
              <w:pStyle w:val="182"/>
              <w:bidi w:val="0"/>
              <w:rPr>
                <w:color w:val="auto"/>
              </w:rPr>
            </w:pPr>
            <w:r>
              <w:rPr>
                <w:color w:val="auto"/>
              </w:rPr>
              <w:t>二、加快推动绿色低碳发展</w:t>
            </w:r>
          </w:p>
        </w:tc>
        <w:tc>
          <w:tcPr>
            <w:tcW w:w="2826" w:type="pct"/>
            <w:vAlign w:val="center"/>
          </w:tcPr>
          <w:p>
            <w:pPr>
              <w:pStyle w:val="182"/>
              <w:bidi w:val="0"/>
              <w:rPr>
                <w:color w:val="auto"/>
              </w:rPr>
            </w:pPr>
            <w:r>
              <w:rPr>
                <w:color w:val="auto"/>
              </w:rPr>
              <w:t>（七）坚决遏制高耗能高排放项目盲目发展。严把高耗能高排放项目准入关口，严格落实污染物排放区域削减要求，对不符合规定的项目坚决停批停建。依法依规淘汰落后产能和化解过剩产能。推动高炉－转炉长流程炼钢转型为电炉短流程炼钢。重点区域严禁新增钢铁、焦化、水泥熟料、平板玻璃、电解铝、氧化铝、煤化工产能，合理控制煤制油气产能规模，严控新增炼油产能。</w:t>
            </w:r>
          </w:p>
        </w:tc>
        <w:tc>
          <w:tcPr>
            <w:tcW w:w="1183" w:type="pct"/>
            <w:vAlign w:val="center"/>
          </w:tcPr>
          <w:p>
            <w:pPr>
              <w:pStyle w:val="182"/>
              <w:bidi w:val="0"/>
              <w:rPr>
                <w:color w:val="auto"/>
              </w:rPr>
            </w:pPr>
            <w:r>
              <w:rPr>
                <w:color w:val="auto"/>
              </w:rPr>
              <w:t>本项目</w:t>
            </w:r>
            <w:r>
              <w:rPr>
                <w:rFonts w:hint="eastAsia"/>
                <w:color w:val="auto"/>
              </w:rPr>
              <w:t>属于生物基化学纤维制造，工程在工艺设计中注意工艺原辅材料的综合利用，采用先进的节能降耗措施，</w:t>
            </w:r>
            <w:r>
              <w:rPr>
                <w:color w:val="auto"/>
              </w:rPr>
              <w:t>不属于“两高项目”</w:t>
            </w:r>
            <w:r>
              <w:rPr>
                <w:rFonts w:hint="eastAsia"/>
                <w:color w:val="auto"/>
              </w:rPr>
              <w:t>。</w:t>
            </w:r>
          </w:p>
        </w:tc>
        <w:tc>
          <w:tcPr>
            <w:tcW w:w="429" w:type="pct"/>
            <w:vAlign w:val="center"/>
          </w:tcPr>
          <w:p>
            <w:pPr>
              <w:pStyle w:val="182"/>
              <w:bidi w:val="0"/>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restart"/>
            <w:vAlign w:val="center"/>
          </w:tcPr>
          <w:p>
            <w:pPr>
              <w:pStyle w:val="182"/>
              <w:bidi w:val="0"/>
              <w:rPr>
                <w:color w:val="auto"/>
              </w:rPr>
            </w:pPr>
            <w:r>
              <w:rPr>
                <w:color w:val="auto"/>
              </w:rPr>
              <w:t>三、深入打好蓝天保卫战</w:t>
            </w:r>
          </w:p>
        </w:tc>
        <w:tc>
          <w:tcPr>
            <w:tcW w:w="2826" w:type="pct"/>
            <w:vAlign w:val="center"/>
          </w:tcPr>
          <w:p>
            <w:pPr>
              <w:pStyle w:val="182"/>
              <w:bidi w:val="0"/>
              <w:rPr>
                <w:color w:val="auto"/>
              </w:rPr>
            </w:pPr>
            <w:r>
              <w:rPr>
                <w:color w:val="auto"/>
              </w:rPr>
              <w:t>（十一）着力打好重污染天气消除攻坚战。聚焦秋冬季细颗粒物污染，加大重点区域、重点行业结构调整和污染治理力度。京津冀及周边地区、汾渭平原持续开展秋冬季大气污染综合治理专项行动。东北地区加强秸秆禁烧管控和采暖燃煤污染治理。天山北坡城市群加强兵地协作，钢铁、有色金属、化工等行业参照重点区域执行重污染天气应急减排措施。科学调整大气污染防治重点区域范围，构建省市县三级重污染天气应急预案体系，实施重点行业企业绩效分级管理，依法严厉打击不落实应急减排措施行为。到2025年，全国重度及以上污染天数比率控制在1%以内。</w:t>
            </w:r>
          </w:p>
        </w:tc>
        <w:tc>
          <w:tcPr>
            <w:tcW w:w="1183" w:type="pct"/>
            <w:vAlign w:val="center"/>
          </w:tcPr>
          <w:p>
            <w:pPr>
              <w:pStyle w:val="182"/>
              <w:bidi w:val="0"/>
              <w:rPr>
                <w:color w:val="auto"/>
              </w:rPr>
            </w:pPr>
            <w:r>
              <w:rPr>
                <w:rFonts w:hint="eastAsia"/>
                <w:color w:val="auto"/>
              </w:rPr>
              <w:t>根据新乡市2</w:t>
            </w:r>
            <w:r>
              <w:rPr>
                <w:color w:val="auto"/>
              </w:rPr>
              <w:t>022</w:t>
            </w:r>
            <w:r>
              <w:rPr>
                <w:rFonts w:hint="eastAsia"/>
                <w:color w:val="auto"/>
              </w:rPr>
              <w:t>年大气、水、土壤攻坚方案（新环攻坚办〔</w:t>
            </w:r>
            <w:r>
              <w:rPr>
                <w:color w:val="auto"/>
              </w:rPr>
              <w:t>2022</w:t>
            </w:r>
            <w:r>
              <w:rPr>
                <w:rFonts w:hint="eastAsia"/>
                <w:color w:val="auto"/>
              </w:rPr>
              <w:t>〕</w:t>
            </w:r>
            <w:r>
              <w:rPr>
                <w:color w:val="auto"/>
              </w:rPr>
              <w:t>60</w:t>
            </w:r>
            <w:r>
              <w:rPr>
                <w:rFonts w:hint="eastAsia"/>
                <w:color w:val="auto"/>
              </w:rPr>
              <w:t>号），本项目将按照绩效先进性企业进行建设，并按照应急减排要求进行生产。</w:t>
            </w:r>
          </w:p>
        </w:tc>
        <w:tc>
          <w:tcPr>
            <w:tcW w:w="429" w:type="pct"/>
            <w:vAlign w:val="center"/>
          </w:tcPr>
          <w:p>
            <w:pPr>
              <w:pStyle w:val="182"/>
              <w:bidi w:val="0"/>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vAlign w:val="center"/>
          </w:tcPr>
          <w:p>
            <w:pPr>
              <w:pStyle w:val="182"/>
              <w:bidi w:val="0"/>
              <w:rPr>
                <w:color w:val="auto"/>
              </w:rPr>
            </w:pPr>
          </w:p>
        </w:tc>
        <w:tc>
          <w:tcPr>
            <w:tcW w:w="2826" w:type="pct"/>
            <w:vAlign w:val="center"/>
          </w:tcPr>
          <w:p>
            <w:pPr>
              <w:pStyle w:val="182"/>
              <w:bidi w:val="0"/>
              <w:rPr>
                <w:color w:val="auto"/>
              </w:rPr>
            </w:pPr>
            <w:r>
              <w:rPr>
                <w:color w:val="auto"/>
              </w:rPr>
              <w:t>（十二）着力打好臭氧污染防治攻坚战。聚焦夏秋季臭氧污染，大力推进挥发性有机物和氮氧化物协同减排。以石化、化工、涂装、医药、包装印刷、油品储运销等行业领域为重点，安全高效推进挥发性有机物综合治理，实施原辅材料和产品源头替代工程。完善挥发性有机物产品标准体系，建立低挥发性有机物含量产品标识制度。完善挥发性有机物监测技术和排放量计算方法，在相关条件成熟后，研究适时将挥发性有机物纳入环境保护税征收范围。推进钢铁、水泥、焦化行业企业超低排放改造，重点区域钢铁、燃煤机组、燃煤锅炉实现超低排放。开展涉气产业集群排查及分类治理，推进企业升级改造和区域环境综合整治。到2025年，挥发性有机物、氮氧化物排放总量比2020年分别下降10%以上，臭氧浓度增长趋势得到有效遏制，实现细颗粒物和臭氧协同控制。</w:t>
            </w:r>
          </w:p>
        </w:tc>
        <w:tc>
          <w:tcPr>
            <w:tcW w:w="1183" w:type="pct"/>
            <w:vAlign w:val="center"/>
          </w:tcPr>
          <w:p>
            <w:pPr>
              <w:pStyle w:val="182"/>
              <w:bidi w:val="0"/>
              <w:rPr>
                <w:color w:val="auto"/>
              </w:rPr>
            </w:pPr>
            <w:r>
              <w:rPr>
                <w:rFonts w:hint="eastAsia"/>
                <w:color w:val="auto"/>
              </w:rPr>
              <w:t>本项目属于生物基材料制造，不属于石化、化工、涂装、医药、包装印刷以及油品储运销项目。</w:t>
            </w:r>
          </w:p>
        </w:tc>
        <w:tc>
          <w:tcPr>
            <w:tcW w:w="429" w:type="pct"/>
            <w:vAlign w:val="center"/>
          </w:tcPr>
          <w:p>
            <w:pPr>
              <w:pStyle w:val="182"/>
              <w:bidi w:val="0"/>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vAlign w:val="center"/>
          </w:tcPr>
          <w:p>
            <w:pPr>
              <w:pStyle w:val="182"/>
              <w:bidi w:val="0"/>
              <w:rPr>
                <w:color w:val="auto"/>
              </w:rPr>
            </w:pPr>
          </w:p>
        </w:tc>
        <w:tc>
          <w:tcPr>
            <w:tcW w:w="2826" w:type="pct"/>
            <w:vAlign w:val="center"/>
          </w:tcPr>
          <w:p>
            <w:pPr>
              <w:pStyle w:val="182"/>
              <w:bidi w:val="0"/>
              <w:rPr>
                <w:color w:val="auto"/>
              </w:rPr>
            </w:pPr>
            <w:r>
              <w:rPr>
                <w:color w:val="auto"/>
              </w:rPr>
              <w:t>（十三）持续打好柴油货车污染治理攻坚战。深入实施清洁柴油车（机）行动，全国基本淘汰国三及以下排放标准汽车，推动氢燃料电池汽车示范应用，有序推广清洁能源汽车。进一步推进大中城市公共交通、公务用车电动化进程。不断提高船舶靠港岸电使用率。实施更加严格的车用汽油质量标准。加快大宗货物和中长途货物运输“公转铁</w:t>
            </w:r>
            <w:r>
              <w:rPr>
                <w:rFonts w:hint="eastAsia"/>
                <w:color w:val="auto"/>
                <w:lang w:eastAsia="zh-CN"/>
              </w:rPr>
              <w:t>”“</w:t>
            </w:r>
            <w:r>
              <w:rPr>
                <w:color w:val="auto"/>
              </w:rPr>
              <w:t>公转水”，大力发展公铁、铁水等多式联运。“十四五”时期，铁路货运量占比提高0.5个百分点，水路货运量年均增速超过2%。</w:t>
            </w:r>
          </w:p>
        </w:tc>
        <w:tc>
          <w:tcPr>
            <w:tcW w:w="1183" w:type="pct"/>
            <w:vAlign w:val="center"/>
          </w:tcPr>
          <w:p>
            <w:pPr>
              <w:pStyle w:val="182"/>
              <w:bidi w:val="0"/>
              <w:rPr>
                <w:color w:val="auto"/>
              </w:rPr>
            </w:pPr>
            <w:r>
              <w:rPr>
                <w:rFonts w:hint="eastAsia"/>
                <w:color w:val="auto"/>
              </w:rPr>
              <w:t>企业已与运输公司签订合同约定使用国五及以上或新能源车辆。</w:t>
            </w:r>
          </w:p>
        </w:tc>
        <w:tc>
          <w:tcPr>
            <w:tcW w:w="429" w:type="pct"/>
            <w:vAlign w:val="center"/>
          </w:tcPr>
          <w:p>
            <w:pPr>
              <w:pStyle w:val="182"/>
              <w:bidi w:val="0"/>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restart"/>
            <w:vAlign w:val="center"/>
          </w:tcPr>
          <w:p>
            <w:pPr>
              <w:pStyle w:val="182"/>
              <w:bidi w:val="0"/>
              <w:rPr>
                <w:color w:val="auto"/>
              </w:rPr>
            </w:pPr>
            <w:r>
              <w:rPr>
                <w:color w:val="auto"/>
              </w:rPr>
              <w:t>五、深入打好净土保卫战</w:t>
            </w:r>
          </w:p>
        </w:tc>
        <w:tc>
          <w:tcPr>
            <w:tcW w:w="2826" w:type="pct"/>
            <w:vAlign w:val="center"/>
          </w:tcPr>
          <w:p>
            <w:pPr>
              <w:pStyle w:val="182"/>
              <w:bidi w:val="0"/>
              <w:rPr>
                <w:color w:val="auto"/>
              </w:rPr>
            </w:pPr>
            <w:r>
              <w:rPr>
                <w:color w:val="auto"/>
              </w:rPr>
              <w:t>（二十三）有效管控建设用地土壤污染风险。严格建设用地土壤污染风险管控和修复名录内地块的准入管理。未依法完成土壤污染状况调查和风险评估的地块，不得开工建设与风险管控和修复无关的项目。从严管控农药、化工等行业的重度污染地块规划用途，确需开发利用的，鼓励用于拓展生态空间。完成重点地区危险化学品生产企业搬迁改造，推进腾退地块风险管控和修复。</w:t>
            </w:r>
          </w:p>
        </w:tc>
        <w:tc>
          <w:tcPr>
            <w:tcW w:w="1183" w:type="pct"/>
            <w:vAlign w:val="center"/>
          </w:tcPr>
          <w:p>
            <w:pPr>
              <w:pStyle w:val="182"/>
              <w:bidi w:val="0"/>
              <w:rPr>
                <w:color w:val="auto"/>
              </w:rPr>
            </w:pPr>
            <w:r>
              <w:rPr>
                <w:rFonts w:hint="eastAsia"/>
                <w:color w:val="auto"/>
              </w:rPr>
              <w:t>本次评价在厂址内对</w:t>
            </w:r>
            <w:r>
              <w:rPr>
                <w:color w:val="auto"/>
              </w:rPr>
              <w:t>45</w:t>
            </w:r>
            <w:r>
              <w:rPr>
                <w:rFonts w:hint="eastAsia"/>
                <w:color w:val="auto"/>
              </w:rPr>
              <w:t>项基本因子和特征因子石油烃进行监测，</w:t>
            </w:r>
            <w:r>
              <w:rPr>
                <w:color w:val="auto"/>
              </w:rPr>
              <w:t>项目所在区域的</w:t>
            </w:r>
            <w:r>
              <w:rPr>
                <w:rFonts w:hint="eastAsia"/>
                <w:color w:val="auto"/>
                <w:lang w:eastAsia="zh-CN"/>
              </w:rPr>
              <w:t>土壤环境监测</w:t>
            </w:r>
            <w:r>
              <w:rPr>
                <w:color w:val="auto"/>
              </w:rPr>
              <w:t>值均符合《土壤环境质量 建设用地土壤污染风险管控标准（试行）（GB36600-2018）</w:t>
            </w:r>
            <w:r>
              <w:rPr>
                <w:rFonts w:hint="eastAsia"/>
                <w:color w:val="auto"/>
                <w:lang w:eastAsia="zh-CN"/>
              </w:rPr>
              <w:t>》</w:t>
            </w:r>
            <w:r>
              <w:rPr>
                <w:color w:val="auto"/>
              </w:rPr>
              <w:t>表1基本项目筛选值和表2其他项目第二类用地筛选值标准的限值要求。</w:t>
            </w:r>
          </w:p>
        </w:tc>
        <w:tc>
          <w:tcPr>
            <w:tcW w:w="429" w:type="pct"/>
            <w:vAlign w:val="center"/>
          </w:tcPr>
          <w:p>
            <w:pPr>
              <w:pStyle w:val="182"/>
              <w:bidi w:val="0"/>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vAlign w:val="center"/>
          </w:tcPr>
          <w:p>
            <w:pPr>
              <w:pStyle w:val="182"/>
              <w:bidi w:val="0"/>
              <w:rPr>
                <w:color w:val="auto"/>
              </w:rPr>
            </w:pPr>
          </w:p>
        </w:tc>
        <w:tc>
          <w:tcPr>
            <w:tcW w:w="2826" w:type="pct"/>
            <w:vAlign w:val="center"/>
          </w:tcPr>
          <w:p>
            <w:pPr>
              <w:pStyle w:val="182"/>
              <w:bidi w:val="0"/>
              <w:rPr>
                <w:color w:val="auto"/>
              </w:rPr>
            </w:pPr>
            <w:r>
              <w:rPr>
                <w:color w:val="auto"/>
              </w:rPr>
              <w:t>（二十五）加强新污染物治理。制定实施新污染物治理行动方案。针对持久性有机污染物、内分泌干扰物等新污染物，实施调查监测和环境风险评估，建立健全有毒有害化学物质环境风险管理制度，强化源头准入，动态发布重点管控新污染物清单及其禁止、限制、限排等环境风险管控措施。</w:t>
            </w:r>
          </w:p>
        </w:tc>
        <w:tc>
          <w:tcPr>
            <w:tcW w:w="1183" w:type="pct"/>
            <w:vAlign w:val="center"/>
          </w:tcPr>
          <w:p>
            <w:pPr>
              <w:pStyle w:val="182"/>
              <w:bidi w:val="0"/>
              <w:rPr>
                <w:color w:val="auto"/>
              </w:rPr>
            </w:pPr>
            <w:r>
              <w:rPr>
                <w:rFonts w:hint="eastAsia"/>
                <w:color w:val="auto"/>
              </w:rPr>
              <w:t>本项目为扩建项目，不涉及</w:t>
            </w:r>
            <w:r>
              <w:rPr>
                <w:color w:val="auto"/>
              </w:rPr>
              <w:t>持久性有机污染物、内分泌干扰物等新污染物</w:t>
            </w:r>
            <w:r>
              <w:rPr>
                <w:rFonts w:hint="eastAsia"/>
                <w:color w:val="auto"/>
              </w:rPr>
              <w:t>。厂内建设</w:t>
            </w:r>
            <w:r>
              <w:rPr>
                <w:rFonts w:hint="eastAsia"/>
                <w:color w:val="auto"/>
                <w:lang w:eastAsia="zh-CN"/>
              </w:rPr>
              <w:t>有有</w:t>
            </w:r>
            <w:r>
              <w:rPr>
                <w:color w:val="auto"/>
              </w:rPr>
              <w:t>毒有害化学物质环境风险管理制度</w:t>
            </w:r>
            <w:r>
              <w:rPr>
                <w:rFonts w:hint="eastAsia"/>
                <w:color w:val="auto"/>
              </w:rPr>
              <w:t>。</w:t>
            </w:r>
          </w:p>
        </w:tc>
        <w:tc>
          <w:tcPr>
            <w:tcW w:w="429" w:type="pct"/>
            <w:vAlign w:val="center"/>
          </w:tcPr>
          <w:p>
            <w:pPr>
              <w:pStyle w:val="182"/>
              <w:bidi w:val="0"/>
              <w:rPr>
                <w:color w:val="auto"/>
              </w:rPr>
            </w:pPr>
            <w:r>
              <w:rPr>
                <w:rFonts w:hint="eastAsia"/>
                <w:color w:val="auto"/>
              </w:rPr>
              <w:t>符合</w:t>
            </w:r>
          </w:p>
        </w:tc>
      </w:tr>
    </w:tbl>
    <w:p>
      <w:pPr>
        <w:pStyle w:val="9"/>
        <w:bidi w:val="0"/>
        <w:rPr>
          <w:rFonts w:hint="eastAsia"/>
          <w:b/>
          <w:bCs/>
          <w:color w:val="auto"/>
          <w:u w:val="single"/>
          <w:lang w:val="en-US" w:eastAsia="zh-CN"/>
        </w:rPr>
      </w:pPr>
      <w:r>
        <w:rPr>
          <w:rFonts w:hint="eastAsia"/>
          <w:b/>
          <w:bCs/>
          <w:color w:val="auto"/>
          <w:u w:val="single"/>
          <w:lang w:val="en-US" w:eastAsia="zh-CN"/>
        </w:rPr>
        <w:t>2.11.11 《河南省重污染天气重点行业应急减排措施制定技术指南（2021年修订版）》要求相符性分析</w:t>
      </w:r>
    </w:p>
    <w:p>
      <w:pPr>
        <w:rPr>
          <w:rFonts w:hint="default"/>
          <w:b/>
          <w:bCs/>
          <w:color w:val="auto"/>
          <w:u w:val="single"/>
          <w:lang w:val="en-US" w:eastAsia="zh-CN"/>
        </w:rPr>
      </w:pPr>
      <w:r>
        <w:rPr>
          <w:rFonts w:hint="eastAsia"/>
          <w:b/>
          <w:bCs/>
          <w:color w:val="auto"/>
          <w:u w:val="single"/>
          <w:lang w:val="en-US" w:eastAsia="zh-CN"/>
        </w:rPr>
        <w:t>（1）现有工程</w:t>
      </w:r>
    </w:p>
    <w:p>
      <w:pPr>
        <w:rPr>
          <w:rFonts w:hint="eastAsia"/>
          <w:b/>
          <w:bCs/>
          <w:color w:val="auto"/>
          <w:u w:val="single"/>
          <w:lang w:val="en-US" w:eastAsia="zh-CN"/>
        </w:rPr>
      </w:pPr>
      <w:r>
        <w:rPr>
          <w:rFonts w:hint="eastAsia"/>
          <w:b/>
          <w:bCs/>
          <w:color w:val="auto"/>
          <w:u w:val="single"/>
        </w:rPr>
        <w:t>本项目根据《河南省重污染天气通用重点行业应急减排措施制定技术指南（2021年修订</w:t>
      </w:r>
      <w:r>
        <w:rPr>
          <w:rFonts w:hint="eastAsia"/>
          <w:b/>
          <w:bCs/>
          <w:color w:val="auto"/>
          <w:u w:val="single"/>
          <w:lang w:eastAsia="zh-CN"/>
        </w:rPr>
        <w:t>）</w:t>
      </w:r>
      <w:r>
        <w:rPr>
          <w:rFonts w:hint="eastAsia"/>
          <w:b/>
          <w:bCs/>
          <w:color w:val="auto"/>
          <w:u w:val="single"/>
        </w:rPr>
        <w:t>》中通用行业（涉颗粒物、涉VOCs、涉锅炉/炉窑）要求，结合实际情况分析见下表。</w:t>
      </w:r>
    </w:p>
    <w:p>
      <w:pPr>
        <w:pStyle w:val="181"/>
        <w:ind w:firstLine="482" w:firstLineChars="200"/>
        <w:rPr>
          <w:rFonts w:eastAsia="仿宋_GB2312"/>
          <w:b/>
          <w:bCs/>
          <w:color w:val="auto"/>
          <w:u w:val="single"/>
        </w:rPr>
      </w:pPr>
      <w:r>
        <w:rPr>
          <w:rFonts w:hint="eastAsia" w:eastAsia="仿宋_GB2312"/>
          <w:b/>
          <w:bCs/>
          <w:color w:val="auto"/>
          <w:u w:val="single"/>
          <w:lang w:val="en-US" w:eastAsia="zh-CN"/>
        </w:rPr>
        <w:t xml:space="preserve">表2.11-11  </w:t>
      </w:r>
      <w:r>
        <w:rPr>
          <w:rFonts w:eastAsia="仿宋_GB2312"/>
          <w:b/>
          <w:bCs/>
          <w:color w:val="auto"/>
          <w:u w:val="single"/>
        </w:rPr>
        <w:t xml:space="preserve"> </w:t>
      </w:r>
      <w:r>
        <w:rPr>
          <w:rFonts w:hint="eastAsia" w:eastAsia="仿宋_GB2312"/>
          <w:b/>
          <w:bCs/>
          <w:color w:val="auto"/>
          <w:u w:val="single"/>
          <w:lang w:eastAsia="zh-CN"/>
        </w:rPr>
        <w:t>企业</w:t>
      </w:r>
      <w:r>
        <w:rPr>
          <w:rFonts w:eastAsia="仿宋_GB2312"/>
          <w:b/>
          <w:bCs/>
          <w:color w:val="auto"/>
          <w:u w:val="single"/>
        </w:rPr>
        <w:t>绩效</w:t>
      </w:r>
      <w:r>
        <w:rPr>
          <w:rFonts w:hint="eastAsia" w:eastAsia="仿宋_GB2312"/>
          <w:b/>
          <w:bCs/>
          <w:color w:val="auto"/>
          <w:u w:val="single"/>
          <w:lang w:eastAsia="zh-CN"/>
        </w:rPr>
        <w:t>（</w:t>
      </w:r>
      <w:r>
        <w:rPr>
          <w:rFonts w:hint="eastAsia" w:eastAsia="仿宋_GB2312"/>
          <w:b/>
          <w:bCs/>
          <w:color w:val="auto"/>
          <w:u w:val="single"/>
          <w:lang w:val="en-US" w:eastAsia="zh-CN"/>
        </w:rPr>
        <w:t>B级</w:t>
      </w:r>
      <w:r>
        <w:rPr>
          <w:rFonts w:hint="eastAsia" w:eastAsia="仿宋_GB2312"/>
          <w:b/>
          <w:bCs/>
          <w:color w:val="auto"/>
          <w:u w:val="single"/>
          <w:lang w:eastAsia="zh-CN"/>
        </w:rPr>
        <w:t>）引领基本要求</w:t>
      </w:r>
      <w:r>
        <w:rPr>
          <w:rFonts w:eastAsia="仿宋_GB2312"/>
          <w:b/>
          <w:bCs/>
          <w:color w:val="auto"/>
          <w:u w:val="single"/>
        </w:rPr>
        <w:t>指标对标总表</w:t>
      </w:r>
    </w:p>
    <w:tbl>
      <w:tblPr>
        <w:tblStyle w:val="32"/>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4"/>
        <w:gridCol w:w="4284"/>
        <w:gridCol w:w="2482"/>
        <w:gridCol w:w="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948" w:type="dxa"/>
            <w:noWrap w:val="0"/>
            <w:vAlign w:val="center"/>
          </w:tcPr>
          <w:p>
            <w:pPr>
              <w:pStyle w:val="182"/>
              <w:spacing w:line="240" w:lineRule="auto"/>
              <w:ind w:firstLine="0" w:firstLineChars="0"/>
              <w:jc w:val="center"/>
              <w:rPr>
                <w:b/>
                <w:bCs/>
                <w:color w:val="auto"/>
                <w:u w:val="single"/>
              </w:rPr>
            </w:pPr>
            <w:r>
              <w:rPr>
                <w:b/>
                <w:bCs/>
                <w:color w:val="auto"/>
                <w:u w:val="single"/>
              </w:rPr>
              <w:t>引领性指标</w:t>
            </w:r>
          </w:p>
        </w:tc>
        <w:tc>
          <w:tcPr>
            <w:tcW w:w="4811" w:type="dxa"/>
            <w:noWrap w:val="0"/>
            <w:vAlign w:val="center"/>
          </w:tcPr>
          <w:p>
            <w:pPr>
              <w:pStyle w:val="182"/>
              <w:spacing w:line="240" w:lineRule="auto"/>
              <w:ind w:firstLine="0" w:firstLineChars="0"/>
              <w:jc w:val="center"/>
              <w:rPr>
                <w:b/>
                <w:bCs/>
                <w:color w:val="auto"/>
                <w:u w:val="single"/>
              </w:rPr>
            </w:pPr>
            <w:r>
              <w:rPr>
                <w:rFonts w:hint="eastAsia"/>
                <w:b/>
                <w:bCs/>
                <w:color w:val="auto"/>
                <w:u w:val="single"/>
                <w:lang w:val="en-US" w:eastAsia="zh-CN"/>
              </w:rPr>
              <w:t>基本要求</w:t>
            </w:r>
          </w:p>
        </w:tc>
        <w:tc>
          <w:tcPr>
            <w:tcW w:w="2787" w:type="dxa"/>
            <w:noWrap w:val="0"/>
            <w:vAlign w:val="center"/>
          </w:tcPr>
          <w:p>
            <w:pPr>
              <w:pStyle w:val="182"/>
              <w:spacing w:line="240" w:lineRule="auto"/>
              <w:ind w:firstLine="0" w:firstLineChars="0"/>
              <w:jc w:val="center"/>
              <w:rPr>
                <w:b/>
                <w:bCs/>
                <w:color w:val="auto"/>
                <w:u w:val="single"/>
              </w:rPr>
            </w:pPr>
            <w:r>
              <w:rPr>
                <w:b/>
                <w:bCs/>
                <w:color w:val="auto"/>
                <w:u w:val="single"/>
              </w:rPr>
              <w:t>企业对标情况</w:t>
            </w:r>
          </w:p>
        </w:tc>
        <w:tc>
          <w:tcPr>
            <w:tcW w:w="1013" w:type="dxa"/>
            <w:noWrap w:val="0"/>
            <w:vAlign w:val="center"/>
          </w:tcPr>
          <w:p>
            <w:pPr>
              <w:pStyle w:val="182"/>
              <w:spacing w:line="240" w:lineRule="auto"/>
              <w:ind w:firstLine="0" w:firstLineChars="0"/>
              <w:jc w:val="center"/>
              <w:rPr>
                <w:b/>
                <w:bCs/>
                <w:color w:val="auto"/>
                <w:u w:val="single"/>
              </w:rPr>
            </w:pPr>
            <w:r>
              <w:rPr>
                <w:rFonts w:hint="eastAsia"/>
                <w:b/>
                <w:bCs/>
                <w:color w:val="auto"/>
                <w:u w:val="single"/>
              </w:rPr>
              <w:t>是否满足绩效要求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59" w:type="dxa"/>
            <w:gridSpan w:val="4"/>
            <w:noWrap w:val="0"/>
            <w:vAlign w:val="center"/>
          </w:tcPr>
          <w:p>
            <w:pPr>
              <w:pStyle w:val="182"/>
              <w:spacing w:line="240" w:lineRule="auto"/>
              <w:ind w:firstLine="0" w:firstLineChars="0"/>
              <w:jc w:val="center"/>
              <w:rPr>
                <w:rFonts w:hint="eastAsia"/>
                <w:b/>
                <w:bCs/>
                <w:color w:val="auto"/>
                <w:u w:val="single"/>
                <w:lang w:val="en-US" w:eastAsia="zh-CN"/>
              </w:rPr>
            </w:pPr>
            <w:r>
              <w:rPr>
                <w:rFonts w:hint="eastAsia"/>
                <w:b/>
                <w:bCs/>
                <w:color w:val="auto"/>
                <w:u w:val="single"/>
                <w:lang w:val="en-US" w:eastAsia="zh-CN"/>
              </w:rPr>
              <w:t>涉颗粒物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pPr>
              <w:pStyle w:val="182"/>
              <w:spacing w:line="240" w:lineRule="auto"/>
              <w:ind w:firstLine="0" w:firstLineChars="0"/>
              <w:jc w:val="center"/>
              <w:rPr>
                <w:rFonts w:hint="eastAsia"/>
                <w:b/>
                <w:bCs/>
                <w:color w:val="auto"/>
                <w:u w:val="single"/>
                <w:lang w:eastAsia="zh-CN"/>
              </w:rPr>
            </w:pPr>
            <w:r>
              <w:rPr>
                <w:rFonts w:hint="eastAsia"/>
                <w:b/>
                <w:bCs/>
                <w:color w:val="auto"/>
                <w:u w:val="single"/>
                <w:lang w:eastAsia="zh-CN"/>
              </w:rPr>
              <w:t>物料装卸</w:t>
            </w:r>
          </w:p>
        </w:tc>
        <w:tc>
          <w:tcPr>
            <w:tcW w:w="4811" w:type="dxa"/>
            <w:noWrap w:val="0"/>
            <w:vAlign w:val="center"/>
          </w:tcPr>
          <w:p>
            <w:pPr>
              <w:pStyle w:val="182"/>
              <w:spacing w:line="240" w:lineRule="auto"/>
              <w:ind w:firstLine="0" w:firstLineChars="0"/>
              <w:jc w:val="left"/>
              <w:rPr>
                <w:b/>
                <w:bCs/>
                <w:color w:val="auto"/>
                <w:u w:val="single"/>
              </w:rPr>
            </w:pPr>
            <w:r>
              <w:rPr>
                <w:b/>
                <w:bCs/>
                <w:color w:val="auto"/>
                <w:u w:val="single"/>
              </w:rPr>
              <w:t>1、</w:t>
            </w:r>
            <w:r>
              <w:rPr>
                <w:rFonts w:hint="eastAsia"/>
                <w:b/>
                <w:bCs/>
                <w:color w:val="auto"/>
                <w:u w:val="single"/>
              </w:rPr>
              <w:t>车辆运输的物料应采取封闭措施。粉状、粒状、块状散装物料在封闭料场内装卸，装卸过程中产尘点应设置集气除尘装置，料堆应采取有效抑尘措施。</w:t>
            </w:r>
          </w:p>
        </w:tc>
        <w:tc>
          <w:tcPr>
            <w:tcW w:w="2787"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物料运输均采用全密闭的车辆。煤在全密闭煤棚内装卸，并</w:t>
            </w:r>
            <w:r>
              <w:rPr>
                <w:rFonts w:hint="eastAsia"/>
                <w:b/>
                <w:bCs/>
                <w:color w:val="auto"/>
                <w:u w:val="single"/>
              </w:rPr>
              <w:t>安装有雾森系统，装卸过程开启喷雾抑尘装置，无可见烟尘外溢。</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b/>
                <w:bCs/>
                <w:color w:val="auto"/>
                <w:u w:val="single"/>
              </w:rPr>
            </w:pPr>
          </w:p>
        </w:tc>
        <w:tc>
          <w:tcPr>
            <w:tcW w:w="4811"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lang w:val="en-US" w:eastAsia="zh-CN"/>
              </w:rPr>
              <w:t>2</w:t>
            </w:r>
            <w:r>
              <w:rPr>
                <w:rFonts w:hint="eastAsia"/>
                <w:b/>
                <w:bCs/>
                <w:color w:val="auto"/>
                <w:u w:val="single"/>
              </w:rPr>
              <w:t>、不易产尘的袋装物料宜在料棚中装卸，如需露天装卸应采取防止破袋及粉尘外逸措施。</w:t>
            </w:r>
          </w:p>
        </w:tc>
        <w:tc>
          <w:tcPr>
            <w:tcW w:w="2787"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无袋装物料，不涉及</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pPr>
              <w:pStyle w:val="182"/>
              <w:spacing w:line="240" w:lineRule="auto"/>
              <w:ind w:firstLine="0" w:firstLineChars="0"/>
              <w:jc w:val="center"/>
              <w:rPr>
                <w:b/>
                <w:bCs/>
                <w:color w:val="auto"/>
                <w:u w:val="single"/>
              </w:rPr>
            </w:pPr>
            <w:r>
              <w:rPr>
                <w:rFonts w:hint="eastAsia"/>
                <w:b/>
                <w:bCs/>
                <w:color w:val="auto"/>
                <w:u w:val="single"/>
              </w:rPr>
              <w:t>物料储存</w:t>
            </w:r>
          </w:p>
        </w:tc>
        <w:tc>
          <w:tcPr>
            <w:tcW w:w="4811" w:type="dxa"/>
            <w:noWrap w:val="0"/>
            <w:vAlign w:val="center"/>
          </w:tcPr>
          <w:p>
            <w:pPr>
              <w:pStyle w:val="182"/>
              <w:spacing w:line="240" w:lineRule="auto"/>
              <w:ind w:firstLine="0" w:firstLineChars="0"/>
              <w:jc w:val="left"/>
              <w:rPr>
                <w:b/>
                <w:bCs/>
                <w:color w:val="auto"/>
                <w:u w:val="single"/>
              </w:rPr>
            </w:pPr>
            <w:r>
              <w:rPr>
                <w:rFonts w:hint="eastAsia"/>
                <w:b/>
                <w:bCs/>
                <w:color w:val="auto"/>
                <w:u w:val="single"/>
              </w:rPr>
              <w:t>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tc>
        <w:tc>
          <w:tcPr>
            <w:tcW w:w="2787"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rPr>
              <w:t>一般物料。</w:t>
            </w:r>
            <w:r>
              <w:rPr>
                <w:rFonts w:hint="eastAsia"/>
                <w:b/>
                <w:bCs/>
                <w:color w:val="auto"/>
                <w:u w:val="single"/>
                <w:lang w:eastAsia="zh-CN"/>
              </w:rPr>
              <w:t>煤粉存储于全密闭料棚内</w:t>
            </w:r>
            <w:r>
              <w:rPr>
                <w:rFonts w:hint="eastAsia"/>
                <w:b/>
                <w:bCs/>
                <w:color w:val="auto"/>
                <w:u w:val="single"/>
              </w:rPr>
              <w:t>。封闭料场顶棚和四周围墙完整，料场内路面全部硬化，料场货物进出大门为硬质材料门，所有门窗保持常闭状态。</w:t>
            </w:r>
          </w:p>
        </w:tc>
        <w:tc>
          <w:tcPr>
            <w:tcW w:w="1013" w:type="dxa"/>
            <w:noWrap w:val="0"/>
            <w:vAlign w:val="center"/>
          </w:tcPr>
          <w:p>
            <w:pPr>
              <w:pStyle w:val="182"/>
              <w:spacing w:line="240" w:lineRule="auto"/>
              <w:ind w:firstLine="0" w:firstLineChars="0"/>
              <w:jc w:val="center"/>
              <w:rPr>
                <w:b/>
                <w:bCs/>
                <w:color w:val="auto"/>
                <w:u w:val="single"/>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b/>
                <w:bCs/>
                <w:color w:val="auto"/>
                <w:u w:val="single"/>
              </w:rPr>
            </w:pPr>
          </w:p>
        </w:tc>
        <w:tc>
          <w:tcPr>
            <w:tcW w:w="4811" w:type="dxa"/>
            <w:noWrap w:val="0"/>
            <w:vAlign w:val="center"/>
          </w:tcPr>
          <w:p>
            <w:pPr>
              <w:pStyle w:val="182"/>
              <w:spacing w:line="240" w:lineRule="auto"/>
              <w:ind w:firstLine="0" w:firstLineChars="0"/>
              <w:jc w:val="left"/>
              <w:rPr>
                <w:b/>
                <w:bCs/>
                <w:color w:val="auto"/>
                <w:u w:val="single"/>
              </w:rPr>
            </w:pPr>
            <w:r>
              <w:rPr>
                <w:rFonts w:hint="eastAsia"/>
                <w:b/>
                <w:bCs/>
                <w:color w:val="auto"/>
                <w:u w:val="single"/>
              </w:rPr>
              <w:t>危险废物。应有符合规范要求的危险废物储存间，危险废物储存间门口应张贴标准规范的危险废物标识和危废信息板，建立台账并挂于危废间内，危险废物的记录和货单保存 3 年以上。危废间内禁止存放除危险废物和应急工具外的其他物品。</w:t>
            </w:r>
          </w:p>
        </w:tc>
        <w:tc>
          <w:tcPr>
            <w:tcW w:w="2787" w:type="dxa"/>
            <w:noWrap w:val="0"/>
            <w:vAlign w:val="center"/>
          </w:tcPr>
          <w:p>
            <w:pPr>
              <w:pStyle w:val="182"/>
              <w:spacing w:line="240" w:lineRule="auto"/>
              <w:ind w:firstLine="0" w:firstLineChars="0"/>
              <w:jc w:val="left"/>
              <w:rPr>
                <w:b/>
                <w:bCs/>
                <w:color w:val="auto"/>
                <w:u w:val="single"/>
              </w:rPr>
            </w:pPr>
            <w:r>
              <w:rPr>
                <w:rFonts w:hint="eastAsia"/>
                <w:b/>
                <w:bCs/>
                <w:color w:val="auto"/>
                <w:u w:val="single"/>
                <w:lang w:eastAsia="zh-CN"/>
              </w:rPr>
              <w:t>厂区内的危险废物为</w:t>
            </w:r>
            <w:r>
              <w:rPr>
                <w:rFonts w:hint="eastAsia"/>
                <w:b/>
                <w:bCs/>
                <w:color w:val="auto"/>
                <w:u w:val="single"/>
                <w:lang w:val="en-US" w:eastAsia="zh-CN"/>
              </w:rPr>
              <w:t>废DMAC、废丙酮、废机油、废催化剂</w:t>
            </w:r>
            <w:r>
              <w:rPr>
                <w:rFonts w:hint="eastAsia"/>
                <w:b/>
                <w:bCs/>
                <w:color w:val="auto"/>
                <w:u w:val="single"/>
                <w:lang w:eastAsia="zh-CN"/>
              </w:rPr>
              <w:t>。</w:t>
            </w:r>
            <w:r>
              <w:rPr>
                <w:rFonts w:hint="eastAsia"/>
                <w:b/>
                <w:bCs/>
                <w:color w:val="auto"/>
                <w:u w:val="single"/>
                <w:lang w:val="en-US" w:eastAsia="zh-CN"/>
              </w:rPr>
              <w:t>存放于</w:t>
            </w:r>
            <w:r>
              <w:rPr>
                <w:rFonts w:hint="eastAsia"/>
                <w:b/>
                <w:bCs/>
                <w:color w:val="auto"/>
                <w:u w:val="single"/>
              </w:rPr>
              <w:t>符合规范要求的危险废物储存间，门口张贴标准规范的危险废物标识和危废信息板，建立台账并挂于危废间内，危险废物的记录和货单保存 3 年以上。危废间内</w:t>
            </w:r>
            <w:r>
              <w:rPr>
                <w:rFonts w:hint="eastAsia"/>
                <w:b/>
                <w:bCs/>
                <w:color w:val="auto"/>
                <w:u w:val="single"/>
                <w:lang w:val="en-US" w:eastAsia="zh-CN"/>
              </w:rPr>
              <w:t>未</w:t>
            </w:r>
            <w:r>
              <w:rPr>
                <w:rFonts w:hint="eastAsia"/>
                <w:b/>
                <w:bCs/>
                <w:color w:val="auto"/>
                <w:u w:val="single"/>
              </w:rPr>
              <w:t>存放除危险废物和应急工具外的其他物品。</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noWrap w:val="0"/>
            <w:vAlign w:val="center"/>
          </w:tcPr>
          <w:p>
            <w:pPr>
              <w:pStyle w:val="182"/>
              <w:spacing w:line="240" w:lineRule="auto"/>
              <w:ind w:firstLine="0" w:firstLineChars="0"/>
              <w:jc w:val="center"/>
              <w:rPr>
                <w:b/>
                <w:bCs/>
                <w:color w:val="auto"/>
                <w:u w:val="single"/>
              </w:rPr>
            </w:pPr>
            <w:r>
              <w:rPr>
                <w:rFonts w:hint="eastAsia"/>
                <w:b/>
                <w:bCs/>
                <w:color w:val="auto"/>
                <w:u w:val="single"/>
              </w:rPr>
              <w:t>物料转移和输送</w:t>
            </w:r>
          </w:p>
        </w:tc>
        <w:tc>
          <w:tcPr>
            <w:tcW w:w="4811"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rPr>
              <w:t>粉状、粒状等易产尘物料厂内转移、输送过程应采用气力输送、密闭输送，块状和粘湿粉状物料采用封闭输送；无法封闭的产尘点（物料转载、下料口等）应采取集气除尘措施，或有效抑尘措施。</w:t>
            </w:r>
          </w:p>
        </w:tc>
        <w:tc>
          <w:tcPr>
            <w:tcW w:w="2787"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煤经下料口投料后采用密闭输送，由于煤粉在密闭料棚内存储时，喷雾较多，湿度较大，下料过程中无可见烟尘。物料转载输送废气经收集后经袋式除尘器处理后排放。</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noWrap w:val="0"/>
            <w:vAlign w:val="center"/>
          </w:tcPr>
          <w:p>
            <w:pPr>
              <w:pStyle w:val="182"/>
              <w:spacing w:line="240" w:lineRule="auto"/>
              <w:ind w:firstLine="0" w:firstLineChars="0"/>
              <w:jc w:val="center"/>
              <w:rPr>
                <w:b/>
                <w:bCs/>
                <w:color w:val="auto"/>
                <w:u w:val="single"/>
              </w:rPr>
            </w:pPr>
            <w:r>
              <w:rPr>
                <w:rFonts w:hint="eastAsia"/>
                <w:b/>
                <w:bCs/>
                <w:color w:val="auto"/>
                <w:u w:val="single"/>
              </w:rPr>
              <w:t>成品包装</w:t>
            </w:r>
          </w:p>
        </w:tc>
        <w:tc>
          <w:tcPr>
            <w:tcW w:w="4811" w:type="dxa"/>
            <w:noWrap w:val="0"/>
            <w:vAlign w:val="center"/>
          </w:tcPr>
          <w:p>
            <w:pPr>
              <w:pStyle w:val="182"/>
              <w:spacing w:line="240" w:lineRule="auto"/>
              <w:ind w:firstLine="0" w:firstLineChars="0"/>
              <w:jc w:val="left"/>
              <w:rPr>
                <w:b/>
                <w:bCs/>
                <w:color w:val="auto"/>
                <w:u w:val="single"/>
              </w:rPr>
            </w:pPr>
            <w:r>
              <w:rPr>
                <w:rFonts w:hint="eastAsia"/>
                <w:b/>
                <w:bCs/>
                <w:color w:val="auto"/>
                <w:u w:val="single"/>
              </w:rPr>
              <w:t>1、卸料口应完全封闭，如不能封闭应采取局部集气除尘措施。</w:t>
            </w:r>
          </w:p>
        </w:tc>
        <w:tc>
          <w:tcPr>
            <w:tcW w:w="2787" w:type="dxa"/>
            <w:noWrap w:val="0"/>
            <w:vAlign w:val="center"/>
          </w:tcPr>
          <w:p>
            <w:pPr>
              <w:pStyle w:val="182"/>
              <w:keepNext w:val="0"/>
              <w:keepLines w:val="0"/>
              <w:pageBreakBefore w:val="0"/>
              <w:widowControl w:val="0"/>
              <w:kinsoku/>
              <w:wordWrap/>
              <w:overflowPunct/>
              <w:topLinePunct w:val="0"/>
              <w:autoSpaceDE w:val="0"/>
              <w:autoSpaceDN w:val="0"/>
              <w:bidi w:val="0"/>
              <w:adjustRightInd/>
              <w:snapToGrid/>
              <w:spacing w:before="0"/>
              <w:ind w:left="0"/>
              <w:jc w:val="left"/>
              <w:textAlignment w:val="auto"/>
              <w:rPr>
                <w:rFonts w:hint="eastAsia"/>
                <w:b/>
                <w:bCs/>
                <w:color w:val="auto"/>
                <w:u w:val="single"/>
                <w:lang w:val="en-US" w:eastAsia="zh-CN"/>
              </w:rPr>
            </w:pPr>
            <w:r>
              <w:rPr>
                <w:rFonts w:hint="eastAsia"/>
                <w:b/>
                <w:bCs/>
                <w:color w:val="auto"/>
                <w:u w:val="single"/>
                <w:lang w:val="en-US" w:eastAsia="zh-CN"/>
              </w:rPr>
              <w:t>烘干后的纤维进入打包机进行机械自动打包入库，得到产品。包装过程不涉及粉尘</w:t>
            </w:r>
          </w:p>
        </w:tc>
        <w:tc>
          <w:tcPr>
            <w:tcW w:w="1013" w:type="dxa"/>
            <w:noWrap w:val="0"/>
            <w:vAlign w:val="center"/>
          </w:tcPr>
          <w:p>
            <w:pPr>
              <w:pStyle w:val="182"/>
              <w:spacing w:line="240" w:lineRule="auto"/>
              <w:ind w:firstLine="0" w:firstLineChars="0"/>
              <w:jc w:val="center"/>
              <w:rPr>
                <w:rFonts w:hint="eastAsia"/>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pPr>
              <w:pStyle w:val="182"/>
              <w:spacing w:line="240" w:lineRule="auto"/>
              <w:ind w:firstLine="0" w:firstLineChars="0"/>
              <w:jc w:val="center"/>
              <w:rPr>
                <w:b/>
                <w:bCs/>
                <w:color w:val="auto"/>
                <w:u w:val="single"/>
              </w:rPr>
            </w:pPr>
            <w:r>
              <w:rPr>
                <w:rFonts w:hint="eastAsia"/>
                <w:b/>
                <w:bCs/>
                <w:color w:val="auto"/>
                <w:u w:val="single"/>
              </w:rPr>
              <w:t>工艺过程</w:t>
            </w: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lang w:val="en-US" w:eastAsia="zh-CN"/>
              </w:rPr>
              <w:t>1</w:t>
            </w:r>
            <w:r>
              <w:rPr>
                <w:rFonts w:hint="eastAsia"/>
                <w:b/>
                <w:bCs/>
                <w:color w:val="auto"/>
                <w:u w:val="single"/>
              </w:rPr>
              <w:t>、各种物料破碎、筛分、配料、混料等过程应在封闭厂房内进行，并采取局部收尘/抑尘措施。破碎筛分设备在进、出料口和配料混料过程等产尘点应设置集气除尘设施。</w:t>
            </w:r>
          </w:p>
        </w:tc>
        <w:tc>
          <w:tcPr>
            <w:tcW w:w="2787"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物料不涉及</w:t>
            </w:r>
            <w:r>
              <w:rPr>
                <w:rFonts w:hint="eastAsia"/>
                <w:b/>
                <w:bCs/>
                <w:color w:val="auto"/>
                <w:u w:val="single"/>
              </w:rPr>
              <w:t>破碎、筛分、配料、混料等过程</w:t>
            </w:r>
            <w:r>
              <w:rPr>
                <w:rFonts w:hint="eastAsia"/>
                <w:b/>
                <w:bCs/>
                <w:color w:val="auto"/>
                <w:u w:val="single"/>
                <w:lang w:eastAsia="zh-CN"/>
              </w:rPr>
              <w:t>。</w:t>
            </w:r>
          </w:p>
        </w:tc>
        <w:tc>
          <w:tcPr>
            <w:tcW w:w="1013" w:type="dxa"/>
            <w:noWrap w:val="0"/>
            <w:vAlign w:val="center"/>
          </w:tcPr>
          <w:p>
            <w:pPr>
              <w:pStyle w:val="182"/>
              <w:spacing w:line="240" w:lineRule="auto"/>
              <w:ind w:firstLine="0" w:firstLineChars="0"/>
              <w:jc w:val="center"/>
              <w:rPr>
                <w:rFonts w:hint="eastAsia"/>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b/>
                <w:bCs/>
                <w:color w:val="auto"/>
                <w:u w:val="single"/>
              </w:rPr>
            </w:pPr>
          </w:p>
        </w:tc>
        <w:tc>
          <w:tcPr>
            <w:tcW w:w="4811" w:type="dxa"/>
            <w:noWrap w:val="0"/>
            <w:vAlign w:val="center"/>
          </w:tcPr>
          <w:p>
            <w:pPr>
              <w:pStyle w:val="182"/>
              <w:spacing w:line="240" w:lineRule="auto"/>
              <w:ind w:firstLine="0" w:firstLineChars="0"/>
              <w:jc w:val="left"/>
              <w:rPr>
                <w:b/>
                <w:bCs/>
                <w:color w:val="auto"/>
                <w:u w:val="single"/>
              </w:rPr>
            </w:pPr>
            <w:r>
              <w:rPr>
                <w:rFonts w:hint="eastAsia"/>
                <w:b/>
                <w:bCs/>
                <w:color w:val="auto"/>
                <w:u w:val="single"/>
                <w:lang w:val="en-US" w:eastAsia="zh-CN"/>
              </w:rPr>
              <w:t>2</w:t>
            </w:r>
            <w:r>
              <w:rPr>
                <w:rFonts w:hint="eastAsia"/>
                <w:b/>
                <w:bCs/>
                <w:color w:val="auto"/>
                <w:u w:val="single"/>
              </w:rPr>
              <w:t>、各生产工序的车间地面干净，无积料、积灰现象。</w:t>
            </w:r>
          </w:p>
        </w:tc>
        <w:tc>
          <w:tcPr>
            <w:tcW w:w="2787" w:type="dxa"/>
            <w:noWrap w:val="0"/>
            <w:vAlign w:val="center"/>
          </w:tcPr>
          <w:p>
            <w:pPr>
              <w:pStyle w:val="182"/>
              <w:spacing w:line="240" w:lineRule="auto"/>
              <w:ind w:firstLine="0" w:firstLineChars="0"/>
              <w:jc w:val="left"/>
              <w:rPr>
                <w:b/>
                <w:bCs/>
                <w:color w:val="auto"/>
                <w:u w:val="single"/>
                <w:lang w:val="en-US" w:eastAsia="zh-CN"/>
              </w:rPr>
            </w:pPr>
            <w:r>
              <w:rPr>
                <w:rFonts w:hint="eastAsia"/>
                <w:b/>
                <w:bCs/>
                <w:color w:val="auto"/>
                <w:u w:val="single"/>
              </w:rPr>
              <w:t>各生产工序的车间地面干净，无积料、积灰现象。</w:t>
            </w:r>
          </w:p>
        </w:tc>
        <w:tc>
          <w:tcPr>
            <w:tcW w:w="1013" w:type="dxa"/>
            <w:vMerge w:val="restart"/>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b/>
                <w:bCs/>
                <w:color w:val="auto"/>
                <w:u w:val="single"/>
              </w:rPr>
            </w:pP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lang w:val="en-US" w:eastAsia="zh-CN"/>
              </w:rPr>
              <w:t>3、</w:t>
            </w:r>
            <w:r>
              <w:rPr>
                <w:rFonts w:hint="eastAsia"/>
                <w:b/>
                <w:bCs/>
                <w:color w:val="auto"/>
                <w:u w:val="single"/>
              </w:rPr>
              <w:t>生产车间不得有可见烟粉尘外逸。</w:t>
            </w:r>
          </w:p>
        </w:tc>
        <w:tc>
          <w:tcPr>
            <w:tcW w:w="2787" w:type="dxa"/>
            <w:noWrap w:val="0"/>
            <w:vAlign w:val="center"/>
          </w:tcPr>
          <w:p>
            <w:pPr>
              <w:pStyle w:val="182"/>
              <w:spacing w:line="240" w:lineRule="auto"/>
              <w:ind w:firstLine="0" w:firstLineChars="0"/>
              <w:jc w:val="left"/>
              <w:rPr>
                <w:rFonts w:hint="eastAsia"/>
                <w:b/>
                <w:bCs/>
                <w:color w:val="auto"/>
                <w:u w:val="single"/>
                <w:lang w:val="en-US" w:eastAsia="zh-CN"/>
              </w:rPr>
            </w:pPr>
            <w:r>
              <w:rPr>
                <w:rFonts w:hint="eastAsia"/>
                <w:b/>
                <w:bCs/>
                <w:color w:val="auto"/>
                <w:u w:val="single"/>
              </w:rPr>
              <w:t>生产车间</w:t>
            </w:r>
            <w:r>
              <w:rPr>
                <w:rFonts w:hint="eastAsia"/>
                <w:b/>
                <w:bCs/>
                <w:color w:val="auto"/>
                <w:u w:val="single"/>
                <w:lang w:eastAsia="zh-CN"/>
              </w:rPr>
              <w:t>无</w:t>
            </w:r>
            <w:r>
              <w:rPr>
                <w:rFonts w:hint="eastAsia"/>
                <w:b/>
                <w:bCs/>
                <w:color w:val="auto"/>
                <w:u w:val="single"/>
              </w:rPr>
              <w:t>可见烟粉尘外逸。</w:t>
            </w:r>
          </w:p>
        </w:tc>
        <w:tc>
          <w:tcPr>
            <w:tcW w:w="1013" w:type="dxa"/>
            <w:vMerge w:val="continue"/>
            <w:noWrap w:val="0"/>
            <w:vAlign w:val="center"/>
          </w:tcPr>
          <w:p>
            <w:pPr>
              <w:pStyle w:val="182"/>
              <w:spacing w:line="240" w:lineRule="auto"/>
              <w:ind w:firstLine="0" w:firstLineChars="0"/>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59" w:type="dxa"/>
            <w:gridSpan w:val="4"/>
            <w:noWrap w:val="0"/>
            <w:vAlign w:val="center"/>
          </w:tcPr>
          <w:p>
            <w:pPr>
              <w:pStyle w:val="182"/>
              <w:spacing w:line="240" w:lineRule="auto"/>
              <w:ind w:firstLine="0" w:firstLineChars="0"/>
              <w:jc w:val="left"/>
              <w:rPr>
                <w:b/>
                <w:bCs/>
                <w:color w:val="auto"/>
                <w:u w:val="single"/>
              </w:rPr>
            </w:pPr>
            <w:r>
              <w:rPr>
                <w:rFonts w:hint="eastAsia"/>
                <w:b/>
                <w:bCs/>
                <w:color w:val="auto"/>
                <w:u w:val="single"/>
              </w:rPr>
              <w:t>涉 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noWrap w:val="0"/>
            <w:vAlign w:val="center"/>
          </w:tcPr>
          <w:p>
            <w:pPr>
              <w:pStyle w:val="182"/>
              <w:spacing w:line="240" w:lineRule="auto"/>
              <w:ind w:firstLine="0" w:firstLineChars="0"/>
              <w:jc w:val="center"/>
              <w:rPr>
                <w:b/>
                <w:bCs/>
                <w:color w:val="auto"/>
                <w:u w:val="single"/>
              </w:rPr>
            </w:pPr>
            <w:r>
              <w:rPr>
                <w:rFonts w:hint="eastAsia"/>
                <w:b/>
                <w:bCs/>
                <w:color w:val="auto"/>
                <w:u w:val="single"/>
              </w:rPr>
              <w:t>物料储存</w:t>
            </w:r>
          </w:p>
        </w:tc>
        <w:tc>
          <w:tcPr>
            <w:tcW w:w="4811" w:type="dxa"/>
            <w:noWrap w:val="0"/>
            <w:vAlign w:val="center"/>
          </w:tcPr>
          <w:p>
            <w:pPr>
              <w:pStyle w:val="182"/>
              <w:spacing w:line="240" w:lineRule="auto"/>
              <w:ind w:firstLine="0" w:firstLineChars="0"/>
              <w:jc w:val="left"/>
              <w:rPr>
                <w:rFonts w:hint="eastAsia"/>
                <w:b/>
                <w:bCs/>
                <w:color w:val="auto"/>
                <w:u w:val="single"/>
                <w:lang w:val="en-US" w:eastAsia="zh-CN"/>
              </w:rPr>
            </w:pPr>
            <w:r>
              <w:rPr>
                <w:rFonts w:hint="eastAsia"/>
                <w:b/>
                <w:bCs/>
                <w:color w:val="auto"/>
                <w:u w:val="single"/>
                <w:lang w:val="en-US" w:eastAsia="zh-CN"/>
              </w:rPr>
              <w:t>涂料、稀释剂、清洗剂等原辅材料密闭存储。盛装过 VOCs</w:t>
            </w:r>
          </w:p>
          <w:p>
            <w:pPr>
              <w:pStyle w:val="182"/>
              <w:spacing w:line="240" w:lineRule="auto"/>
              <w:ind w:firstLine="0" w:firstLineChars="0"/>
              <w:jc w:val="left"/>
              <w:rPr>
                <w:rFonts w:hint="eastAsia"/>
                <w:b/>
                <w:bCs/>
                <w:color w:val="auto"/>
                <w:u w:val="single"/>
                <w:lang w:val="en-US" w:eastAsia="zh-CN"/>
              </w:rPr>
            </w:pPr>
            <w:r>
              <w:rPr>
                <w:rFonts w:hint="eastAsia"/>
                <w:b/>
                <w:bCs/>
                <w:color w:val="auto"/>
                <w:u w:val="single"/>
                <w:lang w:val="en-US" w:eastAsia="zh-CN"/>
              </w:rPr>
              <w:t>物料的包装容器、含 VOCs 废料（渣、液）、废吸附剂等通过加盖、封装等方式密闭储存；生产车间内涉 VOCs 物料应密闭储存。</w:t>
            </w:r>
          </w:p>
        </w:tc>
        <w:tc>
          <w:tcPr>
            <w:tcW w:w="2787"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lang w:val="en-US" w:eastAsia="zh-CN"/>
              </w:rPr>
              <w:t>DMAC溶剂储存于储罐内，车间内无</w:t>
            </w:r>
            <w:r>
              <w:rPr>
                <w:rFonts w:hint="eastAsia"/>
                <w:b/>
                <w:bCs/>
                <w:color w:val="auto"/>
                <w:u w:val="single"/>
              </w:rPr>
              <w:t>涉VOCs物料</w:t>
            </w:r>
            <w:r>
              <w:rPr>
                <w:rFonts w:hint="eastAsia"/>
                <w:b/>
                <w:bCs/>
                <w:color w:val="auto"/>
                <w:u w:val="single"/>
                <w:lang w:val="en-US" w:eastAsia="zh-CN"/>
              </w:rPr>
              <w:t>暂存处。</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noWrap w:val="0"/>
            <w:vAlign w:val="center"/>
          </w:tcPr>
          <w:p>
            <w:pPr>
              <w:pStyle w:val="182"/>
              <w:spacing w:line="240" w:lineRule="auto"/>
              <w:ind w:firstLine="0" w:firstLineChars="0"/>
              <w:jc w:val="center"/>
              <w:rPr>
                <w:b/>
                <w:bCs/>
                <w:color w:val="auto"/>
                <w:u w:val="single"/>
              </w:rPr>
            </w:pPr>
            <w:r>
              <w:rPr>
                <w:rFonts w:hint="eastAsia"/>
                <w:b/>
                <w:bCs/>
                <w:color w:val="auto"/>
                <w:u w:val="single"/>
              </w:rPr>
              <w:t>物料转移和输送</w:t>
            </w:r>
          </w:p>
        </w:tc>
        <w:tc>
          <w:tcPr>
            <w:tcW w:w="4811" w:type="dxa"/>
            <w:noWrap w:val="0"/>
            <w:vAlign w:val="center"/>
          </w:tcPr>
          <w:p>
            <w:pPr>
              <w:pStyle w:val="182"/>
              <w:spacing w:line="240" w:lineRule="auto"/>
              <w:ind w:firstLine="0" w:firstLineChars="0"/>
              <w:jc w:val="left"/>
              <w:rPr>
                <w:rFonts w:hint="eastAsia"/>
                <w:b/>
                <w:bCs/>
                <w:color w:val="auto"/>
                <w:u w:val="single"/>
                <w:lang w:val="en-US" w:eastAsia="zh-CN"/>
              </w:rPr>
            </w:pPr>
            <w:r>
              <w:rPr>
                <w:rFonts w:hint="eastAsia"/>
                <w:b/>
                <w:bCs/>
                <w:color w:val="auto"/>
                <w:u w:val="single"/>
                <w:lang w:val="en-US" w:eastAsia="zh-CN"/>
              </w:rPr>
              <w:t>采用密闭管道或密闭容器等输送。</w:t>
            </w:r>
          </w:p>
        </w:tc>
        <w:tc>
          <w:tcPr>
            <w:tcW w:w="2787"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lang w:val="en-US" w:eastAsia="zh-CN"/>
              </w:rPr>
              <w:t>DMAC溶剂整个生产过程中采用密闭管道输送。</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pPr>
              <w:pStyle w:val="182"/>
              <w:spacing w:line="240" w:lineRule="auto"/>
              <w:ind w:firstLine="0" w:firstLineChars="0"/>
              <w:jc w:val="center"/>
              <w:rPr>
                <w:b/>
                <w:bCs/>
                <w:color w:val="auto"/>
                <w:u w:val="single"/>
              </w:rPr>
            </w:pPr>
            <w:r>
              <w:rPr>
                <w:rFonts w:hint="eastAsia"/>
                <w:b/>
                <w:bCs/>
                <w:color w:val="auto"/>
                <w:u w:val="single"/>
              </w:rPr>
              <w:t>工艺过程</w:t>
            </w:r>
          </w:p>
        </w:tc>
        <w:tc>
          <w:tcPr>
            <w:tcW w:w="4811" w:type="dxa"/>
            <w:noWrap w:val="0"/>
            <w:vAlign w:val="center"/>
          </w:tcPr>
          <w:p>
            <w:pPr>
              <w:pStyle w:val="182"/>
              <w:spacing w:line="240" w:lineRule="auto"/>
              <w:ind w:firstLine="0" w:firstLineChars="0"/>
              <w:jc w:val="left"/>
              <w:rPr>
                <w:rFonts w:hint="eastAsia"/>
                <w:b/>
                <w:bCs/>
                <w:color w:val="auto"/>
                <w:u w:val="single"/>
                <w:lang w:val="en-US" w:eastAsia="zh-CN"/>
              </w:rPr>
            </w:pPr>
            <w:r>
              <w:rPr>
                <w:rFonts w:hint="eastAsia"/>
                <w:b/>
                <w:bCs/>
                <w:color w:val="auto"/>
                <w:u w:val="single"/>
                <w:lang w:val="en-US" w:eastAsia="zh-CN"/>
              </w:rPr>
              <w:t>原辅材料调配、使用（施胶、喷涂、干燥等）、回收等过程</w:t>
            </w:r>
          </w:p>
          <w:p>
            <w:pPr>
              <w:pStyle w:val="182"/>
              <w:spacing w:line="240" w:lineRule="auto"/>
              <w:ind w:firstLine="0" w:firstLineChars="0"/>
              <w:jc w:val="left"/>
              <w:rPr>
                <w:rFonts w:hint="eastAsia"/>
                <w:b/>
                <w:bCs/>
                <w:color w:val="auto"/>
                <w:u w:val="single"/>
                <w:lang w:val="en-US" w:eastAsia="zh-CN"/>
              </w:rPr>
            </w:pPr>
            <w:r>
              <w:rPr>
                <w:rFonts w:hint="eastAsia"/>
                <w:b/>
                <w:bCs/>
                <w:color w:val="auto"/>
                <w:u w:val="single"/>
                <w:lang w:val="en-US" w:eastAsia="zh-CN"/>
              </w:rPr>
              <w:t>采用密闭设备或在密闭空间内操作。</w:t>
            </w:r>
          </w:p>
        </w:tc>
        <w:tc>
          <w:tcPr>
            <w:tcW w:w="2787" w:type="dxa"/>
            <w:vMerge w:val="restart"/>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lang w:val="en-US" w:eastAsia="zh-CN"/>
              </w:rPr>
              <w:t>DMAC溶剂使用和回收工段均采用密闭设备操作。储存废气和工艺废气</w:t>
            </w:r>
            <w:r>
              <w:rPr>
                <w:rFonts w:hint="eastAsia"/>
                <w:b/>
                <w:bCs/>
                <w:color w:val="auto"/>
                <w:u w:val="single"/>
              </w:rPr>
              <w:t>全部收集引至VOCs处理系统</w:t>
            </w:r>
          </w:p>
        </w:tc>
        <w:tc>
          <w:tcPr>
            <w:tcW w:w="1013" w:type="dxa"/>
            <w:vMerge w:val="restart"/>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rFonts w:hint="eastAsia"/>
                <w:b/>
                <w:bCs/>
                <w:color w:val="auto"/>
                <w:u w:val="single"/>
              </w:rPr>
            </w:pPr>
          </w:p>
        </w:tc>
        <w:tc>
          <w:tcPr>
            <w:tcW w:w="4811" w:type="dxa"/>
            <w:noWrap w:val="0"/>
            <w:vAlign w:val="center"/>
          </w:tcPr>
          <w:p>
            <w:pPr>
              <w:pStyle w:val="182"/>
              <w:spacing w:line="240" w:lineRule="auto"/>
              <w:ind w:firstLine="0" w:firstLineChars="0"/>
              <w:jc w:val="left"/>
              <w:rPr>
                <w:rFonts w:hint="eastAsia"/>
                <w:b/>
                <w:bCs/>
                <w:color w:val="auto"/>
                <w:u w:val="single"/>
                <w:lang w:val="en-US" w:eastAsia="zh-CN"/>
              </w:rPr>
            </w:pPr>
            <w:r>
              <w:rPr>
                <w:rFonts w:hint="eastAsia"/>
                <w:b/>
                <w:bCs/>
                <w:color w:val="auto"/>
                <w:u w:val="single"/>
                <w:lang w:val="en-US" w:eastAsia="zh-CN"/>
              </w:rPr>
              <w:t>涉 VOCs 原料装卸、储存、转移和输送、工艺过程等环节的</w:t>
            </w:r>
          </w:p>
          <w:p>
            <w:pPr>
              <w:pStyle w:val="182"/>
              <w:spacing w:line="240" w:lineRule="auto"/>
              <w:ind w:firstLine="0" w:firstLineChars="0"/>
              <w:jc w:val="left"/>
              <w:rPr>
                <w:rFonts w:hint="eastAsia"/>
                <w:b/>
                <w:bCs/>
                <w:color w:val="auto"/>
                <w:u w:val="single"/>
                <w:lang w:val="en-US" w:eastAsia="zh-CN"/>
              </w:rPr>
            </w:pPr>
            <w:r>
              <w:rPr>
                <w:rFonts w:hint="eastAsia"/>
                <w:b/>
                <w:bCs/>
                <w:color w:val="auto"/>
                <w:u w:val="single"/>
                <w:lang w:val="en-US" w:eastAsia="zh-CN"/>
              </w:rPr>
              <w:t>废气全部收集引至 VOCs 处理系统。</w:t>
            </w:r>
          </w:p>
        </w:tc>
        <w:tc>
          <w:tcPr>
            <w:tcW w:w="2787" w:type="dxa"/>
            <w:vMerge w:val="continue"/>
            <w:noWrap w:val="0"/>
            <w:vAlign w:val="center"/>
          </w:tcPr>
          <w:p>
            <w:pPr>
              <w:pStyle w:val="182"/>
              <w:spacing w:line="240" w:lineRule="auto"/>
              <w:ind w:firstLine="0" w:firstLineChars="0"/>
              <w:jc w:val="left"/>
              <w:rPr>
                <w:rFonts w:hint="eastAsia"/>
                <w:b/>
                <w:bCs/>
                <w:color w:val="auto"/>
                <w:u w:val="single"/>
              </w:rPr>
            </w:pPr>
          </w:p>
        </w:tc>
        <w:tc>
          <w:tcPr>
            <w:tcW w:w="1013" w:type="dxa"/>
            <w:vMerge w:val="continue"/>
            <w:noWrap w:val="0"/>
            <w:vAlign w:val="center"/>
          </w:tcPr>
          <w:p>
            <w:pPr>
              <w:pStyle w:val="182"/>
              <w:spacing w:line="240" w:lineRule="auto"/>
              <w:ind w:firstLine="0" w:firstLineChars="0"/>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59" w:type="dxa"/>
            <w:gridSpan w:val="4"/>
            <w:noWrap w:val="0"/>
            <w:vAlign w:val="center"/>
          </w:tcPr>
          <w:p>
            <w:pPr>
              <w:pStyle w:val="182"/>
              <w:spacing w:line="240" w:lineRule="auto"/>
              <w:ind w:firstLine="0" w:firstLineChars="0"/>
              <w:jc w:val="left"/>
              <w:rPr>
                <w:b/>
                <w:bCs/>
                <w:color w:val="auto"/>
                <w:u w:val="single"/>
              </w:rPr>
            </w:pPr>
            <w:r>
              <w:rPr>
                <w:rFonts w:hint="eastAsia"/>
                <w:b/>
                <w:bCs/>
                <w:color w:val="auto"/>
                <w:u w:val="single"/>
              </w:rPr>
              <w:t>其他基本要求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pPr>
              <w:pStyle w:val="182"/>
              <w:spacing w:line="240" w:lineRule="auto"/>
              <w:ind w:firstLine="0" w:firstLineChars="0"/>
              <w:jc w:val="center"/>
              <w:rPr>
                <w:b/>
                <w:bCs/>
                <w:color w:val="auto"/>
                <w:u w:val="single"/>
              </w:rPr>
            </w:pPr>
            <w:r>
              <w:rPr>
                <w:rFonts w:hint="eastAsia"/>
                <w:b/>
                <w:bCs/>
                <w:color w:val="auto"/>
                <w:u w:val="single"/>
              </w:rPr>
              <w:t>运输方式及运输监管</w:t>
            </w: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（1）运输方式</w:t>
            </w:r>
          </w:p>
          <w:p>
            <w:pPr>
              <w:pStyle w:val="182"/>
              <w:spacing w:line="240" w:lineRule="auto"/>
              <w:ind w:firstLine="0" w:firstLineChars="0"/>
              <w:jc w:val="left"/>
              <w:rPr>
                <w:rFonts w:hint="eastAsia"/>
                <w:b/>
                <w:bCs/>
                <w:color w:val="auto"/>
                <w:u w:val="single"/>
              </w:rPr>
            </w:pPr>
            <w:r>
              <w:rPr>
                <w:rFonts w:hint="eastAsia"/>
                <w:b/>
                <w:bCs/>
                <w:color w:val="auto"/>
                <w:u w:val="single"/>
              </w:rPr>
              <w:t>①公路运输。物料公路运输使用达到国五及以上排放标准重型载货车辆（含燃气）或新能源车辆比例（A 级 100%，B 级不低于 80%），其他车辆达到国四排放标准；</w:t>
            </w:r>
          </w:p>
          <w:p>
            <w:pPr>
              <w:pStyle w:val="182"/>
              <w:spacing w:line="240" w:lineRule="auto"/>
              <w:ind w:firstLine="0" w:firstLineChars="0"/>
              <w:jc w:val="left"/>
              <w:rPr>
                <w:rFonts w:hint="eastAsia"/>
                <w:b/>
                <w:bCs/>
                <w:color w:val="auto"/>
                <w:u w:val="single"/>
              </w:rPr>
            </w:pPr>
            <w:r>
              <w:rPr>
                <w:rFonts w:hint="eastAsia"/>
                <w:b/>
                <w:bCs/>
                <w:color w:val="auto"/>
                <w:u w:val="single"/>
              </w:rPr>
              <w:t>②厂内运输车辆。达到国五及以上排放标准（含燃气）或使用新能源车辆的比例（A 级 100%，B 级不低于 80%），其他车辆达到国四排放标准；</w:t>
            </w:r>
          </w:p>
          <w:p>
            <w:pPr>
              <w:pStyle w:val="182"/>
              <w:spacing w:line="240" w:lineRule="auto"/>
              <w:ind w:firstLine="0" w:firstLineChars="0"/>
              <w:jc w:val="left"/>
              <w:rPr>
                <w:rFonts w:hint="eastAsia"/>
                <w:b/>
                <w:bCs/>
                <w:color w:val="auto"/>
                <w:u w:val="single"/>
              </w:rPr>
            </w:pPr>
            <w:r>
              <w:rPr>
                <w:rFonts w:hint="eastAsia"/>
                <w:b/>
                <w:bCs/>
                <w:color w:val="auto"/>
                <w:u w:val="single"/>
              </w:rPr>
              <w:t>③危险品及危废运输。国五及以上或新能源车辆（A 级/B</w:t>
            </w:r>
          </w:p>
          <w:p>
            <w:pPr>
              <w:pStyle w:val="182"/>
              <w:spacing w:line="240" w:lineRule="auto"/>
              <w:ind w:firstLine="0" w:firstLineChars="0"/>
              <w:jc w:val="left"/>
              <w:rPr>
                <w:rFonts w:hint="eastAsia"/>
                <w:b/>
                <w:bCs/>
                <w:color w:val="auto"/>
                <w:u w:val="single"/>
              </w:rPr>
            </w:pPr>
            <w:r>
              <w:rPr>
                <w:rFonts w:hint="eastAsia"/>
                <w:b/>
                <w:bCs/>
                <w:color w:val="auto"/>
                <w:u w:val="single"/>
              </w:rPr>
              <w:t>级 100%）；</w:t>
            </w:r>
          </w:p>
          <w:p>
            <w:pPr>
              <w:pStyle w:val="182"/>
              <w:spacing w:line="240" w:lineRule="auto"/>
              <w:ind w:firstLine="0" w:firstLineChars="0"/>
              <w:jc w:val="left"/>
              <w:rPr>
                <w:rFonts w:hint="eastAsia"/>
                <w:b/>
                <w:bCs/>
                <w:color w:val="auto"/>
                <w:u w:val="single"/>
              </w:rPr>
            </w:pPr>
            <w:r>
              <w:rPr>
                <w:rFonts w:hint="eastAsia"/>
                <w:b/>
                <w:bCs/>
                <w:color w:val="auto"/>
                <w:u w:val="single"/>
              </w:rPr>
              <w:t>④厂内非道路移动机械。国三及以上排放标准或使用新能源机械（A 级/B 级 100%）</w:t>
            </w:r>
          </w:p>
        </w:tc>
        <w:tc>
          <w:tcPr>
            <w:tcW w:w="2787"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（1）运输方式</w:t>
            </w:r>
          </w:p>
          <w:p>
            <w:pPr>
              <w:pStyle w:val="182"/>
              <w:spacing w:line="240" w:lineRule="auto"/>
              <w:ind w:firstLine="0" w:firstLineChars="0"/>
              <w:jc w:val="left"/>
              <w:rPr>
                <w:rFonts w:hint="eastAsia"/>
                <w:b/>
                <w:bCs/>
                <w:color w:val="auto"/>
                <w:u w:val="single"/>
              </w:rPr>
            </w:pPr>
            <w:r>
              <w:rPr>
                <w:rFonts w:hint="eastAsia"/>
                <w:b/>
                <w:bCs/>
                <w:color w:val="auto"/>
                <w:u w:val="single"/>
              </w:rPr>
              <w:t>①公路运输。</w:t>
            </w:r>
            <w:r>
              <w:rPr>
                <w:rFonts w:hint="eastAsia"/>
                <w:b/>
                <w:bCs/>
                <w:color w:val="auto"/>
                <w:u w:val="single"/>
                <w:lang w:eastAsia="zh-CN"/>
              </w:rPr>
              <w:t>与运输公司签订合同约定使用国五及以上排放标准运输车辆</w:t>
            </w:r>
            <w:r>
              <w:rPr>
                <w:rFonts w:hint="eastAsia"/>
                <w:b/>
                <w:bCs/>
                <w:color w:val="auto"/>
                <w:u w:val="single"/>
              </w:rPr>
              <w:t>；</w:t>
            </w:r>
          </w:p>
          <w:p>
            <w:pPr>
              <w:pStyle w:val="182"/>
              <w:spacing w:line="240" w:lineRule="auto"/>
              <w:ind w:firstLine="0" w:firstLineChars="0"/>
              <w:jc w:val="left"/>
              <w:rPr>
                <w:rFonts w:hint="eastAsia"/>
                <w:b/>
                <w:bCs/>
                <w:color w:val="auto"/>
                <w:u w:val="single"/>
                <w:lang w:eastAsia="zh-CN"/>
              </w:rPr>
            </w:pPr>
            <w:r>
              <w:rPr>
                <w:rFonts w:hint="eastAsia"/>
                <w:b/>
                <w:bCs/>
                <w:color w:val="auto"/>
                <w:u w:val="single"/>
              </w:rPr>
              <w:t>②</w:t>
            </w:r>
            <w:r>
              <w:rPr>
                <w:rFonts w:hint="eastAsia"/>
                <w:b/>
                <w:bCs/>
                <w:color w:val="auto"/>
                <w:u w:val="single"/>
                <w:lang w:eastAsia="zh-CN"/>
              </w:rPr>
              <w:t>厂内无运输车辆</w:t>
            </w:r>
          </w:p>
          <w:p>
            <w:pPr>
              <w:pStyle w:val="182"/>
              <w:spacing w:line="240" w:lineRule="auto"/>
              <w:ind w:firstLine="0" w:firstLineChars="0"/>
              <w:jc w:val="left"/>
              <w:rPr>
                <w:rFonts w:hint="eastAsia"/>
                <w:b/>
                <w:bCs/>
                <w:color w:val="auto"/>
                <w:u w:val="single"/>
              </w:rPr>
            </w:pPr>
            <w:r>
              <w:rPr>
                <w:rFonts w:hint="eastAsia"/>
                <w:b/>
                <w:bCs/>
                <w:color w:val="auto"/>
                <w:u w:val="single"/>
              </w:rPr>
              <w:t>③危险品及危废运输。</w:t>
            </w:r>
            <w:r>
              <w:rPr>
                <w:rFonts w:hint="eastAsia"/>
                <w:b/>
                <w:bCs/>
                <w:color w:val="auto"/>
                <w:u w:val="single"/>
                <w:lang w:eastAsia="zh-CN"/>
              </w:rPr>
              <w:t>与运输公司签订合同约定使用国五及以上排放标准运输车辆</w:t>
            </w:r>
            <w:r>
              <w:rPr>
                <w:rFonts w:hint="eastAsia"/>
                <w:b/>
                <w:bCs/>
                <w:color w:val="auto"/>
                <w:u w:val="single"/>
              </w:rPr>
              <w:t>；</w:t>
            </w:r>
          </w:p>
          <w:p>
            <w:pPr>
              <w:pStyle w:val="182"/>
              <w:spacing w:line="240" w:lineRule="auto"/>
              <w:ind w:firstLine="0" w:firstLineChars="0"/>
              <w:jc w:val="left"/>
              <w:rPr>
                <w:rFonts w:hint="eastAsia"/>
                <w:b/>
                <w:bCs/>
                <w:color w:val="auto"/>
                <w:u w:val="single"/>
                <w:lang w:eastAsia="zh-CN"/>
              </w:rPr>
            </w:pPr>
            <w:r>
              <w:rPr>
                <w:rFonts w:hint="eastAsia"/>
                <w:b/>
                <w:bCs/>
                <w:color w:val="auto"/>
                <w:u w:val="single"/>
              </w:rPr>
              <w:t>④厂内非道路移动机械。</w:t>
            </w:r>
            <w:r>
              <w:rPr>
                <w:rFonts w:hint="eastAsia"/>
                <w:b/>
                <w:bCs/>
                <w:color w:val="auto"/>
                <w:u w:val="single"/>
                <w:lang w:eastAsia="zh-CN"/>
              </w:rPr>
              <w:t>厂内全部使用新能源叉车。</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rFonts w:hint="eastAsia"/>
                <w:b/>
                <w:bCs/>
                <w:color w:val="auto"/>
                <w:u w:val="single"/>
              </w:rPr>
            </w:pP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（2）运输监管</w:t>
            </w:r>
          </w:p>
          <w:p>
            <w:pPr>
              <w:pStyle w:val="182"/>
              <w:spacing w:line="240" w:lineRule="auto"/>
              <w:ind w:firstLine="0" w:firstLineChars="0"/>
              <w:jc w:val="left"/>
              <w:rPr>
                <w:rFonts w:hint="eastAsia"/>
                <w:b/>
                <w:bCs/>
                <w:color w:val="auto"/>
                <w:u w:val="single"/>
              </w:rPr>
            </w:pPr>
            <w:r>
              <w:rPr>
                <w:rFonts w:hint="eastAsia"/>
                <w:b/>
                <w:bCs/>
                <w:color w:val="auto"/>
                <w:u w:val="single"/>
              </w:rPr>
              <w:t>厂区货运车辆进出大门口：日均进出货物 150 吨（或载货车辆日进出 10 辆次）及以上（货物包括原料、辅料、燃料、产品和其他与生产相关物料）的企业，或纳入我省重点行业年产值1000 万及以上的企业，拟申报 A、B 级企业时，应参照《重污染天气重点行业移动源应急管理技术指南》建立门禁视频监控系统和电子台账；其他企业建立门禁视频监控系统和台账。安装高清视频监控系统并能保留数据 6 个月以上。</w:t>
            </w:r>
          </w:p>
        </w:tc>
        <w:tc>
          <w:tcPr>
            <w:tcW w:w="2787"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rPr>
              <w:t>建立门禁视频监控系统和电子台账。</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pPr>
              <w:pStyle w:val="182"/>
              <w:spacing w:line="240" w:lineRule="auto"/>
              <w:ind w:firstLine="0" w:firstLineChars="0"/>
              <w:jc w:val="center"/>
              <w:rPr>
                <w:rFonts w:hint="eastAsia"/>
                <w:b/>
                <w:bCs/>
                <w:color w:val="auto"/>
                <w:u w:val="single"/>
              </w:rPr>
            </w:pPr>
            <w:r>
              <w:rPr>
                <w:rFonts w:hint="eastAsia"/>
                <w:b/>
                <w:bCs/>
                <w:color w:val="auto"/>
                <w:u w:val="single"/>
              </w:rPr>
              <w:t>环境管理水平</w:t>
            </w: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1、环保档案齐全：①环评批复文件和竣工验收文件/现状评估文件；②废气治理设施运行管理规程；③一年内废气监测报告；④国家版排污许可证，并按要求开展自行监测和信息披露，有规范的排气筒监测平台和排污口标识。</w:t>
            </w:r>
          </w:p>
        </w:tc>
        <w:tc>
          <w:tcPr>
            <w:tcW w:w="2787"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rPr>
              <w:t>环保档案齐全：①环评批复文件和竣工验收文件/现状评估文件；②废气治理设施运行管理规程；③一年内废气监测报告；④国家版排污许可证，并按要求开展自行监测和信息披露，有规范的排气筒监测平台和排污口标识。</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rFonts w:hint="eastAsia"/>
                <w:b/>
                <w:bCs/>
                <w:color w:val="auto"/>
                <w:u w:val="single"/>
              </w:rPr>
            </w:pP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lang w:val="en-US" w:eastAsia="zh-CN"/>
              </w:rPr>
              <w:t>2、</w:t>
            </w:r>
            <w:r>
              <w:rPr>
                <w:rFonts w:hint="eastAsia"/>
                <w:b/>
                <w:bCs/>
                <w:color w:val="auto"/>
                <w:u w:val="single"/>
              </w:rPr>
              <w:t>台账记录：①生产设施运行管理信息（生产时间、 运行负荷、产品产量等）；</w:t>
            </w:r>
          </w:p>
          <w:p>
            <w:pPr>
              <w:pStyle w:val="182"/>
              <w:spacing w:line="240" w:lineRule="auto"/>
              <w:ind w:firstLine="0" w:firstLineChars="0"/>
              <w:jc w:val="left"/>
              <w:rPr>
                <w:rFonts w:hint="eastAsia"/>
                <w:b/>
                <w:bCs/>
                <w:color w:val="auto"/>
                <w:u w:val="single"/>
              </w:rPr>
            </w:pPr>
            <w:r>
              <w:rPr>
                <w:rFonts w:hint="eastAsia"/>
                <w:b/>
                <w:bCs/>
                <w:color w:val="auto"/>
                <w:u w:val="single"/>
              </w:rPr>
              <w:t>②废气污染治理设施运行管理信息（除尘滤料、活性炭等更换量和时间）；</w:t>
            </w:r>
          </w:p>
          <w:p>
            <w:pPr>
              <w:pStyle w:val="182"/>
              <w:spacing w:line="240" w:lineRule="auto"/>
              <w:ind w:firstLine="0" w:firstLineChars="0"/>
              <w:jc w:val="left"/>
              <w:rPr>
                <w:rFonts w:hint="eastAsia"/>
                <w:b/>
                <w:bCs/>
                <w:color w:val="auto"/>
                <w:u w:val="single"/>
              </w:rPr>
            </w:pPr>
            <w:r>
              <w:rPr>
                <w:rFonts w:hint="eastAsia"/>
                <w:b/>
                <w:bCs/>
                <w:color w:val="auto"/>
                <w:u w:val="single"/>
              </w:rPr>
              <w:t>③监测记录信息（主要污染排放口废气排放记录（手工监测和在线监测）等）；</w:t>
            </w:r>
          </w:p>
          <w:p>
            <w:pPr>
              <w:pStyle w:val="182"/>
              <w:spacing w:line="240" w:lineRule="auto"/>
              <w:ind w:firstLine="0" w:firstLineChars="0"/>
              <w:jc w:val="left"/>
              <w:rPr>
                <w:rFonts w:hint="eastAsia"/>
                <w:b/>
                <w:bCs/>
                <w:color w:val="auto"/>
                <w:u w:val="single"/>
              </w:rPr>
            </w:pPr>
            <w:r>
              <w:rPr>
                <w:rFonts w:hint="eastAsia"/>
                <w:b/>
                <w:bCs/>
                <w:color w:val="auto"/>
                <w:u w:val="single"/>
              </w:rPr>
              <w:t>④主要原辅材料、燃料消耗记录（A、B 级企业必需）；</w:t>
            </w:r>
          </w:p>
          <w:p>
            <w:pPr>
              <w:pStyle w:val="182"/>
              <w:spacing w:line="240" w:lineRule="auto"/>
              <w:ind w:firstLine="0" w:firstLineChars="0"/>
              <w:jc w:val="left"/>
              <w:rPr>
                <w:rFonts w:hint="eastAsia"/>
                <w:b/>
                <w:bCs/>
                <w:color w:val="auto"/>
                <w:u w:val="single"/>
              </w:rPr>
            </w:pPr>
            <w:r>
              <w:rPr>
                <w:rFonts w:hint="eastAsia"/>
                <w:b/>
                <w:bCs/>
                <w:color w:val="auto"/>
                <w:u w:val="single"/>
              </w:rPr>
              <w:t>⑤电消耗记录（已安装用电监管设备的A、B级企业必需）。</w:t>
            </w:r>
          </w:p>
        </w:tc>
        <w:tc>
          <w:tcPr>
            <w:tcW w:w="2787"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台账记录：①生产设施运行管理信息；</w:t>
            </w:r>
          </w:p>
          <w:p>
            <w:pPr>
              <w:pStyle w:val="182"/>
              <w:spacing w:line="240" w:lineRule="auto"/>
              <w:ind w:firstLine="0" w:firstLineChars="0"/>
              <w:jc w:val="left"/>
              <w:rPr>
                <w:rFonts w:hint="eastAsia"/>
                <w:b/>
                <w:bCs/>
                <w:color w:val="auto"/>
                <w:u w:val="single"/>
              </w:rPr>
            </w:pPr>
            <w:r>
              <w:rPr>
                <w:rFonts w:hint="eastAsia"/>
                <w:b/>
                <w:bCs/>
                <w:color w:val="auto"/>
                <w:u w:val="single"/>
              </w:rPr>
              <w:t>②废气污染治理设施运行管理信息；</w:t>
            </w:r>
          </w:p>
          <w:p>
            <w:pPr>
              <w:pStyle w:val="182"/>
              <w:spacing w:line="240" w:lineRule="auto"/>
              <w:ind w:firstLine="0" w:firstLineChars="0"/>
              <w:jc w:val="left"/>
              <w:rPr>
                <w:rFonts w:hint="eastAsia"/>
                <w:b/>
                <w:bCs/>
                <w:color w:val="auto"/>
                <w:u w:val="single"/>
              </w:rPr>
            </w:pPr>
            <w:r>
              <w:rPr>
                <w:rFonts w:hint="eastAsia"/>
                <w:b/>
                <w:bCs/>
                <w:color w:val="auto"/>
                <w:u w:val="single"/>
              </w:rPr>
              <w:t>③监测记录信息；</w:t>
            </w:r>
          </w:p>
          <w:p>
            <w:pPr>
              <w:pStyle w:val="182"/>
              <w:spacing w:line="240" w:lineRule="auto"/>
              <w:ind w:firstLine="0" w:firstLineChars="0"/>
              <w:jc w:val="left"/>
              <w:rPr>
                <w:rFonts w:hint="eastAsia"/>
                <w:b/>
                <w:bCs/>
                <w:color w:val="auto"/>
                <w:u w:val="single"/>
              </w:rPr>
            </w:pPr>
            <w:r>
              <w:rPr>
                <w:rFonts w:hint="eastAsia"/>
                <w:b/>
                <w:bCs/>
                <w:color w:val="auto"/>
                <w:u w:val="single"/>
              </w:rPr>
              <w:t>④主要原辅材料消耗记录；</w:t>
            </w:r>
          </w:p>
          <w:p>
            <w:pPr>
              <w:pStyle w:val="182"/>
              <w:spacing w:line="240" w:lineRule="auto"/>
              <w:ind w:firstLine="0" w:firstLineChars="0"/>
              <w:jc w:val="left"/>
              <w:rPr>
                <w:rFonts w:hint="eastAsia"/>
                <w:b/>
                <w:bCs/>
                <w:color w:val="auto"/>
                <w:u w:val="single"/>
                <w:lang w:eastAsia="zh-CN"/>
              </w:rPr>
            </w:pPr>
            <w:r>
              <w:rPr>
                <w:rFonts w:hint="eastAsia"/>
                <w:b/>
                <w:bCs/>
                <w:color w:val="auto"/>
                <w:u w:val="single"/>
              </w:rPr>
              <w:t>⑤燃料消耗</w:t>
            </w:r>
            <w:r>
              <w:rPr>
                <w:rFonts w:hint="eastAsia"/>
                <w:b/>
                <w:bCs/>
                <w:color w:val="auto"/>
                <w:u w:val="single"/>
                <w:lang w:eastAsia="zh-CN"/>
              </w:rPr>
              <w:t>和</w:t>
            </w:r>
            <w:r>
              <w:rPr>
                <w:rFonts w:hint="eastAsia"/>
                <w:b/>
                <w:bCs/>
                <w:color w:val="auto"/>
                <w:u w:val="single"/>
              </w:rPr>
              <w:t>电消耗记录。</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rFonts w:hint="eastAsia"/>
                <w:b/>
                <w:bCs/>
                <w:color w:val="auto"/>
                <w:u w:val="single"/>
              </w:rPr>
            </w:pP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3、人员配置：配置专职环保人员，并具备相应的环境管理能力（学历、培训、从业经验等）；</w:t>
            </w:r>
          </w:p>
        </w:tc>
        <w:tc>
          <w:tcPr>
            <w:tcW w:w="2787"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rPr>
              <w:t>配置专职环保人员，并具备相应的环境管理能力</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pPr>
              <w:pStyle w:val="182"/>
              <w:spacing w:line="240" w:lineRule="auto"/>
              <w:ind w:firstLine="0" w:firstLineChars="0"/>
              <w:jc w:val="center"/>
              <w:rPr>
                <w:rFonts w:hint="eastAsia"/>
                <w:b/>
                <w:bCs/>
                <w:color w:val="auto"/>
                <w:u w:val="single"/>
              </w:rPr>
            </w:pPr>
            <w:r>
              <w:rPr>
                <w:rFonts w:hint="eastAsia"/>
                <w:b/>
                <w:bCs/>
                <w:color w:val="auto"/>
                <w:u w:val="single"/>
              </w:rPr>
              <w:t>其他控制要求</w:t>
            </w: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（1）生产工艺和装备</w:t>
            </w:r>
          </w:p>
          <w:p>
            <w:pPr>
              <w:pStyle w:val="182"/>
              <w:spacing w:line="240" w:lineRule="auto"/>
              <w:ind w:firstLine="0" w:firstLineChars="0"/>
              <w:jc w:val="left"/>
              <w:rPr>
                <w:rFonts w:hint="eastAsia"/>
                <w:b/>
                <w:bCs/>
                <w:color w:val="auto"/>
                <w:u w:val="single"/>
              </w:rPr>
            </w:pPr>
            <w:r>
              <w:rPr>
                <w:rFonts w:hint="eastAsia"/>
                <w:b/>
                <w:bCs/>
                <w:color w:val="auto"/>
                <w:u w:val="single"/>
              </w:rPr>
              <w:t>不属于《产业结构调整指导目录（2019年版）》淘汰类，</w:t>
            </w:r>
          </w:p>
          <w:p>
            <w:pPr>
              <w:pStyle w:val="182"/>
              <w:spacing w:line="240" w:lineRule="auto"/>
              <w:ind w:firstLine="0" w:firstLineChars="0"/>
              <w:jc w:val="left"/>
              <w:rPr>
                <w:rFonts w:hint="eastAsia"/>
                <w:b/>
                <w:bCs/>
                <w:color w:val="auto"/>
                <w:u w:val="single"/>
              </w:rPr>
            </w:pPr>
            <w:r>
              <w:rPr>
                <w:rFonts w:hint="eastAsia"/>
                <w:b/>
                <w:bCs/>
                <w:color w:val="auto"/>
                <w:u w:val="single"/>
              </w:rPr>
              <w:t>不属于省级和市级政府部门明确列入已经限期淘汰类项目。</w:t>
            </w:r>
          </w:p>
        </w:tc>
        <w:tc>
          <w:tcPr>
            <w:tcW w:w="2787"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本项目原料、生产工艺、设备等均不属于《产业结构调整指导目录》（2019年本）目录中的限制类和淘汰类，为允许类，符合国家产业政策。</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rFonts w:hint="eastAsia"/>
                <w:b/>
                <w:bCs/>
                <w:color w:val="auto"/>
                <w:u w:val="single"/>
              </w:rPr>
            </w:pP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2）污染治理副产物除尘器应设置密闭灰仓并及时卸灰，除尘灰应通过气力输送、罐车、袋子等封闭方式卸灰，不得直接卸落到地面。除尘灰如果转运应采用气力输送、封闭传送带方式，如果直接外运应采用罐车或袋装后运输，并在装车过程中采取抑尘措施，除尘灰在厂区内应密闭/封闭储存；脱硫石膏和脱硫废渣等固体废物在转运过程中应采取抑尘措施并应封闭储存</w:t>
            </w:r>
          </w:p>
        </w:tc>
        <w:tc>
          <w:tcPr>
            <w:tcW w:w="2787"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lang w:eastAsia="zh-CN"/>
              </w:rPr>
              <w:t>袋式除尘器收集的收尘灰在除尘器灰仓内暂存，通过</w:t>
            </w:r>
            <w:r>
              <w:rPr>
                <w:rFonts w:hint="eastAsia"/>
                <w:b/>
                <w:bCs/>
                <w:color w:val="auto"/>
                <w:u w:val="single"/>
              </w:rPr>
              <w:t>袋子封闭卸灰，</w:t>
            </w:r>
            <w:r>
              <w:rPr>
                <w:rFonts w:hint="eastAsia"/>
                <w:b/>
                <w:bCs/>
                <w:color w:val="auto"/>
                <w:u w:val="single"/>
                <w:lang w:eastAsia="zh-CN"/>
              </w:rPr>
              <w:t>除尘器内收集的粉尘回用于生产</w:t>
            </w:r>
            <w:r>
              <w:rPr>
                <w:rFonts w:hint="eastAsia"/>
                <w:b/>
                <w:bCs/>
                <w:color w:val="auto"/>
                <w:u w:val="single"/>
              </w:rPr>
              <w:t>；</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rFonts w:hint="eastAsia"/>
                <w:b/>
                <w:bCs/>
                <w:color w:val="auto"/>
                <w:u w:val="single"/>
              </w:rPr>
            </w:pP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（3）用电量/视频监管</w:t>
            </w:r>
          </w:p>
          <w:p>
            <w:pPr>
              <w:pStyle w:val="182"/>
              <w:spacing w:line="240" w:lineRule="auto"/>
              <w:ind w:firstLine="0" w:firstLineChars="0"/>
              <w:jc w:val="left"/>
              <w:rPr>
                <w:rFonts w:hint="eastAsia"/>
                <w:b/>
                <w:bCs/>
                <w:color w:val="auto"/>
                <w:u w:val="single"/>
              </w:rPr>
            </w:pPr>
            <w:r>
              <w:rPr>
                <w:rFonts w:hint="eastAsia"/>
                <w:b/>
                <w:bCs/>
                <w:color w:val="auto"/>
                <w:u w:val="single"/>
              </w:rPr>
              <w:t>按照《河南省涉气排污单位污染治理设施用电监管技术指南（试行）》要求安装用电监管设备（有自动在线监控系统的企业除外），用电监管数据直接上传至省、市生态环境部门的污染治理设施用电监管平台服务器；未安装自动在线监控和用电量监管拟申报A、B级企业，应在主要生产设备（投料口、卸料口等位置）安装视频监控设施，相关数据保存三个月以上</w:t>
            </w:r>
          </w:p>
        </w:tc>
        <w:tc>
          <w:tcPr>
            <w:tcW w:w="2787"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rPr>
              <w:t>安装用电监管设备</w:t>
            </w:r>
            <w:r>
              <w:rPr>
                <w:rFonts w:hint="eastAsia"/>
                <w:b/>
                <w:bCs/>
                <w:color w:val="auto"/>
                <w:u w:val="single"/>
                <w:lang w:eastAsia="zh-CN"/>
              </w:rPr>
              <w:t>，</w:t>
            </w:r>
            <w:r>
              <w:rPr>
                <w:rFonts w:hint="eastAsia"/>
                <w:b/>
                <w:bCs/>
                <w:color w:val="auto"/>
                <w:u w:val="single"/>
              </w:rPr>
              <w:t>用电监管数据直接上传至省、市生态环境部门的污染治理设施用电监管平台服务器</w:t>
            </w:r>
            <w:r>
              <w:rPr>
                <w:rFonts w:hint="eastAsia"/>
                <w:b/>
                <w:bCs/>
                <w:color w:val="auto"/>
                <w:u w:val="single"/>
                <w:lang w:eastAsia="zh-CN"/>
              </w:rPr>
              <w:t>；</w:t>
            </w:r>
            <w:r>
              <w:rPr>
                <w:rFonts w:hint="eastAsia"/>
                <w:b/>
                <w:bCs/>
                <w:color w:val="auto"/>
                <w:u w:val="single"/>
              </w:rPr>
              <w:t>有自动在线监控系统</w:t>
            </w:r>
            <w:r>
              <w:rPr>
                <w:rFonts w:hint="eastAsia"/>
                <w:b/>
                <w:bCs/>
                <w:color w:val="auto"/>
                <w:u w:val="single"/>
                <w:lang w:eastAsia="zh-CN"/>
              </w:rPr>
              <w:t>，并与市局联网</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pPr>
              <w:pStyle w:val="182"/>
              <w:spacing w:line="240" w:lineRule="auto"/>
              <w:ind w:firstLine="0" w:firstLineChars="0"/>
              <w:jc w:val="center"/>
              <w:rPr>
                <w:rFonts w:hint="eastAsia"/>
                <w:b/>
                <w:bCs/>
                <w:color w:val="auto"/>
                <w:u w:val="single"/>
              </w:rPr>
            </w:pPr>
          </w:p>
        </w:tc>
        <w:tc>
          <w:tcPr>
            <w:tcW w:w="4811"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（4）厂容厂貌</w:t>
            </w:r>
          </w:p>
          <w:p>
            <w:pPr>
              <w:pStyle w:val="182"/>
              <w:spacing w:line="240" w:lineRule="auto"/>
              <w:ind w:firstLine="0" w:firstLineChars="0"/>
              <w:jc w:val="left"/>
              <w:rPr>
                <w:rFonts w:hint="eastAsia"/>
                <w:b/>
                <w:bCs/>
                <w:color w:val="auto"/>
                <w:u w:val="single"/>
              </w:rPr>
            </w:pPr>
            <w:r>
              <w:rPr>
                <w:rFonts w:hint="eastAsia"/>
                <w:b/>
                <w:bCs/>
                <w:color w:val="auto"/>
                <w:u w:val="single"/>
              </w:rPr>
              <w:t>厂区内道路、原辅材料和燃料堆场等路面应硬化。厂区内道路采取定期清扫、洒水等措施，保持清洁，路面无明显可见积尘。其他未利用地优先绿化，或进行硬化，无成片裸露土地。</w:t>
            </w:r>
          </w:p>
        </w:tc>
        <w:tc>
          <w:tcPr>
            <w:tcW w:w="2787"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厂区内道路、原辅材料和燃料堆场等路面应硬化。厂区内道路采取定期清扫、洒水等措施，保持清洁，路面无明显可见积尘。其他未利用地优先绿化，或进行硬化，无成片裸露土地。</w:t>
            </w:r>
          </w:p>
        </w:tc>
        <w:tc>
          <w:tcPr>
            <w:tcW w:w="1013"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bl>
    <w:p>
      <w:pPr>
        <w:pStyle w:val="181"/>
        <w:ind w:firstLine="482" w:firstLineChars="200"/>
        <w:jc w:val="center"/>
        <w:rPr>
          <w:rFonts w:eastAsia="仿宋_GB2312"/>
          <w:color w:val="auto"/>
        </w:rPr>
      </w:pPr>
      <w:r>
        <w:rPr>
          <w:rFonts w:hint="eastAsia" w:eastAsia="仿宋_GB2312"/>
          <w:color w:val="auto"/>
          <w:lang w:val="en-US" w:eastAsia="zh-CN"/>
        </w:rPr>
        <w:t xml:space="preserve">表2.11-12 </w:t>
      </w:r>
      <w:r>
        <w:rPr>
          <w:rFonts w:eastAsia="仿宋_GB2312"/>
          <w:color w:val="auto"/>
        </w:rPr>
        <w:t xml:space="preserve"> </w:t>
      </w:r>
      <w:r>
        <w:rPr>
          <w:rFonts w:hint="eastAsia" w:eastAsia="仿宋_GB2312"/>
          <w:color w:val="auto"/>
        </w:rPr>
        <w:t>涉锅炉/炉窑企业绩效分级</w:t>
      </w:r>
      <w:r>
        <w:rPr>
          <w:rFonts w:hint="eastAsia" w:eastAsia="仿宋_GB2312"/>
          <w:color w:val="auto"/>
          <w:lang w:eastAsia="zh-CN"/>
        </w:rPr>
        <w:t>（</w:t>
      </w:r>
      <w:r>
        <w:rPr>
          <w:rFonts w:hint="eastAsia" w:eastAsia="仿宋_GB2312"/>
          <w:color w:val="auto"/>
          <w:lang w:val="en-US" w:eastAsia="zh-CN"/>
        </w:rPr>
        <w:t>B级</w:t>
      </w:r>
      <w:r>
        <w:rPr>
          <w:rFonts w:hint="eastAsia" w:eastAsia="仿宋_GB2312"/>
          <w:color w:val="auto"/>
          <w:lang w:eastAsia="zh-CN"/>
        </w:rPr>
        <w:t>）</w:t>
      </w:r>
      <w:r>
        <w:rPr>
          <w:rFonts w:eastAsia="仿宋_GB2312"/>
          <w:color w:val="auto"/>
        </w:rPr>
        <w:t>对标总表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3862"/>
        <w:gridCol w:w="2906"/>
        <w:gridCol w:w="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blHeader/>
          <w:jc w:val="center"/>
        </w:trPr>
        <w:tc>
          <w:tcPr>
            <w:tcW w:w="908" w:type="dxa"/>
            <w:noWrap w:val="0"/>
            <w:vAlign w:val="center"/>
          </w:tcPr>
          <w:p>
            <w:pPr>
              <w:pStyle w:val="182"/>
              <w:spacing w:line="240" w:lineRule="auto"/>
              <w:ind w:firstLine="0" w:firstLineChars="0"/>
              <w:jc w:val="center"/>
              <w:rPr>
                <w:b/>
                <w:bCs/>
                <w:color w:val="auto"/>
                <w:u w:val="single"/>
              </w:rPr>
            </w:pPr>
            <w:r>
              <w:rPr>
                <w:rFonts w:hint="eastAsia"/>
                <w:b/>
                <w:bCs/>
                <w:color w:val="auto"/>
                <w:u w:val="single"/>
                <w:lang w:eastAsia="zh-CN"/>
              </w:rPr>
              <w:t>差异化</w:t>
            </w:r>
            <w:r>
              <w:rPr>
                <w:b/>
                <w:bCs/>
                <w:color w:val="auto"/>
                <w:u w:val="single"/>
              </w:rPr>
              <w:t>指标</w:t>
            </w:r>
          </w:p>
        </w:tc>
        <w:tc>
          <w:tcPr>
            <w:tcW w:w="4080" w:type="dxa"/>
            <w:noWrap w:val="0"/>
            <w:vAlign w:val="center"/>
          </w:tcPr>
          <w:p>
            <w:pPr>
              <w:pStyle w:val="182"/>
              <w:spacing w:line="240" w:lineRule="auto"/>
              <w:ind w:firstLine="0" w:firstLineChars="0"/>
              <w:jc w:val="left"/>
              <w:rPr>
                <w:b/>
                <w:bCs/>
                <w:color w:val="auto"/>
                <w:u w:val="single"/>
              </w:rPr>
            </w:pPr>
            <w:r>
              <w:rPr>
                <w:rFonts w:hint="eastAsia"/>
                <w:b/>
                <w:bCs/>
                <w:color w:val="auto"/>
                <w:u w:val="single"/>
                <w:lang w:val="en-US" w:eastAsia="zh-CN"/>
              </w:rPr>
              <w:t>B</w:t>
            </w:r>
            <w:r>
              <w:rPr>
                <w:b/>
                <w:bCs/>
                <w:color w:val="auto"/>
                <w:u w:val="single"/>
              </w:rPr>
              <w:t>级绩效分级指标要求</w:t>
            </w:r>
          </w:p>
        </w:tc>
        <w:tc>
          <w:tcPr>
            <w:tcW w:w="3070" w:type="dxa"/>
            <w:noWrap w:val="0"/>
            <w:vAlign w:val="center"/>
          </w:tcPr>
          <w:p>
            <w:pPr>
              <w:pStyle w:val="182"/>
              <w:spacing w:line="240" w:lineRule="auto"/>
              <w:ind w:firstLine="0" w:firstLineChars="0"/>
              <w:jc w:val="left"/>
              <w:rPr>
                <w:b/>
                <w:bCs/>
                <w:color w:val="auto"/>
                <w:u w:val="single"/>
              </w:rPr>
            </w:pPr>
            <w:r>
              <w:rPr>
                <w:b/>
                <w:bCs/>
                <w:color w:val="auto"/>
                <w:u w:val="single"/>
              </w:rPr>
              <w:t>企业对标情况</w:t>
            </w:r>
          </w:p>
        </w:tc>
        <w:tc>
          <w:tcPr>
            <w:tcW w:w="945" w:type="dxa"/>
            <w:noWrap w:val="0"/>
            <w:vAlign w:val="center"/>
          </w:tcPr>
          <w:p>
            <w:pPr>
              <w:pStyle w:val="182"/>
              <w:spacing w:line="240" w:lineRule="auto"/>
              <w:ind w:firstLine="0" w:firstLineChars="0"/>
              <w:jc w:val="center"/>
              <w:rPr>
                <w:rFonts w:hint="default"/>
                <w:b/>
                <w:bCs/>
                <w:color w:val="auto"/>
                <w:u w:val="single"/>
              </w:rPr>
            </w:pPr>
            <w:r>
              <w:rPr>
                <w:rFonts w:hint="eastAsia"/>
                <w:b/>
                <w:bCs/>
                <w:color w:val="auto"/>
                <w:u w:val="single"/>
                <w:lang w:val="en-US" w:eastAsia="zh-CN"/>
              </w:rPr>
              <w:t>是否满足绩效要求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noWrap w:val="0"/>
            <w:vAlign w:val="center"/>
          </w:tcPr>
          <w:p>
            <w:pPr>
              <w:pStyle w:val="182"/>
              <w:spacing w:line="240" w:lineRule="auto"/>
              <w:ind w:firstLine="0" w:firstLineChars="0"/>
              <w:jc w:val="center"/>
              <w:rPr>
                <w:rFonts w:hint="eastAsia"/>
                <w:b/>
                <w:bCs/>
                <w:color w:val="auto"/>
                <w:u w:val="single"/>
              </w:rPr>
            </w:pPr>
            <w:r>
              <w:rPr>
                <w:rFonts w:hint="eastAsia"/>
                <w:b/>
                <w:bCs/>
                <w:color w:val="auto"/>
                <w:u w:val="single"/>
              </w:rPr>
              <w:t>能源类型</w:t>
            </w:r>
          </w:p>
        </w:tc>
        <w:tc>
          <w:tcPr>
            <w:tcW w:w="4080" w:type="dxa"/>
            <w:noWrap w:val="0"/>
            <w:vAlign w:val="center"/>
          </w:tcPr>
          <w:p>
            <w:pPr>
              <w:pStyle w:val="182"/>
              <w:spacing w:line="240" w:lineRule="auto"/>
              <w:ind w:firstLine="0" w:firstLineChars="0"/>
              <w:jc w:val="left"/>
              <w:rPr>
                <w:b/>
                <w:bCs/>
                <w:color w:val="auto"/>
                <w:u w:val="single"/>
              </w:rPr>
            </w:pPr>
            <w:r>
              <w:rPr>
                <w:rFonts w:hint="eastAsia"/>
                <w:b/>
                <w:bCs/>
                <w:color w:val="auto"/>
                <w:u w:val="single"/>
              </w:rPr>
              <w:t>其他</w:t>
            </w:r>
          </w:p>
        </w:tc>
        <w:tc>
          <w:tcPr>
            <w:tcW w:w="3070"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厂区其他设备均采用电为能源，锅炉采用煤粉做为能源</w:t>
            </w:r>
          </w:p>
        </w:tc>
        <w:tc>
          <w:tcPr>
            <w:tcW w:w="945"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noWrap w:val="0"/>
            <w:vAlign w:val="center"/>
          </w:tcPr>
          <w:p>
            <w:pPr>
              <w:pStyle w:val="182"/>
              <w:spacing w:line="240" w:lineRule="auto"/>
              <w:ind w:firstLine="0" w:firstLineChars="0"/>
              <w:jc w:val="center"/>
              <w:rPr>
                <w:b/>
                <w:bCs/>
                <w:color w:val="auto"/>
                <w:u w:val="single"/>
              </w:rPr>
            </w:pPr>
            <w:r>
              <w:rPr>
                <w:rFonts w:hint="eastAsia"/>
                <w:b/>
                <w:bCs/>
                <w:color w:val="auto"/>
                <w:u w:val="single"/>
              </w:rPr>
              <w:t>生产工艺</w:t>
            </w:r>
          </w:p>
        </w:tc>
        <w:tc>
          <w:tcPr>
            <w:tcW w:w="4080"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1.属于《产业结构调整指导目录（2019年版）》鼓励类和允许类；</w:t>
            </w:r>
          </w:p>
          <w:p>
            <w:pPr>
              <w:pStyle w:val="182"/>
              <w:spacing w:line="240" w:lineRule="auto"/>
              <w:ind w:firstLine="0" w:firstLineChars="0"/>
              <w:jc w:val="left"/>
              <w:rPr>
                <w:rFonts w:hint="eastAsia"/>
                <w:b/>
                <w:bCs/>
                <w:color w:val="auto"/>
                <w:u w:val="single"/>
              </w:rPr>
            </w:pPr>
            <w:r>
              <w:rPr>
                <w:rFonts w:hint="eastAsia"/>
                <w:b/>
                <w:bCs/>
                <w:color w:val="auto"/>
                <w:u w:val="single"/>
              </w:rPr>
              <w:t>2.符合相关行业产业政策；</w:t>
            </w:r>
          </w:p>
          <w:p>
            <w:pPr>
              <w:pStyle w:val="182"/>
              <w:spacing w:line="240" w:lineRule="auto"/>
              <w:ind w:firstLine="0" w:firstLineChars="0"/>
              <w:jc w:val="left"/>
              <w:rPr>
                <w:rFonts w:hint="eastAsia"/>
                <w:b/>
                <w:bCs/>
                <w:color w:val="auto"/>
                <w:u w:val="single"/>
              </w:rPr>
            </w:pPr>
            <w:r>
              <w:rPr>
                <w:rFonts w:hint="eastAsia"/>
                <w:b/>
                <w:bCs/>
                <w:color w:val="auto"/>
                <w:u w:val="single"/>
              </w:rPr>
              <w:t>3.符合河南省相关政策要求；</w:t>
            </w:r>
          </w:p>
          <w:p>
            <w:pPr>
              <w:pStyle w:val="182"/>
              <w:spacing w:line="240" w:lineRule="auto"/>
              <w:ind w:firstLine="0" w:firstLineChars="0"/>
              <w:jc w:val="left"/>
              <w:rPr>
                <w:b/>
                <w:bCs/>
                <w:color w:val="auto"/>
                <w:u w:val="single"/>
              </w:rPr>
            </w:pPr>
            <w:r>
              <w:rPr>
                <w:rFonts w:hint="eastAsia"/>
                <w:b/>
                <w:bCs/>
                <w:color w:val="auto"/>
                <w:u w:val="single"/>
              </w:rPr>
              <w:t>4.符合市级规划。</w:t>
            </w:r>
          </w:p>
        </w:tc>
        <w:tc>
          <w:tcPr>
            <w:tcW w:w="3070" w:type="dxa"/>
            <w:noWrap w:val="0"/>
            <w:vAlign w:val="center"/>
          </w:tcPr>
          <w:p>
            <w:pPr>
              <w:pStyle w:val="182"/>
              <w:spacing w:line="240" w:lineRule="auto"/>
              <w:ind w:firstLine="0" w:firstLineChars="0"/>
              <w:jc w:val="left"/>
              <w:rPr>
                <w:rFonts w:hint="default"/>
                <w:b/>
                <w:bCs/>
                <w:color w:val="auto"/>
                <w:u w:val="single"/>
                <w:lang w:val="en-US" w:eastAsia="zh-CN"/>
              </w:rPr>
            </w:pPr>
            <w:r>
              <w:rPr>
                <w:rFonts w:hint="eastAsia"/>
                <w:b/>
                <w:bCs/>
                <w:color w:val="auto"/>
                <w:u w:val="single"/>
                <w:lang w:val="en-US" w:eastAsia="zh-CN"/>
              </w:rPr>
              <w:t>1.</w:t>
            </w:r>
            <w:r>
              <w:rPr>
                <w:rFonts w:hint="eastAsia"/>
                <w:b/>
                <w:bCs/>
                <w:color w:val="auto"/>
                <w:u w:val="single"/>
              </w:rPr>
              <w:t>原料、生产工艺、设备等均不属于《产业结构调整指导目录》（2019年本）目录中的限制类和淘汰类，为允许类，符合国家产业政策</w:t>
            </w:r>
            <w:r>
              <w:rPr>
                <w:rFonts w:hint="eastAsia"/>
                <w:b/>
                <w:bCs/>
                <w:color w:val="auto"/>
                <w:u w:val="single"/>
                <w:lang w:val="en-US" w:eastAsia="zh-CN"/>
              </w:rPr>
              <w:t>.2、符合河南省相关政策要求3、无相关行业产业政策和市级规划</w:t>
            </w:r>
          </w:p>
        </w:tc>
        <w:tc>
          <w:tcPr>
            <w:tcW w:w="945"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vMerge w:val="restart"/>
            <w:noWrap w:val="0"/>
            <w:vAlign w:val="center"/>
          </w:tcPr>
          <w:p>
            <w:pPr>
              <w:pStyle w:val="182"/>
              <w:spacing w:line="240" w:lineRule="auto"/>
              <w:ind w:firstLine="0" w:firstLineChars="0"/>
              <w:jc w:val="center"/>
              <w:rPr>
                <w:b/>
                <w:bCs/>
                <w:color w:val="auto"/>
                <w:u w:val="single"/>
              </w:rPr>
            </w:pPr>
            <w:r>
              <w:rPr>
                <w:rFonts w:hint="eastAsia"/>
                <w:b/>
                <w:bCs/>
                <w:color w:val="auto"/>
                <w:u w:val="single"/>
              </w:rPr>
              <w:t>污染治理技术</w:t>
            </w:r>
          </w:p>
        </w:tc>
        <w:tc>
          <w:tcPr>
            <w:tcW w:w="4080"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1.燃煤/生物质/燃油等锅炉/炉窑：</w:t>
            </w:r>
          </w:p>
          <w:p>
            <w:pPr>
              <w:pStyle w:val="182"/>
              <w:spacing w:line="240" w:lineRule="auto"/>
              <w:ind w:firstLine="0" w:firstLineChars="0"/>
              <w:jc w:val="left"/>
              <w:rPr>
                <w:rFonts w:hint="eastAsia"/>
                <w:b/>
                <w:bCs/>
                <w:color w:val="auto"/>
                <w:u w:val="single"/>
              </w:rPr>
            </w:pPr>
            <w:r>
              <w:rPr>
                <w:rFonts w:hint="eastAsia"/>
                <w:b/>
                <w:bCs/>
                <w:color w:val="auto"/>
                <w:u w:val="single"/>
              </w:rPr>
              <w:t>（1）PM 采用覆膜袋式除尘、滤筒除尘、电袋复合除尘、湿电除尘、四电场及以上静电除尘等高效除尘技术（除湿电除尘外，设计效率不低于 99%）；</w:t>
            </w:r>
          </w:p>
          <w:p>
            <w:pPr>
              <w:pStyle w:val="182"/>
              <w:spacing w:line="240" w:lineRule="auto"/>
              <w:ind w:firstLine="0" w:firstLineChars="0"/>
              <w:jc w:val="left"/>
              <w:rPr>
                <w:rFonts w:hint="eastAsia"/>
                <w:b/>
                <w:bCs/>
                <w:color w:val="auto"/>
                <w:u w:val="single"/>
              </w:rPr>
            </w:pPr>
            <w:r>
              <w:rPr>
                <w:rFonts w:hint="eastAsia"/>
                <w:b/>
                <w:bCs/>
                <w:color w:val="auto"/>
                <w:u w:val="single"/>
              </w:rPr>
              <w:t>（2）SO</w:t>
            </w:r>
            <w:r>
              <w:rPr>
                <w:rFonts w:hint="eastAsia"/>
                <w:b/>
                <w:bCs/>
                <w:color w:val="auto"/>
                <w:u w:val="single"/>
                <w:vertAlign w:val="subscript"/>
              </w:rPr>
              <w:t>2</w:t>
            </w:r>
            <w:r>
              <w:rPr>
                <w:rFonts w:hint="eastAsia"/>
                <w:b/>
                <w:bCs/>
                <w:color w:val="auto"/>
                <w:u w:val="single"/>
              </w:rPr>
              <w:t>【3】采用石灰/石-石膏、氨法、钠碱法、双碱法等湿法、干法和半干法（设计效率不低于85%）；</w:t>
            </w:r>
          </w:p>
          <w:p>
            <w:pPr>
              <w:pStyle w:val="182"/>
              <w:spacing w:line="240" w:lineRule="auto"/>
              <w:ind w:firstLine="0" w:firstLineChars="0"/>
              <w:jc w:val="left"/>
              <w:rPr>
                <w:rFonts w:hint="eastAsia"/>
                <w:b/>
                <w:bCs/>
                <w:color w:val="auto"/>
                <w:u w:val="single"/>
                <w:lang w:eastAsia="zh-CN"/>
              </w:rPr>
            </w:pPr>
            <w:r>
              <w:rPr>
                <w:rFonts w:hint="eastAsia"/>
                <w:b/>
                <w:bCs/>
                <w:color w:val="auto"/>
                <w:u w:val="single"/>
              </w:rPr>
              <w:t>（3）NOx采用低氮燃烧、SNCR/SCR、湿式氧化法等技术；</w:t>
            </w:r>
          </w:p>
        </w:tc>
        <w:tc>
          <w:tcPr>
            <w:tcW w:w="3070"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3×75t/h锅炉环保设施除尘系统采用电袋复合式除尘器及脱硫一体化管束除尘器，脱硫系统采用钠碱法湿法脱硫，脱硝系统采用“低氮燃烧+选择性非催化还原（SNCR）+选择性催化还原（SCR）”组合技术。除尘系统采用电袋复合式除尘器及板线式湿式电除尘器，脱硫系统采用钠碱法湿法脱硫方式，脱硝系统采用“低氮燃烧+选择性催化还原（SCR）”组合技术</w:t>
            </w:r>
          </w:p>
        </w:tc>
        <w:tc>
          <w:tcPr>
            <w:tcW w:w="945"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vMerge w:val="continue"/>
            <w:noWrap w:val="0"/>
            <w:vAlign w:val="center"/>
          </w:tcPr>
          <w:p>
            <w:pPr>
              <w:pStyle w:val="182"/>
              <w:spacing w:line="240" w:lineRule="auto"/>
              <w:ind w:firstLine="0" w:firstLineChars="0"/>
              <w:jc w:val="center"/>
              <w:rPr>
                <w:b/>
                <w:bCs/>
                <w:color w:val="auto"/>
                <w:u w:val="single"/>
              </w:rPr>
            </w:pPr>
          </w:p>
        </w:tc>
        <w:tc>
          <w:tcPr>
            <w:tcW w:w="4080"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rPr>
              <w:t>2.电窑、燃气锅炉/炉窑：</w:t>
            </w:r>
          </w:p>
          <w:p>
            <w:pPr>
              <w:pStyle w:val="182"/>
              <w:spacing w:line="240" w:lineRule="auto"/>
              <w:ind w:firstLine="0" w:firstLineChars="0"/>
              <w:jc w:val="left"/>
              <w:rPr>
                <w:b/>
                <w:bCs/>
                <w:color w:val="auto"/>
                <w:u w:val="single"/>
              </w:rPr>
            </w:pPr>
            <w:r>
              <w:rPr>
                <w:rFonts w:hint="eastAsia"/>
                <w:b/>
                <w:bCs/>
                <w:color w:val="auto"/>
                <w:u w:val="single"/>
              </w:rPr>
              <w:t>未达到A级要求。</w:t>
            </w:r>
          </w:p>
        </w:tc>
        <w:tc>
          <w:tcPr>
            <w:tcW w:w="3070" w:type="dxa"/>
            <w:noWrap w:val="0"/>
            <w:vAlign w:val="center"/>
          </w:tcPr>
          <w:p>
            <w:pPr>
              <w:pStyle w:val="182"/>
              <w:spacing w:line="240" w:lineRule="auto"/>
              <w:ind w:firstLine="0" w:firstLineChars="0"/>
              <w:jc w:val="left"/>
              <w:rPr>
                <w:rFonts w:hint="eastAsia"/>
                <w:b/>
                <w:bCs/>
                <w:color w:val="auto"/>
                <w:u w:val="single"/>
                <w:lang w:val="en-US" w:eastAsia="zh-CN"/>
              </w:rPr>
            </w:pPr>
            <w:r>
              <w:rPr>
                <w:rFonts w:hint="eastAsia"/>
                <w:b/>
                <w:bCs/>
                <w:color w:val="auto"/>
                <w:u w:val="single"/>
                <w:lang w:val="en-US" w:eastAsia="zh-CN"/>
              </w:rPr>
              <w:t>不涉及</w:t>
            </w:r>
          </w:p>
        </w:tc>
        <w:tc>
          <w:tcPr>
            <w:tcW w:w="945"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vMerge w:val="continue"/>
            <w:noWrap w:val="0"/>
            <w:vAlign w:val="center"/>
          </w:tcPr>
          <w:p>
            <w:pPr>
              <w:pStyle w:val="182"/>
              <w:spacing w:line="240" w:lineRule="auto"/>
              <w:ind w:firstLine="0" w:firstLineChars="0"/>
              <w:jc w:val="center"/>
              <w:rPr>
                <w:b/>
                <w:bCs/>
                <w:color w:val="auto"/>
                <w:u w:val="single"/>
              </w:rPr>
            </w:pPr>
          </w:p>
        </w:tc>
        <w:tc>
          <w:tcPr>
            <w:tcW w:w="4080" w:type="dxa"/>
            <w:noWrap w:val="0"/>
            <w:vAlign w:val="center"/>
          </w:tcPr>
          <w:p>
            <w:pPr>
              <w:pStyle w:val="182"/>
              <w:spacing w:line="240" w:lineRule="auto"/>
              <w:ind w:firstLine="0" w:firstLineChars="0"/>
              <w:jc w:val="left"/>
              <w:rPr>
                <w:rFonts w:hint="eastAsia"/>
                <w:b/>
                <w:bCs/>
                <w:color w:val="auto"/>
                <w:u w:val="single"/>
              </w:rPr>
            </w:pPr>
            <w:r>
              <w:rPr>
                <w:b/>
                <w:bCs/>
                <w:color w:val="auto"/>
                <w:u w:val="single"/>
              </w:rPr>
              <w:t>3、</w:t>
            </w:r>
            <w:r>
              <w:rPr>
                <w:rFonts w:hint="eastAsia"/>
                <w:b/>
                <w:bCs/>
                <w:color w:val="auto"/>
                <w:u w:val="single"/>
              </w:rPr>
              <w:t>其他工序（非锅炉/炉窑）：</w:t>
            </w:r>
          </w:p>
          <w:p>
            <w:pPr>
              <w:pStyle w:val="182"/>
              <w:spacing w:line="240" w:lineRule="auto"/>
              <w:ind w:firstLine="0" w:firstLineChars="0"/>
              <w:jc w:val="left"/>
              <w:rPr>
                <w:b/>
                <w:bCs/>
                <w:color w:val="auto"/>
                <w:u w:val="single"/>
              </w:rPr>
            </w:pPr>
            <w:r>
              <w:rPr>
                <w:rFonts w:hint="eastAsia"/>
                <w:b/>
                <w:bCs/>
                <w:color w:val="auto"/>
                <w:u w:val="single"/>
              </w:rPr>
              <w:t>PM采用覆膜袋式除尘或其他先进除尘工艺。</w:t>
            </w:r>
          </w:p>
        </w:tc>
        <w:tc>
          <w:tcPr>
            <w:tcW w:w="3070" w:type="dxa"/>
            <w:noWrap w:val="0"/>
            <w:vAlign w:val="center"/>
          </w:tcPr>
          <w:p>
            <w:pPr>
              <w:pStyle w:val="182"/>
              <w:spacing w:line="240" w:lineRule="auto"/>
              <w:ind w:firstLine="0" w:firstLineChars="0"/>
              <w:jc w:val="left"/>
              <w:rPr>
                <w:b/>
                <w:bCs/>
                <w:color w:val="auto"/>
                <w:u w:val="single"/>
              </w:rPr>
            </w:pPr>
            <w:r>
              <w:rPr>
                <w:rFonts w:hint="eastAsia"/>
                <w:b/>
                <w:bCs/>
                <w:color w:val="auto"/>
                <w:u w:val="single"/>
                <w:lang w:val="en-US" w:eastAsia="zh-CN"/>
              </w:rPr>
              <w:t>不涉及</w:t>
            </w:r>
          </w:p>
        </w:tc>
        <w:tc>
          <w:tcPr>
            <w:tcW w:w="945" w:type="dxa"/>
            <w:noWrap w:val="0"/>
            <w:vAlign w:val="center"/>
          </w:tcPr>
          <w:p>
            <w:pPr>
              <w:pStyle w:val="182"/>
              <w:spacing w:line="240" w:lineRule="auto"/>
              <w:ind w:firstLine="0" w:firstLineChars="0"/>
              <w:jc w:val="center"/>
              <w:rPr>
                <w:rFonts w:hint="eastAsia"/>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dxa"/>
            <w:vMerge w:val="restart"/>
            <w:noWrap w:val="0"/>
            <w:vAlign w:val="center"/>
          </w:tcPr>
          <w:p>
            <w:pPr>
              <w:pStyle w:val="182"/>
              <w:spacing w:line="240" w:lineRule="auto"/>
              <w:ind w:firstLine="0" w:firstLineChars="0"/>
              <w:jc w:val="center"/>
              <w:rPr>
                <w:b/>
                <w:bCs/>
                <w:color w:val="auto"/>
                <w:u w:val="single"/>
              </w:rPr>
            </w:pPr>
            <w:r>
              <w:rPr>
                <w:b/>
                <w:bCs/>
                <w:color w:val="auto"/>
                <w:u w:val="single"/>
              </w:rPr>
              <w:t>排放限值</w:t>
            </w:r>
          </w:p>
        </w:tc>
        <w:tc>
          <w:tcPr>
            <w:tcW w:w="4080"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PM、SO</w:t>
            </w:r>
            <w:r>
              <w:rPr>
                <w:rFonts w:hint="eastAsia"/>
                <w:b/>
                <w:bCs/>
                <w:color w:val="auto"/>
                <w:u w:val="single"/>
                <w:vertAlign w:val="subscript"/>
                <w:lang w:eastAsia="zh-CN"/>
              </w:rPr>
              <w:t>2</w:t>
            </w:r>
            <w:r>
              <w:rPr>
                <w:rFonts w:hint="eastAsia"/>
                <w:b/>
                <w:bCs/>
                <w:color w:val="auto"/>
                <w:u w:val="single"/>
                <w:lang w:eastAsia="zh-CN"/>
              </w:rPr>
              <w:t>、NOx排放浓度分别不高于：</w:t>
            </w:r>
          </w:p>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燃煤/生物质：10、35、50mg/m</w:t>
            </w:r>
            <w:r>
              <w:rPr>
                <w:rFonts w:hint="eastAsia"/>
                <w:b/>
                <w:bCs/>
                <w:color w:val="auto"/>
                <w:u w:val="single"/>
                <w:vertAlign w:val="superscript"/>
                <w:lang w:eastAsia="zh-CN"/>
              </w:rPr>
              <w:t>3</w:t>
            </w:r>
          </w:p>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燃油：10、20、80mg/m</w:t>
            </w:r>
            <w:r>
              <w:rPr>
                <w:rFonts w:hint="eastAsia"/>
                <w:b/>
                <w:bCs/>
                <w:color w:val="auto"/>
                <w:u w:val="single"/>
                <w:vertAlign w:val="superscript"/>
                <w:lang w:eastAsia="zh-CN"/>
              </w:rPr>
              <w:t>3</w:t>
            </w:r>
            <w:r>
              <w:rPr>
                <w:rFonts w:hint="eastAsia"/>
                <w:b/>
                <w:bCs/>
                <w:color w:val="auto"/>
                <w:u w:val="single"/>
                <w:lang w:eastAsia="zh-CN"/>
              </w:rPr>
              <w:t>燃气：5、10、50/30【4】mg/m</w:t>
            </w:r>
            <w:r>
              <w:rPr>
                <w:rFonts w:hint="eastAsia"/>
                <w:b/>
                <w:bCs/>
                <w:color w:val="auto"/>
                <w:u w:val="single"/>
                <w:vertAlign w:val="superscript"/>
                <w:lang w:eastAsia="zh-CN"/>
              </w:rPr>
              <w:t>3</w:t>
            </w:r>
          </w:p>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（基准含氧量：燃煤/生物质/燃油/燃气：9%/9%【5】/3.5%/3.5%）</w:t>
            </w:r>
          </w:p>
          <w:p>
            <w:pPr>
              <w:pStyle w:val="182"/>
              <w:spacing w:line="240" w:lineRule="auto"/>
              <w:ind w:firstLine="0" w:firstLineChars="0"/>
              <w:jc w:val="left"/>
              <w:rPr>
                <w:rFonts w:hint="eastAsia"/>
                <w:b/>
                <w:bCs/>
                <w:color w:val="auto"/>
                <w:u w:val="single"/>
                <w:lang w:eastAsia="zh-CN"/>
              </w:rPr>
            </w:pPr>
            <w:r>
              <w:rPr>
                <w:rFonts w:hint="eastAsia"/>
                <w:b/>
                <w:bCs/>
                <w:color w:val="auto"/>
                <w:u w:val="single"/>
              </w:rPr>
              <w:t>氨逃逸排放浓度不高于8mg/m</w:t>
            </w:r>
            <w:r>
              <w:rPr>
                <w:rFonts w:hint="eastAsia"/>
                <w:b/>
                <w:bCs/>
                <w:color w:val="auto"/>
                <w:u w:val="single"/>
                <w:vertAlign w:val="superscript"/>
              </w:rPr>
              <w:t>3</w:t>
            </w:r>
            <w:r>
              <w:rPr>
                <w:rFonts w:hint="eastAsia"/>
                <w:b/>
                <w:bCs/>
                <w:color w:val="auto"/>
                <w:u w:val="single"/>
              </w:rPr>
              <w:t>（使用氨水、尿素作还原剂）</w:t>
            </w:r>
          </w:p>
        </w:tc>
        <w:tc>
          <w:tcPr>
            <w:tcW w:w="3070"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rPr>
              <w:t>燃</w:t>
            </w:r>
            <w:r>
              <w:rPr>
                <w:rFonts w:hint="eastAsia"/>
                <w:b/>
                <w:bCs/>
                <w:color w:val="auto"/>
                <w:u w:val="single"/>
                <w:lang w:eastAsia="zh-CN"/>
              </w:rPr>
              <w:t>煤锅炉：</w:t>
            </w:r>
            <w:r>
              <w:rPr>
                <w:rFonts w:hint="eastAsia"/>
                <w:b/>
                <w:bCs/>
                <w:color w:val="auto"/>
                <w:u w:val="single"/>
              </w:rPr>
              <w:t>PM、SO</w:t>
            </w:r>
            <w:r>
              <w:rPr>
                <w:rFonts w:hint="eastAsia"/>
                <w:b/>
                <w:bCs/>
                <w:color w:val="auto"/>
                <w:u w:val="single"/>
                <w:vertAlign w:val="subscript"/>
              </w:rPr>
              <w:t>2</w:t>
            </w:r>
            <w:r>
              <w:rPr>
                <w:rFonts w:hint="eastAsia"/>
                <w:b/>
                <w:bCs/>
                <w:color w:val="auto"/>
                <w:u w:val="single"/>
              </w:rPr>
              <w:t>、NOx排放浓度分别不高于：</w:t>
            </w:r>
            <w:r>
              <w:rPr>
                <w:rFonts w:hint="eastAsia"/>
                <w:b/>
                <w:bCs/>
                <w:color w:val="auto"/>
                <w:u w:val="single"/>
                <w:lang w:val="en-US" w:eastAsia="zh-CN"/>
              </w:rPr>
              <w:t>1</w:t>
            </w:r>
            <w:r>
              <w:rPr>
                <w:rFonts w:hint="eastAsia"/>
                <w:b/>
                <w:bCs/>
                <w:color w:val="auto"/>
                <w:u w:val="single"/>
                <w:lang w:eastAsia="zh-CN"/>
              </w:rPr>
              <w:t>0、35、50mg/m</w:t>
            </w:r>
            <w:r>
              <w:rPr>
                <w:rFonts w:hint="eastAsia"/>
                <w:b/>
                <w:bCs/>
                <w:color w:val="auto"/>
                <w:u w:val="single"/>
                <w:vertAlign w:val="superscript"/>
                <w:lang w:eastAsia="zh-CN"/>
              </w:rPr>
              <w:t>3</w:t>
            </w:r>
          </w:p>
          <w:p>
            <w:pPr>
              <w:pStyle w:val="182"/>
              <w:spacing w:line="240" w:lineRule="auto"/>
              <w:ind w:firstLine="0" w:firstLineChars="0"/>
              <w:jc w:val="left"/>
              <w:rPr>
                <w:rFonts w:hint="eastAsia"/>
                <w:b/>
                <w:bCs/>
                <w:color w:val="auto"/>
                <w:u w:val="single"/>
                <w:lang w:eastAsia="zh-CN"/>
              </w:rPr>
            </w:pPr>
            <w:r>
              <w:rPr>
                <w:rFonts w:hint="eastAsia"/>
                <w:b/>
                <w:bCs/>
                <w:color w:val="auto"/>
                <w:u w:val="single"/>
              </w:rPr>
              <w:t>（基准含氧量：</w:t>
            </w:r>
            <w:r>
              <w:rPr>
                <w:rFonts w:hint="eastAsia"/>
                <w:b/>
                <w:bCs/>
                <w:color w:val="auto"/>
                <w:u w:val="single"/>
                <w:lang w:val="en-US" w:eastAsia="zh-CN"/>
              </w:rPr>
              <w:t>9</w:t>
            </w:r>
            <w:r>
              <w:rPr>
                <w:rFonts w:hint="eastAsia"/>
                <w:b/>
                <w:bCs/>
                <w:color w:val="auto"/>
                <w:u w:val="single"/>
              </w:rPr>
              <w:t>%）</w:t>
            </w:r>
            <w:r>
              <w:rPr>
                <w:rFonts w:hint="eastAsia"/>
                <w:b/>
                <w:bCs/>
                <w:color w:val="auto"/>
                <w:u w:val="single"/>
                <w:lang w:eastAsia="zh-CN"/>
              </w:rPr>
              <w:t>。</w:t>
            </w:r>
          </w:p>
          <w:p>
            <w:pPr>
              <w:pStyle w:val="182"/>
              <w:spacing w:line="240" w:lineRule="auto"/>
              <w:ind w:firstLine="0" w:firstLineChars="0"/>
              <w:jc w:val="left"/>
              <w:rPr>
                <w:rFonts w:hint="eastAsia"/>
                <w:b/>
                <w:bCs/>
                <w:color w:val="auto"/>
                <w:u w:val="single"/>
                <w:lang w:eastAsia="zh-CN"/>
              </w:rPr>
            </w:pPr>
            <w:r>
              <w:rPr>
                <w:rFonts w:hint="eastAsia"/>
                <w:b/>
                <w:bCs/>
                <w:color w:val="auto"/>
                <w:u w:val="single"/>
              </w:rPr>
              <w:t>氨逃逸排放浓度不高于 8mg/m</w:t>
            </w:r>
            <w:r>
              <w:rPr>
                <w:rFonts w:hint="eastAsia"/>
                <w:b/>
                <w:bCs/>
                <w:color w:val="auto"/>
                <w:u w:val="single"/>
                <w:vertAlign w:val="superscript"/>
              </w:rPr>
              <w:t>3</w:t>
            </w:r>
          </w:p>
          <w:p>
            <w:pPr>
              <w:pStyle w:val="182"/>
              <w:spacing w:line="240" w:lineRule="auto"/>
              <w:ind w:firstLine="0" w:firstLineChars="0"/>
              <w:jc w:val="left"/>
              <w:rPr>
                <w:rFonts w:hint="eastAsia"/>
                <w:b/>
                <w:bCs/>
                <w:color w:val="auto"/>
                <w:u w:val="single"/>
                <w:lang w:eastAsia="zh-CN"/>
              </w:rPr>
            </w:pPr>
          </w:p>
        </w:tc>
        <w:tc>
          <w:tcPr>
            <w:tcW w:w="945"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dxa"/>
            <w:vMerge w:val="continue"/>
            <w:noWrap w:val="0"/>
            <w:vAlign w:val="center"/>
          </w:tcPr>
          <w:p>
            <w:pPr>
              <w:pStyle w:val="182"/>
              <w:spacing w:line="240" w:lineRule="auto"/>
              <w:ind w:firstLine="0" w:firstLineChars="0"/>
              <w:jc w:val="center"/>
              <w:rPr>
                <w:b/>
                <w:bCs/>
                <w:color w:val="auto"/>
                <w:u w:val="single"/>
              </w:rPr>
            </w:pPr>
          </w:p>
        </w:tc>
        <w:tc>
          <w:tcPr>
            <w:tcW w:w="4080"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rPr>
              <w:t>加热炉、热处理炉、干燥炉</w:t>
            </w:r>
            <w:r>
              <w:rPr>
                <w:rFonts w:hint="eastAsia"/>
                <w:b/>
                <w:bCs/>
                <w:color w:val="auto"/>
                <w:u w:val="single"/>
                <w:lang w:eastAsia="zh-CN"/>
              </w:rPr>
              <w:t>：PM、SO</w:t>
            </w:r>
            <w:r>
              <w:rPr>
                <w:rFonts w:hint="eastAsia"/>
                <w:b/>
                <w:bCs/>
                <w:color w:val="auto"/>
                <w:u w:val="single"/>
                <w:vertAlign w:val="subscript"/>
                <w:lang w:eastAsia="zh-CN"/>
              </w:rPr>
              <w:t>2</w:t>
            </w:r>
            <w:r>
              <w:rPr>
                <w:rFonts w:hint="eastAsia"/>
                <w:b/>
                <w:bCs/>
                <w:color w:val="auto"/>
                <w:u w:val="single"/>
                <w:lang w:eastAsia="zh-CN"/>
              </w:rPr>
              <w:t>、NOx 排放浓度分别不高于：</w:t>
            </w:r>
          </w:p>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10、50、100mg/m</w:t>
            </w:r>
            <w:r>
              <w:rPr>
                <w:rFonts w:hint="eastAsia"/>
                <w:b/>
                <w:bCs/>
                <w:color w:val="auto"/>
                <w:u w:val="single"/>
                <w:vertAlign w:val="superscript"/>
                <w:lang w:eastAsia="zh-CN"/>
              </w:rPr>
              <w:t>3</w:t>
            </w:r>
          </w:p>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（基准含氧量：燃油/燃煤3.5%/9%，因工艺需要掺入空气/非密闭式生产的按实测浓度计）</w:t>
            </w:r>
          </w:p>
        </w:tc>
        <w:tc>
          <w:tcPr>
            <w:tcW w:w="3070"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lang w:eastAsia="zh-CN"/>
              </w:rPr>
              <w:t>不涉及</w:t>
            </w:r>
          </w:p>
        </w:tc>
        <w:tc>
          <w:tcPr>
            <w:tcW w:w="945" w:type="dxa"/>
            <w:noWrap w:val="0"/>
            <w:vAlign w:val="center"/>
          </w:tcPr>
          <w:p>
            <w:pPr>
              <w:pStyle w:val="182"/>
              <w:spacing w:line="240" w:lineRule="auto"/>
              <w:ind w:firstLine="0" w:firstLineChars="0"/>
              <w:jc w:val="center"/>
              <w:rPr>
                <w:rFonts w:hint="eastAsia"/>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dxa"/>
            <w:vMerge w:val="continue"/>
            <w:noWrap w:val="0"/>
            <w:vAlign w:val="center"/>
          </w:tcPr>
          <w:p>
            <w:pPr>
              <w:pStyle w:val="182"/>
              <w:spacing w:line="240" w:lineRule="auto"/>
              <w:ind w:firstLine="0" w:firstLineChars="0"/>
              <w:jc w:val="center"/>
              <w:rPr>
                <w:rFonts w:hint="eastAsia"/>
                <w:b/>
                <w:bCs/>
                <w:color w:val="auto"/>
                <w:u w:val="single"/>
              </w:rPr>
            </w:pPr>
          </w:p>
        </w:tc>
        <w:tc>
          <w:tcPr>
            <w:tcW w:w="4080"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rPr>
              <w:t>其他炉窑</w:t>
            </w:r>
            <w:r>
              <w:rPr>
                <w:rFonts w:hint="eastAsia"/>
                <w:b/>
                <w:bCs/>
                <w:color w:val="auto"/>
                <w:u w:val="single"/>
                <w:lang w:eastAsia="zh-CN"/>
              </w:rPr>
              <w:t>：PM、SO</w:t>
            </w:r>
            <w:r>
              <w:rPr>
                <w:rFonts w:hint="eastAsia"/>
                <w:b/>
                <w:bCs/>
                <w:color w:val="auto"/>
                <w:u w:val="single"/>
                <w:vertAlign w:val="subscript"/>
                <w:lang w:eastAsia="zh-CN"/>
              </w:rPr>
              <w:t>2</w:t>
            </w:r>
            <w:r>
              <w:rPr>
                <w:rFonts w:hint="eastAsia"/>
                <w:b/>
                <w:bCs/>
                <w:color w:val="auto"/>
                <w:u w:val="single"/>
                <w:lang w:eastAsia="zh-CN"/>
              </w:rPr>
              <w:t>、NOx 排放浓度分别不高于10、</w:t>
            </w:r>
            <w:r>
              <w:rPr>
                <w:rFonts w:hint="eastAsia"/>
                <w:b/>
                <w:bCs/>
                <w:color w:val="auto"/>
                <w:u w:val="single"/>
                <w:lang w:val="en-US" w:eastAsia="zh-CN"/>
              </w:rPr>
              <w:t>100</w:t>
            </w:r>
            <w:r>
              <w:rPr>
                <w:rFonts w:hint="eastAsia"/>
                <w:b/>
                <w:bCs/>
                <w:color w:val="auto"/>
                <w:u w:val="single"/>
                <w:lang w:eastAsia="zh-CN"/>
              </w:rPr>
              <w:t>、</w:t>
            </w:r>
          </w:p>
          <w:p>
            <w:pPr>
              <w:pStyle w:val="182"/>
              <w:spacing w:line="240" w:lineRule="auto"/>
              <w:ind w:firstLine="0" w:firstLineChars="0"/>
              <w:jc w:val="left"/>
              <w:rPr>
                <w:rFonts w:hint="eastAsia"/>
                <w:b/>
                <w:bCs/>
                <w:color w:val="auto"/>
                <w:u w:val="single"/>
                <w:lang w:eastAsia="zh-CN"/>
              </w:rPr>
            </w:pPr>
            <w:r>
              <w:rPr>
                <w:rFonts w:hint="eastAsia"/>
                <w:b/>
                <w:bCs/>
                <w:color w:val="auto"/>
                <w:u w:val="single"/>
                <w:lang w:val="en-US" w:eastAsia="zh-CN"/>
              </w:rPr>
              <w:t>2</w:t>
            </w:r>
            <w:r>
              <w:rPr>
                <w:rFonts w:hint="eastAsia"/>
                <w:b/>
                <w:bCs/>
                <w:color w:val="auto"/>
                <w:u w:val="single"/>
                <w:lang w:eastAsia="zh-CN"/>
              </w:rPr>
              <w:t>00mg/m</w:t>
            </w:r>
            <w:r>
              <w:rPr>
                <w:rFonts w:hint="eastAsia"/>
                <w:b/>
                <w:bCs/>
                <w:color w:val="auto"/>
                <w:u w:val="single"/>
                <w:vertAlign w:val="superscript"/>
                <w:lang w:eastAsia="zh-CN"/>
              </w:rPr>
              <w:t>3</w:t>
            </w:r>
            <w:r>
              <w:rPr>
                <w:rFonts w:hint="eastAsia"/>
                <w:b/>
                <w:bCs/>
                <w:color w:val="auto"/>
                <w:u w:val="single"/>
                <w:lang w:eastAsia="zh-CN"/>
              </w:rPr>
              <w:t>（基准含氧量：9%）</w:t>
            </w:r>
          </w:p>
        </w:tc>
        <w:tc>
          <w:tcPr>
            <w:tcW w:w="3070" w:type="dxa"/>
            <w:noWrap w:val="0"/>
            <w:vAlign w:val="center"/>
          </w:tcPr>
          <w:p>
            <w:pPr>
              <w:pStyle w:val="182"/>
              <w:spacing w:line="240" w:lineRule="auto"/>
              <w:ind w:firstLine="0" w:firstLineChars="0"/>
              <w:jc w:val="left"/>
              <w:rPr>
                <w:rFonts w:hint="eastAsia"/>
                <w:b/>
                <w:bCs/>
                <w:color w:val="auto"/>
                <w:u w:val="single"/>
                <w:lang w:eastAsia="zh-CN"/>
              </w:rPr>
            </w:pPr>
            <w:r>
              <w:rPr>
                <w:rFonts w:hint="eastAsia"/>
                <w:b/>
                <w:bCs/>
                <w:color w:val="auto"/>
                <w:u w:val="single"/>
                <w:lang w:eastAsia="zh-CN"/>
              </w:rPr>
              <w:t>不涉及</w:t>
            </w:r>
          </w:p>
        </w:tc>
        <w:tc>
          <w:tcPr>
            <w:tcW w:w="945" w:type="dxa"/>
            <w:noWrap w:val="0"/>
            <w:vAlign w:val="center"/>
          </w:tcPr>
          <w:p>
            <w:pPr>
              <w:pStyle w:val="182"/>
              <w:spacing w:line="240" w:lineRule="auto"/>
              <w:ind w:firstLine="0" w:firstLineChars="0"/>
              <w:jc w:val="center"/>
              <w:rPr>
                <w:rFonts w:hint="eastAsia"/>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dxa"/>
            <w:vMerge w:val="continue"/>
            <w:noWrap w:val="0"/>
            <w:vAlign w:val="center"/>
          </w:tcPr>
          <w:p>
            <w:pPr>
              <w:pStyle w:val="182"/>
              <w:spacing w:line="240" w:lineRule="auto"/>
              <w:ind w:firstLine="0" w:firstLineChars="0"/>
              <w:jc w:val="center"/>
              <w:rPr>
                <w:rFonts w:hint="eastAsia"/>
                <w:b/>
                <w:bCs/>
                <w:color w:val="auto"/>
                <w:u w:val="single"/>
              </w:rPr>
            </w:pPr>
          </w:p>
        </w:tc>
        <w:tc>
          <w:tcPr>
            <w:tcW w:w="4080" w:type="dxa"/>
            <w:noWrap w:val="0"/>
            <w:vAlign w:val="center"/>
          </w:tcPr>
          <w:p>
            <w:pPr>
              <w:pStyle w:val="182"/>
              <w:spacing w:line="240" w:lineRule="auto"/>
              <w:ind w:firstLine="0" w:firstLineChars="0"/>
              <w:jc w:val="left"/>
              <w:rPr>
                <w:rFonts w:hint="default"/>
                <w:b/>
                <w:bCs/>
                <w:color w:val="auto"/>
                <w:u w:val="single"/>
                <w:lang w:val="en-US" w:eastAsia="zh-CN"/>
              </w:rPr>
            </w:pPr>
            <w:r>
              <w:rPr>
                <w:rFonts w:hint="eastAsia"/>
                <w:b/>
                <w:bCs/>
                <w:color w:val="auto"/>
                <w:u w:val="single"/>
              </w:rPr>
              <w:t>其他工序</w:t>
            </w:r>
            <w:r>
              <w:rPr>
                <w:rFonts w:hint="eastAsia"/>
                <w:b/>
                <w:bCs/>
                <w:color w:val="auto"/>
                <w:u w:val="single"/>
                <w:lang w:eastAsia="zh-CN"/>
              </w:rPr>
              <w:t>：PM排放浓度不高于10mg/m</w:t>
            </w:r>
            <w:r>
              <w:rPr>
                <w:rFonts w:hint="eastAsia"/>
                <w:b/>
                <w:bCs/>
                <w:color w:val="auto"/>
                <w:u w:val="single"/>
                <w:vertAlign w:val="superscript"/>
                <w:lang w:val="en-US" w:eastAsia="zh-CN"/>
              </w:rPr>
              <w:t>3</w:t>
            </w:r>
          </w:p>
        </w:tc>
        <w:tc>
          <w:tcPr>
            <w:tcW w:w="3070" w:type="dxa"/>
            <w:noWrap w:val="0"/>
            <w:vAlign w:val="center"/>
          </w:tcPr>
          <w:p>
            <w:pPr>
              <w:pStyle w:val="182"/>
              <w:spacing w:line="240" w:lineRule="auto"/>
              <w:ind w:firstLine="0" w:firstLineChars="0"/>
              <w:jc w:val="left"/>
              <w:rPr>
                <w:rFonts w:hint="eastAsia"/>
                <w:b/>
                <w:bCs/>
                <w:color w:val="auto"/>
                <w:u w:val="single"/>
              </w:rPr>
            </w:pPr>
            <w:r>
              <w:rPr>
                <w:rFonts w:hint="eastAsia"/>
                <w:b/>
                <w:bCs/>
                <w:color w:val="auto"/>
                <w:u w:val="single"/>
                <w:lang w:eastAsia="zh-CN"/>
              </w:rPr>
              <w:t>根据近一年废气监测报告，PM 排放浓度不高于 10mg/m</w:t>
            </w:r>
            <w:r>
              <w:rPr>
                <w:rFonts w:hint="eastAsia"/>
                <w:b/>
                <w:bCs/>
                <w:color w:val="auto"/>
                <w:u w:val="single"/>
                <w:vertAlign w:val="superscript"/>
                <w:lang w:val="en-US" w:eastAsia="zh-CN"/>
              </w:rPr>
              <w:t>3</w:t>
            </w:r>
          </w:p>
        </w:tc>
        <w:tc>
          <w:tcPr>
            <w:tcW w:w="945"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noWrap w:val="0"/>
            <w:vAlign w:val="center"/>
          </w:tcPr>
          <w:p>
            <w:pPr>
              <w:pStyle w:val="182"/>
              <w:spacing w:line="240" w:lineRule="auto"/>
              <w:ind w:firstLine="0" w:firstLineChars="0"/>
              <w:jc w:val="center"/>
              <w:rPr>
                <w:b/>
                <w:bCs/>
                <w:color w:val="auto"/>
                <w:u w:val="single"/>
              </w:rPr>
            </w:pPr>
            <w:r>
              <w:rPr>
                <w:rFonts w:hint="eastAsia"/>
                <w:b/>
                <w:bCs/>
                <w:color w:val="auto"/>
                <w:u w:val="single"/>
              </w:rPr>
              <w:t>监测监控水平</w:t>
            </w:r>
          </w:p>
        </w:tc>
        <w:tc>
          <w:tcPr>
            <w:tcW w:w="4080" w:type="dxa"/>
            <w:noWrap w:val="0"/>
            <w:vAlign w:val="center"/>
          </w:tcPr>
          <w:p>
            <w:pPr>
              <w:pStyle w:val="182"/>
              <w:spacing w:line="240" w:lineRule="auto"/>
              <w:ind w:firstLine="0" w:firstLineChars="0"/>
              <w:jc w:val="left"/>
              <w:rPr>
                <w:b/>
                <w:bCs/>
                <w:color w:val="auto"/>
                <w:u w:val="single"/>
              </w:rPr>
            </w:pPr>
            <w:r>
              <w:rPr>
                <w:rFonts w:hint="eastAsia"/>
                <w:b/>
                <w:bCs/>
                <w:color w:val="auto"/>
                <w:u w:val="single"/>
              </w:rPr>
              <w:t>重点排污企业主要排放口【6】安装 CEMS，记录生产设施运行情况，数据保存一年以上。</w:t>
            </w:r>
          </w:p>
        </w:tc>
        <w:tc>
          <w:tcPr>
            <w:tcW w:w="3070" w:type="dxa"/>
            <w:noWrap w:val="0"/>
            <w:vAlign w:val="center"/>
          </w:tcPr>
          <w:p>
            <w:pPr>
              <w:pStyle w:val="182"/>
              <w:keepNext w:val="0"/>
              <w:keepLines w:val="0"/>
              <w:pageBreakBefore w:val="0"/>
              <w:widowControl w:val="0"/>
              <w:kinsoku/>
              <w:wordWrap/>
              <w:overflowPunct/>
              <w:topLinePunct w:val="0"/>
              <w:autoSpaceDE w:val="0"/>
              <w:autoSpaceDN w:val="0"/>
              <w:bidi w:val="0"/>
              <w:adjustRightInd/>
              <w:snapToGrid/>
              <w:spacing w:before="0"/>
              <w:ind w:left="0"/>
              <w:jc w:val="left"/>
              <w:textAlignment w:val="auto"/>
              <w:rPr>
                <w:rFonts w:hint="eastAsia"/>
                <w:b/>
                <w:bCs/>
                <w:color w:val="auto"/>
                <w:u w:val="single"/>
                <w:lang w:val="en-US" w:eastAsia="zh-CN"/>
              </w:rPr>
            </w:pPr>
            <w:r>
              <w:rPr>
                <w:rFonts w:hint="eastAsia"/>
                <w:b/>
                <w:bCs/>
                <w:color w:val="auto"/>
                <w:u w:val="single"/>
                <w:lang w:val="en-US" w:eastAsia="zh-CN"/>
              </w:rPr>
              <w:t>本公司锅炉排放口安装有CEMS，记录生产设施运行情况，数据能保存一年以上。</w:t>
            </w:r>
          </w:p>
        </w:tc>
        <w:tc>
          <w:tcPr>
            <w:tcW w:w="945" w:type="dxa"/>
            <w:noWrap w:val="0"/>
            <w:vAlign w:val="center"/>
          </w:tcPr>
          <w:p>
            <w:pPr>
              <w:pStyle w:val="182"/>
              <w:spacing w:line="240" w:lineRule="auto"/>
              <w:ind w:firstLine="0" w:firstLineChars="0"/>
              <w:jc w:val="center"/>
              <w:rPr>
                <w:rFonts w:hint="default"/>
                <w:b/>
                <w:bCs/>
                <w:color w:val="auto"/>
                <w:u w:val="single"/>
                <w:lang w:val="en-US" w:eastAsia="zh-CN"/>
              </w:rPr>
            </w:pPr>
            <w:r>
              <w:rPr>
                <w:rFonts w:hint="eastAsia"/>
                <w:b/>
                <w:bCs/>
                <w:color w:val="auto"/>
                <w:u w:val="single"/>
              </w:rPr>
              <w:t>满足</w:t>
            </w:r>
          </w:p>
        </w:tc>
      </w:tr>
    </w:tbl>
    <w:p>
      <w:pPr>
        <w:spacing w:line="240" w:lineRule="auto"/>
        <w:ind w:firstLine="0" w:firstLineChars="0"/>
        <w:jc w:val="left"/>
        <w:rPr>
          <w:rFonts w:hint="eastAsia" w:ascii="Times New Roman" w:hAnsi="Times New Roman" w:eastAsia="宋体" w:cs="Times New Roman"/>
          <w:b/>
          <w:bCs/>
          <w:color w:val="auto"/>
          <w:sz w:val="24"/>
          <w:szCs w:val="24"/>
          <w:u w:val="single"/>
        </w:rPr>
      </w:pPr>
      <w:r>
        <w:rPr>
          <w:rFonts w:hint="eastAsia" w:ascii="Times New Roman" w:hAnsi="Times New Roman" w:eastAsia="宋体" w:cs="Times New Roman"/>
          <w:b/>
          <w:bCs/>
          <w:color w:val="auto"/>
          <w:sz w:val="24"/>
          <w:szCs w:val="24"/>
          <w:u w:val="single"/>
        </w:rPr>
        <w:t>备注【1】：燃气锅炉在PM稳定达到排放限值情况下可不采用除尘工艺；</w:t>
      </w:r>
    </w:p>
    <w:p>
      <w:pPr>
        <w:spacing w:line="240" w:lineRule="auto"/>
        <w:ind w:firstLine="0" w:firstLineChars="0"/>
        <w:jc w:val="left"/>
        <w:rPr>
          <w:rFonts w:hint="eastAsia" w:ascii="Times New Roman" w:hAnsi="Times New Roman" w:eastAsia="宋体" w:cs="Times New Roman"/>
          <w:b/>
          <w:bCs/>
          <w:color w:val="auto"/>
          <w:sz w:val="24"/>
          <w:szCs w:val="24"/>
          <w:u w:val="single"/>
        </w:rPr>
      </w:pPr>
      <w:r>
        <w:rPr>
          <w:rFonts w:hint="eastAsia" w:ascii="Times New Roman" w:hAnsi="Times New Roman" w:eastAsia="宋体" w:cs="Times New Roman"/>
          <w:b/>
          <w:bCs/>
          <w:color w:val="auto"/>
          <w:sz w:val="24"/>
          <w:szCs w:val="24"/>
          <w:u w:val="single"/>
        </w:rPr>
        <w:t>备注【2】：温度低于800℃的燃气/燃油的干燥窑、热处理窑和燃气/生物质锅炉，在稳定达到排放限值情况下可不采用SCR/SNCR等工艺；</w:t>
      </w:r>
    </w:p>
    <w:p>
      <w:pPr>
        <w:spacing w:line="240" w:lineRule="auto"/>
        <w:ind w:firstLine="0" w:firstLineChars="0"/>
        <w:jc w:val="left"/>
        <w:rPr>
          <w:rFonts w:hint="eastAsia" w:ascii="Times New Roman" w:hAnsi="Times New Roman" w:eastAsia="宋体" w:cs="Times New Roman"/>
          <w:b/>
          <w:bCs/>
          <w:color w:val="auto"/>
          <w:sz w:val="24"/>
          <w:szCs w:val="24"/>
          <w:u w:val="single"/>
        </w:rPr>
      </w:pPr>
      <w:r>
        <w:rPr>
          <w:rFonts w:hint="eastAsia" w:ascii="Times New Roman" w:hAnsi="Times New Roman" w:eastAsia="宋体" w:cs="Times New Roman"/>
          <w:b/>
          <w:bCs/>
          <w:color w:val="auto"/>
          <w:sz w:val="24"/>
          <w:szCs w:val="24"/>
          <w:u w:val="single"/>
        </w:rPr>
        <w:t>备注【3】：采用纯生物质锅炉、窑炉，在SO</w:t>
      </w:r>
      <w:r>
        <w:rPr>
          <w:rFonts w:hint="eastAsia" w:ascii="Times New Roman" w:hAnsi="Times New Roman" w:eastAsia="宋体" w:cs="Times New Roman"/>
          <w:b/>
          <w:bCs/>
          <w:color w:val="auto"/>
          <w:sz w:val="24"/>
          <w:szCs w:val="24"/>
          <w:u w:val="single"/>
          <w:vertAlign w:val="subscript"/>
        </w:rPr>
        <w:t>2</w:t>
      </w:r>
      <w:r>
        <w:rPr>
          <w:rFonts w:hint="eastAsia" w:ascii="Times New Roman" w:hAnsi="Times New Roman" w:eastAsia="宋体" w:cs="Times New Roman"/>
          <w:b/>
          <w:bCs/>
          <w:color w:val="auto"/>
          <w:sz w:val="24"/>
          <w:szCs w:val="24"/>
          <w:u w:val="single"/>
        </w:rPr>
        <w:t>稳定达到排放限值情况下可不采用脱硫工艺；</w:t>
      </w:r>
    </w:p>
    <w:p>
      <w:pPr>
        <w:spacing w:line="240" w:lineRule="auto"/>
        <w:ind w:firstLine="0" w:firstLineChars="0"/>
        <w:jc w:val="left"/>
        <w:rPr>
          <w:rFonts w:hint="eastAsia" w:ascii="Times New Roman" w:hAnsi="Times New Roman" w:eastAsia="宋体" w:cs="Times New Roman"/>
          <w:b/>
          <w:bCs/>
          <w:color w:val="auto"/>
          <w:sz w:val="24"/>
          <w:szCs w:val="24"/>
          <w:u w:val="single"/>
        </w:rPr>
      </w:pPr>
      <w:r>
        <w:rPr>
          <w:rFonts w:hint="eastAsia" w:ascii="Times New Roman" w:hAnsi="Times New Roman" w:eastAsia="宋体" w:cs="Times New Roman"/>
          <w:b/>
          <w:bCs/>
          <w:color w:val="auto"/>
          <w:sz w:val="24"/>
          <w:szCs w:val="24"/>
          <w:u w:val="single"/>
        </w:rPr>
        <w:t>备注【4】：新建燃气锅炉和需要采取特别保护措施的区域，执行该排放限值；</w:t>
      </w:r>
    </w:p>
    <w:p>
      <w:pPr>
        <w:spacing w:line="240" w:lineRule="auto"/>
        <w:ind w:firstLine="0" w:firstLineChars="0"/>
        <w:jc w:val="left"/>
        <w:rPr>
          <w:rFonts w:hint="eastAsia" w:ascii="Times New Roman" w:hAnsi="Times New Roman" w:eastAsia="宋体" w:cs="Times New Roman"/>
          <w:b/>
          <w:bCs/>
          <w:color w:val="auto"/>
          <w:sz w:val="24"/>
          <w:szCs w:val="24"/>
          <w:u w:val="single"/>
        </w:rPr>
      </w:pPr>
      <w:r>
        <w:rPr>
          <w:rFonts w:hint="eastAsia" w:ascii="Times New Roman" w:hAnsi="Times New Roman" w:eastAsia="宋体" w:cs="Times New Roman"/>
          <w:b/>
          <w:bCs/>
          <w:color w:val="auto"/>
          <w:sz w:val="24"/>
          <w:szCs w:val="24"/>
          <w:u w:val="single"/>
        </w:rPr>
        <w:t>备注【5】：确定生物质发电锅炉基准含氧量按6%计；</w:t>
      </w:r>
    </w:p>
    <w:p>
      <w:pPr>
        <w:spacing w:line="240" w:lineRule="auto"/>
        <w:ind w:firstLine="0" w:firstLineChars="0"/>
        <w:jc w:val="left"/>
        <w:rPr>
          <w:rFonts w:hint="eastAsia" w:ascii="Times New Roman" w:hAnsi="Times New Roman" w:eastAsia="宋体" w:cs="Times New Roman"/>
          <w:b/>
          <w:bCs/>
          <w:color w:val="auto"/>
          <w:sz w:val="24"/>
          <w:szCs w:val="24"/>
          <w:u w:val="single"/>
          <w:lang w:eastAsia="zh-CN"/>
        </w:rPr>
      </w:pPr>
      <w:r>
        <w:rPr>
          <w:rFonts w:hint="eastAsia" w:ascii="Times New Roman" w:hAnsi="Times New Roman" w:eastAsia="宋体" w:cs="Times New Roman"/>
          <w:b/>
          <w:bCs/>
          <w:color w:val="auto"/>
          <w:sz w:val="24"/>
          <w:szCs w:val="24"/>
          <w:u w:val="single"/>
        </w:rPr>
        <w:t>备注【6】：主要排放口按照《排污许可证申请与核发技术规范XX工业》确</w:t>
      </w:r>
      <w:r>
        <w:rPr>
          <w:rFonts w:hint="eastAsia" w:ascii="Times New Roman" w:hAnsi="Times New Roman" w:eastAsia="宋体" w:cs="Times New Roman"/>
          <w:b/>
          <w:bCs/>
          <w:color w:val="auto"/>
          <w:sz w:val="24"/>
          <w:szCs w:val="24"/>
          <w:u w:val="single"/>
          <w:lang w:eastAsia="zh-CN"/>
        </w:rPr>
        <w:t>定</w:t>
      </w:r>
    </w:p>
    <w:p>
      <w:pPr>
        <w:bidi w:val="0"/>
        <w:rPr>
          <w:rFonts w:hint="default"/>
          <w:b/>
          <w:bCs/>
          <w:u w:val="single"/>
          <w:lang w:val="en-US" w:eastAsia="zh-CN"/>
        </w:rPr>
      </w:pPr>
      <w:r>
        <w:rPr>
          <w:rFonts w:hint="eastAsia"/>
          <w:b/>
          <w:bCs/>
          <w:u w:val="single"/>
          <w:lang w:val="en-US" w:eastAsia="zh-CN"/>
        </w:rPr>
        <w:t>（2）本项目</w:t>
      </w:r>
    </w:p>
    <w:p>
      <w:pPr>
        <w:bidi w:val="0"/>
        <w:rPr>
          <w:b/>
          <w:bCs/>
          <w:u w:val="single"/>
        </w:rPr>
      </w:pPr>
      <w:r>
        <w:rPr>
          <w:rFonts w:hint="default"/>
          <w:b/>
          <w:bCs/>
          <w:u w:val="single"/>
        </w:rPr>
        <w:t>本项目根据《河南省重污染天气通用重点行业应急减排措施制定技术指南（2021年修订</w:t>
      </w:r>
      <w:r>
        <w:rPr>
          <w:rFonts w:hint="default"/>
          <w:b/>
          <w:bCs/>
          <w:u w:val="single"/>
          <w:lang w:eastAsia="zh-CN"/>
        </w:rPr>
        <w:t>）</w:t>
      </w:r>
      <w:r>
        <w:rPr>
          <w:rFonts w:hint="default"/>
          <w:b/>
          <w:bCs/>
          <w:u w:val="single"/>
        </w:rPr>
        <w:t>》中涉颗粒物要求，结合实际情况，与方案中</w:t>
      </w:r>
      <w:r>
        <w:rPr>
          <w:rFonts w:hint="default"/>
          <w:b/>
          <w:bCs/>
          <w:u w:val="single"/>
          <w:lang w:eastAsia="zh-CN"/>
        </w:rPr>
        <w:t>涉及</w:t>
      </w:r>
      <w:r>
        <w:rPr>
          <w:rFonts w:hint="default"/>
          <w:b/>
          <w:bCs/>
          <w:u w:val="single"/>
        </w:rPr>
        <w:t>本项目的内容相符性分析见下表。</w:t>
      </w:r>
    </w:p>
    <w:p>
      <w:pPr>
        <w:pStyle w:val="181"/>
        <w:bidi w:val="0"/>
        <w:ind w:firstLine="0" w:firstLineChars="0"/>
        <w:rPr>
          <w:rFonts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表2</w:t>
      </w:r>
      <w:r>
        <w:rPr>
          <w:rFonts w:hint="eastAsia" w:ascii="Times New Roman" w:hAnsi="Times New Roman" w:eastAsia="宋体" w:cs="Times New Roman"/>
          <w:b/>
          <w:bCs/>
          <w:color w:val="auto"/>
          <w:u w:val="single"/>
          <w:lang w:val="en-US" w:eastAsia="zh-CN"/>
        </w:rPr>
        <w:t>.11</w:t>
      </w:r>
      <w:r>
        <w:rPr>
          <w:rFonts w:hint="eastAsia" w:ascii="Times New Roman" w:hAnsi="Times New Roman" w:eastAsia="宋体" w:cs="Times New Roman"/>
          <w:b/>
          <w:bCs/>
          <w:color w:val="auto"/>
          <w:u w:val="single"/>
        </w:rPr>
        <w:t>-</w:t>
      </w:r>
      <w:r>
        <w:rPr>
          <w:rFonts w:hint="eastAsia" w:ascii="Times New Roman" w:hAnsi="Times New Roman" w:eastAsia="宋体" w:cs="Times New Roman"/>
          <w:b/>
          <w:bCs/>
          <w:color w:val="auto"/>
          <w:u w:val="single"/>
          <w:lang w:val="en-US" w:eastAsia="zh-CN"/>
        </w:rPr>
        <w:t>1</w:t>
      </w:r>
      <w:r>
        <w:rPr>
          <w:rFonts w:hint="eastAsia" w:cs="Times New Roman"/>
          <w:b/>
          <w:bCs/>
          <w:color w:val="auto"/>
          <w:u w:val="single"/>
          <w:lang w:val="en-US" w:eastAsia="zh-CN"/>
        </w:rPr>
        <w:t>3</w:t>
      </w:r>
      <w:r>
        <w:rPr>
          <w:rFonts w:hint="eastAsia" w:ascii="Times New Roman" w:hAnsi="Times New Roman" w:eastAsia="宋体" w:cs="Times New Roman"/>
          <w:b/>
          <w:bCs/>
          <w:color w:val="auto"/>
          <w:u w:val="single"/>
        </w:rPr>
        <w:t xml:space="preserve"> 重污染天气重点行业应急减排措施A级企业绩效指标要求及项目符合性</w:t>
      </w:r>
    </w:p>
    <w:tbl>
      <w:tblPr>
        <w:tblStyle w:val="32"/>
        <w:tblW w:w="50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3959"/>
        <w:gridCol w:w="2581"/>
        <w:gridCol w:w="1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52" w:type="dxa"/>
            <w:vAlign w:val="center"/>
          </w:tcPr>
          <w:p>
            <w:pPr>
              <w:pStyle w:val="182"/>
              <w:rPr>
                <w:b/>
                <w:bCs/>
                <w:color w:val="auto"/>
                <w:u w:val="single"/>
              </w:rPr>
            </w:pPr>
            <w:r>
              <w:rPr>
                <w:rFonts w:hint="eastAsia"/>
                <w:b/>
                <w:bCs/>
                <w:color w:val="auto"/>
                <w:u w:val="single"/>
              </w:rPr>
              <w:t>差异化指标</w:t>
            </w:r>
          </w:p>
        </w:tc>
        <w:tc>
          <w:tcPr>
            <w:tcW w:w="3959" w:type="dxa"/>
            <w:vAlign w:val="center"/>
          </w:tcPr>
          <w:p>
            <w:pPr>
              <w:pStyle w:val="182"/>
              <w:rPr>
                <w:b/>
                <w:bCs/>
                <w:color w:val="auto"/>
                <w:u w:val="single"/>
              </w:rPr>
            </w:pPr>
            <w:r>
              <w:rPr>
                <w:rFonts w:hint="eastAsia"/>
                <w:b/>
                <w:bCs/>
                <w:color w:val="auto"/>
                <w:u w:val="single"/>
              </w:rPr>
              <w:t>A级企业</w:t>
            </w:r>
          </w:p>
        </w:tc>
        <w:tc>
          <w:tcPr>
            <w:tcW w:w="2581" w:type="dxa"/>
            <w:vAlign w:val="center"/>
          </w:tcPr>
          <w:p>
            <w:pPr>
              <w:pStyle w:val="182"/>
              <w:rPr>
                <w:b/>
                <w:bCs/>
                <w:color w:val="auto"/>
                <w:u w:val="single"/>
              </w:rPr>
            </w:pPr>
            <w:r>
              <w:rPr>
                <w:rFonts w:hint="eastAsia"/>
                <w:b/>
                <w:bCs/>
                <w:color w:val="auto"/>
                <w:u w:val="single"/>
                <w:lang w:val="en-US" w:eastAsia="zh-CN"/>
              </w:rPr>
              <w:t>本项目</w:t>
            </w:r>
            <w:r>
              <w:rPr>
                <w:rFonts w:hint="eastAsia"/>
                <w:b/>
                <w:bCs/>
                <w:color w:val="auto"/>
                <w:u w:val="single"/>
              </w:rPr>
              <w:t>情况</w:t>
            </w:r>
          </w:p>
        </w:tc>
        <w:tc>
          <w:tcPr>
            <w:tcW w:w="1162" w:type="dxa"/>
            <w:vAlign w:val="center"/>
          </w:tcPr>
          <w:p>
            <w:pPr>
              <w:pStyle w:val="182"/>
              <w:rPr>
                <w:b/>
                <w:bCs/>
                <w:color w:val="auto"/>
                <w:u w:val="single"/>
              </w:rPr>
            </w:pPr>
            <w:r>
              <w:rPr>
                <w:rFonts w:hint="eastAsia"/>
                <w:b/>
                <w:bCs/>
                <w:color w:val="auto"/>
                <w:u w:val="single"/>
              </w:rPr>
              <w:t>是否满足绩效要求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52" w:type="dxa"/>
            <w:vAlign w:val="center"/>
          </w:tcPr>
          <w:p>
            <w:pPr>
              <w:pStyle w:val="182"/>
              <w:rPr>
                <w:b/>
                <w:bCs/>
                <w:color w:val="auto"/>
                <w:u w:val="single"/>
              </w:rPr>
            </w:pPr>
            <w:r>
              <w:rPr>
                <w:rFonts w:hint="default"/>
                <w:b/>
                <w:bCs/>
                <w:color w:val="auto"/>
                <w:u w:val="single"/>
              </w:rPr>
              <w:t>物料装卸</w:t>
            </w:r>
          </w:p>
        </w:tc>
        <w:tc>
          <w:tcPr>
            <w:tcW w:w="3959" w:type="dxa"/>
            <w:vAlign w:val="center"/>
          </w:tcPr>
          <w:p>
            <w:pPr>
              <w:pStyle w:val="182"/>
              <w:jc w:val="left"/>
              <w:rPr>
                <w:rFonts w:hint="default"/>
                <w:b/>
                <w:bCs/>
                <w:color w:val="auto"/>
                <w:u w:val="single"/>
              </w:rPr>
            </w:pPr>
            <w:r>
              <w:rPr>
                <w:rFonts w:hint="default"/>
                <w:b/>
                <w:bCs/>
                <w:color w:val="auto"/>
                <w:u w:val="single"/>
                <w:lang w:val="en-US" w:eastAsia="zh-CN"/>
              </w:rPr>
              <w:t>1.</w:t>
            </w:r>
            <w:r>
              <w:rPr>
                <w:rFonts w:hint="default"/>
                <w:b/>
                <w:bCs/>
                <w:color w:val="auto"/>
                <w:u w:val="single"/>
              </w:rPr>
              <w:t>车辆运输的物料应采取封闭措施。粉状、粒状、块状散装物料在封闭料场内装卸，装卸过程中产尘点应设置集气除尘装置，料堆应采取有效抑尘措施。</w:t>
            </w:r>
          </w:p>
          <w:p>
            <w:pPr>
              <w:pStyle w:val="182"/>
              <w:jc w:val="left"/>
              <w:rPr>
                <w:rFonts w:hint="default"/>
                <w:b/>
                <w:bCs/>
                <w:color w:val="auto"/>
                <w:u w:val="single"/>
              </w:rPr>
            </w:pPr>
            <w:r>
              <w:rPr>
                <w:rFonts w:hint="default"/>
                <w:b/>
                <w:bCs/>
                <w:color w:val="auto"/>
                <w:u w:val="single"/>
                <w:lang w:val="en-US" w:eastAsia="zh-CN"/>
              </w:rPr>
              <w:t>2.</w:t>
            </w:r>
            <w:r>
              <w:rPr>
                <w:rFonts w:hint="default"/>
                <w:b/>
                <w:bCs/>
                <w:color w:val="auto"/>
                <w:u w:val="single"/>
              </w:rPr>
              <w:t>不易产尘的袋装物料宜在料棚中装卸，如需露天装卸应采取防止破袋及粉尘外逸措施。</w:t>
            </w:r>
          </w:p>
        </w:tc>
        <w:tc>
          <w:tcPr>
            <w:tcW w:w="2581" w:type="dxa"/>
            <w:vAlign w:val="center"/>
          </w:tcPr>
          <w:p>
            <w:pPr>
              <w:pStyle w:val="182"/>
              <w:jc w:val="left"/>
              <w:rPr>
                <w:rFonts w:hint="default"/>
                <w:b/>
                <w:bCs/>
                <w:color w:val="auto"/>
                <w:u w:val="single"/>
              </w:rPr>
            </w:pPr>
            <w:r>
              <w:rPr>
                <w:rFonts w:hint="default"/>
                <w:b/>
                <w:bCs/>
                <w:color w:val="auto"/>
                <w:u w:val="single"/>
              </w:rPr>
              <w:t>1车辆物料运输采取封闭措施。</w:t>
            </w:r>
            <w:r>
              <w:rPr>
                <w:rFonts w:hint="default"/>
                <w:b/>
                <w:bCs/>
                <w:color w:val="auto"/>
                <w:u w:val="single"/>
                <w:lang w:val="en-US" w:eastAsia="zh-CN"/>
              </w:rPr>
              <w:t>本项目菌草打包后</w:t>
            </w:r>
            <w:r>
              <w:rPr>
                <w:rFonts w:hint="default"/>
                <w:b/>
                <w:bCs/>
                <w:color w:val="auto"/>
                <w:u w:val="single"/>
              </w:rPr>
              <w:t>在封闭料场内装卸，料堆采取有效抑尘措施；</w:t>
            </w:r>
          </w:p>
          <w:p>
            <w:pPr>
              <w:pStyle w:val="182"/>
              <w:jc w:val="left"/>
              <w:rPr>
                <w:rFonts w:hint="default"/>
                <w:b/>
                <w:bCs/>
                <w:color w:val="auto"/>
                <w:u w:val="single"/>
              </w:rPr>
            </w:pPr>
            <w:r>
              <w:rPr>
                <w:rFonts w:hint="default"/>
                <w:b/>
                <w:bCs/>
                <w:color w:val="auto"/>
                <w:u w:val="single"/>
                <w:lang w:val="en-US" w:eastAsia="zh-CN"/>
              </w:rPr>
              <w:t>2.不涉及袋装物料。</w:t>
            </w:r>
          </w:p>
        </w:tc>
        <w:tc>
          <w:tcPr>
            <w:tcW w:w="1162" w:type="dxa"/>
            <w:vAlign w:val="center"/>
          </w:tcPr>
          <w:p>
            <w:pPr>
              <w:pStyle w:val="182"/>
              <w:rPr>
                <w:rFonts w:hint="default"/>
                <w:b/>
                <w:bCs/>
                <w:color w:val="auto"/>
                <w:u w:val="single"/>
                <w:lang w:val="en-US" w:eastAsia="zh-CN"/>
              </w:rPr>
            </w:pPr>
            <w:r>
              <w:rPr>
                <w:rFonts w:hint="eastAsia"/>
                <w:b/>
                <w:bCs/>
                <w:color w:val="auto"/>
                <w:u w:val="single"/>
                <w:lang w:val="en-US" w:eastAsia="zh-C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2" w:type="dxa"/>
            <w:vAlign w:val="center"/>
          </w:tcPr>
          <w:p>
            <w:pPr>
              <w:pStyle w:val="182"/>
              <w:rPr>
                <w:b/>
                <w:bCs/>
                <w:color w:val="auto"/>
                <w:u w:val="single"/>
              </w:rPr>
            </w:pPr>
            <w:r>
              <w:rPr>
                <w:rFonts w:hint="default"/>
                <w:b/>
                <w:bCs/>
                <w:color w:val="auto"/>
                <w:u w:val="single"/>
              </w:rPr>
              <w:t>物料储存</w:t>
            </w:r>
          </w:p>
        </w:tc>
        <w:tc>
          <w:tcPr>
            <w:tcW w:w="3959" w:type="dxa"/>
            <w:vAlign w:val="center"/>
          </w:tcPr>
          <w:p>
            <w:pPr>
              <w:pStyle w:val="182"/>
              <w:jc w:val="left"/>
              <w:rPr>
                <w:rFonts w:hint="default"/>
                <w:b/>
                <w:bCs/>
                <w:color w:val="auto"/>
                <w:u w:val="single"/>
                <w:lang w:val="en-US" w:eastAsia="zh-CN"/>
              </w:rPr>
            </w:pPr>
            <w:r>
              <w:rPr>
                <w:rFonts w:hint="default"/>
                <w:b/>
                <w:bCs/>
                <w:color w:val="auto"/>
                <w:u w:val="single"/>
                <w:lang w:val="en-US" w:eastAsia="zh-CN"/>
              </w:rPr>
              <w:t>1.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p>
            <w:pPr>
              <w:pStyle w:val="182"/>
              <w:jc w:val="left"/>
              <w:rPr>
                <w:b/>
                <w:bCs/>
                <w:color w:val="auto"/>
                <w:u w:val="single"/>
              </w:rPr>
            </w:pPr>
            <w:r>
              <w:rPr>
                <w:rFonts w:hint="default"/>
                <w:b/>
                <w:bCs/>
                <w:color w:val="auto"/>
                <w:u w:val="single"/>
                <w:lang w:val="en-US" w:eastAsia="zh-CN"/>
              </w:rPr>
              <w:t>2.危险废物。应有符合规范要求的危险废物储存间，危险废物储存间门口应张贴标准规范的危险废物标识和危废信息板，建立台账并挂于危废间内，危险废物的记录和货单保存3年以上。危废间内禁止存放除危险废物和应急工具外的其他物品。</w:t>
            </w:r>
          </w:p>
        </w:tc>
        <w:tc>
          <w:tcPr>
            <w:tcW w:w="2581" w:type="dxa"/>
            <w:vAlign w:val="center"/>
          </w:tcPr>
          <w:p>
            <w:pPr>
              <w:pStyle w:val="182"/>
              <w:jc w:val="left"/>
              <w:rPr>
                <w:rFonts w:hint="default"/>
                <w:b/>
                <w:bCs/>
                <w:color w:val="auto"/>
                <w:u w:val="single"/>
                <w:lang w:val="en-US" w:eastAsia="zh-CN"/>
              </w:rPr>
            </w:pPr>
            <w:r>
              <w:rPr>
                <w:rFonts w:hint="default"/>
                <w:b/>
                <w:bCs/>
                <w:color w:val="auto"/>
                <w:u w:val="single"/>
                <w:lang w:val="en-US" w:eastAsia="zh-CN"/>
              </w:rPr>
              <w:t>1.本项目物料全部封闭完整。项目无袋装物料，封闭料场顶棚和四周围墙完整，料场内路面全部硬化，货物进出口配置全自动洗车机和自动感应门，在确保安全的情况下，所有门窗保持常闭状态；项目无露天堆放的物料。</w:t>
            </w:r>
          </w:p>
          <w:p>
            <w:pPr>
              <w:pStyle w:val="182"/>
              <w:jc w:val="left"/>
              <w:rPr>
                <w:rFonts w:hint="default"/>
                <w:b/>
                <w:bCs/>
                <w:color w:val="auto"/>
                <w:u w:val="single"/>
                <w:lang w:val="en-US" w:eastAsia="zh-CN"/>
              </w:rPr>
            </w:pPr>
            <w:r>
              <w:rPr>
                <w:rFonts w:hint="default"/>
                <w:b/>
                <w:bCs/>
                <w:color w:val="auto"/>
                <w:u w:val="single"/>
                <w:lang w:val="en-US" w:eastAsia="zh-CN"/>
              </w:rPr>
              <w:t>2.项目依托厂区符合规范要求的危险废物储存间，危险废物储存间门口正确张贴危险废物标识和危废信息板，建立有危险废物台账。</w:t>
            </w:r>
          </w:p>
        </w:tc>
        <w:tc>
          <w:tcPr>
            <w:tcW w:w="1162" w:type="dxa"/>
            <w:vAlign w:val="center"/>
          </w:tcPr>
          <w:p>
            <w:pPr>
              <w:pStyle w:val="182"/>
              <w:rPr>
                <w:rFonts w:hint="default"/>
                <w:b/>
                <w:bCs/>
                <w:color w:val="auto"/>
                <w:u w:val="single"/>
                <w:lang w:val="en-US" w:eastAsia="zh-CN"/>
              </w:rPr>
            </w:pPr>
            <w:r>
              <w:rPr>
                <w:rFonts w:hint="default"/>
                <w:b/>
                <w:bCs/>
                <w:color w:val="auto"/>
                <w:u w:val="single"/>
                <w:lang w:val="en-US" w:eastAsia="zh-C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852" w:type="dxa"/>
            <w:vAlign w:val="center"/>
          </w:tcPr>
          <w:p>
            <w:pPr>
              <w:pStyle w:val="182"/>
              <w:rPr>
                <w:b/>
                <w:bCs/>
                <w:color w:val="auto"/>
                <w:u w:val="single"/>
              </w:rPr>
            </w:pPr>
            <w:r>
              <w:rPr>
                <w:rFonts w:hint="eastAsia"/>
                <w:b/>
                <w:bCs/>
                <w:color w:val="auto"/>
                <w:u w:val="single"/>
              </w:rPr>
              <w:t>物料转移和输送</w:t>
            </w:r>
          </w:p>
        </w:tc>
        <w:tc>
          <w:tcPr>
            <w:tcW w:w="3959" w:type="dxa"/>
            <w:vAlign w:val="center"/>
          </w:tcPr>
          <w:p>
            <w:pPr>
              <w:pStyle w:val="182"/>
              <w:jc w:val="left"/>
              <w:rPr>
                <w:rFonts w:hint="eastAsia"/>
                <w:b/>
                <w:bCs/>
                <w:color w:val="auto"/>
                <w:u w:val="single"/>
              </w:rPr>
            </w:pPr>
            <w:r>
              <w:rPr>
                <w:rFonts w:hint="eastAsia"/>
                <w:b/>
                <w:bCs/>
                <w:color w:val="auto"/>
                <w:u w:val="single"/>
                <w:lang w:val="en-US" w:eastAsia="zh-CN"/>
              </w:rPr>
              <w:t>1.</w:t>
            </w:r>
            <w:r>
              <w:rPr>
                <w:rFonts w:hint="eastAsia"/>
                <w:b/>
                <w:bCs/>
                <w:color w:val="auto"/>
                <w:u w:val="single"/>
              </w:rPr>
              <w:t>粉状、粒状等易产尘物料厂内转移、输送过程应采用气力输送、密闭输送，块状和粘湿粉状物料采用封闭输送；</w:t>
            </w:r>
          </w:p>
          <w:p>
            <w:pPr>
              <w:pStyle w:val="182"/>
              <w:jc w:val="left"/>
              <w:rPr>
                <w:b/>
                <w:bCs/>
                <w:color w:val="auto"/>
                <w:u w:val="single"/>
              </w:rPr>
            </w:pPr>
            <w:r>
              <w:rPr>
                <w:rFonts w:hint="eastAsia"/>
                <w:b/>
                <w:bCs/>
                <w:color w:val="auto"/>
                <w:u w:val="single"/>
                <w:lang w:val="en-US" w:eastAsia="zh-CN"/>
              </w:rPr>
              <w:t>2.</w:t>
            </w:r>
            <w:r>
              <w:rPr>
                <w:rFonts w:hint="eastAsia"/>
                <w:b/>
                <w:bCs/>
                <w:color w:val="auto"/>
                <w:u w:val="single"/>
              </w:rPr>
              <w:t>无法封闭的产尘点（物料转载、下料口等）应采取集气除尘措施，或有效抑尘措施。</w:t>
            </w:r>
          </w:p>
        </w:tc>
        <w:tc>
          <w:tcPr>
            <w:tcW w:w="2581" w:type="dxa"/>
            <w:vAlign w:val="center"/>
          </w:tcPr>
          <w:p>
            <w:pPr>
              <w:pStyle w:val="182"/>
              <w:jc w:val="left"/>
              <w:rPr>
                <w:rFonts w:hint="eastAsia"/>
                <w:b/>
                <w:bCs/>
                <w:color w:val="auto"/>
                <w:u w:val="single"/>
                <w:lang w:val="en-US" w:eastAsia="zh-CN"/>
              </w:rPr>
            </w:pPr>
            <w:r>
              <w:rPr>
                <w:rFonts w:hint="eastAsia"/>
                <w:b/>
                <w:bCs/>
                <w:color w:val="auto"/>
                <w:u w:val="single"/>
                <w:lang w:val="en-US" w:eastAsia="zh-CN"/>
              </w:rPr>
              <w:t>1.原材料运输采用密闭方式，生产过程中所有物料除杂后即为湿物料，不产尘；</w:t>
            </w:r>
          </w:p>
          <w:p>
            <w:pPr>
              <w:pStyle w:val="182"/>
              <w:jc w:val="left"/>
              <w:rPr>
                <w:rFonts w:hint="default"/>
                <w:b/>
                <w:bCs/>
                <w:color w:val="auto"/>
                <w:u w:val="single"/>
                <w:lang w:val="en-US" w:eastAsia="zh-CN"/>
              </w:rPr>
            </w:pPr>
            <w:r>
              <w:rPr>
                <w:rFonts w:hint="eastAsia"/>
                <w:b/>
                <w:bCs/>
                <w:color w:val="auto"/>
                <w:u w:val="single"/>
                <w:lang w:val="en-US" w:eastAsia="zh-CN"/>
              </w:rPr>
              <w:t>2.本项目物料转移过程中均为湿物料，木质素混合物干燥加装袋式除尘器设施。</w:t>
            </w:r>
          </w:p>
        </w:tc>
        <w:tc>
          <w:tcPr>
            <w:tcW w:w="1162" w:type="dxa"/>
            <w:vAlign w:val="center"/>
          </w:tcPr>
          <w:p>
            <w:pPr>
              <w:pStyle w:val="182"/>
              <w:rPr>
                <w:rFonts w:hint="default"/>
                <w:b/>
                <w:bCs/>
                <w:color w:val="auto"/>
                <w:u w:val="single"/>
                <w:lang w:val="en-US" w:eastAsia="zh-CN"/>
              </w:rPr>
            </w:pPr>
            <w:r>
              <w:rPr>
                <w:rFonts w:hint="eastAsia"/>
                <w:b/>
                <w:bCs/>
                <w:color w:val="auto"/>
                <w:u w:val="single"/>
                <w:lang w:val="en-US" w:eastAsia="zh-C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52" w:type="dxa"/>
            <w:vAlign w:val="center"/>
          </w:tcPr>
          <w:p>
            <w:pPr>
              <w:pStyle w:val="182"/>
              <w:rPr>
                <w:rFonts w:hint="default"/>
                <w:b/>
                <w:bCs/>
                <w:color w:val="auto"/>
                <w:u w:val="single"/>
              </w:rPr>
            </w:pPr>
            <w:r>
              <w:rPr>
                <w:rFonts w:hint="default"/>
                <w:b/>
                <w:bCs/>
                <w:color w:val="auto"/>
                <w:u w:val="single"/>
              </w:rPr>
              <w:t>成品包装</w:t>
            </w:r>
          </w:p>
        </w:tc>
        <w:tc>
          <w:tcPr>
            <w:tcW w:w="3959" w:type="dxa"/>
            <w:vAlign w:val="center"/>
          </w:tcPr>
          <w:p>
            <w:pPr>
              <w:pStyle w:val="182"/>
              <w:jc w:val="left"/>
              <w:rPr>
                <w:rFonts w:hint="default"/>
                <w:b/>
                <w:bCs/>
                <w:color w:val="auto"/>
                <w:u w:val="single"/>
              </w:rPr>
            </w:pPr>
            <w:r>
              <w:rPr>
                <w:rFonts w:hint="default"/>
                <w:b/>
                <w:bCs/>
                <w:color w:val="auto"/>
                <w:u w:val="single"/>
              </w:rPr>
              <w:t>卸料口应完全封闭，如不能封闭应采取局部集气除尘措施。卸料口地面应及时清扫，地面无明显积尘。</w:t>
            </w:r>
          </w:p>
        </w:tc>
        <w:tc>
          <w:tcPr>
            <w:tcW w:w="2581" w:type="dxa"/>
            <w:vAlign w:val="center"/>
          </w:tcPr>
          <w:p>
            <w:pPr>
              <w:pStyle w:val="182"/>
              <w:jc w:val="left"/>
              <w:rPr>
                <w:rFonts w:hint="default"/>
                <w:b/>
                <w:bCs/>
                <w:color w:val="auto"/>
                <w:u w:val="single"/>
                <w:lang w:val="en-US" w:eastAsia="zh-CN"/>
              </w:rPr>
            </w:pPr>
            <w:r>
              <w:rPr>
                <w:rFonts w:hint="default"/>
                <w:b/>
                <w:bCs/>
                <w:color w:val="auto"/>
                <w:u w:val="single"/>
                <w:lang w:val="en-US" w:eastAsia="zh-CN"/>
              </w:rPr>
              <w:t>产品卸料口全封闭，</w:t>
            </w:r>
            <w:r>
              <w:rPr>
                <w:rFonts w:hint="default"/>
                <w:b/>
                <w:bCs/>
                <w:color w:val="auto"/>
                <w:u w:val="single"/>
              </w:rPr>
              <w:t>烘干后的纤维进入打包机进行机械自动打包入库，得到产品。卸料口地面及时清扫，</w:t>
            </w:r>
            <w:r>
              <w:rPr>
                <w:rFonts w:hint="default"/>
                <w:b/>
                <w:bCs/>
                <w:color w:val="auto"/>
                <w:u w:val="single"/>
                <w:lang w:val="en-US" w:eastAsia="zh-CN"/>
              </w:rPr>
              <w:t>保证</w:t>
            </w:r>
            <w:r>
              <w:rPr>
                <w:rFonts w:hint="default"/>
                <w:b/>
                <w:bCs/>
                <w:color w:val="auto"/>
                <w:u w:val="single"/>
              </w:rPr>
              <w:t>地面无明显积尘。</w:t>
            </w:r>
          </w:p>
        </w:tc>
        <w:tc>
          <w:tcPr>
            <w:tcW w:w="1162" w:type="dxa"/>
            <w:vAlign w:val="center"/>
          </w:tcPr>
          <w:p>
            <w:pPr>
              <w:pStyle w:val="182"/>
              <w:rPr>
                <w:rFonts w:hint="default"/>
                <w:b/>
                <w:bCs/>
                <w:color w:val="auto"/>
                <w:u w:val="single"/>
                <w:lang w:val="en-US" w:eastAsia="zh-CN"/>
              </w:rPr>
            </w:pPr>
            <w:r>
              <w:rPr>
                <w:rFonts w:hint="default"/>
                <w:b/>
                <w:bCs/>
                <w:color w:val="auto"/>
                <w:u w:val="single"/>
                <w:lang w:val="en-US" w:eastAsia="zh-C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52" w:type="dxa"/>
            <w:vAlign w:val="center"/>
          </w:tcPr>
          <w:p>
            <w:pPr>
              <w:pStyle w:val="182"/>
              <w:rPr>
                <w:rFonts w:hint="eastAsia"/>
                <w:b/>
                <w:bCs/>
                <w:color w:val="auto"/>
                <w:u w:val="single"/>
              </w:rPr>
            </w:pPr>
            <w:r>
              <w:rPr>
                <w:rFonts w:hint="eastAsia"/>
                <w:b/>
                <w:bCs/>
                <w:color w:val="auto"/>
                <w:u w:val="single"/>
              </w:rPr>
              <w:t>工艺过程</w:t>
            </w:r>
          </w:p>
        </w:tc>
        <w:tc>
          <w:tcPr>
            <w:tcW w:w="3959" w:type="dxa"/>
            <w:vAlign w:val="center"/>
          </w:tcPr>
          <w:p>
            <w:pPr>
              <w:pStyle w:val="182"/>
              <w:jc w:val="left"/>
              <w:rPr>
                <w:rFonts w:hint="eastAsia"/>
                <w:b/>
                <w:bCs/>
                <w:color w:val="auto"/>
                <w:u w:val="single"/>
              </w:rPr>
            </w:pPr>
            <w:r>
              <w:rPr>
                <w:rFonts w:hint="eastAsia"/>
                <w:b/>
                <w:bCs/>
                <w:color w:val="auto"/>
                <w:u w:val="single"/>
                <w:lang w:val="en-US" w:eastAsia="zh-CN"/>
              </w:rPr>
              <w:t>1.</w:t>
            </w:r>
            <w:r>
              <w:rPr>
                <w:rFonts w:hint="eastAsia"/>
                <w:b/>
                <w:bCs/>
                <w:color w:val="auto"/>
                <w:u w:val="single"/>
              </w:rPr>
              <w:t>各种物料破碎、筛分、配料、混料等过程应在封闭厂房内进行，并采取局部收尘/抑尘措施。破碎筛分设备在进、出料口和配料混料过程等产尘点应设置集气除尘设施。</w:t>
            </w:r>
          </w:p>
          <w:p>
            <w:pPr>
              <w:pStyle w:val="182"/>
              <w:jc w:val="left"/>
              <w:rPr>
                <w:rFonts w:hint="eastAsia"/>
                <w:b/>
                <w:bCs/>
                <w:color w:val="auto"/>
                <w:u w:val="single"/>
              </w:rPr>
            </w:pPr>
            <w:r>
              <w:rPr>
                <w:rFonts w:hint="eastAsia"/>
                <w:b/>
                <w:bCs/>
                <w:color w:val="auto"/>
                <w:u w:val="single"/>
                <w:lang w:val="en-US" w:eastAsia="zh-CN"/>
              </w:rPr>
              <w:t>2.</w:t>
            </w:r>
            <w:r>
              <w:rPr>
                <w:rFonts w:hint="eastAsia"/>
                <w:b/>
                <w:bCs/>
                <w:color w:val="auto"/>
                <w:u w:val="single"/>
              </w:rPr>
              <w:t>各生产工序的车间地面干净，无积料、积灰现象。</w:t>
            </w:r>
          </w:p>
          <w:p>
            <w:pPr>
              <w:pStyle w:val="182"/>
              <w:jc w:val="left"/>
              <w:rPr>
                <w:rFonts w:hint="eastAsia"/>
                <w:b/>
                <w:bCs/>
                <w:color w:val="auto"/>
                <w:u w:val="single"/>
              </w:rPr>
            </w:pPr>
            <w:r>
              <w:rPr>
                <w:rFonts w:hint="eastAsia"/>
                <w:b/>
                <w:bCs/>
                <w:color w:val="auto"/>
                <w:u w:val="single"/>
                <w:lang w:val="en-US" w:eastAsia="zh-CN"/>
              </w:rPr>
              <w:t>3.</w:t>
            </w:r>
            <w:r>
              <w:rPr>
                <w:rFonts w:hint="eastAsia"/>
                <w:b/>
                <w:bCs/>
                <w:color w:val="auto"/>
                <w:u w:val="single"/>
              </w:rPr>
              <w:t>生产车间不得有可见烟粉尘外逸。</w:t>
            </w:r>
          </w:p>
        </w:tc>
        <w:tc>
          <w:tcPr>
            <w:tcW w:w="2581" w:type="dxa"/>
            <w:vAlign w:val="center"/>
          </w:tcPr>
          <w:p>
            <w:pPr>
              <w:pStyle w:val="182"/>
              <w:jc w:val="left"/>
              <w:rPr>
                <w:rFonts w:hint="default"/>
                <w:b/>
                <w:bCs/>
                <w:color w:val="auto"/>
                <w:u w:val="single"/>
                <w:lang w:val="en-US" w:eastAsia="zh-CN"/>
              </w:rPr>
            </w:pPr>
            <w:r>
              <w:rPr>
                <w:rFonts w:hint="eastAsia"/>
                <w:b/>
                <w:bCs/>
                <w:color w:val="auto"/>
                <w:u w:val="single"/>
                <w:lang w:val="en-US" w:eastAsia="zh-CN"/>
              </w:rPr>
              <w:t>1.车间只涉及物料输送、搅拌等工序，</w:t>
            </w:r>
            <w:r>
              <w:rPr>
                <w:rFonts w:hint="default"/>
                <w:b/>
                <w:bCs/>
                <w:color w:val="auto"/>
                <w:u w:val="single"/>
              </w:rPr>
              <w:t>物料转移过程中均为湿物料，木质素</w:t>
            </w:r>
            <w:r>
              <w:rPr>
                <w:rFonts w:hint="eastAsia"/>
                <w:b/>
                <w:bCs/>
                <w:color w:val="auto"/>
                <w:u w:val="single"/>
                <w:lang w:val="en-US" w:eastAsia="zh-CN"/>
              </w:rPr>
              <w:t>混合物</w:t>
            </w:r>
            <w:r>
              <w:rPr>
                <w:rFonts w:hint="default"/>
                <w:b/>
                <w:bCs/>
                <w:color w:val="auto"/>
                <w:u w:val="single"/>
              </w:rPr>
              <w:t>干燥加装袋式除尘设施。</w:t>
            </w:r>
            <w:r>
              <w:rPr>
                <w:rFonts w:hint="eastAsia"/>
                <w:b/>
                <w:bCs/>
                <w:color w:val="auto"/>
                <w:u w:val="single"/>
                <w:lang w:val="en-US" w:eastAsia="zh-CN"/>
              </w:rPr>
              <w:t>其他不涉及。</w:t>
            </w:r>
          </w:p>
          <w:p>
            <w:pPr>
              <w:pStyle w:val="182"/>
              <w:jc w:val="left"/>
              <w:rPr>
                <w:rFonts w:hint="eastAsia"/>
                <w:b/>
                <w:bCs/>
                <w:color w:val="auto"/>
                <w:u w:val="single"/>
                <w:lang w:eastAsia="zh-CN"/>
              </w:rPr>
            </w:pPr>
            <w:r>
              <w:rPr>
                <w:rFonts w:hint="eastAsia"/>
                <w:b/>
                <w:bCs/>
                <w:color w:val="auto"/>
                <w:u w:val="single"/>
                <w:lang w:val="en-US" w:eastAsia="zh-CN"/>
              </w:rPr>
              <w:t>2.</w:t>
            </w:r>
            <w:r>
              <w:rPr>
                <w:rFonts w:hint="eastAsia"/>
                <w:b/>
                <w:bCs/>
                <w:color w:val="auto"/>
                <w:u w:val="single"/>
              </w:rPr>
              <w:t>车间地面干净，无积料、积灰现象</w:t>
            </w:r>
            <w:r>
              <w:rPr>
                <w:rFonts w:hint="eastAsia"/>
                <w:b/>
                <w:bCs/>
                <w:color w:val="auto"/>
                <w:u w:val="single"/>
                <w:lang w:eastAsia="zh-CN"/>
              </w:rPr>
              <w:t>；</w:t>
            </w:r>
          </w:p>
          <w:p>
            <w:pPr>
              <w:pStyle w:val="182"/>
              <w:jc w:val="left"/>
              <w:rPr>
                <w:rFonts w:hint="default"/>
                <w:b/>
                <w:bCs/>
                <w:color w:val="auto"/>
                <w:u w:val="single"/>
                <w:lang w:val="en-US" w:eastAsia="zh-CN"/>
              </w:rPr>
            </w:pPr>
            <w:r>
              <w:rPr>
                <w:rFonts w:hint="eastAsia"/>
                <w:b/>
                <w:bCs/>
                <w:color w:val="auto"/>
                <w:u w:val="single"/>
                <w:lang w:val="en-US" w:eastAsia="zh-CN"/>
              </w:rPr>
              <w:t>3.生产车间物料均为湿物料不产生粉尘。</w:t>
            </w:r>
          </w:p>
        </w:tc>
        <w:tc>
          <w:tcPr>
            <w:tcW w:w="1162" w:type="dxa"/>
            <w:vAlign w:val="center"/>
          </w:tcPr>
          <w:p>
            <w:pPr>
              <w:pStyle w:val="182"/>
              <w:rPr>
                <w:rFonts w:hint="default"/>
                <w:b/>
                <w:bCs/>
                <w:color w:val="auto"/>
                <w:u w:val="single"/>
                <w:lang w:val="en-US" w:eastAsia="zh-CN"/>
              </w:rPr>
            </w:pPr>
            <w:r>
              <w:rPr>
                <w:rFonts w:hint="eastAsia"/>
                <w:b/>
                <w:bCs/>
                <w:color w:val="auto"/>
                <w:u w:val="single"/>
                <w:lang w:val="en-US" w:eastAsia="zh-C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52" w:type="dxa"/>
            <w:vAlign w:val="center"/>
          </w:tcPr>
          <w:p>
            <w:pPr>
              <w:pStyle w:val="182"/>
              <w:rPr>
                <w:rFonts w:hint="eastAsia"/>
                <w:b/>
                <w:bCs/>
                <w:color w:val="auto"/>
                <w:u w:val="single"/>
              </w:rPr>
            </w:pPr>
            <w:r>
              <w:rPr>
                <w:rFonts w:hint="eastAsia"/>
                <w:b/>
                <w:bCs/>
                <w:color w:val="auto"/>
                <w:u w:val="single"/>
              </w:rPr>
              <w:t>运输方式及运输监管</w:t>
            </w:r>
          </w:p>
        </w:tc>
        <w:tc>
          <w:tcPr>
            <w:tcW w:w="3959" w:type="dxa"/>
            <w:vAlign w:val="center"/>
          </w:tcPr>
          <w:p>
            <w:pPr>
              <w:pStyle w:val="182"/>
              <w:jc w:val="left"/>
              <w:rPr>
                <w:rFonts w:hint="eastAsia"/>
                <w:b/>
                <w:bCs/>
                <w:color w:val="auto"/>
                <w:u w:val="single"/>
              </w:rPr>
            </w:pPr>
            <w:r>
              <w:rPr>
                <w:rFonts w:hint="eastAsia"/>
                <w:b/>
                <w:bCs/>
                <w:color w:val="auto"/>
                <w:u w:val="single"/>
                <w:lang w:val="en-US" w:eastAsia="zh-CN"/>
              </w:rPr>
              <w:t>1.</w:t>
            </w:r>
            <w:r>
              <w:rPr>
                <w:rFonts w:hint="eastAsia"/>
                <w:b/>
                <w:bCs/>
                <w:color w:val="auto"/>
                <w:u w:val="single"/>
              </w:rPr>
              <w:t>运输方式</w:t>
            </w:r>
          </w:p>
          <w:p>
            <w:pPr>
              <w:pStyle w:val="182"/>
              <w:jc w:val="left"/>
              <w:rPr>
                <w:rFonts w:hint="eastAsia"/>
                <w:b/>
                <w:bCs/>
                <w:color w:val="auto"/>
                <w:u w:val="single"/>
              </w:rPr>
            </w:pPr>
            <w:r>
              <w:rPr>
                <w:rFonts w:hint="eastAsia"/>
                <w:b/>
                <w:bCs/>
                <w:color w:val="auto"/>
                <w:u w:val="single"/>
              </w:rPr>
              <w:t>①公路运输。物料公路运输使用达到国五及以上排放标准重型载货车辆（重型燃气车辆达到国六排放标准）或新能源车辆比例（A级100%，B级不低于80%），其他车辆达到国四排放标准（重型燃气车辆达到国五及以上排放标准）；</w:t>
            </w:r>
          </w:p>
          <w:p>
            <w:pPr>
              <w:pStyle w:val="182"/>
              <w:jc w:val="left"/>
              <w:rPr>
                <w:rFonts w:hint="eastAsia"/>
                <w:b/>
                <w:bCs/>
                <w:color w:val="auto"/>
                <w:u w:val="single"/>
              </w:rPr>
            </w:pPr>
            <w:r>
              <w:rPr>
                <w:rFonts w:hint="eastAsia"/>
                <w:b/>
                <w:bCs/>
                <w:color w:val="auto"/>
                <w:u w:val="single"/>
              </w:rPr>
              <w:t>②厂内运输车辆。达到国五及以上排放标准（重型燃气车辆达到国六排放标准）或使用新能源车辆的比例（A级100%，B级不低于80%），其他车辆达到国四排放标准（重型燃气车辆达到国五及以上排放标准）；</w:t>
            </w:r>
          </w:p>
          <w:p>
            <w:pPr>
              <w:pStyle w:val="182"/>
              <w:jc w:val="left"/>
              <w:rPr>
                <w:rFonts w:hint="eastAsia"/>
                <w:b/>
                <w:bCs/>
                <w:color w:val="auto"/>
                <w:u w:val="single"/>
              </w:rPr>
            </w:pPr>
            <w:r>
              <w:rPr>
                <w:rFonts w:hint="eastAsia"/>
                <w:b/>
                <w:bCs/>
                <w:color w:val="auto"/>
                <w:u w:val="single"/>
              </w:rPr>
              <w:t>③危险品及危废运输。国五及以上或新能源车辆（A级/B</w:t>
            </w:r>
          </w:p>
          <w:p>
            <w:pPr>
              <w:pStyle w:val="182"/>
              <w:jc w:val="left"/>
              <w:rPr>
                <w:rFonts w:hint="eastAsia"/>
                <w:b/>
                <w:bCs/>
                <w:color w:val="auto"/>
                <w:u w:val="single"/>
              </w:rPr>
            </w:pPr>
            <w:r>
              <w:rPr>
                <w:rFonts w:hint="eastAsia"/>
                <w:b/>
                <w:bCs/>
                <w:color w:val="auto"/>
                <w:u w:val="single"/>
              </w:rPr>
              <w:t>级100%）；</w:t>
            </w:r>
          </w:p>
          <w:p>
            <w:pPr>
              <w:pStyle w:val="182"/>
              <w:jc w:val="left"/>
              <w:rPr>
                <w:rFonts w:hint="eastAsia"/>
                <w:b/>
                <w:bCs/>
                <w:color w:val="auto"/>
                <w:u w:val="single"/>
              </w:rPr>
            </w:pPr>
            <w:r>
              <w:rPr>
                <w:rFonts w:hint="eastAsia"/>
                <w:b/>
                <w:bCs/>
                <w:color w:val="auto"/>
                <w:u w:val="single"/>
              </w:rPr>
              <w:t>④厂内非道路移动机械。国三及以上排放标准或使用新能源机械（A级/B级100%）。</w:t>
            </w:r>
          </w:p>
          <w:p>
            <w:pPr>
              <w:pStyle w:val="182"/>
              <w:jc w:val="left"/>
              <w:rPr>
                <w:rFonts w:hint="eastAsia"/>
                <w:b/>
                <w:bCs/>
                <w:color w:val="auto"/>
                <w:u w:val="single"/>
              </w:rPr>
            </w:pPr>
            <w:r>
              <w:rPr>
                <w:rFonts w:hint="eastAsia"/>
                <w:b/>
                <w:bCs/>
                <w:color w:val="auto"/>
                <w:u w:val="single"/>
                <w:lang w:val="en-US" w:eastAsia="zh-CN"/>
              </w:rPr>
              <w:t>2.</w:t>
            </w:r>
            <w:r>
              <w:rPr>
                <w:rFonts w:hint="eastAsia"/>
                <w:b/>
                <w:bCs/>
                <w:color w:val="auto"/>
                <w:u w:val="single"/>
              </w:rPr>
              <w:t>运输监管</w:t>
            </w:r>
          </w:p>
          <w:p>
            <w:pPr>
              <w:pStyle w:val="182"/>
              <w:jc w:val="left"/>
              <w:rPr>
                <w:rFonts w:hint="eastAsia"/>
                <w:b/>
                <w:bCs/>
                <w:color w:val="auto"/>
                <w:u w:val="single"/>
              </w:rPr>
            </w:pPr>
            <w:r>
              <w:rPr>
                <w:rFonts w:hint="eastAsia"/>
                <w:b/>
                <w:bCs/>
                <w:color w:val="auto"/>
                <w:u w:val="single"/>
              </w:rPr>
              <w:t>厂区货运车辆进出大门口：日均进出货物150吨（或载货车辆日进出10辆次）及以上（货物包括原料、辅料、燃料、产品和其他与生产相关物料）的企业，或纳入我省重点行业年产值1000万及以上的企业，拟申报A、B级企业时，应参照《重污染天气重点行业移动源应急管理技术指南》建立门禁视频监控系统和电子台账；其他企业建立电子台账。安装高清视频监控系统并能保留数据6个月以上。</w:t>
            </w:r>
          </w:p>
        </w:tc>
        <w:tc>
          <w:tcPr>
            <w:tcW w:w="2581" w:type="dxa"/>
            <w:vAlign w:val="center"/>
          </w:tcPr>
          <w:p>
            <w:pPr>
              <w:pStyle w:val="182"/>
              <w:jc w:val="left"/>
              <w:rPr>
                <w:rFonts w:hint="eastAsia"/>
                <w:b/>
                <w:bCs/>
                <w:color w:val="auto"/>
                <w:u w:val="single"/>
                <w:lang w:val="en-US" w:eastAsia="zh-CN"/>
              </w:rPr>
            </w:pPr>
            <w:r>
              <w:rPr>
                <w:rFonts w:hint="eastAsia"/>
                <w:b/>
                <w:bCs/>
                <w:color w:val="auto"/>
                <w:u w:val="single"/>
                <w:lang w:val="en-US" w:eastAsia="zh-CN"/>
              </w:rPr>
              <w:t>1.运输方式</w:t>
            </w:r>
          </w:p>
          <w:p>
            <w:pPr>
              <w:pStyle w:val="182"/>
              <w:jc w:val="left"/>
              <w:rPr>
                <w:rFonts w:hint="default"/>
                <w:b/>
                <w:bCs/>
                <w:color w:val="auto"/>
                <w:u w:val="single"/>
              </w:rPr>
            </w:pPr>
            <w:r>
              <w:rPr>
                <w:rFonts w:hint="default"/>
                <w:b/>
                <w:bCs/>
                <w:color w:val="auto"/>
                <w:u w:val="single"/>
              </w:rPr>
              <w:t>①</w:t>
            </w:r>
            <w:r>
              <w:rPr>
                <w:rFonts w:hint="eastAsia"/>
                <w:b/>
                <w:bCs/>
                <w:color w:val="auto"/>
                <w:u w:val="single"/>
                <w:lang w:val="en-US" w:eastAsia="zh-CN"/>
              </w:rPr>
              <w:t>菌草采用</w:t>
            </w:r>
            <w:r>
              <w:rPr>
                <w:rFonts w:hint="default"/>
                <w:b/>
                <w:bCs/>
                <w:color w:val="auto"/>
                <w:u w:val="single"/>
              </w:rPr>
              <w:t>公路运输。物料公路运输使用达到国五及以上排放标准重型载货车辆（重型燃气车辆达到国六排放标准）或新能源车辆比例（A级100%，B级不低于80%），其他车辆达到国四排放标准（重型燃气车辆达到国五及以上排放标准）；②</w:t>
            </w:r>
            <w:r>
              <w:rPr>
                <w:rFonts w:hint="default"/>
                <w:b/>
                <w:bCs/>
                <w:color w:val="auto"/>
                <w:u w:val="single"/>
                <w:lang w:eastAsia="zh-CN"/>
              </w:rPr>
              <w:t>厂内无运输车辆</w:t>
            </w:r>
            <w:r>
              <w:rPr>
                <w:rFonts w:hint="default"/>
                <w:b/>
                <w:bCs/>
                <w:color w:val="auto"/>
                <w:u w:val="single"/>
              </w:rPr>
              <w:t>；</w:t>
            </w:r>
          </w:p>
          <w:p>
            <w:pPr>
              <w:pStyle w:val="182"/>
              <w:jc w:val="left"/>
              <w:rPr>
                <w:rFonts w:hint="default"/>
                <w:b/>
                <w:bCs/>
                <w:color w:val="auto"/>
                <w:u w:val="single"/>
              </w:rPr>
            </w:pPr>
            <w:r>
              <w:rPr>
                <w:rFonts w:hint="default"/>
                <w:b/>
                <w:bCs/>
                <w:color w:val="auto"/>
                <w:u w:val="single"/>
              </w:rPr>
              <w:t>③危险品及危废运输。与运输公司签订合同约定使用国五及以上排放标准运输车辆；</w:t>
            </w:r>
          </w:p>
          <w:p>
            <w:pPr>
              <w:pStyle w:val="182"/>
              <w:jc w:val="left"/>
              <w:rPr>
                <w:rFonts w:hint="eastAsia"/>
                <w:b/>
                <w:bCs/>
                <w:color w:val="auto"/>
                <w:u w:val="single"/>
                <w:lang w:val="en-US" w:eastAsia="zh-CN"/>
              </w:rPr>
            </w:pPr>
            <w:r>
              <w:rPr>
                <w:rFonts w:hint="default"/>
                <w:b/>
                <w:bCs/>
                <w:color w:val="auto"/>
                <w:u w:val="single"/>
              </w:rPr>
              <w:t>④厂内非道路移动机械</w:t>
            </w:r>
            <w:r>
              <w:rPr>
                <w:rFonts w:hint="eastAsia"/>
                <w:b/>
                <w:bCs/>
                <w:color w:val="auto"/>
                <w:u w:val="single"/>
                <w:lang w:eastAsia="zh-CN"/>
              </w:rPr>
              <w:t>，</w:t>
            </w:r>
            <w:r>
              <w:rPr>
                <w:rFonts w:hint="default"/>
                <w:b/>
                <w:bCs/>
                <w:color w:val="auto"/>
                <w:u w:val="single"/>
              </w:rPr>
              <w:t>厂内全部使用新能源叉车。</w:t>
            </w:r>
          </w:p>
          <w:p>
            <w:pPr>
              <w:pStyle w:val="182"/>
              <w:jc w:val="left"/>
              <w:rPr>
                <w:rFonts w:hint="eastAsia"/>
                <w:b/>
                <w:bCs/>
                <w:color w:val="auto"/>
                <w:u w:val="single"/>
                <w:lang w:val="en-US" w:eastAsia="zh-CN"/>
              </w:rPr>
            </w:pPr>
            <w:r>
              <w:rPr>
                <w:rFonts w:hint="eastAsia"/>
                <w:b/>
                <w:bCs/>
                <w:color w:val="auto"/>
                <w:u w:val="single"/>
                <w:lang w:val="en-US" w:eastAsia="zh-CN"/>
              </w:rPr>
              <w:t>2.运输监管</w:t>
            </w:r>
          </w:p>
          <w:p>
            <w:pPr>
              <w:pStyle w:val="182"/>
              <w:jc w:val="left"/>
              <w:rPr>
                <w:rFonts w:hint="default"/>
                <w:b/>
                <w:bCs/>
                <w:color w:val="auto"/>
                <w:u w:val="single"/>
                <w:lang w:val="en-US" w:eastAsia="zh-CN"/>
              </w:rPr>
            </w:pPr>
            <w:r>
              <w:rPr>
                <w:rFonts w:hint="eastAsia"/>
                <w:b/>
                <w:bCs/>
                <w:color w:val="auto"/>
                <w:u w:val="single"/>
                <w:lang w:val="en-US" w:eastAsia="zh-CN"/>
              </w:rPr>
              <w:t>企业建立有门禁视频监控系统和电子台账。门禁系统具有保存</w:t>
            </w:r>
            <w:r>
              <w:rPr>
                <w:rFonts w:hint="default"/>
                <w:b/>
                <w:bCs/>
                <w:color w:val="auto"/>
                <w:u w:val="single"/>
                <w:lang w:val="en-US" w:eastAsia="zh-CN"/>
              </w:rPr>
              <w:t>视频和电子台账监控数据</w:t>
            </w:r>
            <w:r>
              <w:rPr>
                <w:rFonts w:hint="eastAsia"/>
                <w:b/>
                <w:bCs/>
                <w:color w:val="auto"/>
                <w:u w:val="single"/>
                <w:lang w:val="en-US" w:eastAsia="zh-CN"/>
              </w:rPr>
              <w:t>6</w:t>
            </w:r>
            <w:r>
              <w:rPr>
                <w:rFonts w:hint="default"/>
                <w:b/>
                <w:bCs/>
                <w:color w:val="auto"/>
                <w:u w:val="single"/>
                <w:lang w:val="en-US" w:eastAsia="zh-CN"/>
              </w:rPr>
              <w:t>个月以上</w:t>
            </w:r>
            <w:r>
              <w:rPr>
                <w:rFonts w:hint="eastAsia"/>
                <w:b/>
                <w:bCs/>
                <w:color w:val="auto"/>
                <w:u w:val="single"/>
                <w:lang w:val="en-US" w:eastAsia="zh-CN"/>
              </w:rPr>
              <w:t>的功能</w:t>
            </w:r>
            <w:r>
              <w:rPr>
                <w:rFonts w:hint="default"/>
                <w:b/>
                <w:bCs/>
                <w:color w:val="auto"/>
                <w:u w:val="single"/>
                <w:lang w:val="en-US" w:eastAsia="zh-CN"/>
              </w:rPr>
              <w:t>。</w:t>
            </w:r>
          </w:p>
        </w:tc>
        <w:tc>
          <w:tcPr>
            <w:tcW w:w="1162" w:type="dxa"/>
            <w:vAlign w:val="center"/>
          </w:tcPr>
          <w:p>
            <w:pPr>
              <w:pStyle w:val="182"/>
              <w:rPr>
                <w:rFonts w:hint="default"/>
                <w:b/>
                <w:bCs/>
                <w:color w:val="auto"/>
                <w:u w:val="single"/>
                <w:lang w:val="en-US" w:eastAsia="zh-CN"/>
              </w:rPr>
            </w:pPr>
            <w:r>
              <w:rPr>
                <w:rFonts w:hint="eastAsia"/>
                <w:b/>
                <w:bCs/>
                <w:color w:val="auto"/>
                <w:u w:val="single"/>
                <w:lang w:val="en-US" w:eastAsia="zh-C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52" w:type="dxa"/>
            <w:vAlign w:val="center"/>
          </w:tcPr>
          <w:p>
            <w:pPr>
              <w:pStyle w:val="182"/>
              <w:rPr>
                <w:rFonts w:hint="eastAsia"/>
                <w:b/>
                <w:bCs/>
                <w:color w:val="auto"/>
                <w:u w:val="single"/>
              </w:rPr>
            </w:pPr>
            <w:r>
              <w:rPr>
                <w:rFonts w:hint="eastAsia"/>
                <w:b/>
                <w:bCs/>
                <w:color w:val="auto"/>
                <w:u w:val="single"/>
              </w:rPr>
              <w:t>环境管理要求</w:t>
            </w:r>
          </w:p>
        </w:tc>
        <w:tc>
          <w:tcPr>
            <w:tcW w:w="3959" w:type="dxa"/>
            <w:vAlign w:val="center"/>
          </w:tcPr>
          <w:p>
            <w:pPr>
              <w:pStyle w:val="182"/>
              <w:jc w:val="left"/>
              <w:rPr>
                <w:rFonts w:hint="eastAsia"/>
                <w:b/>
                <w:bCs/>
                <w:color w:val="auto"/>
                <w:u w:val="single"/>
              </w:rPr>
            </w:pPr>
            <w:r>
              <w:rPr>
                <w:rFonts w:hint="eastAsia"/>
                <w:b/>
                <w:bCs/>
                <w:color w:val="auto"/>
                <w:u w:val="single"/>
                <w:lang w:val="en-US" w:eastAsia="zh-CN"/>
              </w:rPr>
              <w:t>1.</w:t>
            </w:r>
            <w:r>
              <w:rPr>
                <w:rFonts w:hint="eastAsia"/>
                <w:b/>
                <w:bCs/>
                <w:color w:val="auto"/>
                <w:u w:val="single"/>
              </w:rPr>
              <w:t>环保档案资料齐全</w:t>
            </w:r>
          </w:p>
          <w:p>
            <w:pPr>
              <w:pStyle w:val="182"/>
              <w:jc w:val="left"/>
              <w:rPr>
                <w:rFonts w:hint="eastAsia"/>
                <w:b/>
                <w:bCs/>
                <w:color w:val="auto"/>
                <w:u w:val="single"/>
              </w:rPr>
            </w:pPr>
            <w:r>
              <w:rPr>
                <w:rFonts w:hint="eastAsia"/>
                <w:b/>
                <w:bCs/>
                <w:color w:val="auto"/>
                <w:u w:val="single"/>
              </w:rPr>
              <w:t>①环评批复文件和竣工验收文件/现状评估文件；</w:t>
            </w:r>
          </w:p>
          <w:p>
            <w:pPr>
              <w:pStyle w:val="182"/>
              <w:jc w:val="left"/>
              <w:rPr>
                <w:rFonts w:hint="eastAsia"/>
                <w:b/>
                <w:bCs/>
                <w:color w:val="auto"/>
                <w:u w:val="single"/>
              </w:rPr>
            </w:pPr>
            <w:r>
              <w:rPr>
                <w:rFonts w:hint="eastAsia"/>
                <w:b/>
                <w:bCs/>
                <w:color w:val="auto"/>
                <w:u w:val="single"/>
              </w:rPr>
              <w:t>②废气治理设施运行管理规程；</w:t>
            </w:r>
          </w:p>
          <w:p>
            <w:pPr>
              <w:pStyle w:val="182"/>
              <w:jc w:val="left"/>
              <w:rPr>
                <w:rFonts w:hint="eastAsia"/>
                <w:b/>
                <w:bCs/>
                <w:color w:val="auto"/>
                <w:u w:val="single"/>
              </w:rPr>
            </w:pPr>
            <w:r>
              <w:rPr>
                <w:rFonts w:hint="eastAsia"/>
                <w:b/>
                <w:bCs/>
                <w:color w:val="auto"/>
                <w:u w:val="single"/>
              </w:rPr>
              <w:t>③一年内废气监测报告；</w:t>
            </w:r>
          </w:p>
          <w:p>
            <w:pPr>
              <w:pStyle w:val="182"/>
              <w:jc w:val="left"/>
              <w:rPr>
                <w:rFonts w:hint="eastAsia"/>
                <w:b/>
                <w:bCs/>
                <w:color w:val="auto"/>
                <w:u w:val="single"/>
              </w:rPr>
            </w:pPr>
            <w:r>
              <w:rPr>
                <w:rFonts w:hint="eastAsia"/>
                <w:b/>
                <w:bCs/>
                <w:color w:val="auto"/>
                <w:u w:val="single"/>
              </w:rPr>
              <w:t>④国家版排污许可证，并按要求开展自行监测和信息披露，有规范的排气筒监测平台和排污口标识。</w:t>
            </w:r>
          </w:p>
          <w:p>
            <w:pPr>
              <w:pStyle w:val="182"/>
              <w:jc w:val="left"/>
              <w:rPr>
                <w:rFonts w:hint="eastAsia"/>
                <w:b/>
                <w:bCs/>
                <w:color w:val="auto"/>
                <w:u w:val="single"/>
              </w:rPr>
            </w:pPr>
            <w:r>
              <w:rPr>
                <w:rFonts w:hint="eastAsia"/>
                <w:b/>
                <w:bCs/>
                <w:color w:val="auto"/>
                <w:u w:val="single"/>
                <w:lang w:val="en-US" w:eastAsia="zh-CN"/>
              </w:rPr>
              <w:t>2.</w:t>
            </w:r>
            <w:r>
              <w:rPr>
                <w:rFonts w:hint="eastAsia"/>
                <w:b/>
                <w:bCs/>
                <w:color w:val="auto"/>
                <w:u w:val="single"/>
              </w:rPr>
              <w:t>台账记录信息完整</w:t>
            </w:r>
          </w:p>
          <w:p>
            <w:pPr>
              <w:pStyle w:val="182"/>
              <w:jc w:val="left"/>
              <w:rPr>
                <w:rFonts w:hint="eastAsia"/>
                <w:b/>
                <w:bCs/>
                <w:color w:val="auto"/>
                <w:u w:val="single"/>
              </w:rPr>
            </w:pPr>
            <w:r>
              <w:rPr>
                <w:rFonts w:hint="eastAsia"/>
                <w:b/>
                <w:bCs/>
                <w:color w:val="auto"/>
                <w:u w:val="single"/>
              </w:rPr>
              <w:t>①生产设施运行管理信息（生产时间、运行负荷、产品产量等）；</w:t>
            </w:r>
          </w:p>
          <w:p>
            <w:pPr>
              <w:pStyle w:val="182"/>
              <w:jc w:val="left"/>
              <w:rPr>
                <w:rFonts w:hint="eastAsia"/>
                <w:b/>
                <w:bCs/>
                <w:color w:val="auto"/>
                <w:u w:val="single"/>
              </w:rPr>
            </w:pPr>
            <w:r>
              <w:rPr>
                <w:rFonts w:hint="eastAsia"/>
                <w:b/>
                <w:bCs/>
                <w:color w:val="auto"/>
                <w:u w:val="single"/>
              </w:rPr>
              <w:t>②废气污染治理设施运行管理信息（除尘滤料、活性炭等更换量和时间）；</w:t>
            </w:r>
          </w:p>
          <w:p>
            <w:pPr>
              <w:pStyle w:val="182"/>
              <w:jc w:val="left"/>
              <w:rPr>
                <w:rFonts w:hint="eastAsia"/>
                <w:b/>
                <w:bCs/>
                <w:color w:val="auto"/>
                <w:u w:val="single"/>
              </w:rPr>
            </w:pPr>
            <w:r>
              <w:rPr>
                <w:rFonts w:hint="eastAsia"/>
                <w:b/>
                <w:bCs/>
                <w:color w:val="auto"/>
                <w:u w:val="single"/>
              </w:rPr>
              <w:t>③监测记录信息（主要污染排放口废气排放记录（手工监测和在线监测）等）；</w:t>
            </w:r>
          </w:p>
          <w:p>
            <w:pPr>
              <w:pStyle w:val="182"/>
              <w:jc w:val="left"/>
              <w:rPr>
                <w:rFonts w:hint="eastAsia"/>
                <w:b/>
                <w:bCs/>
                <w:color w:val="auto"/>
                <w:u w:val="single"/>
              </w:rPr>
            </w:pPr>
            <w:r>
              <w:rPr>
                <w:rFonts w:hint="eastAsia"/>
                <w:b/>
                <w:bCs/>
                <w:color w:val="auto"/>
                <w:u w:val="single"/>
              </w:rPr>
              <w:t>④主要原辅材料、燃料消耗记录（A、B级企业必需）；</w:t>
            </w:r>
          </w:p>
          <w:p>
            <w:pPr>
              <w:pStyle w:val="182"/>
              <w:jc w:val="left"/>
              <w:rPr>
                <w:rFonts w:hint="eastAsia"/>
                <w:b/>
                <w:bCs/>
                <w:color w:val="auto"/>
                <w:u w:val="single"/>
              </w:rPr>
            </w:pPr>
            <w:r>
              <w:rPr>
                <w:rFonts w:hint="eastAsia"/>
                <w:b/>
                <w:bCs/>
                <w:color w:val="auto"/>
                <w:u w:val="single"/>
              </w:rPr>
              <w:t>⑤电消耗记录（已安装用电监管设备的A、B级企业必需）。</w:t>
            </w:r>
          </w:p>
          <w:p>
            <w:pPr>
              <w:pStyle w:val="182"/>
              <w:jc w:val="left"/>
              <w:rPr>
                <w:rFonts w:hint="eastAsia"/>
                <w:b/>
                <w:bCs/>
                <w:color w:val="auto"/>
                <w:u w:val="single"/>
              </w:rPr>
            </w:pPr>
            <w:r>
              <w:rPr>
                <w:rFonts w:hint="eastAsia"/>
                <w:b/>
                <w:bCs/>
                <w:color w:val="auto"/>
                <w:u w:val="single"/>
                <w:lang w:val="en-US" w:eastAsia="zh-CN"/>
              </w:rPr>
              <w:t>3.</w:t>
            </w:r>
            <w:r>
              <w:rPr>
                <w:rFonts w:hint="eastAsia"/>
                <w:b/>
                <w:bCs/>
                <w:color w:val="auto"/>
                <w:u w:val="single"/>
              </w:rPr>
              <w:t>人员配置合理</w:t>
            </w:r>
          </w:p>
          <w:p>
            <w:pPr>
              <w:pStyle w:val="182"/>
              <w:jc w:val="left"/>
              <w:rPr>
                <w:rFonts w:hint="eastAsia"/>
                <w:b/>
                <w:bCs/>
                <w:color w:val="auto"/>
                <w:u w:val="single"/>
              </w:rPr>
            </w:pPr>
            <w:r>
              <w:rPr>
                <w:rFonts w:hint="eastAsia"/>
                <w:b/>
                <w:bCs/>
                <w:color w:val="auto"/>
                <w:u w:val="single"/>
              </w:rPr>
              <w:t>配备专/兼职环保人员，并具备相应的环境管理能力（学历、培训、从业经验等）。</w:t>
            </w:r>
          </w:p>
        </w:tc>
        <w:tc>
          <w:tcPr>
            <w:tcW w:w="2581" w:type="dxa"/>
            <w:vAlign w:val="center"/>
          </w:tcPr>
          <w:p>
            <w:pPr>
              <w:pStyle w:val="182"/>
              <w:jc w:val="left"/>
              <w:rPr>
                <w:b/>
                <w:bCs/>
                <w:color w:val="auto"/>
                <w:u w:val="single"/>
              </w:rPr>
            </w:pPr>
            <w:r>
              <w:rPr>
                <w:rFonts w:hint="eastAsia"/>
                <w:b/>
                <w:bCs/>
                <w:color w:val="auto"/>
                <w:u w:val="single"/>
                <w:lang w:val="en-US" w:eastAsia="zh-CN"/>
              </w:rPr>
              <w:t>1.</w:t>
            </w:r>
            <w:r>
              <w:rPr>
                <w:b/>
                <w:bCs/>
                <w:color w:val="auto"/>
                <w:u w:val="single"/>
              </w:rPr>
              <w:t>环保档案</w:t>
            </w:r>
          </w:p>
          <w:p>
            <w:pPr>
              <w:pStyle w:val="182"/>
              <w:jc w:val="left"/>
              <w:rPr>
                <w:rFonts w:hint="eastAsia"/>
                <w:b/>
                <w:bCs/>
                <w:color w:val="auto"/>
                <w:u w:val="single"/>
                <w:lang w:eastAsia="zh-CN"/>
              </w:rPr>
            </w:pPr>
            <w:r>
              <w:rPr>
                <w:rFonts w:hint="eastAsia"/>
                <w:b/>
                <w:bCs/>
                <w:color w:val="auto"/>
                <w:u w:val="single"/>
                <w:lang w:val="en-US" w:eastAsia="zh-CN"/>
              </w:rPr>
              <w:t>①</w:t>
            </w:r>
            <w:r>
              <w:rPr>
                <w:rFonts w:hint="eastAsia"/>
                <w:b/>
                <w:bCs/>
                <w:color w:val="auto"/>
                <w:u w:val="single"/>
              </w:rPr>
              <w:t>已批复和已完成竣工验收文件</w:t>
            </w:r>
            <w:r>
              <w:rPr>
                <w:rFonts w:hint="eastAsia"/>
                <w:b/>
                <w:bCs/>
                <w:color w:val="auto"/>
                <w:u w:val="single"/>
                <w:lang w:eastAsia="zh-CN"/>
              </w:rPr>
              <w:t>；</w:t>
            </w:r>
          </w:p>
          <w:p>
            <w:pPr>
              <w:pStyle w:val="182"/>
              <w:jc w:val="left"/>
              <w:rPr>
                <w:rFonts w:hint="eastAsia"/>
                <w:b/>
                <w:bCs/>
                <w:color w:val="auto"/>
                <w:u w:val="single"/>
                <w:lang w:val="en-US" w:eastAsia="zh-CN"/>
              </w:rPr>
            </w:pPr>
            <w:r>
              <w:rPr>
                <w:rFonts w:hint="eastAsia"/>
                <w:b/>
                <w:bCs/>
                <w:color w:val="auto"/>
                <w:u w:val="single"/>
                <w:lang w:val="en-US" w:eastAsia="zh-CN"/>
              </w:rPr>
              <w:t>②</w:t>
            </w:r>
            <w:r>
              <w:rPr>
                <w:rFonts w:hint="eastAsia"/>
                <w:b/>
                <w:bCs/>
                <w:color w:val="auto"/>
                <w:u w:val="single"/>
              </w:rPr>
              <w:t>建设废气治理设施运行管理规程；</w:t>
            </w:r>
          </w:p>
          <w:p>
            <w:pPr>
              <w:pStyle w:val="182"/>
              <w:jc w:val="left"/>
              <w:rPr>
                <w:rFonts w:hint="eastAsia"/>
                <w:b/>
                <w:bCs/>
                <w:color w:val="auto"/>
                <w:u w:val="single"/>
                <w:lang w:eastAsia="zh-CN"/>
              </w:rPr>
            </w:pPr>
            <w:r>
              <w:rPr>
                <w:rFonts w:hint="eastAsia"/>
                <w:b/>
                <w:bCs/>
                <w:color w:val="auto"/>
                <w:u w:val="single"/>
                <w:lang w:val="en-US" w:eastAsia="zh-CN"/>
              </w:rPr>
              <w:t>③</w:t>
            </w:r>
            <w:r>
              <w:rPr>
                <w:rFonts w:hint="eastAsia"/>
                <w:b/>
                <w:bCs/>
                <w:color w:val="auto"/>
                <w:u w:val="single"/>
              </w:rPr>
              <w:t>一年内废气检测报告</w:t>
            </w:r>
            <w:r>
              <w:rPr>
                <w:rFonts w:hint="eastAsia"/>
                <w:b/>
                <w:bCs/>
                <w:color w:val="auto"/>
                <w:u w:val="single"/>
                <w:lang w:eastAsia="zh-CN"/>
              </w:rPr>
              <w:t>；</w:t>
            </w:r>
          </w:p>
          <w:p>
            <w:pPr>
              <w:pStyle w:val="182"/>
              <w:jc w:val="left"/>
              <w:rPr>
                <w:rFonts w:hint="eastAsia"/>
                <w:b/>
                <w:bCs/>
                <w:color w:val="auto"/>
                <w:u w:val="single"/>
                <w:lang w:val="en-US" w:eastAsia="zh-CN"/>
              </w:rPr>
            </w:pPr>
            <w:r>
              <w:rPr>
                <w:rFonts w:hint="eastAsia"/>
                <w:b/>
                <w:bCs/>
                <w:color w:val="auto"/>
                <w:u w:val="single"/>
                <w:lang w:val="en-US" w:eastAsia="zh-CN"/>
              </w:rPr>
              <w:t>④已取得排污许可登记回执。</w:t>
            </w:r>
          </w:p>
          <w:p>
            <w:pPr>
              <w:pStyle w:val="182"/>
              <w:jc w:val="left"/>
              <w:rPr>
                <w:rFonts w:hint="eastAsia"/>
                <w:b/>
                <w:bCs/>
                <w:color w:val="auto"/>
                <w:u w:val="single"/>
                <w:lang w:val="en-US" w:eastAsia="zh-CN"/>
              </w:rPr>
            </w:pPr>
            <w:r>
              <w:rPr>
                <w:rFonts w:hint="eastAsia"/>
                <w:b/>
                <w:bCs/>
                <w:color w:val="auto"/>
                <w:u w:val="single"/>
                <w:lang w:val="en-US" w:eastAsia="zh-CN"/>
              </w:rPr>
              <w:t>2.台账记录</w:t>
            </w:r>
          </w:p>
          <w:p>
            <w:pPr>
              <w:pStyle w:val="182"/>
              <w:jc w:val="left"/>
              <w:rPr>
                <w:rFonts w:hint="default"/>
                <w:b/>
                <w:bCs/>
                <w:color w:val="auto"/>
                <w:u w:val="single"/>
                <w:lang w:val="en-US" w:eastAsia="zh-CN"/>
              </w:rPr>
            </w:pPr>
            <w:r>
              <w:rPr>
                <w:rFonts w:hint="eastAsia"/>
                <w:b/>
                <w:bCs/>
                <w:color w:val="auto"/>
                <w:u w:val="single"/>
                <w:lang w:val="en-US" w:eastAsia="zh-CN"/>
              </w:rPr>
              <w:t>①已</w:t>
            </w:r>
            <w:r>
              <w:rPr>
                <w:rFonts w:hint="default"/>
                <w:b/>
                <w:bCs/>
                <w:color w:val="auto"/>
                <w:u w:val="single"/>
                <w:lang w:val="en-US" w:eastAsia="zh-CN"/>
              </w:rPr>
              <w:t>制定生产设施运行管理信息台账；</w:t>
            </w:r>
          </w:p>
          <w:p>
            <w:pPr>
              <w:pStyle w:val="182"/>
              <w:jc w:val="left"/>
              <w:rPr>
                <w:rFonts w:hint="default"/>
                <w:b/>
                <w:bCs/>
                <w:color w:val="auto"/>
                <w:u w:val="single"/>
                <w:lang w:val="en-US" w:eastAsia="zh-CN"/>
              </w:rPr>
            </w:pPr>
            <w:r>
              <w:rPr>
                <w:rFonts w:hint="eastAsia"/>
                <w:b/>
                <w:bCs/>
                <w:color w:val="auto"/>
                <w:u w:val="single"/>
                <w:lang w:val="en-US" w:eastAsia="zh-CN"/>
              </w:rPr>
              <w:t>②</w:t>
            </w:r>
            <w:r>
              <w:rPr>
                <w:rFonts w:hint="default"/>
                <w:b/>
                <w:bCs/>
                <w:color w:val="auto"/>
                <w:u w:val="single"/>
                <w:lang w:val="en-US" w:eastAsia="zh-CN"/>
              </w:rPr>
              <w:t>建立废气污染治理设施运行管理信息台账；</w:t>
            </w:r>
          </w:p>
          <w:p>
            <w:pPr>
              <w:pStyle w:val="182"/>
              <w:jc w:val="left"/>
              <w:rPr>
                <w:rFonts w:hint="default"/>
                <w:b/>
                <w:bCs/>
                <w:color w:val="auto"/>
                <w:u w:val="single"/>
                <w:lang w:val="en-US" w:eastAsia="zh-CN"/>
              </w:rPr>
            </w:pPr>
            <w:r>
              <w:rPr>
                <w:rFonts w:hint="eastAsia"/>
                <w:b/>
                <w:bCs/>
                <w:color w:val="auto"/>
                <w:u w:val="single"/>
                <w:lang w:val="en-US" w:eastAsia="zh-CN"/>
              </w:rPr>
              <w:t>③</w:t>
            </w:r>
            <w:r>
              <w:rPr>
                <w:rFonts w:hint="default"/>
                <w:b/>
                <w:bCs/>
                <w:color w:val="auto"/>
                <w:u w:val="single"/>
                <w:lang w:val="en-US" w:eastAsia="zh-CN"/>
              </w:rPr>
              <w:t>监测报告记录信息；</w:t>
            </w:r>
          </w:p>
          <w:p>
            <w:pPr>
              <w:pStyle w:val="182"/>
              <w:jc w:val="left"/>
              <w:rPr>
                <w:rFonts w:hint="default"/>
                <w:b/>
                <w:bCs/>
                <w:color w:val="auto"/>
                <w:u w:val="single"/>
                <w:lang w:val="en-US" w:eastAsia="zh-CN"/>
              </w:rPr>
            </w:pPr>
            <w:r>
              <w:rPr>
                <w:rFonts w:hint="eastAsia"/>
                <w:b/>
                <w:bCs/>
                <w:color w:val="auto"/>
                <w:u w:val="single"/>
                <w:lang w:val="en-US" w:eastAsia="zh-CN"/>
              </w:rPr>
              <w:t>④</w:t>
            </w:r>
            <w:r>
              <w:rPr>
                <w:rFonts w:hint="default"/>
                <w:b/>
                <w:bCs/>
                <w:color w:val="auto"/>
                <w:u w:val="single"/>
                <w:lang w:val="en-US" w:eastAsia="zh-CN"/>
              </w:rPr>
              <w:t>统计主要原辅材料消耗记录；</w:t>
            </w:r>
          </w:p>
          <w:p>
            <w:pPr>
              <w:pStyle w:val="182"/>
              <w:jc w:val="left"/>
              <w:rPr>
                <w:rFonts w:hint="eastAsia"/>
                <w:b/>
                <w:bCs/>
                <w:color w:val="auto"/>
                <w:u w:val="single"/>
                <w:lang w:val="en-US" w:eastAsia="zh-CN"/>
              </w:rPr>
            </w:pPr>
            <w:r>
              <w:rPr>
                <w:rFonts w:hint="eastAsia"/>
                <w:b/>
                <w:bCs/>
                <w:color w:val="auto"/>
                <w:u w:val="single"/>
                <w:lang w:val="en-US" w:eastAsia="zh-CN"/>
              </w:rPr>
              <w:t>⑤已安装用电监管设备，具有用电消耗记录。</w:t>
            </w:r>
          </w:p>
          <w:p>
            <w:pPr>
              <w:pStyle w:val="182"/>
              <w:jc w:val="left"/>
              <w:rPr>
                <w:rFonts w:hint="default"/>
                <w:b/>
                <w:bCs/>
                <w:color w:val="auto"/>
                <w:u w:val="single"/>
                <w:lang w:val="en-US" w:eastAsia="zh-CN"/>
              </w:rPr>
            </w:pPr>
            <w:r>
              <w:rPr>
                <w:rFonts w:hint="eastAsia"/>
                <w:b/>
                <w:bCs/>
                <w:color w:val="auto"/>
                <w:u w:val="single"/>
                <w:lang w:val="en-US" w:eastAsia="zh-CN"/>
              </w:rPr>
              <w:t>3.设立环保机构，并</w:t>
            </w:r>
            <w:r>
              <w:rPr>
                <w:rFonts w:hint="eastAsia"/>
                <w:b/>
                <w:bCs/>
                <w:color w:val="auto"/>
                <w:u w:val="single"/>
              </w:rPr>
              <w:t>配备具备相应的环境管理能力（学历、培训、从业经验等）</w:t>
            </w:r>
            <w:r>
              <w:rPr>
                <w:rFonts w:hint="eastAsia"/>
                <w:b/>
                <w:bCs/>
                <w:color w:val="auto"/>
                <w:u w:val="single"/>
                <w:lang w:val="en-US" w:eastAsia="zh-CN"/>
              </w:rPr>
              <w:t>的</w:t>
            </w:r>
            <w:r>
              <w:rPr>
                <w:rFonts w:hint="eastAsia"/>
                <w:b/>
                <w:bCs/>
                <w:color w:val="auto"/>
                <w:u w:val="single"/>
              </w:rPr>
              <w:t>专职环保人员。</w:t>
            </w:r>
          </w:p>
        </w:tc>
        <w:tc>
          <w:tcPr>
            <w:tcW w:w="1162" w:type="dxa"/>
            <w:vAlign w:val="center"/>
          </w:tcPr>
          <w:p>
            <w:pPr>
              <w:pStyle w:val="182"/>
              <w:rPr>
                <w:rFonts w:hint="default"/>
                <w:b/>
                <w:bCs/>
                <w:color w:val="auto"/>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52" w:type="dxa"/>
            <w:vAlign w:val="center"/>
          </w:tcPr>
          <w:p>
            <w:pPr>
              <w:pStyle w:val="182"/>
              <w:rPr>
                <w:rFonts w:hint="eastAsia"/>
                <w:b/>
                <w:bCs/>
                <w:color w:val="auto"/>
                <w:u w:val="single"/>
              </w:rPr>
            </w:pPr>
            <w:r>
              <w:rPr>
                <w:rFonts w:hint="eastAsia"/>
                <w:b/>
                <w:bCs/>
                <w:color w:val="auto"/>
                <w:u w:val="single"/>
              </w:rPr>
              <w:t>其他控制要求</w:t>
            </w:r>
          </w:p>
        </w:tc>
        <w:tc>
          <w:tcPr>
            <w:tcW w:w="3959" w:type="dxa"/>
            <w:vAlign w:val="center"/>
          </w:tcPr>
          <w:p>
            <w:pPr>
              <w:pStyle w:val="182"/>
              <w:jc w:val="left"/>
              <w:rPr>
                <w:rFonts w:hint="eastAsia"/>
                <w:b/>
                <w:bCs/>
                <w:color w:val="auto"/>
                <w:u w:val="single"/>
              </w:rPr>
            </w:pPr>
            <w:r>
              <w:rPr>
                <w:rFonts w:hint="eastAsia"/>
                <w:b/>
                <w:bCs/>
                <w:color w:val="auto"/>
                <w:u w:val="single"/>
                <w:lang w:val="en-US" w:eastAsia="zh-CN"/>
              </w:rPr>
              <w:t>1.</w:t>
            </w:r>
            <w:r>
              <w:rPr>
                <w:rFonts w:hint="eastAsia"/>
                <w:b/>
                <w:bCs/>
                <w:color w:val="auto"/>
                <w:u w:val="single"/>
              </w:rPr>
              <w:t>生产工艺和装备</w:t>
            </w:r>
          </w:p>
          <w:p>
            <w:pPr>
              <w:pStyle w:val="182"/>
              <w:jc w:val="left"/>
              <w:rPr>
                <w:rFonts w:hint="eastAsia"/>
                <w:b/>
                <w:bCs/>
                <w:color w:val="auto"/>
                <w:u w:val="single"/>
              </w:rPr>
            </w:pPr>
            <w:r>
              <w:rPr>
                <w:rFonts w:hint="eastAsia"/>
                <w:b/>
                <w:bCs/>
                <w:color w:val="auto"/>
                <w:u w:val="single"/>
              </w:rPr>
              <w:t>不属于《产业结构调整指导目录（2019年版）》淘汰类，不属于省级和市级政府部门明确列入已经限期淘汰类项目。</w:t>
            </w:r>
          </w:p>
          <w:p>
            <w:pPr>
              <w:pStyle w:val="182"/>
              <w:jc w:val="left"/>
              <w:rPr>
                <w:rFonts w:hint="eastAsia"/>
                <w:b/>
                <w:bCs/>
                <w:color w:val="auto"/>
                <w:u w:val="single"/>
              </w:rPr>
            </w:pPr>
            <w:r>
              <w:rPr>
                <w:rFonts w:hint="eastAsia"/>
                <w:b/>
                <w:bCs/>
                <w:color w:val="auto"/>
                <w:u w:val="single"/>
                <w:lang w:val="en-US" w:eastAsia="zh-CN"/>
              </w:rPr>
              <w:t>2.</w:t>
            </w:r>
            <w:r>
              <w:rPr>
                <w:rFonts w:hint="eastAsia"/>
                <w:b/>
                <w:bCs/>
                <w:color w:val="auto"/>
                <w:u w:val="single"/>
              </w:rPr>
              <w:t>污染治理副产物</w:t>
            </w:r>
          </w:p>
          <w:p>
            <w:pPr>
              <w:pStyle w:val="182"/>
              <w:jc w:val="left"/>
              <w:rPr>
                <w:rFonts w:hint="eastAsia"/>
                <w:b/>
                <w:bCs/>
                <w:color w:val="auto"/>
                <w:u w:val="single"/>
              </w:rPr>
            </w:pPr>
            <w:r>
              <w:rPr>
                <w:rFonts w:hint="eastAsia"/>
                <w:b/>
                <w:bCs/>
                <w:color w:val="auto"/>
                <w:u w:val="single"/>
              </w:rPr>
              <w:t>除尘器应设置密闭灰仓并及时卸灰，除尘灰应通过气力输送、罐车、袋子等封闭方式卸灰，不得直接卸落到地面。除尘灰如果转运应采用气力输送、封闭传送带方式，如果直接外运应采用罐车或袋装后运输，并在装车过程中采取抑尘措施，除尘灰在厂区内应密闭/封闭储存；脱硫石膏和脱硫废渣等固体废物在转运过程中应采取抑尘措施并应封闭储存。</w:t>
            </w:r>
          </w:p>
          <w:p>
            <w:pPr>
              <w:pStyle w:val="182"/>
              <w:jc w:val="left"/>
              <w:rPr>
                <w:rFonts w:hint="eastAsia"/>
                <w:b/>
                <w:bCs/>
                <w:color w:val="auto"/>
                <w:u w:val="single"/>
              </w:rPr>
            </w:pPr>
            <w:r>
              <w:rPr>
                <w:rFonts w:hint="eastAsia"/>
                <w:b/>
                <w:bCs/>
                <w:color w:val="auto"/>
                <w:u w:val="single"/>
                <w:lang w:val="en-US" w:eastAsia="zh-CN"/>
              </w:rPr>
              <w:t>3.</w:t>
            </w:r>
            <w:r>
              <w:rPr>
                <w:rFonts w:hint="eastAsia"/>
                <w:b/>
                <w:bCs/>
                <w:color w:val="auto"/>
                <w:u w:val="single"/>
              </w:rPr>
              <w:t>用电量/视频监管</w:t>
            </w:r>
          </w:p>
          <w:p>
            <w:pPr>
              <w:pStyle w:val="182"/>
              <w:jc w:val="left"/>
              <w:rPr>
                <w:rFonts w:hint="eastAsia"/>
                <w:b/>
                <w:bCs/>
                <w:color w:val="auto"/>
                <w:u w:val="single"/>
              </w:rPr>
            </w:pPr>
            <w:r>
              <w:rPr>
                <w:rFonts w:hint="eastAsia"/>
                <w:b/>
                <w:bCs/>
                <w:color w:val="auto"/>
                <w:u w:val="single"/>
              </w:rPr>
              <w:t>按照《河南省涉气排污单位污染治理设施用电监管技术指南（试行）》要求安装用电监管设备（有自动在线监控系统的企业除外），用电监管数据直接上传至省、市生态环境部门的污染治理设施用电监管平台服务器；未安装自动在线监控和用电量监管拟申报A、B级企业，应在主要生产设备（投料口、卸料口等位置）安装视频监控设施，相关数据保存三个月以上。</w:t>
            </w:r>
          </w:p>
          <w:p>
            <w:pPr>
              <w:pStyle w:val="182"/>
              <w:jc w:val="left"/>
              <w:rPr>
                <w:rFonts w:hint="eastAsia"/>
                <w:b/>
                <w:bCs/>
                <w:color w:val="auto"/>
                <w:u w:val="single"/>
              </w:rPr>
            </w:pPr>
            <w:r>
              <w:rPr>
                <w:rFonts w:hint="eastAsia"/>
                <w:b/>
                <w:bCs/>
                <w:color w:val="auto"/>
                <w:u w:val="single"/>
                <w:lang w:val="en-US" w:eastAsia="zh-CN"/>
              </w:rPr>
              <w:t>4.</w:t>
            </w:r>
            <w:r>
              <w:rPr>
                <w:rFonts w:hint="eastAsia"/>
                <w:b/>
                <w:bCs/>
                <w:color w:val="auto"/>
                <w:u w:val="single"/>
              </w:rPr>
              <w:t>厂容厂貌</w:t>
            </w:r>
          </w:p>
          <w:p>
            <w:pPr>
              <w:pStyle w:val="182"/>
              <w:jc w:val="left"/>
              <w:rPr>
                <w:rFonts w:hint="eastAsia"/>
                <w:b/>
                <w:bCs/>
                <w:color w:val="auto"/>
                <w:u w:val="single"/>
              </w:rPr>
            </w:pPr>
            <w:r>
              <w:rPr>
                <w:rFonts w:hint="eastAsia"/>
                <w:b/>
                <w:bCs/>
                <w:color w:val="auto"/>
                <w:u w:val="single"/>
              </w:rPr>
              <w:t>厂区内道路、原辅材料和燃料堆场等路面应硬化。厂区内道路采取定期清扫、洒水等措施，保持清洁，路面无明显可见积尘。其他未利用地优先绿化，或进行硬化，无成片裸露土地。</w:t>
            </w:r>
          </w:p>
        </w:tc>
        <w:tc>
          <w:tcPr>
            <w:tcW w:w="2581" w:type="dxa"/>
            <w:vAlign w:val="center"/>
          </w:tcPr>
          <w:p>
            <w:pPr>
              <w:pStyle w:val="182"/>
              <w:jc w:val="left"/>
              <w:rPr>
                <w:rFonts w:hint="eastAsia"/>
                <w:b/>
                <w:bCs/>
                <w:color w:val="auto"/>
                <w:u w:val="single"/>
                <w:lang w:val="en-US" w:eastAsia="zh-CN"/>
              </w:rPr>
            </w:pPr>
            <w:r>
              <w:rPr>
                <w:rFonts w:hint="eastAsia"/>
                <w:b/>
                <w:bCs/>
                <w:color w:val="auto"/>
                <w:u w:val="single"/>
                <w:lang w:val="en-US" w:eastAsia="zh-CN"/>
              </w:rPr>
              <w:t>1.项目属于《产业结构调整指导目录(2019年版)》鼓励类，本项目所使用的设备均为新购，严格审查购买程序，不购买、安装限制类、淘汰类设备；</w:t>
            </w:r>
          </w:p>
          <w:p>
            <w:pPr>
              <w:pStyle w:val="182"/>
              <w:jc w:val="left"/>
              <w:rPr>
                <w:rFonts w:hint="eastAsia"/>
                <w:b/>
                <w:bCs/>
                <w:color w:val="auto"/>
                <w:u w:val="single"/>
                <w:lang w:val="en-US" w:eastAsia="zh-CN"/>
              </w:rPr>
            </w:pPr>
            <w:r>
              <w:rPr>
                <w:rFonts w:hint="eastAsia"/>
                <w:b/>
                <w:bCs/>
                <w:color w:val="auto"/>
                <w:u w:val="single"/>
                <w:lang w:val="en-US" w:eastAsia="zh-CN"/>
              </w:rPr>
              <w:t>2.保证除尘器卸料不落到地面，卸出的物料回收利用；</w:t>
            </w:r>
          </w:p>
          <w:p>
            <w:pPr>
              <w:pStyle w:val="182"/>
              <w:jc w:val="left"/>
              <w:rPr>
                <w:rFonts w:hint="default"/>
                <w:b/>
                <w:bCs/>
                <w:color w:val="auto"/>
                <w:u w:val="single"/>
                <w:lang w:val="en-US" w:eastAsia="zh-CN"/>
              </w:rPr>
            </w:pPr>
            <w:r>
              <w:rPr>
                <w:rFonts w:hint="eastAsia"/>
                <w:b/>
                <w:bCs/>
                <w:color w:val="auto"/>
                <w:u w:val="single"/>
                <w:lang w:val="en-US" w:eastAsia="zh-CN"/>
              </w:rPr>
              <w:t>3.按要求安装用电监管设备、系统并联网；</w:t>
            </w:r>
          </w:p>
          <w:p>
            <w:pPr>
              <w:pStyle w:val="182"/>
              <w:jc w:val="left"/>
              <w:rPr>
                <w:rFonts w:hint="default"/>
                <w:b/>
                <w:bCs/>
                <w:color w:val="auto"/>
                <w:u w:val="single"/>
                <w:lang w:val="en-US" w:eastAsia="zh-CN"/>
              </w:rPr>
            </w:pPr>
            <w:r>
              <w:rPr>
                <w:rFonts w:hint="eastAsia"/>
                <w:b/>
                <w:bCs/>
                <w:color w:val="auto"/>
                <w:u w:val="single"/>
                <w:lang w:val="en-US" w:eastAsia="zh-CN"/>
              </w:rPr>
              <w:t>4.本项目车间用地</w:t>
            </w:r>
            <w:r>
              <w:rPr>
                <w:rFonts w:hint="default"/>
                <w:b/>
                <w:bCs/>
                <w:color w:val="auto"/>
                <w:u w:val="single"/>
                <w:lang w:val="en-US" w:eastAsia="zh-CN"/>
              </w:rPr>
              <w:t>全部硬化，</w:t>
            </w:r>
            <w:r>
              <w:rPr>
                <w:rFonts w:hint="default"/>
                <w:b/>
                <w:bCs/>
                <w:color w:val="auto"/>
                <w:u w:val="single"/>
              </w:rPr>
              <w:t>未利用地优先绿化</w:t>
            </w:r>
            <w:r>
              <w:rPr>
                <w:rFonts w:hint="eastAsia"/>
                <w:b/>
                <w:bCs/>
                <w:color w:val="auto"/>
                <w:u w:val="single"/>
                <w:lang w:eastAsia="zh-CN"/>
              </w:rPr>
              <w:t>，</w:t>
            </w:r>
            <w:r>
              <w:rPr>
                <w:rFonts w:hint="default"/>
                <w:b/>
                <w:bCs/>
                <w:color w:val="auto"/>
                <w:u w:val="single"/>
                <w:lang w:val="en-US" w:eastAsia="zh-CN"/>
              </w:rPr>
              <w:t>无成片裸露土地。</w:t>
            </w:r>
          </w:p>
        </w:tc>
        <w:tc>
          <w:tcPr>
            <w:tcW w:w="1162" w:type="dxa"/>
            <w:vAlign w:val="center"/>
          </w:tcPr>
          <w:p>
            <w:pPr>
              <w:pStyle w:val="182"/>
              <w:rPr>
                <w:rFonts w:hint="default"/>
                <w:b/>
                <w:bCs/>
                <w:color w:val="auto"/>
                <w:u w:val="single"/>
                <w:lang w:val="en-US" w:eastAsia="zh-CN"/>
              </w:rPr>
            </w:pPr>
            <w:r>
              <w:rPr>
                <w:rFonts w:hint="eastAsia"/>
                <w:b/>
                <w:bCs/>
                <w:color w:val="auto"/>
                <w:u w:val="single"/>
                <w:lang w:val="en-US" w:eastAsia="zh-CN"/>
              </w:rPr>
              <w:t>满足</w:t>
            </w:r>
          </w:p>
        </w:tc>
      </w:tr>
    </w:tbl>
    <w:p>
      <w:pPr>
        <w:rPr>
          <w:color w:val="auto"/>
        </w:rPr>
      </w:pPr>
    </w:p>
    <w:p>
      <w:pPr>
        <w:rPr>
          <w:color w:val="auto"/>
        </w:rPr>
        <w:sectPr>
          <w:pgSz w:w="11906" w:h="16838"/>
          <w:pgMar w:top="1440" w:right="1800" w:bottom="1440" w:left="1800" w:header="850" w:footer="850" w:gutter="0"/>
          <w:pgBorders>
            <w:top w:val="none" w:sz="0" w:space="0"/>
            <w:left w:val="none" w:sz="0" w:space="0"/>
            <w:bottom w:val="none" w:sz="0" w:space="0"/>
            <w:right w:val="none" w:sz="0" w:space="0"/>
          </w:pgBorders>
          <w:pgNumType w:fmt="decimal"/>
          <w:cols w:space="720" w:num="1"/>
          <w:docGrid w:linePitch="312" w:charSpace="0"/>
        </w:sectPr>
      </w:pPr>
    </w:p>
    <w:p>
      <w:pPr>
        <w:pStyle w:val="6"/>
        <w:bidi w:val="0"/>
        <w:rPr>
          <w:color w:val="auto"/>
        </w:rPr>
      </w:pPr>
      <w:bookmarkStart w:id="160" w:name="_Toc8516"/>
      <w:bookmarkStart w:id="161" w:name="_Toc13621"/>
      <w:bookmarkStart w:id="162" w:name="_Toc1765"/>
      <w:r>
        <w:rPr>
          <w:rFonts w:hint="eastAsia"/>
          <w:color w:val="auto"/>
        </w:rPr>
        <w:t>第三章  工程分析</w:t>
      </w:r>
      <w:bookmarkEnd w:id="1"/>
      <w:bookmarkEnd w:id="2"/>
      <w:bookmarkEnd w:id="160"/>
      <w:bookmarkEnd w:id="161"/>
      <w:bookmarkEnd w:id="162"/>
    </w:p>
    <w:p>
      <w:pPr>
        <w:pStyle w:val="7"/>
        <w:bidi w:val="0"/>
        <w:rPr>
          <w:color w:val="auto"/>
        </w:rPr>
      </w:pPr>
      <w:bookmarkStart w:id="163" w:name="_Toc31134"/>
      <w:bookmarkStart w:id="164" w:name="_Toc30978"/>
      <w:bookmarkStart w:id="165" w:name="_Toc5918"/>
      <w:bookmarkStart w:id="166" w:name="_Toc16726"/>
      <w:bookmarkStart w:id="167" w:name="_Toc17326"/>
      <w:bookmarkStart w:id="168" w:name="_Toc22476"/>
      <w:bookmarkStart w:id="169" w:name="_Toc14428"/>
      <w:bookmarkStart w:id="170" w:name="_Toc1480"/>
      <w:bookmarkStart w:id="171" w:name="_Toc5258"/>
      <w:bookmarkStart w:id="172" w:name="_Toc8778"/>
      <w:bookmarkStart w:id="173" w:name="_Toc28266"/>
      <w:r>
        <w:rPr>
          <w:rFonts w:hint="eastAsia"/>
          <w:color w:val="auto"/>
        </w:rPr>
        <w:t>3</w:t>
      </w:r>
      <w:r>
        <w:rPr>
          <w:color w:val="auto"/>
        </w:rPr>
        <w:t>.1</w:t>
      </w:r>
      <w:r>
        <w:rPr>
          <w:rFonts w:hint="eastAsia"/>
          <w:color w:val="auto"/>
        </w:rPr>
        <w:t>企业项目建设情况</w:t>
      </w:r>
      <w:bookmarkEnd w:id="163"/>
    </w:p>
    <w:p>
      <w:pPr>
        <w:bidi w:val="0"/>
        <w:rPr>
          <w:color w:val="auto"/>
        </w:rPr>
      </w:pPr>
      <w:r>
        <w:rPr>
          <w:rFonts w:hint="eastAsia"/>
          <w:color w:val="auto"/>
        </w:rPr>
        <w:t>新乡化纤股份有限公司是新乡白鹭投资集团有限公司的控股子公司，前身是国营新乡化学纤维厂，始建于20世纪60年代初期。经过多年的扩建、改造，生产经营规模有了较大的发展，并于2003年在新乡经济技术开发区（原小店工业园区）新增建设用地1700亩，建设了新厂区。</w:t>
      </w:r>
    </w:p>
    <w:p>
      <w:pPr>
        <w:bidi w:val="0"/>
        <w:rPr>
          <w:color w:val="auto"/>
        </w:rPr>
      </w:pPr>
      <w:r>
        <w:rPr>
          <w:rFonts w:hint="eastAsia"/>
          <w:color w:val="auto"/>
        </w:rPr>
        <w:t>本项目位于新乡化纤股份有限公司新厂区内，具体位置在新乡经济技术开发区新长北线南侧，目前新厂区现有及在建工程主要产品生产规模为粘胶长丝3.5万吨/年，氨纶</w:t>
      </w:r>
      <w:r>
        <w:rPr>
          <w:rFonts w:hint="eastAsia"/>
          <w:color w:val="auto"/>
          <w:lang w:val="en-US" w:eastAsia="zh-CN"/>
        </w:rPr>
        <w:t>纤维</w:t>
      </w:r>
      <w:r>
        <w:rPr>
          <w:rFonts w:hint="eastAsia"/>
          <w:color w:val="auto"/>
        </w:rPr>
        <w:t>14万吨/年和再生氨纶</w:t>
      </w:r>
      <w:r>
        <w:rPr>
          <w:rFonts w:hint="eastAsia"/>
          <w:color w:val="auto"/>
          <w:lang w:val="en-US" w:eastAsia="zh-CN"/>
        </w:rPr>
        <w:t>纤维</w:t>
      </w:r>
      <w:r>
        <w:rPr>
          <w:rFonts w:hint="eastAsia"/>
          <w:color w:val="auto"/>
        </w:rPr>
        <w:t>0.6万吨/年。新厂区已批复项目主要包括：</w:t>
      </w:r>
    </w:p>
    <w:p>
      <w:pPr>
        <w:bidi w:val="0"/>
        <w:rPr>
          <w:color w:val="auto"/>
        </w:rPr>
      </w:pPr>
      <w:r>
        <w:rPr>
          <w:rFonts w:hint="eastAsia"/>
          <w:color w:val="auto"/>
        </w:rPr>
        <w:t>（1）新乡化纤股份有限公司年产5000吨差别化新型连续纺粘胶长丝工程项目，该项目于2005年1</w:t>
      </w:r>
      <w:r>
        <w:rPr>
          <w:color w:val="auto"/>
        </w:rPr>
        <w:t>2</w:t>
      </w:r>
      <w:r>
        <w:rPr>
          <w:rFonts w:hint="eastAsia"/>
          <w:color w:val="auto"/>
        </w:rPr>
        <w:t>月1</w:t>
      </w:r>
      <w:r>
        <w:rPr>
          <w:color w:val="auto"/>
        </w:rPr>
        <w:t>4</w:t>
      </w:r>
      <w:r>
        <w:rPr>
          <w:rFonts w:hint="eastAsia"/>
          <w:color w:val="auto"/>
        </w:rPr>
        <w:t>日由河南省环保厅批复（批复文号：豫环监[2005]182号），并于2008年</w:t>
      </w:r>
      <w:r>
        <w:rPr>
          <w:color w:val="auto"/>
        </w:rPr>
        <w:t>6</w:t>
      </w:r>
      <w:r>
        <w:rPr>
          <w:rFonts w:hint="eastAsia"/>
          <w:color w:val="auto"/>
        </w:rPr>
        <w:t>月2日通过河南省环保厅验收（验收文号：豫环保验[2008]27号）。</w:t>
      </w:r>
    </w:p>
    <w:p>
      <w:pPr>
        <w:bidi w:val="0"/>
        <w:rPr>
          <w:color w:val="auto"/>
        </w:rPr>
      </w:pPr>
      <w:r>
        <w:rPr>
          <w:rFonts w:hint="eastAsia"/>
          <w:color w:val="auto"/>
        </w:rPr>
        <w:t>（2）新乡化纤股份有限公司年产4万吨高品质差别化粘胶短纤维项目，该项目于2007年9月1</w:t>
      </w:r>
      <w:r>
        <w:rPr>
          <w:color w:val="auto"/>
        </w:rPr>
        <w:t>2</w:t>
      </w:r>
      <w:r>
        <w:rPr>
          <w:rFonts w:hint="eastAsia"/>
          <w:color w:val="auto"/>
        </w:rPr>
        <w:t>日由河南省环保厅批复（批复文号：豫环审[2007]199号），并于2011年5月2</w:t>
      </w:r>
      <w:r>
        <w:rPr>
          <w:color w:val="auto"/>
        </w:rPr>
        <w:t>4</w:t>
      </w:r>
      <w:r>
        <w:rPr>
          <w:rFonts w:hint="eastAsia"/>
          <w:color w:val="auto"/>
        </w:rPr>
        <w:t>日通过河南省环保厅验收（验收文号：豫环评验[2011]24号）。该项目目前已报废拆除。</w:t>
      </w:r>
    </w:p>
    <w:p>
      <w:pPr>
        <w:bidi w:val="0"/>
        <w:rPr>
          <w:color w:val="auto"/>
        </w:rPr>
      </w:pPr>
      <w:r>
        <w:rPr>
          <w:rFonts w:hint="eastAsia"/>
          <w:color w:val="auto"/>
        </w:rPr>
        <w:t>（3）新乡化纤股份有限公司年产4万吨高湿模量粘胶短纤维项目，该项目于2009年2月3日由河南省环保厅批复（批复文号：豫环审[200</w:t>
      </w:r>
      <w:r>
        <w:rPr>
          <w:color w:val="auto"/>
        </w:rPr>
        <w:t>9</w:t>
      </w:r>
      <w:r>
        <w:rPr>
          <w:rFonts w:hint="eastAsia"/>
          <w:color w:val="auto"/>
        </w:rPr>
        <w:t>]</w:t>
      </w:r>
      <w:r>
        <w:rPr>
          <w:color w:val="auto"/>
        </w:rPr>
        <w:t>3</w:t>
      </w:r>
      <w:r>
        <w:rPr>
          <w:rFonts w:hint="eastAsia"/>
          <w:color w:val="auto"/>
        </w:rPr>
        <w:t>9号），2018年3月由企业完成自主验收。随着年产2万吨生物质纤维素项目的建设，该项目目前已报废拆除。</w:t>
      </w:r>
    </w:p>
    <w:p>
      <w:pPr>
        <w:bidi w:val="0"/>
        <w:rPr>
          <w:color w:val="auto"/>
        </w:rPr>
      </w:pPr>
      <w:r>
        <w:rPr>
          <w:rFonts w:hint="eastAsia"/>
          <w:color w:val="auto"/>
        </w:rPr>
        <w:t>（4）新乡化纤股份有限公司年产2×2万吨超柔软氨纶纤维项目，该项目于2013年1</w:t>
      </w:r>
      <w:r>
        <w:rPr>
          <w:color w:val="auto"/>
        </w:rPr>
        <w:t>2</w:t>
      </w:r>
      <w:r>
        <w:rPr>
          <w:rFonts w:hint="eastAsia"/>
          <w:color w:val="auto"/>
        </w:rPr>
        <w:t>月2</w:t>
      </w:r>
      <w:r>
        <w:rPr>
          <w:color w:val="auto"/>
        </w:rPr>
        <w:t>7</w:t>
      </w:r>
      <w:r>
        <w:rPr>
          <w:rFonts w:hint="eastAsia"/>
          <w:color w:val="auto"/>
        </w:rPr>
        <w:t>日由河南省环保厅批复（批复文号：豫环审[2013]616号），项目分两期建设，其中一期工程于2016年1</w:t>
      </w:r>
      <w:r>
        <w:rPr>
          <w:color w:val="auto"/>
        </w:rPr>
        <w:t>1</w:t>
      </w:r>
      <w:r>
        <w:rPr>
          <w:rFonts w:hint="eastAsia"/>
          <w:color w:val="auto"/>
        </w:rPr>
        <w:t>月1日通过河南省环保厅验收（验收文号：豫环函</w:t>
      </w:r>
      <w:r>
        <w:rPr>
          <w:rFonts w:hint="eastAsia"/>
          <w:color w:val="auto"/>
          <w:lang w:eastAsia="zh-CN"/>
        </w:rPr>
        <w:t>〔</w:t>
      </w:r>
      <w:r>
        <w:rPr>
          <w:rFonts w:hint="eastAsia"/>
          <w:color w:val="auto"/>
        </w:rPr>
        <w:t>2016</w:t>
      </w:r>
      <w:r>
        <w:rPr>
          <w:rFonts w:hint="eastAsia"/>
          <w:color w:val="auto"/>
          <w:lang w:eastAsia="zh-CN"/>
        </w:rPr>
        <w:t>〕</w:t>
      </w:r>
      <w:r>
        <w:rPr>
          <w:rFonts w:hint="eastAsia"/>
          <w:color w:val="auto"/>
        </w:rPr>
        <w:t>372号），二期工程于2018年2月由企业完成自主验收。</w:t>
      </w:r>
    </w:p>
    <w:p>
      <w:pPr>
        <w:bidi w:val="0"/>
        <w:rPr>
          <w:color w:val="auto"/>
        </w:rPr>
      </w:pPr>
      <w:r>
        <w:rPr>
          <w:rFonts w:hint="eastAsia"/>
          <w:color w:val="auto"/>
        </w:rPr>
        <w:t>（5）新乡化纤股份有限公司新建2×170t/h蒸汽锅炉项目，该项目于2016年4月2</w:t>
      </w:r>
      <w:r>
        <w:rPr>
          <w:color w:val="auto"/>
        </w:rPr>
        <w:t>9</w:t>
      </w:r>
      <w:r>
        <w:rPr>
          <w:rFonts w:hint="eastAsia"/>
          <w:color w:val="auto"/>
        </w:rPr>
        <w:t>日由新乡市</w:t>
      </w:r>
      <w:r>
        <w:rPr>
          <w:rFonts w:hint="eastAsia"/>
          <w:color w:val="auto"/>
          <w:lang w:eastAsia="zh-CN"/>
        </w:rPr>
        <w:t>环境</w:t>
      </w:r>
      <w:r>
        <w:rPr>
          <w:rFonts w:hint="eastAsia"/>
          <w:color w:val="auto"/>
        </w:rPr>
        <w:t>保护局批复（批复文号：新环书审[2016]9号），项目分两期建设，其中一期170t/h蒸汽锅炉项目于2018年3月由企业完成自主验收，二期170t/h蒸汽锅炉项目于2019年6月由企业完成自主验收。</w:t>
      </w:r>
    </w:p>
    <w:p>
      <w:pPr>
        <w:bidi w:val="0"/>
        <w:rPr>
          <w:color w:val="auto"/>
        </w:rPr>
      </w:pPr>
      <w:r>
        <w:rPr>
          <w:rFonts w:hint="eastAsia"/>
          <w:color w:val="auto"/>
        </w:rPr>
        <w:t>（6）新乡化纤股份有限公司年产2万吨超细旦氨纶纤维项目（年产3×2万吨超细旦氨纶纤维项目一期工程），该项目于2017年1月2</w:t>
      </w:r>
      <w:r>
        <w:rPr>
          <w:color w:val="auto"/>
        </w:rPr>
        <w:t>0</w:t>
      </w:r>
      <w:r>
        <w:rPr>
          <w:rFonts w:hint="eastAsia"/>
          <w:color w:val="auto"/>
        </w:rPr>
        <w:t>日由河南省环保厅批复（批复文号：豫环审[2017]17号），并于2018年11月由企业完成自主验收。</w:t>
      </w:r>
    </w:p>
    <w:p>
      <w:pPr>
        <w:bidi w:val="0"/>
        <w:rPr>
          <w:color w:val="auto"/>
        </w:rPr>
      </w:pPr>
      <w:r>
        <w:rPr>
          <w:rFonts w:hint="eastAsia"/>
          <w:color w:val="auto"/>
        </w:rPr>
        <w:t>（7）新乡化纤股份有限公司年产一万吨新型纤维素长丝项目，该项目于2017年由新乡市环境保护局批复（批复文号：新环书审[2017]19号），并于2019年12月由企业完成自主验收。</w:t>
      </w:r>
    </w:p>
    <w:p>
      <w:pPr>
        <w:bidi w:val="0"/>
        <w:rPr>
          <w:color w:val="auto"/>
        </w:rPr>
      </w:pPr>
      <w:r>
        <w:rPr>
          <w:rFonts w:hint="eastAsia"/>
          <w:color w:val="auto"/>
        </w:rPr>
        <w:t>（8）新乡化纤股份有限公司年产2×2万吨超细旦氨纶纤维项目（年产3×2万吨超细旦氨纶纤维项目二期三期工程），该项目于2017年1</w:t>
      </w:r>
      <w:r>
        <w:rPr>
          <w:color w:val="auto"/>
        </w:rPr>
        <w:t>1</w:t>
      </w:r>
      <w:r>
        <w:rPr>
          <w:rFonts w:hint="eastAsia"/>
          <w:color w:val="auto"/>
        </w:rPr>
        <w:t>月2</w:t>
      </w:r>
      <w:r>
        <w:rPr>
          <w:color w:val="auto"/>
        </w:rPr>
        <w:t>0</w:t>
      </w:r>
      <w:r>
        <w:rPr>
          <w:rFonts w:hint="eastAsia"/>
          <w:color w:val="auto"/>
        </w:rPr>
        <w:t>日由河南省环保厅批复（批复文号：豫环审[2017]231号），该项目二期工程于2020年4月由企业完成自主验收，三期工程尚未建设。</w:t>
      </w:r>
    </w:p>
    <w:p>
      <w:pPr>
        <w:bidi w:val="0"/>
        <w:rPr>
          <w:color w:val="auto"/>
        </w:rPr>
      </w:pPr>
      <w:r>
        <w:rPr>
          <w:rFonts w:hint="eastAsia"/>
          <w:color w:val="auto"/>
        </w:rPr>
        <w:t>（9）新乡化纤股份有限公司年产2万吨生物质纤维素项目，该项目于2019年4月2</w:t>
      </w:r>
      <w:r>
        <w:rPr>
          <w:color w:val="auto"/>
        </w:rPr>
        <w:t>2</w:t>
      </w:r>
      <w:r>
        <w:rPr>
          <w:rFonts w:hint="eastAsia"/>
          <w:color w:val="auto"/>
        </w:rPr>
        <w:t>日由新乡市生态环境局批复（批复文号：新环书审[2019]6号），项目分两期进行建设，其中一期工程于2</w:t>
      </w:r>
      <w:r>
        <w:rPr>
          <w:color w:val="auto"/>
        </w:rPr>
        <w:t>021</w:t>
      </w:r>
      <w:r>
        <w:rPr>
          <w:rFonts w:hint="eastAsia"/>
          <w:color w:val="auto"/>
        </w:rPr>
        <w:t>年1</w:t>
      </w:r>
      <w:r>
        <w:rPr>
          <w:color w:val="auto"/>
        </w:rPr>
        <w:t>1</w:t>
      </w:r>
      <w:r>
        <w:rPr>
          <w:rFonts w:hint="eastAsia"/>
          <w:color w:val="auto"/>
        </w:rPr>
        <w:t>月由企业完成自主验收，二期工程暂未建设。</w:t>
      </w:r>
    </w:p>
    <w:p>
      <w:pPr>
        <w:bidi w:val="0"/>
        <w:rPr>
          <w:color w:val="auto"/>
        </w:rPr>
      </w:pPr>
      <w:r>
        <w:rPr>
          <w:rFonts w:hint="eastAsia"/>
          <w:color w:val="auto"/>
        </w:rPr>
        <w:t>（10）新乡化纤股份有限公司年产六千吨再生氨纶纤维项目，该项目于2020年4月2</w:t>
      </w:r>
      <w:r>
        <w:rPr>
          <w:color w:val="auto"/>
        </w:rPr>
        <w:t>0</w:t>
      </w:r>
      <w:r>
        <w:rPr>
          <w:rFonts w:hint="eastAsia"/>
          <w:color w:val="auto"/>
        </w:rPr>
        <w:t>日由新乡市生态环境局批复（批复文号：新环书审[2020]10号），目前该项目正在建设。</w:t>
      </w:r>
    </w:p>
    <w:p>
      <w:pPr>
        <w:bidi w:val="0"/>
        <w:rPr>
          <w:color w:val="auto"/>
        </w:rPr>
      </w:pPr>
      <w:r>
        <w:rPr>
          <w:rFonts w:hint="eastAsia"/>
          <w:color w:val="auto"/>
        </w:rPr>
        <w:t>（11）新乡化纤股份有限公司年产10万吨高品质超细旦氨纶纤维项目，该项目于2020年11月19日由新乡市生态环境局的审批（新环书审[2020]20号），目前该项目正在建设中。</w:t>
      </w:r>
    </w:p>
    <w:p>
      <w:pPr>
        <w:bidi w:val="0"/>
        <w:rPr>
          <w:color w:val="auto"/>
        </w:rPr>
      </w:pPr>
      <w:r>
        <w:rPr>
          <w:rFonts w:hint="eastAsia"/>
          <w:color w:val="auto"/>
        </w:rPr>
        <w:t>（1</w:t>
      </w:r>
      <w:r>
        <w:rPr>
          <w:color w:val="auto"/>
        </w:rPr>
        <w:t>2</w:t>
      </w:r>
      <w:r>
        <w:rPr>
          <w:rFonts w:hint="eastAsia"/>
          <w:color w:val="auto"/>
        </w:rPr>
        <w:t>）新乡化纤股份有限公司新区1×360t/h锅炉及2×B25MW热电联产项目，该项目于2021年5月18日由新乡市生态环境局批复（批复文号：新环书审[2021]10号），目前该项目正在建设中。</w:t>
      </w:r>
    </w:p>
    <w:p>
      <w:pPr>
        <w:bidi w:val="0"/>
        <w:rPr>
          <w:color w:val="auto"/>
        </w:rPr>
      </w:pPr>
      <w:r>
        <w:rPr>
          <w:rFonts w:hint="eastAsia"/>
          <w:color w:val="auto"/>
        </w:rPr>
        <w:t>新厂区现有项目各建设项目的基本情况、环评及竣工验收情况详见表3</w:t>
      </w:r>
      <w:r>
        <w:rPr>
          <w:color w:val="auto"/>
        </w:rPr>
        <w:t>.1</w:t>
      </w:r>
      <w:r>
        <w:rPr>
          <w:rFonts w:hint="eastAsia"/>
          <w:color w:val="auto"/>
        </w:rPr>
        <w:t>-1。</w:t>
      </w:r>
    </w:p>
    <w:p>
      <w:pPr>
        <w:spacing w:line="520" w:lineRule="exact"/>
        <w:jc w:val="center"/>
        <w:rPr>
          <w:b/>
          <w:bCs/>
          <w:color w:val="auto"/>
        </w:rPr>
      </w:pPr>
      <w:r>
        <w:rPr>
          <w:b/>
          <w:bCs/>
          <w:color w:val="auto"/>
        </w:rPr>
        <w:t xml:space="preserve">表3.1-1    </w:t>
      </w:r>
      <w:r>
        <w:rPr>
          <w:rFonts w:hint="eastAsia"/>
          <w:b/>
          <w:bCs/>
          <w:color w:val="auto"/>
        </w:rPr>
        <w:t>新厂区各建设项目的基本情况、环评及竣工验收情况</w:t>
      </w:r>
      <w:r>
        <w:rPr>
          <w:b/>
          <w:bCs/>
          <w:color w:val="auto"/>
        </w:rPr>
        <w:t>一览表</w:t>
      </w:r>
    </w:p>
    <w:tbl>
      <w:tblPr>
        <w:tblStyle w:val="32"/>
        <w:tblW w:w="4998"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549"/>
        <w:gridCol w:w="2859"/>
        <w:gridCol w:w="1221"/>
        <w:gridCol w:w="2197"/>
        <w:gridCol w:w="159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序号</w:t>
            </w:r>
          </w:p>
        </w:tc>
        <w:tc>
          <w:tcPr>
            <w:tcW w:w="1698" w:type="pct"/>
            <w:tcMar>
              <w:top w:w="0" w:type="dxa"/>
              <w:left w:w="57" w:type="dxa"/>
              <w:bottom w:w="0" w:type="dxa"/>
              <w:right w:w="57" w:type="dxa"/>
            </w:tcMar>
            <w:vAlign w:val="center"/>
          </w:tcPr>
          <w:p>
            <w:pPr>
              <w:pStyle w:val="182"/>
              <w:bidi w:val="0"/>
              <w:rPr>
                <w:color w:val="auto"/>
              </w:rPr>
            </w:pPr>
            <w:r>
              <w:rPr>
                <w:color w:val="auto"/>
              </w:rPr>
              <w:t>项目名称</w:t>
            </w:r>
          </w:p>
        </w:tc>
        <w:tc>
          <w:tcPr>
            <w:tcW w:w="725" w:type="pct"/>
            <w:tcMar>
              <w:top w:w="0" w:type="dxa"/>
              <w:left w:w="57" w:type="dxa"/>
              <w:bottom w:w="0" w:type="dxa"/>
              <w:right w:w="57" w:type="dxa"/>
            </w:tcMar>
            <w:vAlign w:val="center"/>
          </w:tcPr>
          <w:p>
            <w:pPr>
              <w:pStyle w:val="182"/>
              <w:bidi w:val="0"/>
              <w:rPr>
                <w:color w:val="auto"/>
              </w:rPr>
            </w:pPr>
            <w:r>
              <w:rPr>
                <w:color w:val="auto"/>
              </w:rPr>
              <w:t>批复</w:t>
            </w:r>
            <w:r>
              <w:rPr>
                <w:rFonts w:hint="eastAsia"/>
                <w:color w:val="auto"/>
              </w:rPr>
              <w:t>情况</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主要建设内容</w:t>
            </w:r>
          </w:p>
        </w:tc>
        <w:tc>
          <w:tcPr>
            <w:tcW w:w="944" w:type="pct"/>
            <w:tcMar>
              <w:top w:w="0" w:type="dxa"/>
              <w:left w:w="57" w:type="dxa"/>
              <w:bottom w:w="0" w:type="dxa"/>
              <w:right w:w="57" w:type="dxa"/>
            </w:tcMar>
            <w:vAlign w:val="center"/>
          </w:tcPr>
          <w:p>
            <w:pPr>
              <w:pStyle w:val="182"/>
              <w:bidi w:val="0"/>
              <w:rPr>
                <w:color w:val="auto"/>
              </w:rPr>
            </w:pPr>
            <w:r>
              <w:rPr>
                <w:color w:val="auto"/>
              </w:rPr>
              <w:t>验收情况</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1</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新乡化纤股份有限公司年产5000吨差别化新型连续纺粘胶长丝工程项目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豫环监[2005]182号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粘胶长丝5000t/a</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豫环保验[2008]27号</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2</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新乡化纤股份有限公司年产4万吨高品质差别化粘胶短纤维项目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豫环审[2007]199号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粘胶短纤维4万</w:t>
            </w:r>
            <w:r>
              <w:rPr>
                <w:color w:val="auto"/>
              </w:rPr>
              <w:t>t/a</w:t>
            </w:r>
          </w:p>
          <w:p>
            <w:pPr>
              <w:pStyle w:val="182"/>
              <w:bidi w:val="0"/>
              <w:rPr>
                <w:color w:val="auto"/>
              </w:rPr>
            </w:pPr>
            <w:r>
              <w:rPr>
                <w:rFonts w:hint="eastAsia"/>
                <w:color w:val="auto"/>
              </w:rPr>
              <w:t>已淘汰拆除</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豫环评验[2011]24号</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3</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新乡化纤股份有限公司年产4万吨高湿模量粘胶短纤维项目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豫环审[2009]39号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粘胶短纤维4万</w:t>
            </w:r>
            <w:r>
              <w:rPr>
                <w:color w:val="auto"/>
              </w:rPr>
              <w:t>t/a</w:t>
            </w:r>
          </w:p>
          <w:p>
            <w:pPr>
              <w:pStyle w:val="182"/>
              <w:bidi w:val="0"/>
              <w:rPr>
                <w:color w:val="auto"/>
              </w:rPr>
            </w:pPr>
            <w:r>
              <w:rPr>
                <w:rFonts w:hint="eastAsia"/>
                <w:color w:val="auto"/>
              </w:rPr>
              <w:t>已淘汰拆除</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2018年3月自主验收</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4</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新乡化纤股份有限公司年产2×2万吨超柔软氨纶纤维项目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豫环审[2013]616号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氨纶纤维</w:t>
            </w:r>
            <w:r>
              <w:rPr>
                <w:color w:val="auto"/>
              </w:rPr>
              <w:t>4</w:t>
            </w:r>
            <w:r>
              <w:rPr>
                <w:rFonts w:hint="eastAsia"/>
                <w:color w:val="auto"/>
              </w:rPr>
              <w:t>万t/a</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一期：豫环函</w:t>
            </w:r>
            <w:r>
              <w:rPr>
                <w:rFonts w:hint="eastAsia"/>
                <w:color w:val="auto"/>
                <w:lang w:eastAsia="zh-CN"/>
              </w:rPr>
              <w:t>〔</w:t>
            </w:r>
            <w:r>
              <w:rPr>
                <w:rFonts w:hint="eastAsia"/>
                <w:color w:val="auto"/>
              </w:rPr>
              <w:t>2016</w:t>
            </w:r>
            <w:r>
              <w:rPr>
                <w:rFonts w:hint="eastAsia"/>
                <w:color w:val="auto"/>
                <w:lang w:eastAsia="zh-CN"/>
              </w:rPr>
              <w:t>〕</w:t>
            </w:r>
            <w:r>
              <w:rPr>
                <w:rFonts w:hint="eastAsia"/>
                <w:color w:val="auto"/>
              </w:rPr>
              <w:t>372号；二期：2018年2月自主验收</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5</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新乡化纤股份有限公司新建2×170t/h蒸汽锅炉项目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新环书审[2016]9号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2台170t/h蒸汽锅炉</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一期和二期分别于2018年3月和2019年6月完成自主验收</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6</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新乡化纤股份有限公司年产2万吨超细旦氨纶纤维项目（年产3×2万吨超细旦氨纶纤维项目一期工程）</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豫环审[2017]17号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超细旦氨纶纤维2万t/a</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2018年11月完成自主验收</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7</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新乡化纤股份有限公司年产一万吨新型纤维素长丝项目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新环书审[2017]19号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纤维素长丝</w:t>
            </w:r>
            <w:r>
              <w:rPr>
                <w:color w:val="auto"/>
              </w:rPr>
              <w:t>1</w:t>
            </w:r>
            <w:r>
              <w:rPr>
                <w:rFonts w:hint="eastAsia"/>
                <w:color w:val="auto"/>
              </w:rPr>
              <w:t>万t/a</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2019年12月完成自主验收</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8</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新乡化纤股份有限公司年产2×2万吨超细旦氨纶纤维项目（年产3×2万吨超细旦氨纶纤维项目二期三期工程）</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豫环审[2017]231号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超细旦氨纶纤维</w:t>
            </w:r>
            <w:r>
              <w:rPr>
                <w:color w:val="auto"/>
              </w:rPr>
              <w:t>4</w:t>
            </w:r>
            <w:r>
              <w:rPr>
                <w:rFonts w:hint="eastAsia"/>
                <w:color w:val="auto"/>
              </w:rPr>
              <w:t>万t/a</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二期2020年4月完成自主验收，三期暂未建设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9</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新乡化纤股份有限公司年产2万吨生物质纤维素项目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新环书审[2019]6号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生物质纤维素（黏胶长丝）2万t/a</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一期202</w:t>
            </w:r>
            <w:r>
              <w:rPr>
                <w:color w:val="auto"/>
              </w:rPr>
              <w:t>1</w:t>
            </w:r>
            <w:r>
              <w:rPr>
                <w:rFonts w:hint="eastAsia"/>
                <w:color w:val="auto"/>
              </w:rPr>
              <w:t>年</w:t>
            </w:r>
            <w:r>
              <w:rPr>
                <w:color w:val="auto"/>
              </w:rPr>
              <w:t>11</w:t>
            </w:r>
            <w:r>
              <w:rPr>
                <w:rFonts w:hint="eastAsia"/>
                <w:color w:val="auto"/>
              </w:rPr>
              <w:t>月完成自主验收，二期暂未建设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1</w:t>
            </w:r>
            <w:r>
              <w:rPr>
                <w:color w:val="auto"/>
              </w:rPr>
              <w:t>0</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新乡化纤股份有限公司年产六千吨再生氨纶纤维项目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新环书审[2020]</w:t>
            </w:r>
            <w:r>
              <w:rPr>
                <w:color w:val="auto"/>
              </w:rPr>
              <w:t>1</w:t>
            </w:r>
            <w:r>
              <w:rPr>
                <w:rFonts w:hint="eastAsia"/>
                <w:color w:val="auto"/>
              </w:rPr>
              <w:t>0号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再生氨纶纤维</w:t>
            </w:r>
            <w:r>
              <w:rPr>
                <w:color w:val="auto"/>
              </w:rPr>
              <w:t>6000t/a</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建设中</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1</w:t>
            </w:r>
            <w:r>
              <w:rPr>
                <w:color w:val="auto"/>
              </w:rPr>
              <w:t>1</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新乡化纤股份有限公司年产10万吨高品质超细旦氨纶纤维项目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新环书审[2020]20号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超细旦氨纶纤维</w:t>
            </w:r>
            <w:r>
              <w:rPr>
                <w:color w:val="auto"/>
              </w:rPr>
              <w:t>10</w:t>
            </w:r>
            <w:r>
              <w:rPr>
                <w:rFonts w:hint="eastAsia"/>
                <w:color w:val="auto"/>
              </w:rPr>
              <w:t>万t/a</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建设中</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1</w:t>
            </w:r>
            <w:r>
              <w:rPr>
                <w:color w:val="auto"/>
              </w:rPr>
              <w:t>2</w:t>
            </w:r>
          </w:p>
        </w:tc>
        <w:tc>
          <w:tcPr>
            <w:tcW w:w="1698" w:type="pct"/>
            <w:tcMar>
              <w:top w:w="0" w:type="dxa"/>
              <w:left w:w="57" w:type="dxa"/>
              <w:bottom w:w="0" w:type="dxa"/>
              <w:right w:w="57" w:type="dxa"/>
            </w:tcMar>
            <w:vAlign w:val="center"/>
          </w:tcPr>
          <w:p>
            <w:pPr>
              <w:pStyle w:val="182"/>
              <w:bidi w:val="0"/>
              <w:rPr>
                <w:color w:val="auto"/>
              </w:rPr>
            </w:pPr>
            <w:r>
              <w:rPr>
                <w:rFonts w:hint="eastAsia"/>
                <w:color w:val="auto"/>
              </w:rPr>
              <w:t>新乡化纤股份有限公司新区</w:t>
            </w:r>
            <w:r>
              <w:rPr>
                <w:color w:val="auto"/>
              </w:rPr>
              <w:t>1×360t/h锅炉及2×B25MW热电联产项目</w:t>
            </w:r>
          </w:p>
        </w:tc>
        <w:tc>
          <w:tcPr>
            <w:tcW w:w="725" w:type="pct"/>
            <w:tcMar>
              <w:top w:w="0" w:type="dxa"/>
              <w:left w:w="57" w:type="dxa"/>
              <w:bottom w:w="0" w:type="dxa"/>
              <w:right w:w="57" w:type="dxa"/>
            </w:tcMar>
            <w:vAlign w:val="center"/>
          </w:tcPr>
          <w:p>
            <w:pPr>
              <w:pStyle w:val="182"/>
              <w:bidi w:val="0"/>
              <w:rPr>
                <w:color w:val="auto"/>
              </w:rPr>
            </w:pPr>
            <w:r>
              <w:rPr>
                <w:rFonts w:hint="eastAsia"/>
                <w:color w:val="auto"/>
              </w:rPr>
              <w:t>新环书审[2021]10号</w:t>
            </w:r>
          </w:p>
        </w:tc>
        <w:tc>
          <w:tcPr>
            <w:tcW w:w="1305" w:type="pct"/>
            <w:tcMar>
              <w:top w:w="0" w:type="dxa"/>
              <w:left w:w="57" w:type="dxa"/>
              <w:bottom w:w="0" w:type="dxa"/>
              <w:right w:w="57" w:type="dxa"/>
            </w:tcMar>
            <w:vAlign w:val="center"/>
          </w:tcPr>
          <w:p>
            <w:pPr>
              <w:pStyle w:val="182"/>
              <w:bidi w:val="0"/>
              <w:rPr>
                <w:color w:val="auto"/>
              </w:rPr>
            </w:pPr>
            <w:r>
              <w:rPr>
                <w:rFonts w:hint="eastAsia"/>
                <w:color w:val="auto"/>
              </w:rPr>
              <w:t>1台360t/h 高温高压锅炉，2台25MW高温高压背压式汽轮发电机组</w:t>
            </w:r>
          </w:p>
        </w:tc>
        <w:tc>
          <w:tcPr>
            <w:tcW w:w="944" w:type="pct"/>
            <w:tcMar>
              <w:top w:w="0" w:type="dxa"/>
              <w:left w:w="57" w:type="dxa"/>
              <w:bottom w:w="0" w:type="dxa"/>
              <w:right w:w="57" w:type="dxa"/>
            </w:tcMar>
            <w:vAlign w:val="center"/>
          </w:tcPr>
          <w:p>
            <w:pPr>
              <w:pStyle w:val="182"/>
              <w:bidi w:val="0"/>
              <w:rPr>
                <w:color w:val="auto"/>
              </w:rPr>
            </w:pPr>
            <w:r>
              <w:rPr>
                <w:rFonts w:hint="eastAsia"/>
                <w:color w:val="auto"/>
              </w:rPr>
              <w:t>建设中</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6" w:type="pct"/>
            <w:tcMar>
              <w:top w:w="0" w:type="dxa"/>
              <w:left w:w="57" w:type="dxa"/>
              <w:bottom w:w="0" w:type="dxa"/>
              <w:right w:w="57" w:type="dxa"/>
            </w:tcMar>
            <w:vAlign w:val="center"/>
          </w:tcPr>
          <w:p>
            <w:pPr>
              <w:pStyle w:val="182"/>
              <w:bidi w:val="0"/>
              <w:rPr>
                <w:color w:val="auto"/>
              </w:rPr>
            </w:pPr>
            <w:r>
              <w:rPr>
                <w:rFonts w:hint="eastAsia"/>
                <w:color w:val="auto"/>
              </w:rPr>
              <w:t>排污许可证</w:t>
            </w:r>
          </w:p>
        </w:tc>
        <w:tc>
          <w:tcPr>
            <w:tcW w:w="4673" w:type="pct"/>
            <w:gridSpan w:val="4"/>
            <w:vAlign w:val="center"/>
          </w:tcPr>
          <w:p>
            <w:pPr>
              <w:pStyle w:val="182"/>
              <w:bidi w:val="0"/>
              <w:rPr>
                <w:color w:val="auto"/>
              </w:rPr>
            </w:pPr>
            <w:r>
              <w:rPr>
                <w:rFonts w:hint="eastAsia"/>
                <w:color w:val="auto"/>
              </w:rPr>
              <w:t>新乡化纤股份有限公司（新区）于2017年5月</w:t>
            </w:r>
            <w:r>
              <w:rPr>
                <w:color w:val="auto"/>
              </w:rPr>
              <w:t>28</w:t>
            </w:r>
            <w:r>
              <w:rPr>
                <w:rFonts w:hint="eastAsia"/>
                <w:color w:val="auto"/>
              </w:rPr>
              <w:t>日首次申请了排污许可证，期间2</w:t>
            </w:r>
            <w:r>
              <w:rPr>
                <w:color w:val="auto"/>
              </w:rPr>
              <w:t>020</w:t>
            </w:r>
            <w:r>
              <w:rPr>
                <w:rFonts w:hint="eastAsia"/>
                <w:color w:val="auto"/>
              </w:rPr>
              <w:t>年2月2</w:t>
            </w:r>
            <w:r>
              <w:rPr>
                <w:color w:val="auto"/>
              </w:rPr>
              <w:t>6</w:t>
            </w:r>
            <w:r>
              <w:rPr>
                <w:rFonts w:hint="eastAsia"/>
                <w:color w:val="auto"/>
              </w:rPr>
              <w:t>日和7月2</w:t>
            </w:r>
            <w:r>
              <w:rPr>
                <w:color w:val="auto"/>
              </w:rPr>
              <w:t>0</w:t>
            </w:r>
            <w:r>
              <w:rPr>
                <w:rFonts w:hint="eastAsia"/>
                <w:color w:val="auto"/>
              </w:rPr>
              <w:t>日进行了2次变更，2020年</w:t>
            </w:r>
            <w:r>
              <w:rPr>
                <w:color w:val="auto"/>
              </w:rPr>
              <w:t>7</w:t>
            </w:r>
            <w:r>
              <w:rPr>
                <w:rFonts w:hint="eastAsia"/>
                <w:color w:val="auto"/>
              </w:rPr>
              <w:t>月</w:t>
            </w:r>
            <w:r>
              <w:rPr>
                <w:color w:val="auto"/>
              </w:rPr>
              <w:t>21</w:t>
            </w:r>
            <w:r>
              <w:rPr>
                <w:rFonts w:hint="eastAsia"/>
                <w:color w:val="auto"/>
              </w:rPr>
              <w:t>日进行了延续，2</w:t>
            </w:r>
            <w:r>
              <w:rPr>
                <w:color w:val="auto"/>
              </w:rPr>
              <w:t>020</w:t>
            </w:r>
            <w:r>
              <w:rPr>
                <w:rFonts w:hint="eastAsia"/>
                <w:color w:val="auto"/>
              </w:rPr>
              <w:t>年8月1</w:t>
            </w:r>
            <w:r>
              <w:rPr>
                <w:color w:val="auto"/>
              </w:rPr>
              <w:t>1</w:t>
            </w:r>
            <w:r>
              <w:rPr>
                <w:rFonts w:hint="eastAsia"/>
                <w:color w:val="auto"/>
              </w:rPr>
              <w:t>日进行了补充申报，并分别于2</w:t>
            </w:r>
            <w:r>
              <w:rPr>
                <w:color w:val="auto"/>
              </w:rPr>
              <w:t>021</w:t>
            </w:r>
            <w:r>
              <w:rPr>
                <w:rFonts w:hint="eastAsia"/>
                <w:color w:val="auto"/>
              </w:rPr>
              <w:t>年1</w:t>
            </w:r>
            <w:r>
              <w:rPr>
                <w:color w:val="auto"/>
              </w:rPr>
              <w:t>0</w:t>
            </w:r>
            <w:r>
              <w:rPr>
                <w:rFonts w:hint="eastAsia"/>
                <w:color w:val="auto"/>
              </w:rPr>
              <w:t>月2</w:t>
            </w:r>
            <w:r>
              <w:rPr>
                <w:color w:val="auto"/>
              </w:rPr>
              <w:t>7</w:t>
            </w:r>
            <w:r>
              <w:rPr>
                <w:rFonts w:hint="eastAsia"/>
                <w:color w:val="auto"/>
              </w:rPr>
              <w:t>日、</w:t>
            </w:r>
            <w:r>
              <w:rPr>
                <w:color w:val="auto"/>
              </w:rPr>
              <w:t>2022</w:t>
            </w:r>
            <w:r>
              <w:rPr>
                <w:rFonts w:hint="eastAsia"/>
                <w:color w:val="auto"/>
              </w:rPr>
              <w:t>年3月2</w:t>
            </w:r>
            <w:r>
              <w:rPr>
                <w:color w:val="auto"/>
              </w:rPr>
              <w:t>4</w:t>
            </w:r>
            <w:r>
              <w:rPr>
                <w:rFonts w:hint="eastAsia"/>
                <w:color w:val="auto"/>
              </w:rPr>
              <w:t>日和8月3</w:t>
            </w:r>
            <w:r>
              <w:rPr>
                <w:color w:val="auto"/>
              </w:rPr>
              <w:t>1</w:t>
            </w:r>
            <w:r>
              <w:rPr>
                <w:rFonts w:hint="eastAsia"/>
                <w:color w:val="auto"/>
              </w:rPr>
              <w:t>日进行了重新申请，2022年</w:t>
            </w:r>
            <w:r>
              <w:rPr>
                <w:color w:val="auto"/>
              </w:rPr>
              <w:t>10</w:t>
            </w:r>
            <w:r>
              <w:rPr>
                <w:rFonts w:hint="eastAsia"/>
                <w:color w:val="auto"/>
              </w:rPr>
              <w:t>月1</w:t>
            </w:r>
            <w:r>
              <w:rPr>
                <w:color w:val="auto"/>
              </w:rPr>
              <w:t>9</w:t>
            </w:r>
            <w:r>
              <w:rPr>
                <w:rFonts w:hint="eastAsia"/>
                <w:color w:val="auto"/>
              </w:rPr>
              <w:t>日再次进行了变更。排污许可证有效期限：2022年8月3</w:t>
            </w:r>
            <w:r>
              <w:rPr>
                <w:color w:val="auto"/>
              </w:rPr>
              <w:t>1</w:t>
            </w:r>
            <w:r>
              <w:rPr>
                <w:rFonts w:hint="eastAsia"/>
                <w:color w:val="auto"/>
              </w:rPr>
              <w:t>日至2027年8月3</w:t>
            </w:r>
            <w:r>
              <w:rPr>
                <w:color w:val="auto"/>
              </w:rPr>
              <w:t>0</w:t>
            </w:r>
            <w:r>
              <w:rPr>
                <w:rFonts w:hint="eastAsia"/>
                <w:color w:val="auto"/>
              </w:rPr>
              <w:t>日，排污许可证编码：</w:t>
            </w:r>
            <w:r>
              <w:rPr>
                <w:color w:val="auto"/>
              </w:rPr>
              <w:t>914100001700014285002P</w:t>
            </w:r>
            <w:r>
              <w:rPr>
                <w:rFonts w:hint="eastAsia"/>
                <w:color w:val="auto"/>
              </w:rPr>
              <w:t>。</w:t>
            </w:r>
          </w:p>
        </w:tc>
      </w:tr>
      <w:bookmarkEnd w:id="164"/>
      <w:bookmarkEnd w:id="165"/>
      <w:bookmarkEnd w:id="166"/>
      <w:bookmarkEnd w:id="167"/>
      <w:bookmarkEnd w:id="168"/>
      <w:bookmarkEnd w:id="169"/>
      <w:bookmarkEnd w:id="170"/>
      <w:bookmarkEnd w:id="171"/>
    </w:tbl>
    <w:p>
      <w:pPr>
        <w:pStyle w:val="7"/>
        <w:bidi w:val="0"/>
        <w:rPr>
          <w:color w:val="auto"/>
          <w:lang w:eastAsia="zh-CN"/>
        </w:rPr>
      </w:pPr>
      <w:bookmarkStart w:id="174" w:name="_Toc106552514"/>
      <w:bookmarkStart w:id="175" w:name="_Toc22800"/>
      <w:bookmarkStart w:id="176" w:name="_Toc3616"/>
      <w:bookmarkStart w:id="177" w:name="_Toc6764"/>
      <w:r>
        <w:rPr>
          <w:rFonts w:hint="eastAsia"/>
          <w:color w:val="auto"/>
          <w:lang w:eastAsia="zh-CN"/>
        </w:rPr>
        <w:t>3.</w:t>
      </w:r>
      <w:r>
        <w:rPr>
          <w:color w:val="auto"/>
          <w:lang w:eastAsia="zh-CN"/>
        </w:rPr>
        <w:t>2</w:t>
      </w:r>
      <w:r>
        <w:rPr>
          <w:rFonts w:hint="eastAsia"/>
          <w:color w:val="auto"/>
          <w:lang w:eastAsia="zh-CN"/>
        </w:rPr>
        <w:t>工程分析思路与方法</w:t>
      </w:r>
      <w:bookmarkEnd w:id="174"/>
      <w:bookmarkEnd w:id="175"/>
    </w:p>
    <w:p>
      <w:pPr>
        <w:bidi w:val="0"/>
        <w:rPr>
          <w:color w:val="auto"/>
        </w:rPr>
      </w:pPr>
      <w:r>
        <w:rPr>
          <w:rFonts w:hint="eastAsia"/>
          <w:color w:val="auto"/>
        </w:rPr>
        <w:t>评价拟从</w:t>
      </w:r>
      <w:r>
        <w:rPr>
          <w:color w:val="auto"/>
        </w:rPr>
        <w:t>“</w:t>
      </w:r>
      <w:r>
        <w:rPr>
          <w:rFonts w:hint="eastAsia"/>
          <w:color w:val="auto"/>
          <w:lang w:val="en-US" w:eastAsia="zh-CN"/>
        </w:rPr>
        <w:t>已建</w:t>
      </w:r>
      <w:r>
        <w:rPr>
          <w:rFonts w:hint="eastAsia"/>
          <w:color w:val="auto"/>
        </w:rPr>
        <w:t>工程</w:t>
      </w:r>
      <w:r>
        <w:rPr>
          <w:rFonts w:hint="eastAsia"/>
          <w:color w:val="auto"/>
          <w:lang w:eastAsia="zh-CN"/>
        </w:rPr>
        <w:t>”“</w:t>
      </w:r>
      <w:r>
        <w:rPr>
          <w:rFonts w:hint="eastAsia"/>
          <w:color w:val="auto"/>
        </w:rPr>
        <w:t>在建工程</w:t>
      </w:r>
      <w:r>
        <w:rPr>
          <w:rFonts w:hint="eastAsia"/>
          <w:color w:val="auto"/>
          <w:lang w:eastAsia="zh-CN"/>
        </w:rPr>
        <w:t>”“</w:t>
      </w:r>
      <w:r>
        <w:rPr>
          <w:rFonts w:hint="eastAsia"/>
          <w:color w:val="auto"/>
        </w:rPr>
        <w:t>本工程</w:t>
      </w:r>
      <w:r>
        <w:rPr>
          <w:color w:val="auto"/>
        </w:rPr>
        <w:t>”</w:t>
      </w:r>
      <w:r>
        <w:rPr>
          <w:rFonts w:hint="eastAsia"/>
          <w:color w:val="auto"/>
        </w:rPr>
        <w:t>和</w:t>
      </w:r>
      <w:r>
        <w:rPr>
          <w:color w:val="auto"/>
        </w:rPr>
        <w:t>“</w:t>
      </w:r>
      <w:r>
        <w:rPr>
          <w:rFonts w:hint="eastAsia"/>
          <w:color w:val="auto"/>
        </w:rPr>
        <w:t>本工程完成后全厂</w:t>
      </w:r>
      <w:r>
        <w:rPr>
          <w:color w:val="auto"/>
        </w:rPr>
        <w:t>”4</w:t>
      </w:r>
      <w:r>
        <w:rPr>
          <w:rFonts w:hint="eastAsia"/>
          <w:color w:val="auto"/>
        </w:rPr>
        <w:t>个层次开展工程分析。工程分析思路如下：</w:t>
      </w:r>
    </w:p>
    <w:p>
      <w:pPr>
        <w:bidi w:val="0"/>
        <w:rPr>
          <w:color w:val="auto"/>
        </w:rPr>
      </w:pPr>
      <w:r>
        <w:rPr>
          <w:rFonts w:hint="eastAsia"/>
          <w:color w:val="auto"/>
        </w:rPr>
        <w:t>（</w:t>
      </w:r>
      <w:r>
        <w:rPr>
          <w:color w:val="auto"/>
        </w:rPr>
        <w:t>1</w:t>
      </w:r>
      <w:r>
        <w:rPr>
          <w:rFonts w:hint="eastAsia"/>
          <w:color w:val="auto"/>
        </w:rPr>
        <w:t>）对于</w:t>
      </w:r>
      <w:r>
        <w:rPr>
          <w:rFonts w:hint="eastAsia"/>
          <w:color w:val="auto"/>
          <w:lang w:val="en-US" w:eastAsia="zh-CN"/>
        </w:rPr>
        <w:t>已建</w:t>
      </w:r>
      <w:r>
        <w:rPr>
          <w:rFonts w:hint="eastAsia"/>
          <w:color w:val="auto"/>
        </w:rPr>
        <w:t>工程，结合现有工程环评及批复文件、排污许可证、验收监测报告及污染源监测报告，简述</w:t>
      </w:r>
      <w:r>
        <w:rPr>
          <w:rFonts w:hint="eastAsia"/>
          <w:color w:val="auto"/>
          <w:lang w:eastAsia="zh-CN"/>
        </w:rPr>
        <w:t>现有工程</w:t>
      </w:r>
      <w:r>
        <w:rPr>
          <w:rFonts w:hint="eastAsia"/>
          <w:color w:val="auto"/>
        </w:rPr>
        <w:t>分析；</w:t>
      </w:r>
    </w:p>
    <w:p>
      <w:pPr>
        <w:bidi w:val="0"/>
        <w:rPr>
          <w:color w:val="auto"/>
        </w:rPr>
      </w:pPr>
      <w:r>
        <w:rPr>
          <w:rFonts w:hint="eastAsia"/>
          <w:color w:val="auto"/>
        </w:rPr>
        <w:t>（</w:t>
      </w:r>
      <w:r>
        <w:rPr>
          <w:color w:val="auto"/>
        </w:rPr>
        <w:t>2</w:t>
      </w:r>
      <w:r>
        <w:rPr>
          <w:rFonts w:hint="eastAsia"/>
          <w:color w:val="auto"/>
        </w:rPr>
        <w:t>）对于在建工程，结合在建工程环评及批复文件，简述在建工程工程分析；</w:t>
      </w:r>
    </w:p>
    <w:p>
      <w:pPr>
        <w:bidi w:val="0"/>
        <w:rPr>
          <w:color w:val="auto"/>
        </w:rPr>
      </w:pPr>
      <w:r>
        <w:rPr>
          <w:rFonts w:hint="eastAsia"/>
          <w:color w:val="auto"/>
        </w:rPr>
        <w:t>（</w:t>
      </w:r>
      <w:r>
        <w:rPr>
          <w:color w:val="auto"/>
        </w:rPr>
        <w:t>3</w:t>
      </w:r>
      <w:r>
        <w:rPr>
          <w:rFonts w:hint="eastAsia"/>
          <w:color w:val="auto"/>
        </w:rPr>
        <w:t>）对于本次工程，在查阅相关资料的基础上，通过对现有工程实际物料消耗、现有工程污染物产排监测情况、工程物料衡算结果及类比分析，开展本次工程的工程分析。</w:t>
      </w:r>
    </w:p>
    <w:p>
      <w:pPr>
        <w:pStyle w:val="7"/>
        <w:bidi w:val="0"/>
        <w:rPr>
          <w:color w:val="auto"/>
        </w:rPr>
      </w:pPr>
      <w:bookmarkStart w:id="178" w:name="_Toc30424"/>
      <w:r>
        <w:rPr>
          <w:color w:val="auto"/>
        </w:rPr>
        <w:t>3.</w:t>
      </w:r>
      <w:bookmarkEnd w:id="172"/>
      <w:bookmarkEnd w:id="173"/>
      <w:r>
        <w:rPr>
          <w:rFonts w:hint="eastAsia"/>
          <w:color w:val="auto"/>
          <w:lang w:val="en-US" w:eastAsia="zh-CN"/>
        </w:rPr>
        <w:t>3已建</w:t>
      </w:r>
      <w:r>
        <w:rPr>
          <w:color w:val="auto"/>
        </w:rPr>
        <w:t>项目工程分析</w:t>
      </w:r>
      <w:bookmarkEnd w:id="176"/>
      <w:bookmarkEnd w:id="177"/>
      <w:bookmarkEnd w:id="178"/>
    </w:p>
    <w:p>
      <w:pPr>
        <w:pStyle w:val="9"/>
        <w:bidi w:val="0"/>
        <w:rPr>
          <w:color w:val="auto"/>
        </w:rPr>
      </w:pPr>
      <w:bookmarkStart w:id="179" w:name="_Toc31480"/>
      <w:r>
        <w:rPr>
          <w:rFonts w:hint="eastAsia"/>
          <w:color w:val="auto"/>
        </w:rPr>
        <w:t>3</w:t>
      </w:r>
      <w:r>
        <w:rPr>
          <w:color w:val="auto"/>
        </w:rPr>
        <w:t>.</w:t>
      </w:r>
      <w:r>
        <w:rPr>
          <w:rFonts w:hint="eastAsia"/>
          <w:color w:val="auto"/>
          <w:lang w:val="en-US" w:eastAsia="zh-CN"/>
        </w:rPr>
        <w:t>3</w:t>
      </w:r>
      <w:r>
        <w:rPr>
          <w:color w:val="auto"/>
        </w:rPr>
        <w:t>.1</w:t>
      </w:r>
      <w:r>
        <w:rPr>
          <w:rFonts w:hint="eastAsia"/>
          <w:color w:val="auto"/>
          <w:lang w:val="en-US" w:eastAsia="zh-CN"/>
        </w:rPr>
        <w:t>已建</w:t>
      </w:r>
      <w:r>
        <w:rPr>
          <w:rFonts w:hint="eastAsia"/>
          <w:color w:val="auto"/>
        </w:rPr>
        <w:t>工程概况</w:t>
      </w:r>
    </w:p>
    <w:p>
      <w:pPr>
        <w:bidi w:val="0"/>
        <w:rPr>
          <w:color w:val="auto"/>
        </w:rPr>
      </w:pPr>
      <w:r>
        <w:rPr>
          <w:color w:val="auto"/>
        </w:rPr>
        <w:t>现有工程基本</w:t>
      </w:r>
      <w:r>
        <w:rPr>
          <w:rFonts w:hint="eastAsia"/>
          <w:color w:val="auto"/>
        </w:rPr>
        <w:t>情况详见表3</w:t>
      </w:r>
      <w:r>
        <w:rPr>
          <w:color w:val="auto"/>
        </w:rPr>
        <w:t>.</w:t>
      </w:r>
      <w:r>
        <w:rPr>
          <w:rFonts w:hint="eastAsia"/>
          <w:color w:val="auto"/>
          <w:lang w:val="en-US" w:eastAsia="zh-CN"/>
        </w:rPr>
        <w:t>3</w:t>
      </w:r>
      <w:r>
        <w:rPr>
          <w:rFonts w:hint="eastAsia"/>
          <w:color w:val="auto"/>
        </w:rPr>
        <w:t>-</w:t>
      </w:r>
      <w:r>
        <w:rPr>
          <w:color w:val="auto"/>
        </w:rPr>
        <w:t>1</w:t>
      </w:r>
      <w:r>
        <w:rPr>
          <w:rFonts w:hint="eastAsia"/>
          <w:color w:val="auto"/>
        </w:rPr>
        <w:t>。</w:t>
      </w:r>
    </w:p>
    <w:p>
      <w:pPr>
        <w:pStyle w:val="181"/>
        <w:bidi w:val="0"/>
        <w:rPr>
          <w:color w:val="auto"/>
        </w:rPr>
      </w:pPr>
      <w:r>
        <w:rPr>
          <w:color w:val="auto"/>
        </w:rPr>
        <w:t>表</w:t>
      </w:r>
      <w:r>
        <w:rPr>
          <w:rFonts w:hint="eastAsia"/>
          <w:color w:val="auto"/>
        </w:rPr>
        <w:t>3.</w:t>
      </w:r>
      <w:r>
        <w:rPr>
          <w:rFonts w:hint="eastAsia"/>
          <w:color w:val="auto"/>
          <w:lang w:val="en-US" w:eastAsia="zh-CN"/>
        </w:rPr>
        <w:t>3</w:t>
      </w:r>
      <w:r>
        <w:rPr>
          <w:color w:val="auto"/>
        </w:rPr>
        <w:t>-1</w:t>
      </w:r>
      <w:bookmarkStart w:id="180" w:name="_Hlk119487702"/>
      <w:r>
        <w:rPr>
          <w:rFonts w:hint="eastAsia"/>
          <w:color w:val="auto"/>
          <w:lang w:val="en-US" w:eastAsia="zh-CN"/>
        </w:rPr>
        <w:t xml:space="preserve">              已建</w:t>
      </w:r>
      <w:r>
        <w:rPr>
          <w:color w:val="auto"/>
        </w:rPr>
        <w:t>工程</w:t>
      </w:r>
      <w:r>
        <w:rPr>
          <w:rFonts w:hint="eastAsia"/>
          <w:color w:val="auto"/>
        </w:rPr>
        <w:t>基本情况</w:t>
      </w:r>
      <w:r>
        <w:rPr>
          <w:color w:val="auto"/>
        </w:rPr>
        <w:t>一览表</w:t>
      </w:r>
      <w:bookmarkEnd w:id="180"/>
    </w:p>
    <w:tbl>
      <w:tblPr>
        <w:tblStyle w:val="32"/>
        <w:tblW w:w="4997"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596"/>
        <w:gridCol w:w="676"/>
        <w:gridCol w:w="1570"/>
        <w:gridCol w:w="5249"/>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tcBorders>
              <w:top w:val="single" w:color="auto" w:sz="8" w:space="0"/>
              <w:left w:val="single" w:color="auto" w:sz="8" w:space="0"/>
              <w:bottom w:val="single" w:color="auto" w:sz="6" w:space="0"/>
              <w:right w:val="single" w:color="auto" w:sz="6" w:space="0"/>
            </w:tcBorders>
            <w:vAlign w:val="center"/>
          </w:tcPr>
          <w:p>
            <w:pPr>
              <w:pStyle w:val="182"/>
              <w:bidi w:val="0"/>
              <w:rPr>
                <w:color w:val="auto"/>
              </w:rPr>
            </w:pPr>
            <w:bookmarkStart w:id="181" w:name="_Hlk119487678"/>
            <w:r>
              <w:rPr>
                <w:color w:val="auto"/>
              </w:rPr>
              <w:t>序号</w:t>
            </w:r>
          </w:p>
        </w:tc>
        <w:tc>
          <w:tcPr>
            <w:tcW w:w="353" w:type="pct"/>
            <w:tcBorders>
              <w:top w:val="single" w:color="auto" w:sz="8" w:space="0"/>
              <w:left w:val="single" w:color="auto" w:sz="6" w:space="0"/>
              <w:bottom w:val="single" w:color="auto" w:sz="6" w:space="0"/>
              <w:right w:val="single" w:color="auto" w:sz="6" w:space="0"/>
            </w:tcBorders>
            <w:vAlign w:val="center"/>
          </w:tcPr>
          <w:p>
            <w:pPr>
              <w:pStyle w:val="182"/>
              <w:bidi w:val="0"/>
              <w:rPr>
                <w:color w:val="auto"/>
              </w:rPr>
            </w:pPr>
            <w:r>
              <w:rPr>
                <w:color w:val="auto"/>
              </w:rPr>
              <w:t>工程类别</w:t>
            </w:r>
          </w:p>
        </w:tc>
        <w:tc>
          <w:tcPr>
            <w:tcW w:w="1325" w:type="pct"/>
            <w:gridSpan w:val="2"/>
            <w:tcBorders>
              <w:top w:val="single" w:color="auto" w:sz="8" w:space="0"/>
              <w:left w:val="single" w:color="auto" w:sz="6" w:space="0"/>
              <w:bottom w:val="single" w:color="auto" w:sz="6" w:space="0"/>
              <w:right w:val="single" w:color="auto" w:sz="6" w:space="0"/>
            </w:tcBorders>
            <w:vAlign w:val="center"/>
          </w:tcPr>
          <w:p>
            <w:pPr>
              <w:pStyle w:val="182"/>
              <w:bidi w:val="0"/>
              <w:rPr>
                <w:color w:val="auto"/>
              </w:rPr>
            </w:pPr>
            <w:r>
              <w:rPr>
                <w:color w:val="auto"/>
              </w:rPr>
              <w:t>工程名称</w:t>
            </w:r>
          </w:p>
        </w:tc>
        <w:tc>
          <w:tcPr>
            <w:tcW w:w="3084" w:type="pct"/>
            <w:tcBorders>
              <w:top w:val="single" w:color="auto" w:sz="8" w:space="0"/>
              <w:left w:val="single" w:color="auto" w:sz="6" w:space="0"/>
              <w:bottom w:val="single" w:color="auto" w:sz="6" w:space="0"/>
              <w:right w:val="single" w:color="auto" w:sz="8" w:space="0"/>
            </w:tcBorders>
            <w:vAlign w:val="center"/>
          </w:tcPr>
          <w:p>
            <w:pPr>
              <w:pStyle w:val="182"/>
              <w:bidi w:val="0"/>
              <w:rPr>
                <w:color w:val="auto"/>
              </w:rPr>
            </w:pPr>
            <w:r>
              <w:rPr>
                <w:color w:val="auto"/>
              </w:rPr>
              <w:t>内容</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restart"/>
            <w:tcBorders>
              <w:top w:val="single" w:color="auto" w:sz="6" w:space="0"/>
              <w:left w:val="single" w:color="auto" w:sz="8" w:space="0"/>
              <w:right w:val="single" w:color="auto" w:sz="6" w:space="0"/>
            </w:tcBorders>
            <w:vAlign w:val="center"/>
          </w:tcPr>
          <w:p>
            <w:pPr>
              <w:pStyle w:val="182"/>
              <w:bidi w:val="0"/>
              <w:rPr>
                <w:color w:val="auto"/>
              </w:rPr>
            </w:pPr>
            <w:r>
              <w:rPr>
                <w:color w:val="auto"/>
              </w:rPr>
              <w:t>1</w:t>
            </w:r>
          </w:p>
        </w:tc>
        <w:tc>
          <w:tcPr>
            <w:tcW w:w="353" w:type="pct"/>
            <w:vMerge w:val="restart"/>
            <w:tcBorders>
              <w:top w:val="single" w:color="auto" w:sz="6" w:space="0"/>
              <w:left w:val="single" w:color="auto" w:sz="6" w:space="0"/>
              <w:right w:val="single" w:color="auto" w:sz="6" w:space="0"/>
            </w:tcBorders>
            <w:vAlign w:val="center"/>
          </w:tcPr>
          <w:p>
            <w:pPr>
              <w:pStyle w:val="182"/>
              <w:bidi w:val="0"/>
              <w:rPr>
                <w:color w:val="auto"/>
              </w:rPr>
            </w:pPr>
            <w:r>
              <w:rPr>
                <w:color w:val="auto"/>
              </w:rPr>
              <w:t>主体工程</w:t>
            </w: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年产5000吨差别化新型连续纺粘胶长丝工程</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原液车间1座，纺丝车间1座，酸站车间1座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年产2×2万吨超柔软氨纶纤维项目</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氨纶主车间2座，PTMG罐区2座，DMAC罐区1座，精制区1座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新建2×170t/h蒸汽锅炉项目</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color w:val="auto"/>
              </w:rPr>
              <w:t>2</w:t>
            </w:r>
            <w:r>
              <w:rPr>
                <w:rFonts w:hint="eastAsia"/>
                <w:color w:val="auto"/>
              </w:rPr>
              <w:t>台170t/h高温高压煤粉炉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年产2万吨超细旦氨纶纤维项目（年产3×2万吨超细旦氨纶纤维项目一期工程）</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氨纶主车间1座，仓库1座，PTMG罐区1座，DMAC罐区1座，精制区1座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年产一万吨新型纤维素长丝项目</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lang w:val="en-US" w:eastAsia="zh-CN"/>
              </w:rPr>
              <w:t>新建</w:t>
            </w:r>
            <w:r>
              <w:rPr>
                <w:rFonts w:hint="eastAsia"/>
                <w:color w:val="auto"/>
              </w:rPr>
              <w:t>酸站、纺丝车间2座，原液车间、硫酸罐区、NaOH罐区均依托现有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rFonts w:hint="eastAsia" w:eastAsia="宋体"/>
                <w:color w:val="auto"/>
                <w:lang w:eastAsia="zh-CN"/>
              </w:rPr>
            </w:pPr>
            <w:r>
              <w:rPr>
                <w:rFonts w:hint="eastAsia"/>
                <w:color w:val="auto"/>
              </w:rPr>
              <w:t>年产2×2万吨超细旦氨纶纤维项目（年产3×2万吨超细旦氨纶纤维项目二期</w:t>
            </w:r>
            <w:r>
              <w:rPr>
                <w:rFonts w:hint="eastAsia"/>
                <w:color w:val="auto"/>
                <w:lang w:val="en-US" w:eastAsia="zh-CN"/>
              </w:rPr>
              <w:t>三期</w:t>
            </w:r>
            <w:r>
              <w:rPr>
                <w:rFonts w:hint="eastAsia"/>
                <w:color w:val="auto"/>
              </w:rPr>
              <w:t>工程）</w:t>
            </w:r>
            <w:r>
              <w:rPr>
                <w:rFonts w:hint="eastAsia"/>
                <w:color w:val="auto"/>
                <w:lang w:eastAsia="zh-CN"/>
              </w:rPr>
              <w:t>（</w:t>
            </w:r>
            <w:r>
              <w:rPr>
                <w:rFonts w:hint="eastAsia"/>
                <w:color w:val="auto"/>
                <w:lang w:val="en-US" w:eastAsia="zh-CN"/>
              </w:rPr>
              <w:t>二期</w:t>
            </w:r>
            <w:r>
              <w:rPr>
                <w:rFonts w:hint="eastAsia"/>
                <w:color w:val="auto"/>
                <w:lang w:eastAsia="zh-CN"/>
              </w:rPr>
              <w:t>）</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二期：氨纶主车间1座，仓库1座，PTMG罐区1座，DMAC罐区1座，精制区1座与一期共用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年产2万吨生物质纤维素项目</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一期：纺丝车间1座，成品仓库1座，原液车间、酸站、硫酸罐区、NaOH罐区均依托现有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236" w:type="pct"/>
            <w:vMerge w:val="restart"/>
            <w:tcBorders>
              <w:top w:val="single" w:color="auto" w:sz="6" w:space="0"/>
              <w:left w:val="single" w:color="auto" w:sz="8" w:space="0"/>
              <w:right w:val="single" w:color="auto" w:sz="6" w:space="0"/>
            </w:tcBorders>
            <w:vAlign w:val="center"/>
          </w:tcPr>
          <w:p>
            <w:pPr>
              <w:pStyle w:val="182"/>
              <w:bidi w:val="0"/>
              <w:rPr>
                <w:color w:val="auto"/>
              </w:rPr>
            </w:pPr>
            <w:r>
              <w:rPr>
                <w:color w:val="auto"/>
              </w:rPr>
              <w:t>2</w:t>
            </w:r>
          </w:p>
        </w:tc>
        <w:tc>
          <w:tcPr>
            <w:tcW w:w="353" w:type="pct"/>
            <w:vMerge w:val="restart"/>
            <w:tcBorders>
              <w:top w:val="single" w:color="auto" w:sz="6" w:space="0"/>
              <w:left w:val="single" w:color="auto" w:sz="6" w:space="0"/>
              <w:right w:val="single" w:color="auto" w:sz="6" w:space="0"/>
            </w:tcBorders>
            <w:vAlign w:val="center"/>
          </w:tcPr>
          <w:p>
            <w:pPr>
              <w:pStyle w:val="182"/>
              <w:bidi w:val="0"/>
              <w:rPr>
                <w:color w:val="auto"/>
              </w:rPr>
            </w:pPr>
            <w:r>
              <w:rPr>
                <w:rFonts w:hint="eastAsia"/>
                <w:color w:val="auto"/>
              </w:rPr>
              <w:t>公用工程</w:t>
            </w: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供热/蒸汽</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由新乡化纤股份有限公司新厂区2台170t/h锅炉+1台75t/h锅炉提供</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供水</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市政管网</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排水</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厂区废水经现有厂区污水处理站（处理规模3</w:t>
            </w:r>
            <w:r>
              <w:rPr>
                <w:color w:val="auto"/>
              </w:rPr>
              <w:t>.8</w:t>
            </w:r>
            <w:r>
              <w:rPr>
                <w:rFonts w:hint="eastAsia"/>
                <w:color w:val="auto"/>
              </w:rPr>
              <w:t>万t</w:t>
            </w:r>
            <w:r>
              <w:rPr>
                <w:color w:val="auto"/>
              </w:rPr>
              <w:t>/d</w:t>
            </w:r>
            <w:r>
              <w:rPr>
                <w:rFonts w:hint="eastAsia"/>
                <w:color w:val="auto"/>
              </w:rPr>
              <w:t>）处理达标后通过污水管网排入小店污水处理厂进行处理，污水处理厂尾水排入大沙河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供电</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由园区统一供给，厂内配套变压器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脱盐水</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厂区建设有1座总制备能力为800m</w:t>
            </w:r>
            <w:r>
              <w:rPr>
                <w:rFonts w:hint="eastAsia"/>
                <w:color w:val="auto"/>
                <w:vertAlign w:val="superscript"/>
              </w:rPr>
              <w:t>3</w:t>
            </w:r>
            <w:r>
              <w:rPr>
                <w:rFonts w:hint="eastAsia"/>
                <w:color w:val="auto"/>
              </w:rPr>
              <w:t>/h的脱盐水供水站，脱盐水供水站为全厂项目提供脱盐水</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236" w:type="pct"/>
            <w:vMerge w:val="continue"/>
            <w:tcBorders>
              <w:left w:val="single" w:color="auto" w:sz="8" w:space="0"/>
              <w:right w:val="single" w:color="auto" w:sz="6" w:space="0"/>
            </w:tcBorders>
            <w:vAlign w:val="center"/>
          </w:tcPr>
          <w:p>
            <w:pPr>
              <w:pStyle w:val="182"/>
              <w:bidi w:val="0"/>
              <w:rPr>
                <w:color w:val="auto"/>
              </w:rPr>
            </w:pPr>
          </w:p>
        </w:tc>
        <w:tc>
          <w:tcPr>
            <w:tcW w:w="353" w:type="pct"/>
            <w:vMerge w:val="continue"/>
            <w:tcBorders>
              <w:left w:val="single" w:color="auto" w:sz="6" w:space="0"/>
              <w:right w:val="single" w:color="auto" w:sz="6" w:space="0"/>
            </w:tcBorders>
            <w:vAlign w:val="center"/>
          </w:tcPr>
          <w:p>
            <w:pPr>
              <w:pStyle w:val="182"/>
              <w:bidi w:val="0"/>
              <w:rPr>
                <w:color w:val="auto"/>
              </w:rPr>
            </w:pPr>
          </w:p>
        </w:tc>
        <w:tc>
          <w:tcPr>
            <w:tcW w:w="1325" w:type="pct"/>
            <w:gridSpan w:val="2"/>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污水处理站</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设计规模3</w:t>
            </w:r>
            <w:r>
              <w:rPr>
                <w:color w:val="auto"/>
              </w:rPr>
              <w:t>.8</w:t>
            </w:r>
            <w:r>
              <w:rPr>
                <w:rFonts w:hint="eastAsia"/>
                <w:color w:val="auto"/>
              </w:rPr>
              <w:t>万t</w:t>
            </w:r>
            <w:r>
              <w:rPr>
                <w:color w:val="auto"/>
              </w:rPr>
              <w:t>/d</w:t>
            </w:r>
            <w:r>
              <w:rPr>
                <w:rFonts w:hint="eastAsia"/>
                <w:color w:val="auto"/>
              </w:rPr>
              <w:t>，处理工艺为“中和廊道+沉淀池+pH调节池”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restar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color w:val="auto"/>
              </w:rPr>
              <w:t>3</w:t>
            </w:r>
          </w:p>
        </w:tc>
        <w:tc>
          <w:tcPr>
            <w:tcW w:w="353" w:type="pct"/>
            <w:vMerge w:val="restar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环保工程</w:t>
            </w:r>
          </w:p>
        </w:tc>
        <w:tc>
          <w:tcPr>
            <w:tcW w:w="400" w:type="pct"/>
            <w:vMerge w:val="restart"/>
            <w:tcBorders>
              <w:top w:val="single" w:color="auto" w:sz="6" w:space="0"/>
              <w:left w:val="single" w:color="auto" w:sz="6" w:space="0"/>
              <w:right w:val="single" w:color="auto" w:sz="6" w:space="0"/>
            </w:tcBorders>
            <w:vAlign w:val="center"/>
          </w:tcPr>
          <w:p>
            <w:pPr>
              <w:pStyle w:val="182"/>
              <w:bidi w:val="0"/>
              <w:rPr>
                <w:color w:val="auto"/>
              </w:rPr>
            </w:pPr>
            <w:r>
              <w:rPr>
                <w:rFonts w:hint="eastAsia"/>
                <w:color w:val="auto"/>
              </w:rPr>
              <w:t>废气治理设施</w:t>
            </w:r>
          </w:p>
        </w:tc>
        <w:tc>
          <w:tcPr>
            <w:tcW w:w="925" w:type="pct"/>
            <w:vMerge w:val="restart"/>
            <w:tcBorders>
              <w:top w:val="single" w:color="auto" w:sz="6" w:space="0"/>
              <w:left w:val="single" w:color="auto" w:sz="6" w:space="0"/>
              <w:right w:val="single" w:color="auto" w:sz="6" w:space="0"/>
            </w:tcBorders>
            <w:vAlign w:val="center"/>
          </w:tcPr>
          <w:p>
            <w:pPr>
              <w:pStyle w:val="182"/>
              <w:bidi w:val="0"/>
              <w:rPr>
                <w:color w:val="auto"/>
              </w:rPr>
            </w:pPr>
            <w:r>
              <w:rPr>
                <w:rFonts w:hint="eastAsia"/>
                <w:color w:val="auto"/>
              </w:rPr>
              <w:t>年产5000吨差别化新型连续纺粘胶长丝生产线</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酸站局部废气、黄化废气：络合铁回收S单质工艺+活性炭吸附处理+120m高6#排气塔排放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其他工段工艺废气：直接通过120m高5#排气筒排放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锅炉废气*：SNCR+SCR脱硝+电袋复合除尘+旋流板塔（废碱液）脱硫+脱硫除尘一体化装置，治理后经80m高1#、2#烟囱排放。（3台75t/h蒸汽锅炉（一用二备））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restart"/>
            <w:tcBorders>
              <w:left w:val="single" w:color="auto" w:sz="6" w:space="0"/>
              <w:right w:val="single" w:color="auto" w:sz="6" w:space="0"/>
            </w:tcBorders>
            <w:vAlign w:val="center"/>
          </w:tcPr>
          <w:p>
            <w:pPr>
              <w:pStyle w:val="182"/>
              <w:bidi w:val="0"/>
              <w:rPr>
                <w:color w:val="auto"/>
              </w:rPr>
            </w:pPr>
            <w:r>
              <w:rPr>
                <w:rFonts w:hint="eastAsia"/>
                <w:color w:val="auto"/>
              </w:rPr>
              <w:t>年产2×2万吨超柔软氨纶纤维项目</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DMAC精制（真空泵尾气）、纺丝工艺废气：经各自二级水喷淋+末端一级水喷淋处理后经50m高8#排气筒排放。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纺丝、卷绕车间废气：收集后经水喷淋装置处理后27m高9#排气筒排放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组件清洗废气：清洗罐上方设抽风装置收集后经末端一级水喷淋处理后经50m高8#排气筒排放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restart"/>
            <w:tcBorders>
              <w:left w:val="single" w:color="auto" w:sz="6" w:space="0"/>
              <w:right w:val="single" w:color="auto" w:sz="6" w:space="0"/>
            </w:tcBorders>
            <w:vAlign w:val="center"/>
          </w:tcPr>
          <w:p>
            <w:pPr>
              <w:pStyle w:val="182"/>
              <w:bidi w:val="0"/>
              <w:rPr>
                <w:color w:val="auto"/>
              </w:rPr>
            </w:pPr>
            <w:r>
              <w:rPr>
                <w:rFonts w:hint="eastAsia"/>
                <w:color w:val="auto"/>
              </w:rPr>
              <w:t>新建2×170t/h蒸汽锅炉项目</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煤粉炉废气：低氮燃烧+SCR脱硝+袋式除尘器+钠碱法湿式（废碱液）脱硫+湿式电除尘+80m高3#、4#烟囱</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煤破碎系统粉尘：布袋除尘器+20m高13#排气筒</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灰库尾气：仓顶脉冲袋式除尘器+高于库顶3m排放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restart"/>
            <w:tcBorders>
              <w:left w:val="single" w:color="auto" w:sz="6" w:space="0"/>
              <w:right w:val="single" w:color="auto" w:sz="6" w:space="0"/>
            </w:tcBorders>
            <w:vAlign w:val="center"/>
          </w:tcPr>
          <w:p>
            <w:pPr>
              <w:pStyle w:val="182"/>
              <w:bidi w:val="0"/>
              <w:rPr>
                <w:color w:val="auto"/>
              </w:rPr>
            </w:pPr>
            <w:r>
              <w:rPr>
                <w:rFonts w:hint="eastAsia"/>
                <w:color w:val="auto"/>
              </w:rPr>
              <w:t>年产2万吨超细旦氨纶纤维项目（年产3×2万吨超细旦氨纶纤维项目一期工程）</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DMAC精制（真空泵尾气）、纺丝工艺废气：经各自二级水喷淋+末端一级水喷淋处理后经50m高8#排气筒排放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纺丝、卷绕车间废气：收集后经水喷淋装置处理后经27m高10#排气筒排放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组件清洗废气：清洗罐上方设抽风装置收集后经末端一级水喷淋处理后经50m高8#排气筒排放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restart"/>
            <w:tcBorders>
              <w:left w:val="single" w:color="auto" w:sz="6" w:space="0"/>
              <w:right w:val="single" w:color="auto" w:sz="6" w:space="0"/>
            </w:tcBorders>
            <w:vAlign w:val="center"/>
          </w:tcPr>
          <w:p>
            <w:pPr>
              <w:pStyle w:val="182"/>
              <w:bidi w:val="0"/>
              <w:rPr>
                <w:color w:val="auto"/>
              </w:rPr>
            </w:pPr>
            <w:r>
              <w:rPr>
                <w:rFonts w:hint="eastAsia"/>
                <w:color w:val="auto"/>
              </w:rPr>
              <w:t>年产一万吨新型纤维素长丝项目</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酸站局部废气、黄化废气：络合铁回收S单质工艺+活性炭吸附处理+120m高6#排气塔排放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酸站空调和纺丝废气：通过120m高7#排气筒排放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原液车间空调废气：直接通过现有5000吨长丝的120m高5#排气塔排放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restart"/>
            <w:tcBorders>
              <w:left w:val="single" w:color="auto" w:sz="6" w:space="0"/>
              <w:right w:val="single" w:color="auto" w:sz="6" w:space="0"/>
            </w:tcBorders>
            <w:vAlign w:val="center"/>
          </w:tcPr>
          <w:p>
            <w:pPr>
              <w:pStyle w:val="182"/>
              <w:bidi w:val="0"/>
              <w:rPr>
                <w:color w:val="auto"/>
              </w:rPr>
            </w:pPr>
            <w:r>
              <w:rPr>
                <w:rFonts w:hint="eastAsia"/>
                <w:color w:val="auto"/>
              </w:rPr>
              <w:t>年产2×2万吨超细旦氨纶纤维项目（年产3×2万吨超细旦氨纶纤维项目二期三期工程）（二期）</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纺丝工艺废气：经二级水喷淋（ABS系统）+双氧水喷淋+硫酸喷淋+水喷淋处理后，经30m高11#排气筒排放。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DMAC精制（真空泵尾气）：经二级水喷淋+末端一级水喷淋处理后经50m高8#排气筒排放。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纺丝、卷绕车间废气：收集后经水喷淋装置处理后经</w:t>
            </w:r>
          </w:p>
          <w:p>
            <w:pPr>
              <w:pStyle w:val="182"/>
              <w:bidi w:val="0"/>
              <w:rPr>
                <w:color w:val="auto"/>
              </w:rPr>
            </w:pPr>
            <w:r>
              <w:rPr>
                <w:rFonts w:hint="eastAsia"/>
                <w:color w:val="auto"/>
              </w:rPr>
              <w:t>27m高12#排气筒排放。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组件清洗废气：清洗罐上方设抽风装置收集后经与纺丝工艺废气共用一套三级喷淋系统（双氧水喷淋+硫酸喷淋+水喷淋）处理后，经30m高11#排气筒排放。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restart"/>
            <w:tcBorders>
              <w:left w:val="single" w:color="auto" w:sz="6" w:space="0"/>
              <w:right w:val="single" w:color="auto" w:sz="6" w:space="0"/>
            </w:tcBorders>
            <w:vAlign w:val="center"/>
          </w:tcPr>
          <w:p>
            <w:pPr>
              <w:pStyle w:val="182"/>
              <w:bidi w:val="0"/>
              <w:rPr>
                <w:rFonts w:hint="eastAsia" w:eastAsia="宋体"/>
                <w:color w:val="auto"/>
                <w:lang w:eastAsia="zh-CN"/>
              </w:rPr>
            </w:pPr>
            <w:r>
              <w:rPr>
                <w:rFonts w:hint="eastAsia"/>
                <w:color w:val="auto"/>
              </w:rPr>
              <w:t>年产2万吨生物质纤维素项目（二期暂未建设）</w:t>
            </w:r>
            <w:r>
              <w:rPr>
                <w:rFonts w:hint="eastAsia"/>
                <w:color w:val="auto"/>
                <w:lang w:eastAsia="zh-CN"/>
              </w:rPr>
              <w:t>（</w:t>
            </w:r>
            <w:r>
              <w:rPr>
                <w:rFonts w:hint="eastAsia"/>
                <w:color w:val="auto"/>
                <w:lang w:val="en-US" w:eastAsia="zh-CN"/>
              </w:rPr>
              <w:t>一期</w:t>
            </w:r>
            <w:r>
              <w:rPr>
                <w:rFonts w:hint="eastAsia"/>
                <w:color w:val="auto"/>
                <w:lang w:eastAsia="zh-CN"/>
              </w:rPr>
              <w:t>）</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黄化段废气、酸站高浓度废气：经Na2CO3喷淋脱硫（回收S单质）+活性炭吸附（通过吸附</w:t>
            </w:r>
            <w:r>
              <w:rPr>
                <w:rFonts w:hint="eastAsia"/>
                <w:color w:val="auto"/>
                <w:lang w:eastAsia="zh-CN"/>
              </w:rPr>
              <w:t>－</w:t>
            </w:r>
            <w:r>
              <w:rPr>
                <w:rFonts w:hint="eastAsia"/>
                <w:color w:val="auto"/>
              </w:rPr>
              <w:t>脱附</w:t>
            </w:r>
            <w:r>
              <w:rPr>
                <w:rFonts w:hint="eastAsia"/>
                <w:color w:val="auto"/>
                <w:lang w:eastAsia="zh-CN"/>
              </w:rPr>
              <w:t>－</w:t>
            </w:r>
            <w:r>
              <w:rPr>
                <w:rFonts w:hint="eastAsia"/>
                <w:color w:val="auto"/>
              </w:rPr>
              <w:t>冷凝回收CS2）工艺处理后，通过120m高6#排气塔排放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纺丝（东）废气、酸站其他废气、原液车间低浓度废气：碱液喷淋，依托现有120m高6#排气塔排放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right w:val="single" w:color="auto" w:sz="6" w:space="0"/>
            </w:tcBorders>
            <w:vAlign w:val="center"/>
          </w:tcPr>
          <w:p>
            <w:pPr>
              <w:pStyle w:val="182"/>
              <w:bidi w:val="0"/>
              <w:rPr>
                <w:color w:val="auto"/>
              </w:rPr>
            </w:pPr>
          </w:p>
        </w:tc>
        <w:tc>
          <w:tcPr>
            <w:tcW w:w="925" w:type="pct"/>
            <w:vMerge w:val="continue"/>
            <w:tcBorders>
              <w:left w:val="single" w:color="auto" w:sz="6" w:space="0"/>
              <w:right w:val="single" w:color="auto" w:sz="6" w:space="0"/>
            </w:tcBorders>
            <w:vAlign w:val="center"/>
          </w:tcPr>
          <w:p>
            <w:pPr>
              <w:pStyle w:val="182"/>
              <w:bidi w:val="0"/>
              <w:rPr>
                <w:color w:val="auto"/>
              </w:rPr>
            </w:pP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纺丝（南）废气：碱液喷淋，依托现有万吨长丝废气120m高7#排气塔排放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tcBorders>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废水处理设施</w:t>
            </w:r>
          </w:p>
        </w:tc>
        <w:tc>
          <w:tcPr>
            <w:tcW w:w="4009" w:type="pct"/>
            <w:gridSpan w:val="2"/>
            <w:tcBorders>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现有废水通过分质分类进行处理，根据水质不同污水处理站分为四个单元，其中（1）粘胶废水</w:t>
            </w:r>
            <w:r>
              <w:rPr>
                <w:rFonts w:hint="eastAsia"/>
                <w:color w:val="auto"/>
                <w:lang w:eastAsia="zh-CN"/>
              </w:rPr>
              <w:t>－</w:t>
            </w:r>
            <w:r>
              <w:rPr>
                <w:rFonts w:hint="eastAsia"/>
                <w:color w:val="auto"/>
              </w:rPr>
              <w:t>生活污水处理单元（6000m</w:t>
            </w:r>
            <w:r>
              <w:rPr>
                <w:rFonts w:hint="eastAsia"/>
                <w:color w:val="auto"/>
                <w:vertAlign w:val="superscript"/>
              </w:rPr>
              <w:t>3</w:t>
            </w:r>
            <w:r>
              <w:rPr>
                <w:rFonts w:hint="eastAsia"/>
                <w:color w:val="auto"/>
              </w:rPr>
              <w:t>/d）要处理粘胶废水、生活污水以及锅炉脱硫除尘废水，主要处理工艺为“酸化（仅粘胶废水需要）+调节+中和+沉淀+氧化沟+二沉池”处理工艺；（2）</w:t>
            </w:r>
            <w:r>
              <w:rPr>
                <w:rFonts w:hint="eastAsia"/>
                <w:color w:val="auto"/>
                <w:lang w:val="en-US" w:eastAsia="zh-CN"/>
              </w:rPr>
              <w:t>长丝</w:t>
            </w:r>
            <w:r>
              <w:rPr>
                <w:rFonts w:hint="eastAsia"/>
                <w:color w:val="auto"/>
              </w:rPr>
              <w:t>酸性废水处理一区（19000m</w:t>
            </w:r>
            <w:r>
              <w:rPr>
                <w:rFonts w:hint="eastAsia"/>
                <w:color w:val="auto"/>
                <w:vertAlign w:val="superscript"/>
              </w:rPr>
              <w:t>3</w:t>
            </w:r>
            <w:r>
              <w:rPr>
                <w:rFonts w:hint="eastAsia"/>
                <w:color w:val="auto"/>
              </w:rPr>
              <w:t>/d）：主要处理长丝的酸性废水，主要处理工艺为“中和</w:t>
            </w:r>
            <w:r>
              <w:rPr>
                <w:rFonts w:hint="eastAsia"/>
                <w:color w:val="auto"/>
                <w:lang w:eastAsia="zh-CN"/>
              </w:rPr>
              <w:t>－</w:t>
            </w:r>
            <w:r>
              <w:rPr>
                <w:rFonts w:hint="eastAsia"/>
                <w:color w:val="auto"/>
              </w:rPr>
              <w:t>沉淀-pH调节”；（3）绿纤、氨纶废水处理单元（3000m</w:t>
            </w:r>
            <w:r>
              <w:rPr>
                <w:rFonts w:hint="eastAsia"/>
                <w:color w:val="auto"/>
                <w:vertAlign w:val="superscript"/>
              </w:rPr>
              <w:t>3</w:t>
            </w:r>
            <w:r>
              <w:rPr>
                <w:rFonts w:hint="eastAsia"/>
                <w:color w:val="auto"/>
              </w:rPr>
              <w:t>/d）：该单元主要处理氨纶和中纺院的绿色纤维生产期间产生的废水，处理工艺为“调节+混合池+沉淀+水解酸化+氧化沟+二沉池</w:t>
            </w:r>
            <w:r>
              <w:rPr>
                <w:rFonts w:hint="eastAsia"/>
                <w:color w:val="auto"/>
                <w:lang w:val="en-US" w:eastAsia="zh-CN"/>
              </w:rPr>
              <w:t>+混凝池+终沉池</w:t>
            </w:r>
            <w:r>
              <w:rPr>
                <w:rFonts w:hint="eastAsia"/>
                <w:color w:val="auto"/>
              </w:rPr>
              <w:t>”；（4）</w:t>
            </w:r>
            <w:r>
              <w:rPr>
                <w:rFonts w:hint="eastAsia"/>
                <w:color w:val="auto"/>
                <w:lang w:val="en-US" w:eastAsia="zh-CN"/>
              </w:rPr>
              <w:t>长丝</w:t>
            </w:r>
            <w:r>
              <w:rPr>
                <w:rFonts w:hint="eastAsia"/>
                <w:color w:val="auto"/>
              </w:rPr>
              <w:t>酸性废水处理二区（10000m</w:t>
            </w:r>
            <w:r>
              <w:rPr>
                <w:rFonts w:hint="eastAsia"/>
                <w:color w:val="auto"/>
                <w:vertAlign w:val="superscript"/>
              </w:rPr>
              <w:t>3</w:t>
            </w:r>
            <w:r>
              <w:rPr>
                <w:rFonts w:hint="eastAsia"/>
                <w:color w:val="auto"/>
              </w:rPr>
              <w:t>/d）：主要处理长丝酸性废水，主要处理工艺为“中和-沉淀-pH调节”。全厂废水经处理达标混合后外排进入园区污水管网，最终排入小店污水处理厂。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restart"/>
            <w:tcBorders>
              <w:left w:val="single" w:color="auto" w:sz="6" w:space="0"/>
              <w:right w:val="single" w:color="auto" w:sz="6" w:space="0"/>
            </w:tcBorders>
            <w:vAlign w:val="center"/>
          </w:tcPr>
          <w:p>
            <w:pPr>
              <w:pStyle w:val="182"/>
              <w:bidi w:val="0"/>
              <w:rPr>
                <w:b/>
                <w:bCs/>
                <w:color w:val="auto"/>
                <w:u w:val="single"/>
              </w:rPr>
            </w:pPr>
            <w:r>
              <w:rPr>
                <w:rFonts w:hint="eastAsia"/>
                <w:b/>
                <w:bCs/>
                <w:color w:val="auto"/>
                <w:u w:val="single"/>
              </w:rPr>
              <w:t>固体废物</w:t>
            </w:r>
          </w:p>
        </w:tc>
        <w:tc>
          <w:tcPr>
            <w:tcW w:w="925" w:type="pct"/>
            <w:tcBorders>
              <w:left w:val="single" w:color="auto" w:sz="6" w:space="0"/>
              <w:bottom w:val="single" w:color="auto" w:sz="6" w:space="0"/>
              <w:right w:val="single" w:color="auto" w:sz="6" w:space="0"/>
            </w:tcBorders>
            <w:vAlign w:val="center"/>
          </w:tcPr>
          <w:p>
            <w:pPr>
              <w:pStyle w:val="182"/>
              <w:bidi w:val="0"/>
              <w:rPr>
                <w:b/>
                <w:bCs/>
                <w:color w:val="auto"/>
                <w:u w:val="single"/>
              </w:rPr>
            </w:pPr>
            <w:r>
              <w:rPr>
                <w:rFonts w:hint="eastAsia"/>
                <w:b/>
                <w:bCs/>
                <w:color w:val="auto"/>
                <w:u w:val="single"/>
              </w:rPr>
              <w:t>危险废物</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b/>
                <w:bCs/>
                <w:color w:val="auto"/>
                <w:u w:val="single"/>
              </w:rPr>
            </w:pPr>
            <w:r>
              <w:rPr>
                <w:rFonts w:hint="eastAsia"/>
                <w:b/>
                <w:bCs/>
                <w:color w:val="auto"/>
                <w:u w:val="single"/>
              </w:rPr>
              <w:t>厂区东南紧邻氨纶车间建设有1座（</w:t>
            </w:r>
            <w:r>
              <w:rPr>
                <w:rFonts w:hint="eastAsia"/>
                <w:b/>
                <w:bCs/>
                <w:color w:val="auto"/>
                <w:u w:val="single"/>
                <w:vertAlign w:val="baseline"/>
                <w:lang w:val="en-US" w:eastAsia="zh-CN"/>
              </w:rPr>
              <w:t>75m</w:t>
            </w:r>
            <w:r>
              <w:rPr>
                <w:rFonts w:hint="eastAsia"/>
                <w:b/>
                <w:bCs/>
                <w:color w:val="auto"/>
                <w:u w:val="single"/>
                <w:vertAlign w:val="superscript"/>
                <w:lang w:val="en-US" w:eastAsia="zh-CN"/>
              </w:rPr>
              <w:t>2</w:t>
            </w:r>
            <w:r>
              <w:rPr>
                <w:rFonts w:hint="eastAsia"/>
                <w:b/>
                <w:bCs/>
                <w:color w:val="auto"/>
                <w:u w:val="single"/>
              </w:rPr>
              <w:t>）的危险废物暂存间</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53"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400" w:type="pct"/>
            <w:vMerge w:val="continue"/>
            <w:tcBorders>
              <w:left w:val="single" w:color="auto" w:sz="6" w:space="0"/>
              <w:bottom w:val="single" w:color="auto" w:sz="6" w:space="0"/>
              <w:right w:val="single" w:color="auto" w:sz="6" w:space="0"/>
            </w:tcBorders>
            <w:vAlign w:val="center"/>
          </w:tcPr>
          <w:p>
            <w:pPr>
              <w:pStyle w:val="182"/>
              <w:bidi w:val="0"/>
              <w:rPr>
                <w:b/>
                <w:bCs/>
                <w:color w:val="auto"/>
                <w:u w:val="single"/>
              </w:rPr>
            </w:pPr>
          </w:p>
        </w:tc>
        <w:tc>
          <w:tcPr>
            <w:tcW w:w="925" w:type="pct"/>
            <w:tcBorders>
              <w:left w:val="single" w:color="auto" w:sz="6" w:space="0"/>
              <w:bottom w:val="single" w:color="auto" w:sz="6" w:space="0"/>
              <w:right w:val="single" w:color="auto" w:sz="6" w:space="0"/>
            </w:tcBorders>
            <w:vAlign w:val="center"/>
          </w:tcPr>
          <w:p>
            <w:pPr>
              <w:pStyle w:val="182"/>
              <w:bidi w:val="0"/>
              <w:rPr>
                <w:b/>
                <w:bCs/>
                <w:color w:val="auto"/>
                <w:u w:val="single"/>
              </w:rPr>
            </w:pPr>
            <w:r>
              <w:rPr>
                <w:rFonts w:hint="eastAsia"/>
                <w:b/>
                <w:bCs/>
                <w:color w:val="auto"/>
                <w:u w:val="single"/>
              </w:rPr>
              <w:t>一般废物</w:t>
            </w:r>
          </w:p>
        </w:tc>
        <w:tc>
          <w:tcPr>
            <w:tcW w:w="3084" w:type="pct"/>
            <w:tcBorders>
              <w:top w:val="single" w:color="auto" w:sz="6" w:space="0"/>
              <w:left w:val="single" w:color="auto" w:sz="6" w:space="0"/>
              <w:bottom w:val="single" w:color="auto" w:sz="6" w:space="0"/>
              <w:right w:val="single" w:color="auto" w:sz="8" w:space="0"/>
            </w:tcBorders>
            <w:vAlign w:val="center"/>
          </w:tcPr>
          <w:p>
            <w:pPr>
              <w:pStyle w:val="182"/>
              <w:bidi w:val="0"/>
              <w:rPr>
                <w:b/>
                <w:bCs/>
                <w:color w:val="auto"/>
                <w:u w:val="single"/>
              </w:rPr>
            </w:pPr>
            <w:r>
              <w:rPr>
                <w:rFonts w:hint="eastAsia"/>
                <w:b/>
                <w:bCs/>
                <w:color w:val="auto"/>
                <w:u w:val="single"/>
              </w:rPr>
              <w:t>厂区设置有1座</w:t>
            </w:r>
            <w:r>
              <w:rPr>
                <w:rFonts w:hint="default"/>
                <w:b/>
                <w:bCs/>
                <w:color w:val="auto"/>
                <w:u w:val="single"/>
                <w:lang w:val="en-US" w:eastAsia="zh-CN"/>
              </w:rPr>
              <w:t>（36m</w:t>
            </w:r>
            <w:r>
              <w:rPr>
                <w:rFonts w:hint="default"/>
                <w:b/>
                <w:bCs/>
                <w:color w:val="auto"/>
                <w:u w:val="single"/>
                <w:vertAlign w:val="superscript"/>
                <w:lang w:val="en-US" w:eastAsia="zh-CN"/>
              </w:rPr>
              <w:t>2</w:t>
            </w:r>
            <w:r>
              <w:rPr>
                <w:rFonts w:hint="default"/>
                <w:b/>
                <w:bCs/>
                <w:color w:val="auto"/>
                <w:u w:val="single"/>
                <w:lang w:val="en-US" w:eastAsia="zh-CN"/>
              </w:rPr>
              <w:t>）</w:t>
            </w:r>
            <w:r>
              <w:rPr>
                <w:rFonts w:hint="eastAsia"/>
                <w:b/>
                <w:bCs/>
                <w:color w:val="auto"/>
                <w:u w:val="single"/>
              </w:rPr>
              <w:t>的一般固废暂存间</w:t>
            </w:r>
          </w:p>
        </w:tc>
      </w:tr>
      <w:bookmarkEnd w:id="181"/>
    </w:tbl>
    <w:p>
      <w:pPr>
        <w:pStyle w:val="9"/>
        <w:bidi w:val="0"/>
        <w:rPr>
          <w:color w:val="auto"/>
        </w:rPr>
      </w:pPr>
      <w:r>
        <w:rPr>
          <w:color w:val="auto"/>
        </w:rPr>
        <w:t>3.</w:t>
      </w:r>
      <w:r>
        <w:rPr>
          <w:rFonts w:hint="eastAsia"/>
          <w:color w:val="auto"/>
          <w:lang w:val="en-US" w:eastAsia="zh-CN"/>
        </w:rPr>
        <w:t>3</w:t>
      </w:r>
      <w:r>
        <w:rPr>
          <w:color w:val="auto"/>
        </w:rPr>
        <w:t>.2</w:t>
      </w:r>
      <w:r>
        <w:rPr>
          <w:rFonts w:hint="eastAsia"/>
          <w:color w:val="auto"/>
          <w:lang w:val="en-US" w:eastAsia="zh-CN"/>
        </w:rPr>
        <w:t>已建工程</w:t>
      </w:r>
      <w:r>
        <w:rPr>
          <w:color w:val="auto"/>
        </w:rPr>
        <w:t>产品方案</w:t>
      </w:r>
    </w:p>
    <w:p>
      <w:pPr>
        <w:bidi w:val="0"/>
        <w:rPr>
          <w:color w:val="auto"/>
        </w:rPr>
      </w:pPr>
      <w:r>
        <w:rPr>
          <w:color w:val="auto"/>
        </w:rPr>
        <w:t>现有工程的产品方案见下表：</w:t>
      </w:r>
    </w:p>
    <w:p>
      <w:pPr>
        <w:pStyle w:val="181"/>
        <w:bidi w:val="0"/>
        <w:rPr>
          <w:color w:val="auto"/>
        </w:rPr>
      </w:pPr>
      <w:r>
        <w:rPr>
          <w:color w:val="auto"/>
        </w:rPr>
        <w:t>表3.</w:t>
      </w:r>
      <w:r>
        <w:rPr>
          <w:rFonts w:hint="eastAsia"/>
          <w:color w:val="auto"/>
          <w:lang w:val="en-US" w:eastAsia="zh-CN"/>
        </w:rPr>
        <w:t>3</w:t>
      </w:r>
      <w:r>
        <w:rPr>
          <w:color w:val="auto"/>
        </w:rPr>
        <w:t>-2</w:t>
      </w:r>
      <w:r>
        <w:rPr>
          <w:rFonts w:hint="eastAsia"/>
          <w:color w:val="auto"/>
          <w:lang w:val="en-US" w:eastAsia="zh-CN"/>
        </w:rPr>
        <w:t xml:space="preserve">               已建</w:t>
      </w:r>
      <w:r>
        <w:rPr>
          <w:color w:val="auto"/>
        </w:rPr>
        <w:t>项目产品方案一览表</w:t>
      </w:r>
    </w:p>
    <w:tbl>
      <w:tblPr>
        <w:tblStyle w:val="32"/>
        <w:tblW w:w="5173"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842"/>
        <w:gridCol w:w="3264"/>
        <w:gridCol w:w="1560"/>
        <w:gridCol w:w="1849"/>
        <w:gridCol w:w="1302"/>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tcBorders>
              <w:top w:val="single" w:color="000000" w:sz="8" w:space="0"/>
              <w:left w:val="single" w:color="000000" w:sz="8" w:space="0"/>
              <w:bottom w:val="single" w:color="000000" w:sz="6" w:space="0"/>
              <w:right w:val="single" w:color="000000" w:sz="6" w:space="0"/>
            </w:tcBorders>
            <w:vAlign w:val="center"/>
          </w:tcPr>
          <w:p>
            <w:pPr>
              <w:pStyle w:val="182"/>
              <w:bidi w:val="0"/>
              <w:rPr>
                <w:b/>
                <w:bCs/>
                <w:color w:val="auto"/>
              </w:rPr>
            </w:pPr>
            <w:r>
              <w:rPr>
                <w:rFonts w:hint="eastAsia"/>
                <w:b/>
                <w:bCs/>
                <w:color w:val="auto"/>
              </w:rPr>
              <w:t>序号</w:t>
            </w:r>
          </w:p>
        </w:tc>
        <w:tc>
          <w:tcPr>
            <w:tcW w:w="1850" w:type="pct"/>
            <w:tcBorders>
              <w:top w:val="single" w:color="000000" w:sz="8" w:space="0"/>
              <w:left w:val="single" w:color="000000" w:sz="6" w:space="0"/>
              <w:bottom w:val="single" w:color="000000" w:sz="6" w:space="0"/>
              <w:right w:val="single" w:color="000000" w:sz="8" w:space="0"/>
            </w:tcBorders>
            <w:vAlign w:val="center"/>
          </w:tcPr>
          <w:p>
            <w:pPr>
              <w:pStyle w:val="182"/>
              <w:bidi w:val="0"/>
              <w:rPr>
                <w:b/>
                <w:bCs/>
                <w:color w:val="auto"/>
              </w:rPr>
            </w:pPr>
            <w:r>
              <w:rPr>
                <w:rFonts w:hint="eastAsia"/>
                <w:b/>
                <w:bCs/>
                <w:color w:val="auto"/>
              </w:rPr>
              <w:t>项目名称</w:t>
            </w:r>
          </w:p>
        </w:tc>
        <w:tc>
          <w:tcPr>
            <w:tcW w:w="1932" w:type="pct"/>
            <w:gridSpan w:val="2"/>
            <w:tcBorders>
              <w:top w:val="single" w:color="000000" w:sz="8" w:space="0"/>
              <w:left w:val="single" w:color="000000" w:sz="6" w:space="0"/>
              <w:right w:val="single" w:color="000000" w:sz="8" w:space="0"/>
            </w:tcBorders>
            <w:vAlign w:val="center"/>
          </w:tcPr>
          <w:p>
            <w:pPr>
              <w:pStyle w:val="182"/>
              <w:bidi w:val="0"/>
              <w:rPr>
                <w:b/>
                <w:bCs/>
                <w:color w:val="auto"/>
              </w:rPr>
            </w:pPr>
            <w:r>
              <w:rPr>
                <w:rFonts w:hint="eastAsia"/>
                <w:b/>
                <w:bCs/>
                <w:color w:val="auto"/>
              </w:rPr>
              <w:t>产品名称</w:t>
            </w:r>
          </w:p>
        </w:tc>
        <w:tc>
          <w:tcPr>
            <w:tcW w:w="738" w:type="pct"/>
            <w:tcBorders>
              <w:top w:val="single" w:color="000000" w:sz="8" w:space="0"/>
              <w:left w:val="single" w:color="000000" w:sz="6" w:space="0"/>
              <w:right w:val="single" w:color="000000" w:sz="8" w:space="0"/>
            </w:tcBorders>
            <w:vAlign w:val="center"/>
          </w:tcPr>
          <w:p>
            <w:pPr>
              <w:pStyle w:val="182"/>
              <w:bidi w:val="0"/>
              <w:rPr>
                <w:b/>
                <w:bCs/>
                <w:color w:val="auto"/>
              </w:rPr>
            </w:pPr>
            <w:r>
              <w:rPr>
                <w:rFonts w:hint="eastAsia"/>
                <w:b/>
                <w:bCs/>
                <w:color w:val="auto"/>
              </w:rPr>
              <w:t>产品规模</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restart"/>
            <w:tcBorders>
              <w:top w:val="single" w:color="000000" w:sz="6" w:space="0"/>
              <w:left w:val="single" w:color="000000" w:sz="8" w:space="0"/>
              <w:right w:val="single" w:color="000000" w:sz="6" w:space="0"/>
            </w:tcBorders>
            <w:vAlign w:val="center"/>
          </w:tcPr>
          <w:p>
            <w:pPr>
              <w:pStyle w:val="182"/>
              <w:bidi w:val="0"/>
              <w:rPr>
                <w:color w:val="auto"/>
              </w:rPr>
            </w:pPr>
            <w:r>
              <w:rPr>
                <w:rFonts w:hint="eastAsia"/>
                <w:color w:val="auto"/>
              </w:rPr>
              <w:t>1</w:t>
            </w:r>
          </w:p>
        </w:tc>
        <w:tc>
          <w:tcPr>
            <w:tcW w:w="1850" w:type="pct"/>
            <w:vMerge w:val="restart"/>
            <w:tcBorders>
              <w:top w:val="single" w:color="000000" w:sz="6" w:space="0"/>
              <w:left w:val="single" w:color="000000" w:sz="6" w:space="0"/>
              <w:right w:val="single" w:color="000000" w:sz="8" w:space="0"/>
            </w:tcBorders>
            <w:vAlign w:val="center"/>
          </w:tcPr>
          <w:p>
            <w:pPr>
              <w:pStyle w:val="182"/>
              <w:bidi w:val="0"/>
              <w:rPr>
                <w:color w:val="auto"/>
              </w:rPr>
            </w:pPr>
            <w:r>
              <w:rPr>
                <w:rFonts w:hint="eastAsia"/>
                <w:color w:val="auto"/>
              </w:rPr>
              <w:t>年产5000吨差别化新型连续纺粘胶长丝工程</w:t>
            </w:r>
          </w:p>
        </w:tc>
        <w:tc>
          <w:tcPr>
            <w:tcW w:w="884" w:type="pct"/>
            <w:tcBorders>
              <w:left w:val="single" w:color="000000" w:sz="6" w:space="0"/>
              <w:right w:val="single" w:color="000000" w:sz="8" w:space="0"/>
            </w:tcBorders>
            <w:vAlign w:val="center"/>
          </w:tcPr>
          <w:p>
            <w:pPr>
              <w:pStyle w:val="182"/>
              <w:bidi w:val="0"/>
              <w:rPr>
                <w:color w:val="auto"/>
              </w:rPr>
            </w:pPr>
            <w:r>
              <w:rPr>
                <w:rFonts w:hint="eastAsia"/>
                <w:color w:val="auto"/>
              </w:rPr>
              <w:t>主要产品</w:t>
            </w:r>
          </w:p>
        </w:tc>
        <w:tc>
          <w:tcPr>
            <w:tcW w:w="1048" w:type="pct"/>
            <w:tcBorders>
              <w:left w:val="single" w:color="000000" w:sz="6" w:space="0"/>
              <w:right w:val="single" w:color="000000" w:sz="8" w:space="0"/>
            </w:tcBorders>
            <w:vAlign w:val="center"/>
          </w:tcPr>
          <w:p>
            <w:pPr>
              <w:pStyle w:val="182"/>
              <w:bidi w:val="0"/>
              <w:rPr>
                <w:color w:val="auto"/>
              </w:rPr>
            </w:pPr>
            <w:r>
              <w:rPr>
                <w:rFonts w:hint="eastAsia"/>
                <w:color w:val="auto"/>
              </w:rPr>
              <w:t>纤维素粘胶长丝</w:t>
            </w:r>
          </w:p>
        </w:tc>
        <w:tc>
          <w:tcPr>
            <w:tcW w:w="738" w:type="pct"/>
            <w:tcBorders>
              <w:left w:val="single" w:color="000000" w:sz="6" w:space="0"/>
              <w:right w:val="single" w:color="000000" w:sz="8" w:space="0"/>
            </w:tcBorders>
            <w:vAlign w:val="center"/>
          </w:tcPr>
          <w:p>
            <w:pPr>
              <w:pStyle w:val="182"/>
              <w:bidi w:val="0"/>
              <w:rPr>
                <w:color w:val="auto"/>
              </w:rPr>
            </w:pPr>
            <w:r>
              <w:rPr>
                <w:rFonts w:hint="eastAsia"/>
                <w:color w:val="auto"/>
              </w:rPr>
              <w:t>5</w:t>
            </w:r>
            <w:r>
              <w:rPr>
                <w:color w:val="auto"/>
              </w:rPr>
              <w:t>000</w:t>
            </w:r>
            <w:r>
              <w:rPr>
                <w:rFonts w:hint="eastAsia"/>
                <w:color w:val="auto"/>
              </w:rPr>
              <w:t>t</w:t>
            </w:r>
            <w:r>
              <w:rPr>
                <w:color w:val="auto"/>
              </w:rPr>
              <w: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continue"/>
            <w:tcBorders>
              <w:left w:val="single" w:color="000000" w:sz="8" w:space="0"/>
              <w:right w:val="single" w:color="000000" w:sz="6" w:space="0"/>
            </w:tcBorders>
            <w:vAlign w:val="center"/>
          </w:tcPr>
          <w:p>
            <w:pPr>
              <w:pStyle w:val="182"/>
              <w:bidi w:val="0"/>
              <w:rPr>
                <w:color w:val="auto"/>
              </w:rPr>
            </w:pPr>
          </w:p>
        </w:tc>
        <w:tc>
          <w:tcPr>
            <w:tcW w:w="1850" w:type="pct"/>
            <w:vMerge w:val="continue"/>
            <w:tcBorders>
              <w:left w:val="single" w:color="000000" w:sz="6" w:space="0"/>
              <w:right w:val="single" w:color="000000" w:sz="8" w:space="0"/>
            </w:tcBorders>
            <w:vAlign w:val="center"/>
          </w:tcPr>
          <w:p>
            <w:pPr>
              <w:pStyle w:val="182"/>
              <w:bidi w:val="0"/>
              <w:rPr>
                <w:color w:val="auto"/>
              </w:rPr>
            </w:pPr>
          </w:p>
        </w:tc>
        <w:tc>
          <w:tcPr>
            <w:tcW w:w="884" w:type="pct"/>
            <w:vMerge w:val="restart"/>
            <w:tcBorders>
              <w:left w:val="single" w:color="000000" w:sz="6" w:space="0"/>
              <w:right w:val="single" w:color="000000" w:sz="8" w:space="0"/>
            </w:tcBorders>
            <w:vAlign w:val="center"/>
          </w:tcPr>
          <w:p>
            <w:pPr>
              <w:pStyle w:val="182"/>
              <w:bidi w:val="0"/>
              <w:rPr>
                <w:color w:val="auto"/>
              </w:rPr>
            </w:pPr>
            <w:r>
              <w:rPr>
                <w:rFonts w:hint="eastAsia"/>
                <w:color w:val="auto"/>
              </w:rPr>
              <w:t>副产品</w:t>
            </w:r>
          </w:p>
        </w:tc>
        <w:tc>
          <w:tcPr>
            <w:tcW w:w="1048" w:type="pct"/>
            <w:tcBorders>
              <w:left w:val="single" w:color="000000" w:sz="6" w:space="0"/>
              <w:right w:val="single" w:color="000000" w:sz="8" w:space="0"/>
            </w:tcBorders>
            <w:vAlign w:val="center"/>
          </w:tcPr>
          <w:p>
            <w:pPr>
              <w:pStyle w:val="182"/>
              <w:bidi w:val="0"/>
              <w:rPr>
                <w:color w:val="auto"/>
              </w:rPr>
            </w:pPr>
            <w:r>
              <w:rPr>
                <w:rFonts w:hint="eastAsia"/>
                <w:color w:val="auto"/>
              </w:rPr>
              <w:t>中性元明粉</w:t>
            </w:r>
          </w:p>
        </w:tc>
        <w:tc>
          <w:tcPr>
            <w:tcW w:w="738" w:type="pct"/>
            <w:tcBorders>
              <w:left w:val="single" w:color="000000" w:sz="6" w:space="0"/>
              <w:right w:val="single" w:color="000000" w:sz="8" w:space="0"/>
            </w:tcBorders>
            <w:vAlign w:val="center"/>
          </w:tcPr>
          <w:p>
            <w:pPr>
              <w:pStyle w:val="182"/>
              <w:bidi w:val="0"/>
              <w:rPr>
                <w:color w:val="auto"/>
              </w:rPr>
            </w:pPr>
            <w:r>
              <w:rPr>
                <w:rFonts w:hint="eastAsia"/>
                <w:color w:val="auto"/>
              </w:rPr>
              <w:t>1672t/a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continue"/>
            <w:tcBorders>
              <w:left w:val="single" w:color="000000" w:sz="8" w:space="0"/>
              <w:bottom w:val="single" w:color="000000" w:sz="6" w:space="0"/>
              <w:right w:val="single" w:color="000000" w:sz="6" w:space="0"/>
            </w:tcBorders>
            <w:vAlign w:val="center"/>
          </w:tcPr>
          <w:p>
            <w:pPr>
              <w:pStyle w:val="182"/>
              <w:bidi w:val="0"/>
              <w:rPr>
                <w:color w:val="auto"/>
              </w:rPr>
            </w:pPr>
          </w:p>
        </w:tc>
        <w:tc>
          <w:tcPr>
            <w:tcW w:w="1850" w:type="pct"/>
            <w:vMerge w:val="continue"/>
            <w:tcBorders>
              <w:left w:val="single" w:color="000000" w:sz="6" w:space="0"/>
              <w:bottom w:val="single" w:color="000000" w:sz="6" w:space="0"/>
              <w:right w:val="single" w:color="000000" w:sz="8" w:space="0"/>
            </w:tcBorders>
            <w:vAlign w:val="center"/>
          </w:tcPr>
          <w:p>
            <w:pPr>
              <w:pStyle w:val="182"/>
              <w:bidi w:val="0"/>
              <w:rPr>
                <w:color w:val="auto"/>
              </w:rPr>
            </w:pPr>
          </w:p>
        </w:tc>
        <w:tc>
          <w:tcPr>
            <w:tcW w:w="884" w:type="pct"/>
            <w:vMerge w:val="continue"/>
            <w:tcBorders>
              <w:left w:val="single" w:color="000000" w:sz="6" w:space="0"/>
              <w:right w:val="single" w:color="000000" w:sz="8" w:space="0"/>
            </w:tcBorders>
            <w:vAlign w:val="center"/>
          </w:tcPr>
          <w:p>
            <w:pPr>
              <w:pStyle w:val="182"/>
              <w:bidi w:val="0"/>
              <w:rPr>
                <w:color w:val="auto"/>
              </w:rPr>
            </w:pPr>
          </w:p>
        </w:tc>
        <w:tc>
          <w:tcPr>
            <w:tcW w:w="1048" w:type="pct"/>
            <w:tcBorders>
              <w:left w:val="single" w:color="000000" w:sz="6" w:space="0"/>
              <w:right w:val="single" w:color="000000" w:sz="8" w:space="0"/>
            </w:tcBorders>
            <w:vAlign w:val="center"/>
          </w:tcPr>
          <w:p>
            <w:pPr>
              <w:pStyle w:val="182"/>
              <w:bidi w:val="0"/>
              <w:rPr>
                <w:color w:val="auto"/>
              </w:rPr>
            </w:pPr>
            <w:r>
              <w:rPr>
                <w:rFonts w:hint="eastAsia"/>
                <w:color w:val="auto"/>
                <w:lang w:eastAsia="zh-CN"/>
              </w:rPr>
              <w:t>硫黄</w:t>
            </w:r>
          </w:p>
        </w:tc>
        <w:tc>
          <w:tcPr>
            <w:tcW w:w="738" w:type="pct"/>
            <w:tcBorders>
              <w:left w:val="single" w:color="000000" w:sz="6" w:space="0"/>
              <w:right w:val="single" w:color="000000" w:sz="8" w:space="0"/>
            </w:tcBorders>
            <w:vAlign w:val="center"/>
          </w:tcPr>
          <w:p>
            <w:pPr>
              <w:pStyle w:val="182"/>
              <w:bidi w:val="0"/>
              <w:rPr>
                <w:color w:val="auto"/>
              </w:rPr>
            </w:pPr>
            <w:r>
              <w:rPr>
                <w:rFonts w:hint="eastAsia"/>
                <w:color w:val="auto"/>
              </w:rPr>
              <w:t>329.7t/a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tcBorders>
              <w:top w:val="single" w:color="000000" w:sz="6" w:space="0"/>
              <w:left w:val="single" w:color="000000" w:sz="8" w:space="0"/>
              <w:bottom w:val="single" w:color="000000" w:sz="6" w:space="0"/>
              <w:right w:val="single" w:color="000000" w:sz="6" w:space="0"/>
            </w:tcBorders>
            <w:vAlign w:val="center"/>
          </w:tcPr>
          <w:p>
            <w:pPr>
              <w:pStyle w:val="182"/>
              <w:bidi w:val="0"/>
              <w:rPr>
                <w:color w:val="auto"/>
              </w:rPr>
            </w:pPr>
            <w:r>
              <w:rPr>
                <w:rFonts w:hint="eastAsia"/>
                <w:color w:val="auto"/>
              </w:rPr>
              <w:t>2</w:t>
            </w:r>
          </w:p>
        </w:tc>
        <w:tc>
          <w:tcPr>
            <w:tcW w:w="1850" w:type="pct"/>
            <w:tcBorders>
              <w:top w:val="single" w:color="000000" w:sz="6" w:space="0"/>
              <w:left w:val="single" w:color="000000" w:sz="6" w:space="0"/>
              <w:bottom w:val="single" w:color="000000" w:sz="6" w:space="0"/>
              <w:right w:val="single" w:color="000000" w:sz="8" w:space="0"/>
            </w:tcBorders>
            <w:vAlign w:val="center"/>
          </w:tcPr>
          <w:p>
            <w:pPr>
              <w:pStyle w:val="182"/>
              <w:bidi w:val="0"/>
              <w:rPr>
                <w:color w:val="auto"/>
              </w:rPr>
            </w:pPr>
            <w:r>
              <w:rPr>
                <w:rFonts w:hint="eastAsia"/>
                <w:color w:val="auto"/>
              </w:rPr>
              <w:t>年产2×2万吨超柔软氨纶纤维项目</w:t>
            </w:r>
          </w:p>
        </w:tc>
        <w:tc>
          <w:tcPr>
            <w:tcW w:w="1932" w:type="pct"/>
            <w:gridSpan w:val="2"/>
            <w:tcBorders>
              <w:left w:val="single" w:color="000000" w:sz="6" w:space="0"/>
              <w:right w:val="single" w:color="000000" w:sz="8" w:space="0"/>
            </w:tcBorders>
            <w:vAlign w:val="center"/>
          </w:tcPr>
          <w:p>
            <w:pPr>
              <w:pStyle w:val="182"/>
              <w:bidi w:val="0"/>
              <w:rPr>
                <w:color w:val="auto"/>
              </w:rPr>
            </w:pPr>
            <w:r>
              <w:rPr>
                <w:rFonts w:hint="eastAsia"/>
                <w:color w:val="auto"/>
              </w:rPr>
              <w:t>氨纶纤维</w:t>
            </w:r>
          </w:p>
        </w:tc>
        <w:tc>
          <w:tcPr>
            <w:tcW w:w="738" w:type="pct"/>
            <w:tcBorders>
              <w:left w:val="single" w:color="000000" w:sz="6" w:space="0"/>
              <w:right w:val="single" w:color="000000" w:sz="8" w:space="0"/>
            </w:tcBorders>
            <w:vAlign w:val="center"/>
          </w:tcPr>
          <w:p>
            <w:pPr>
              <w:pStyle w:val="182"/>
              <w:bidi w:val="0"/>
              <w:rPr>
                <w:color w:val="auto"/>
              </w:rPr>
            </w:pPr>
            <w:r>
              <w:rPr>
                <w:rFonts w:hint="eastAsia"/>
                <w:color w:val="auto"/>
              </w:rPr>
              <w:t>4万t/a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tcBorders>
              <w:top w:val="single" w:color="000000" w:sz="6" w:space="0"/>
              <w:left w:val="single" w:color="000000" w:sz="8" w:space="0"/>
              <w:bottom w:val="single" w:color="000000" w:sz="6" w:space="0"/>
              <w:right w:val="single" w:color="000000" w:sz="6" w:space="0"/>
            </w:tcBorders>
            <w:vAlign w:val="center"/>
          </w:tcPr>
          <w:p>
            <w:pPr>
              <w:pStyle w:val="182"/>
              <w:bidi w:val="0"/>
              <w:rPr>
                <w:color w:val="auto"/>
              </w:rPr>
            </w:pPr>
            <w:r>
              <w:rPr>
                <w:rFonts w:hint="eastAsia"/>
                <w:color w:val="auto"/>
              </w:rPr>
              <w:t>3</w:t>
            </w:r>
          </w:p>
        </w:tc>
        <w:tc>
          <w:tcPr>
            <w:tcW w:w="1850" w:type="pct"/>
            <w:tcBorders>
              <w:top w:val="single" w:color="000000" w:sz="6" w:space="0"/>
              <w:left w:val="single" w:color="000000" w:sz="6" w:space="0"/>
              <w:bottom w:val="single" w:color="000000" w:sz="6" w:space="0"/>
              <w:right w:val="single" w:color="000000" w:sz="8" w:space="0"/>
            </w:tcBorders>
            <w:vAlign w:val="center"/>
          </w:tcPr>
          <w:p>
            <w:pPr>
              <w:pStyle w:val="182"/>
              <w:bidi w:val="0"/>
              <w:rPr>
                <w:color w:val="auto"/>
              </w:rPr>
            </w:pPr>
            <w:r>
              <w:rPr>
                <w:rFonts w:hint="eastAsia"/>
                <w:color w:val="auto"/>
              </w:rPr>
              <w:t>新建2×170t/h蒸汽锅炉项目</w:t>
            </w:r>
          </w:p>
        </w:tc>
        <w:tc>
          <w:tcPr>
            <w:tcW w:w="1932" w:type="pct"/>
            <w:gridSpan w:val="2"/>
            <w:tcBorders>
              <w:left w:val="single" w:color="000000" w:sz="6" w:space="0"/>
              <w:right w:val="single" w:color="000000" w:sz="8" w:space="0"/>
            </w:tcBorders>
            <w:vAlign w:val="center"/>
          </w:tcPr>
          <w:p>
            <w:pPr>
              <w:pStyle w:val="182"/>
              <w:bidi w:val="0"/>
              <w:rPr>
                <w:color w:val="auto"/>
              </w:rPr>
            </w:pPr>
            <w:r>
              <w:rPr>
                <w:rFonts w:hint="eastAsia"/>
                <w:color w:val="auto"/>
              </w:rPr>
              <w:t>蒸汽（效率80%）</w:t>
            </w:r>
          </w:p>
        </w:tc>
        <w:tc>
          <w:tcPr>
            <w:tcW w:w="738" w:type="pct"/>
            <w:tcBorders>
              <w:left w:val="single" w:color="000000" w:sz="6" w:space="0"/>
              <w:right w:val="single" w:color="000000" w:sz="8" w:space="0"/>
            </w:tcBorders>
            <w:vAlign w:val="center"/>
          </w:tcPr>
          <w:p>
            <w:pPr>
              <w:pStyle w:val="182"/>
              <w:bidi w:val="0"/>
              <w:rPr>
                <w:color w:val="auto"/>
              </w:rPr>
            </w:pPr>
            <w:r>
              <w:rPr>
                <w:rFonts w:hint="eastAsia"/>
                <w:color w:val="auto"/>
              </w:rPr>
              <w:t>110556t/a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tcBorders>
              <w:top w:val="single" w:color="000000" w:sz="6" w:space="0"/>
              <w:left w:val="single" w:color="000000" w:sz="8" w:space="0"/>
              <w:bottom w:val="single" w:color="000000" w:sz="6" w:space="0"/>
              <w:right w:val="single" w:color="000000" w:sz="6" w:space="0"/>
            </w:tcBorders>
            <w:vAlign w:val="center"/>
          </w:tcPr>
          <w:p>
            <w:pPr>
              <w:pStyle w:val="182"/>
              <w:bidi w:val="0"/>
              <w:rPr>
                <w:color w:val="auto"/>
              </w:rPr>
            </w:pPr>
            <w:r>
              <w:rPr>
                <w:rFonts w:hint="eastAsia"/>
                <w:color w:val="auto"/>
              </w:rPr>
              <w:t>4</w:t>
            </w:r>
          </w:p>
        </w:tc>
        <w:tc>
          <w:tcPr>
            <w:tcW w:w="1850" w:type="pct"/>
            <w:tcBorders>
              <w:top w:val="single" w:color="000000" w:sz="6" w:space="0"/>
              <w:left w:val="single" w:color="000000" w:sz="6" w:space="0"/>
              <w:bottom w:val="single" w:color="000000" w:sz="6" w:space="0"/>
              <w:right w:val="single" w:color="000000" w:sz="8" w:space="0"/>
            </w:tcBorders>
            <w:vAlign w:val="center"/>
          </w:tcPr>
          <w:p>
            <w:pPr>
              <w:pStyle w:val="182"/>
              <w:bidi w:val="0"/>
              <w:rPr>
                <w:color w:val="auto"/>
              </w:rPr>
            </w:pPr>
            <w:r>
              <w:rPr>
                <w:rFonts w:hint="eastAsia"/>
                <w:color w:val="auto"/>
              </w:rPr>
              <w:t>年产2万吨超细旦氨纶纤维项目（年产3×2万吨超细旦氨纶纤维项目一期工程）</w:t>
            </w:r>
          </w:p>
        </w:tc>
        <w:tc>
          <w:tcPr>
            <w:tcW w:w="1932" w:type="pct"/>
            <w:gridSpan w:val="2"/>
            <w:tcBorders>
              <w:left w:val="single" w:color="000000" w:sz="6" w:space="0"/>
              <w:right w:val="single" w:color="000000" w:sz="8" w:space="0"/>
            </w:tcBorders>
            <w:vAlign w:val="center"/>
          </w:tcPr>
          <w:p>
            <w:pPr>
              <w:pStyle w:val="182"/>
              <w:bidi w:val="0"/>
              <w:rPr>
                <w:color w:val="auto"/>
              </w:rPr>
            </w:pPr>
            <w:r>
              <w:rPr>
                <w:rFonts w:hint="eastAsia"/>
                <w:color w:val="auto"/>
              </w:rPr>
              <w:t>氨纶纤维</w:t>
            </w:r>
          </w:p>
        </w:tc>
        <w:tc>
          <w:tcPr>
            <w:tcW w:w="738" w:type="pct"/>
            <w:tcBorders>
              <w:left w:val="single" w:color="000000" w:sz="6" w:space="0"/>
              <w:right w:val="single" w:color="000000" w:sz="8" w:space="0"/>
            </w:tcBorders>
            <w:vAlign w:val="center"/>
          </w:tcPr>
          <w:p>
            <w:pPr>
              <w:pStyle w:val="182"/>
              <w:bidi w:val="0"/>
              <w:rPr>
                <w:color w:val="auto"/>
              </w:rPr>
            </w:pPr>
            <w:r>
              <w:rPr>
                <w:color w:val="auto"/>
              </w:rPr>
              <w:t>2</w:t>
            </w:r>
            <w:r>
              <w:rPr>
                <w:rFonts w:hint="eastAsia"/>
                <w:color w:val="auto"/>
              </w:rPr>
              <w:t>万t/a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restart"/>
            <w:tcBorders>
              <w:top w:val="single" w:color="000000" w:sz="6" w:space="0"/>
              <w:left w:val="single" w:color="000000" w:sz="8" w:space="0"/>
              <w:right w:val="single" w:color="000000" w:sz="6" w:space="0"/>
            </w:tcBorders>
            <w:vAlign w:val="center"/>
          </w:tcPr>
          <w:p>
            <w:pPr>
              <w:pStyle w:val="182"/>
              <w:bidi w:val="0"/>
              <w:rPr>
                <w:color w:val="auto"/>
              </w:rPr>
            </w:pPr>
            <w:r>
              <w:rPr>
                <w:rFonts w:hint="eastAsia"/>
                <w:color w:val="auto"/>
              </w:rPr>
              <w:t>5</w:t>
            </w:r>
          </w:p>
        </w:tc>
        <w:tc>
          <w:tcPr>
            <w:tcW w:w="1850" w:type="pct"/>
            <w:vMerge w:val="restart"/>
            <w:tcBorders>
              <w:top w:val="single" w:color="000000" w:sz="6" w:space="0"/>
              <w:left w:val="single" w:color="000000" w:sz="6" w:space="0"/>
              <w:right w:val="single" w:color="000000" w:sz="8" w:space="0"/>
            </w:tcBorders>
            <w:vAlign w:val="center"/>
          </w:tcPr>
          <w:p>
            <w:pPr>
              <w:pStyle w:val="182"/>
              <w:bidi w:val="0"/>
              <w:rPr>
                <w:color w:val="auto"/>
              </w:rPr>
            </w:pPr>
            <w:r>
              <w:rPr>
                <w:rFonts w:hint="eastAsia"/>
                <w:color w:val="auto"/>
              </w:rPr>
              <w:t>年产一万吨新型纤维素长丝项目</w:t>
            </w:r>
          </w:p>
        </w:tc>
        <w:tc>
          <w:tcPr>
            <w:tcW w:w="884" w:type="pct"/>
            <w:tcBorders>
              <w:left w:val="single" w:color="000000" w:sz="6" w:space="0"/>
              <w:right w:val="single" w:color="000000" w:sz="8" w:space="0"/>
            </w:tcBorders>
            <w:vAlign w:val="center"/>
          </w:tcPr>
          <w:p>
            <w:pPr>
              <w:pStyle w:val="182"/>
              <w:bidi w:val="0"/>
              <w:rPr>
                <w:color w:val="auto"/>
              </w:rPr>
            </w:pPr>
            <w:r>
              <w:rPr>
                <w:rFonts w:hint="eastAsia"/>
                <w:color w:val="auto"/>
              </w:rPr>
              <w:t>主要产品</w:t>
            </w:r>
          </w:p>
        </w:tc>
        <w:tc>
          <w:tcPr>
            <w:tcW w:w="1048" w:type="pct"/>
            <w:tcBorders>
              <w:left w:val="single" w:color="000000" w:sz="6" w:space="0"/>
              <w:right w:val="single" w:color="000000" w:sz="8" w:space="0"/>
            </w:tcBorders>
            <w:vAlign w:val="center"/>
          </w:tcPr>
          <w:p>
            <w:pPr>
              <w:pStyle w:val="182"/>
              <w:bidi w:val="0"/>
              <w:rPr>
                <w:color w:val="auto"/>
              </w:rPr>
            </w:pPr>
            <w:r>
              <w:rPr>
                <w:rFonts w:hint="eastAsia"/>
                <w:color w:val="auto"/>
              </w:rPr>
              <w:t>纤维素粘胶长丝</w:t>
            </w:r>
          </w:p>
        </w:tc>
        <w:tc>
          <w:tcPr>
            <w:tcW w:w="738" w:type="pct"/>
            <w:tcBorders>
              <w:left w:val="single" w:color="000000" w:sz="6" w:space="0"/>
              <w:right w:val="single" w:color="000000" w:sz="8" w:space="0"/>
            </w:tcBorders>
            <w:vAlign w:val="center"/>
          </w:tcPr>
          <w:p>
            <w:pPr>
              <w:pStyle w:val="182"/>
              <w:bidi w:val="0"/>
              <w:rPr>
                <w:color w:val="auto"/>
              </w:rPr>
            </w:pPr>
            <w:r>
              <w:rPr>
                <w:color w:val="auto"/>
              </w:rPr>
              <w:t>10000t/a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continue"/>
            <w:tcBorders>
              <w:left w:val="single" w:color="000000" w:sz="8" w:space="0"/>
              <w:right w:val="single" w:color="000000" w:sz="6" w:space="0"/>
            </w:tcBorders>
            <w:vAlign w:val="center"/>
          </w:tcPr>
          <w:p>
            <w:pPr>
              <w:pStyle w:val="182"/>
              <w:bidi w:val="0"/>
              <w:rPr>
                <w:color w:val="auto"/>
              </w:rPr>
            </w:pPr>
          </w:p>
        </w:tc>
        <w:tc>
          <w:tcPr>
            <w:tcW w:w="1850" w:type="pct"/>
            <w:vMerge w:val="continue"/>
            <w:tcBorders>
              <w:left w:val="single" w:color="000000" w:sz="6" w:space="0"/>
              <w:right w:val="single" w:color="000000" w:sz="8" w:space="0"/>
            </w:tcBorders>
            <w:vAlign w:val="center"/>
          </w:tcPr>
          <w:p>
            <w:pPr>
              <w:pStyle w:val="182"/>
              <w:bidi w:val="0"/>
              <w:rPr>
                <w:color w:val="auto"/>
              </w:rPr>
            </w:pPr>
          </w:p>
        </w:tc>
        <w:tc>
          <w:tcPr>
            <w:tcW w:w="884" w:type="pct"/>
            <w:vMerge w:val="restart"/>
            <w:tcBorders>
              <w:left w:val="single" w:color="000000" w:sz="6" w:space="0"/>
              <w:right w:val="single" w:color="000000" w:sz="8" w:space="0"/>
            </w:tcBorders>
            <w:vAlign w:val="center"/>
          </w:tcPr>
          <w:p>
            <w:pPr>
              <w:pStyle w:val="182"/>
              <w:bidi w:val="0"/>
              <w:rPr>
                <w:color w:val="auto"/>
              </w:rPr>
            </w:pPr>
            <w:r>
              <w:rPr>
                <w:rFonts w:hint="eastAsia"/>
                <w:color w:val="auto"/>
              </w:rPr>
              <w:t>副产品</w:t>
            </w:r>
          </w:p>
        </w:tc>
        <w:tc>
          <w:tcPr>
            <w:tcW w:w="1048" w:type="pct"/>
            <w:tcBorders>
              <w:left w:val="single" w:color="000000" w:sz="6" w:space="0"/>
              <w:right w:val="single" w:color="000000" w:sz="8" w:space="0"/>
            </w:tcBorders>
            <w:vAlign w:val="center"/>
          </w:tcPr>
          <w:p>
            <w:pPr>
              <w:pStyle w:val="182"/>
              <w:bidi w:val="0"/>
              <w:rPr>
                <w:color w:val="auto"/>
              </w:rPr>
            </w:pPr>
            <w:r>
              <w:rPr>
                <w:rFonts w:hint="eastAsia"/>
                <w:color w:val="auto"/>
              </w:rPr>
              <w:t>中性元明粉</w:t>
            </w:r>
          </w:p>
        </w:tc>
        <w:tc>
          <w:tcPr>
            <w:tcW w:w="738" w:type="pct"/>
            <w:tcBorders>
              <w:left w:val="single" w:color="000000" w:sz="6" w:space="0"/>
              <w:right w:val="single" w:color="000000" w:sz="8" w:space="0"/>
            </w:tcBorders>
            <w:vAlign w:val="center"/>
          </w:tcPr>
          <w:p>
            <w:pPr>
              <w:pStyle w:val="182"/>
              <w:bidi w:val="0"/>
              <w:rPr>
                <w:color w:val="auto"/>
              </w:rPr>
            </w:pPr>
            <w:r>
              <w:rPr>
                <w:color w:val="auto"/>
              </w:rPr>
              <w:t>3344t/a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continue"/>
            <w:tcBorders>
              <w:left w:val="single" w:color="000000" w:sz="8" w:space="0"/>
              <w:bottom w:val="single" w:color="000000" w:sz="6" w:space="0"/>
              <w:right w:val="single" w:color="000000" w:sz="6" w:space="0"/>
            </w:tcBorders>
            <w:vAlign w:val="center"/>
          </w:tcPr>
          <w:p>
            <w:pPr>
              <w:pStyle w:val="182"/>
              <w:bidi w:val="0"/>
              <w:rPr>
                <w:color w:val="auto"/>
              </w:rPr>
            </w:pPr>
          </w:p>
        </w:tc>
        <w:tc>
          <w:tcPr>
            <w:tcW w:w="1850" w:type="pct"/>
            <w:vMerge w:val="continue"/>
            <w:tcBorders>
              <w:left w:val="single" w:color="000000" w:sz="6" w:space="0"/>
              <w:bottom w:val="single" w:color="000000" w:sz="6" w:space="0"/>
              <w:right w:val="single" w:color="000000" w:sz="8" w:space="0"/>
            </w:tcBorders>
            <w:vAlign w:val="center"/>
          </w:tcPr>
          <w:p>
            <w:pPr>
              <w:pStyle w:val="182"/>
              <w:bidi w:val="0"/>
              <w:rPr>
                <w:color w:val="auto"/>
              </w:rPr>
            </w:pPr>
          </w:p>
        </w:tc>
        <w:tc>
          <w:tcPr>
            <w:tcW w:w="884" w:type="pct"/>
            <w:vMerge w:val="continue"/>
            <w:tcBorders>
              <w:left w:val="single" w:color="000000" w:sz="6" w:space="0"/>
              <w:right w:val="single" w:color="000000" w:sz="8" w:space="0"/>
            </w:tcBorders>
            <w:vAlign w:val="center"/>
          </w:tcPr>
          <w:p>
            <w:pPr>
              <w:pStyle w:val="182"/>
              <w:bidi w:val="0"/>
              <w:rPr>
                <w:color w:val="auto"/>
              </w:rPr>
            </w:pPr>
          </w:p>
        </w:tc>
        <w:tc>
          <w:tcPr>
            <w:tcW w:w="1048" w:type="pct"/>
            <w:tcBorders>
              <w:left w:val="single" w:color="000000" w:sz="6" w:space="0"/>
              <w:right w:val="single" w:color="000000" w:sz="8" w:space="0"/>
            </w:tcBorders>
            <w:vAlign w:val="center"/>
          </w:tcPr>
          <w:p>
            <w:pPr>
              <w:pStyle w:val="182"/>
              <w:bidi w:val="0"/>
              <w:rPr>
                <w:color w:val="auto"/>
              </w:rPr>
            </w:pPr>
            <w:r>
              <w:rPr>
                <w:rFonts w:hint="eastAsia"/>
                <w:color w:val="auto"/>
                <w:lang w:eastAsia="zh-CN"/>
              </w:rPr>
              <w:t>硫黄</w:t>
            </w:r>
          </w:p>
        </w:tc>
        <w:tc>
          <w:tcPr>
            <w:tcW w:w="738" w:type="pct"/>
            <w:tcBorders>
              <w:left w:val="single" w:color="000000" w:sz="6" w:space="0"/>
              <w:right w:val="single" w:color="000000" w:sz="8" w:space="0"/>
            </w:tcBorders>
            <w:vAlign w:val="center"/>
          </w:tcPr>
          <w:p>
            <w:pPr>
              <w:pStyle w:val="182"/>
              <w:bidi w:val="0"/>
              <w:rPr>
                <w:color w:val="auto"/>
              </w:rPr>
            </w:pPr>
            <w:r>
              <w:rPr>
                <w:color w:val="auto"/>
              </w:rPr>
              <w:t>659.3t/a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tcBorders>
              <w:top w:val="single" w:color="000000" w:sz="6" w:space="0"/>
              <w:left w:val="single" w:color="000000" w:sz="8" w:space="0"/>
              <w:right w:val="single" w:color="000000" w:sz="6" w:space="0"/>
            </w:tcBorders>
            <w:vAlign w:val="center"/>
          </w:tcPr>
          <w:p>
            <w:pPr>
              <w:pStyle w:val="182"/>
              <w:bidi w:val="0"/>
              <w:rPr>
                <w:color w:val="auto"/>
              </w:rPr>
            </w:pPr>
            <w:r>
              <w:rPr>
                <w:rFonts w:hint="eastAsia"/>
                <w:color w:val="auto"/>
              </w:rPr>
              <w:t>6</w:t>
            </w:r>
          </w:p>
        </w:tc>
        <w:tc>
          <w:tcPr>
            <w:tcW w:w="1850" w:type="pct"/>
            <w:tcBorders>
              <w:top w:val="single" w:color="000000" w:sz="6" w:space="0"/>
              <w:left w:val="single" w:color="000000" w:sz="6" w:space="0"/>
              <w:right w:val="single" w:color="000000" w:sz="8" w:space="0"/>
            </w:tcBorders>
            <w:vAlign w:val="center"/>
          </w:tcPr>
          <w:p>
            <w:pPr>
              <w:pStyle w:val="182"/>
              <w:bidi w:val="0"/>
              <w:rPr>
                <w:color w:val="auto"/>
              </w:rPr>
            </w:pPr>
            <w:r>
              <w:rPr>
                <w:rFonts w:hint="eastAsia"/>
                <w:color w:val="auto"/>
              </w:rPr>
              <w:t>年产2×2万吨超细旦氨纶纤维项目（年产3×2万吨超细旦氨纶纤维项目二期三期工程）（二期）</w:t>
            </w:r>
          </w:p>
        </w:tc>
        <w:tc>
          <w:tcPr>
            <w:tcW w:w="1932" w:type="pct"/>
            <w:gridSpan w:val="2"/>
            <w:tcBorders>
              <w:left w:val="single" w:color="000000" w:sz="6" w:space="0"/>
              <w:right w:val="single" w:color="000000" w:sz="8" w:space="0"/>
            </w:tcBorders>
            <w:vAlign w:val="center"/>
          </w:tcPr>
          <w:p>
            <w:pPr>
              <w:pStyle w:val="182"/>
              <w:bidi w:val="0"/>
              <w:rPr>
                <w:color w:val="auto"/>
              </w:rPr>
            </w:pPr>
            <w:r>
              <w:rPr>
                <w:rFonts w:hint="eastAsia"/>
                <w:color w:val="auto"/>
              </w:rPr>
              <w:t>氨纶纤维</w:t>
            </w:r>
          </w:p>
        </w:tc>
        <w:tc>
          <w:tcPr>
            <w:tcW w:w="738" w:type="pct"/>
            <w:tcBorders>
              <w:left w:val="single" w:color="000000" w:sz="6" w:space="0"/>
              <w:right w:val="single" w:color="000000" w:sz="8" w:space="0"/>
            </w:tcBorders>
            <w:vAlign w:val="center"/>
          </w:tcPr>
          <w:p>
            <w:pPr>
              <w:pStyle w:val="182"/>
              <w:bidi w:val="0"/>
              <w:rPr>
                <w:color w:val="auto"/>
              </w:rPr>
            </w:pPr>
            <w:r>
              <w:rPr>
                <w:color w:val="auto"/>
              </w:rPr>
              <w:t>2</w:t>
            </w:r>
            <w:r>
              <w:rPr>
                <w:rFonts w:hint="eastAsia"/>
                <w:color w:val="auto"/>
              </w:rPr>
              <w:t>万t/a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restart"/>
            <w:tcBorders>
              <w:top w:val="single" w:color="000000" w:sz="6" w:space="0"/>
              <w:left w:val="single" w:color="000000" w:sz="8" w:space="0"/>
              <w:right w:val="single" w:color="000000" w:sz="6" w:space="0"/>
            </w:tcBorders>
            <w:vAlign w:val="center"/>
          </w:tcPr>
          <w:p>
            <w:pPr>
              <w:pStyle w:val="182"/>
              <w:bidi w:val="0"/>
              <w:rPr>
                <w:rFonts w:hint="eastAsia" w:eastAsia="宋体"/>
                <w:color w:val="auto"/>
                <w:lang w:val="en-US" w:eastAsia="zh-CN"/>
              </w:rPr>
            </w:pPr>
            <w:r>
              <w:rPr>
                <w:rFonts w:hint="eastAsia"/>
                <w:color w:val="auto"/>
                <w:lang w:val="en-US" w:eastAsia="zh-CN"/>
              </w:rPr>
              <w:t>7</w:t>
            </w:r>
          </w:p>
        </w:tc>
        <w:tc>
          <w:tcPr>
            <w:tcW w:w="1850" w:type="pct"/>
            <w:vMerge w:val="restart"/>
            <w:tcBorders>
              <w:top w:val="single" w:color="000000" w:sz="6" w:space="0"/>
              <w:left w:val="single" w:color="000000" w:sz="6" w:space="0"/>
              <w:right w:val="single" w:color="000000" w:sz="8" w:space="0"/>
            </w:tcBorders>
            <w:vAlign w:val="center"/>
          </w:tcPr>
          <w:p>
            <w:pPr>
              <w:pStyle w:val="182"/>
              <w:bidi w:val="0"/>
              <w:rPr>
                <w:color w:val="auto"/>
              </w:rPr>
            </w:pPr>
            <w:r>
              <w:rPr>
                <w:rFonts w:hint="eastAsia"/>
                <w:color w:val="auto"/>
              </w:rPr>
              <w:t>年产2万吨生物质纤维素项目（一期）</w:t>
            </w:r>
          </w:p>
        </w:tc>
        <w:tc>
          <w:tcPr>
            <w:tcW w:w="884" w:type="pct"/>
            <w:tcBorders>
              <w:left w:val="single" w:color="000000" w:sz="6" w:space="0"/>
              <w:right w:val="single" w:color="000000" w:sz="8" w:space="0"/>
            </w:tcBorders>
            <w:vAlign w:val="center"/>
          </w:tcPr>
          <w:p>
            <w:pPr>
              <w:pStyle w:val="182"/>
              <w:bidi w:val="0"/>
              <w:rPr>
                <w:color w:val="auto"/>
              </w:rPr>
            </w:pPr>
            <w:r>
              <w:rPr>
                <w:rFonts w:hint="eastAsia"/>
                <w:color w:val="auto"/>
              </w:rPr>
              <w:t>主要产品</w:t>
            </w:r>
          </w:p>
        </w:tc>
        <w:tc>
          <w:tcPr>
            <w:tcW w:w="1048" w:type="pct"/>
            <w:tcBorders>
              <w:left w:val="single" w:color="000000" w:sz="6" w:space="0"/>
              <w:right w:val="single" w:color="000000" w:sz="8" w:space="0"/>
            </w:tcBorders>
            <w:vAlign w:val="center"/>
          </w:tcPr>
          <w:p>
            <w:pPr>
              <w:pStyle w:val="182"/>
              <w:bidi w:val="0"/>
              <w:rPr>
                <w:color w:val="auto"/>
              </w:rPr>
            </w:pPr>
            <w:r>
              <w:rPr>
                <w:rFonts w:hint="eastAsia"/>
                <w:color w:val="auto"/>
              </w:rPr>
              <w:t>纤维素粘胶长丝</w:t>
            </w:r>
          </w:p>
        </w:tc>
        <w:tc>
          <w:tcPr>
            <w:tcW w:w="738" w:type="pct"/>
            <w:tcBorders>
              <w:left w:val="single" w:color="000000" w:sz="6" w:space="0"/>
              <w:right w:val="single" w:color="000000" w:sz="8" w:space="0"/>
            </w:tcBorders>
            <w:vAlign w:val="center"/>
          </w:tcPr>
          <w:p>
            <w:pPr>
              <w:pStyle w:val="182"/>
              <w:bidi w:val="0"/>
              <w:rPr>
                <w:color w:val="auto"/>
              </w:rPr>
            </w:pPr>
            <w:r>
              <w:rPr>
                <w:color w:val="auto"/>
              </w:rPr>
              <w:t>10000t/a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continue"/>
            <w:tcBorders>
              <w:left w:val="single" w:color="000000" w:sz="8" w:space="0"/>
              <w:right w:val="single" w:color="000000" w:sz="6" w:space="0"/>
            </w:tcBorders>
            <w:vAlign w:val="center"/>
          </w:tcPr>
          <w:p>
            <w:pPr>
              <w:pStyle w:val="182"/>
              <w:bidi w:val="0"/>
              <w:rPr>
                <w:color w:val="auto"/>
              </w:rPr>
            </w:pPr>
          </w:p>
        </w:tc>
        <w:tc>
          <w:tcPr>
            <w:tcW w:w="1850" w:type="pct"/>
            <w:vMerge w:val="continue"/>
            <w:tcBorders>
              <w:left w:val="single" w:color="000000" w:sz="6" w:space="0"/>
              <w:right w:val="single" w:color="000000" w:sz="8" w:space="0"/>
            </w:tcBorders>
            <w:vAlign w:val="center"/>
          </w:tcPr>
          <w:p>
            <w:pPr>
              <w:pStyle w:val="182"/>
              <w:bidi w:val="0"/>
              <w:rPr>
                <w:color w:val="auto"/>
              </w:rPr>
            </w:pPr>
          </w:p>
        </w:tc>
        <w:tc>
          <w:tcPr>
            <w:tcW w:w="884" w:type="pct"/>
            <w:vMerge w:val="restart"/>
            <w:tcBorders>
              <w:left w:val="single" w:color="000000" w:sz="6" w:space="0"/>
              <w:right w:val="single" w:color="000000" w:sz="8" w:space="0"/>
            </w:tcBorders>
            <w:vAlign w:val="center"/>
          </w:tcPr>
          <w:p>
            <w:pPr>
              <w:pStyle w:val="182"/>
              <w:bidi w:val="0"/>
              <w:rPr>
                <w:color w:val="auto"/>
              </w:rPr>
            </w:pPr>
            <w:r>
              <w:rPr>
                <w:rFonts w:hint="eastAsia"/>
                <w:color w:val="auto"/>
              </w:rPr>
              <w:t>副产品</w:t>
            </w:r>
          </w:p>
        </w:tc>
        <w:tc>
          <w:tcPr>
            <w:tcW w:w="1048" w:type="pct"/>
            <w:tcBorders>
              <w:left w:val="single" w:color="000000" w:sz="6" w:space="0"/>
              <w:right w:val="single" w:color="000000" w:sz="8" w:space="0"/>
            </w:tcBorders>
            <w:vAlign w:val="center"/>
          </w:tcPr>
          <w:p>
            <w:pPr>
              <w:pStyle w:val="182"/>
              <w:bidi w:val="0"/>
              <w:rPr>
                <w:color w:val="auto"/>
              </w:rPr>
            </w:pPr>
            <w:r>
              <w:rPr>
                <w:rFonts w:hint="eastAsia"/>
                <w:color w:val="auto"/>
              </w:rPr>
              <w:t>中性元明粉</w:t>
            </w:r>
          </w:p>
        </w:tc>
        <w:tc>
          <w:tcPr>
            <w:tcW w:w="738" w:type="pct"/>
            <w:tcBorders>
              <w:left w:val="single" w:color="000000" w:sz="6" w:space="0"/>
              <w:right w:val="single" w:color="000000" w:sz="8" w:space="0"/>
            </w:tcBorders>
            <w:vAlign w:val="center"/>
          </w:tcPr>
          <w:p>
            <w:pPr>
              <w:pStyle w:val="182"/>
              <w:bidi w:val="0"/>
              <w:rPr>
                <w:color w:val="auto"/>
              </w:rPr>
            </w:pPr>
            <w:r>
              <w:rPr>
                <w:color w:val="auto"/>
              </w:rPr>
              <w:t>3344t/a</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continue"/>
            <w:tcBorders>
              <w:left w:val="single" w:color="000000" w:sz="8" w:space="0"/>
              <w:bottom w:val="single" w:color="000000" w:sz="6" w:space="0"/>
              <w:right w:val="single" w:color="000000" w:sz="6" w:space="0"/>
            </w:tcBorders>
            <w:vAlign w:val="center"/>
          </w:tcPr>
          <w:p>
            <w:pPr>
              <w:pStyle w:val="182"/>
              <w:bidi w:val="0"/>
              <w:rPr>
                <w:color w:val="auto"/>
              </w:rPr>
            </w:pPr>
          </w:p>
        </w:tc>
        <w:tc>
          <w:tcPr>
            <w:tcW w:w="1850" w:type="pct"/>
            <w:vMerge w:val="continue"/>
            <w:tcBorders>
              <w:left w:val="single" w:color="000000" w:sz="6" w:space="0"/>
              <w:bottom w:val="single" w:color="000000" w:sz="6" w:space="0"/>
              <w:right w:val="single" w:color="000000" w:sz="8" w:space="0"/>
            </w:tcBorders>
            <w:vAlign w:val="center"/>
          </w:tcPr>
          <w:p>
            <w:pPr>
              <w:pStyle w:val="182"/>
              <w:bidi w:val="0"/>
              <w:rPr>
                <w:color w:val="auto"/>
              </w:rPr>
            </w:pPr>
          </w:p>
        </w:tc>
        <w:tc>
          <w:tcPr>
            <w:tcW w:w="884" w:type="pct"/>
            <w:vMerge w:val="continue"/>
            <w:tcBorders>
              <w:left w:val="single" w:color="000000" w:sz="6" w:space="0"/>
              <w:right w:val="single" w:color="000000" w:sz="8" w:space="0"/>
            </w:tcBorders>
            <w:vAlign w:val="center"/>
          </w:tcPr>
          <w:p>
            <w:pPr>
              <w:pStyle w:val="182"/>
              <w:bidi w:val="0"/>
              <w:rPr>
                <w:color w:val="auto"/>
              </w:rPr>
            </w:pPr>
          </w:p>
        </w:tc>
        <w:tc>
          <w:tcPr>
            <w:tcW w:w="1048" w:type="pct"/>
            <w:tcBorders>
              <w:left w:val="single" w:color="000000" w:sz="6" w:space="0"/>
              <w:right w:val="single" w:color="000000" w:sz="8" w:space="0"/>
            </w:tcBorders>
            <w:vAlign w:val="center"/>
          </w:tcPr>
          <w:p>
            <w:pPr>
              <w:pStyle w:val="182"/>
              <w:bidi w:val="0"/>
              <w:rPr>
                <w:color w:val="auto"/>
              </w:rPr>
            </w:pPr>
            <w:r>
              <w:rPr>
                <w:rFonts w:hint="eastAsia"/>
                <w:color w:val="auto"/>
                <w:lang w:eastAsia="zh-CN"/>
              </w:rPr>
              <w:t>硫黄</w:t>
            </w:r>
          </w:p>
        </w:tc>
        <w:tc>
          <w:tcPr>
            <w:tcW w:w="738" w:type="pct"/>
            <w:tcBorders>
              <w:left w:val="single" w:color="000000" w:sz="6" w:space="0"/>
              <w:right w:val="single" w:color="000000" w:sz="8" w:space="0"/>
            </w:tcBorders>
            <w:vAlign w:val="center"/>
          </w:tcPr>
          <w:p>
            <w:pPr>
              <w:pStyle w:val="182"/>
              <w:bidi w:val="0"/>
              <w:rPr>
                <w:color w:val="auto"/>
              </w:rPr>
            </w:pPr>
            <w:r>
              <w:rPr>
                <w:color w:val="auto"/>
              </w:rPr>
              <w:t>659.3t/a</w:t>
            </w:r>
          </w:p>
        </w:tc>
      </w:tr>
    </w:tbl>
    <w:p>
      <w:pPr>
        <w:pStyle w:val="9"/>
        <w:bidi w:val="0"/>
        <w:rPr>
          <w:color w:val="auto"/>
        </w:rPr>
      </w:pPr>
      <w:r>
        <w:rPr>
          <w:rFonts w:hint="eastAsia"/>
          <w:color w:val="auto"/>
        </w:rPr>
        <w:t>3</w:t>
      </w:r>
      <w:r>
        <w:rPr>
          <w:color w:val="auto"/>
        </w:rPr>
        <w:t>.</w:t>
      </w:r>
      <w:r>
        <w:rPr>
          <w:rFonts w:hint="eastAsia"/>
          <w:color w:val="auto"/>
          <w:lang w:val="en-US" w:eastAsia="zh-CN"/>
        </w:rPr>
        <w:t>3</w:t>
      </w:r>
      <w:r>
        <w:rPr>
          <w:color w:val="auto"/>
        </w:rPr>
        <w:t>.3</w:t>
      </w:r>
      <w:r>
        <w:rPr>
          <w:rFonts w:hint="eastAsia"/>
          <w:color w:val="auto"/>
          <w:lang w:val="en-US" w:eastAsia="zh-CN"/>
        </w:rPr>
        <w:t>已建工程</w:t>
      </w:r>
      <w:r>
        <w:rPr>
          <w:rFonts w:hint="eastAsia"/>
          <w:color w:val="auto"/>
        </w:rPr>
        <w:t>主要生产设备</w:t>
      </w:r>
    </w:p>
    <w:p>
      <w:pPr>
        <w:bidi w:val="0"/>
        <w:rPr>
          <w:color w:val="auto"/>
        </w:rPr>
      </w:pPr>
      <w:r>
        <w:rPr>
          <w:rFonts w:hint="eastAsia"/>
          <w:color w:val="auto"/>
        </w:rPr>
        <w:t>现有工程主要生产设备见表</w:t>
      </w:r>
      <w:r>
        <w:rPr>
          <w:color w:val="auto"/>
        </w:rPr>
        <w:t>3.</w:t>
      </w:r>
      <w:r>
        <w:rPr>
          <w:rFonts w:hint="eastAsia"/>
          <w:color w:val="auto"/>
          <w:lang w:val="en-US" w:eastAsia="zh-CN"/>
        </w:rPr>
        <w:t>3</w:t>
      </w:r>
      <w:r>
        <w:rPr>
          <w:rFonts w:hint="eastAsia"/>
          <w:color w:val="auto"/>
        </w:rPr>
        <w:t>-</w:t>
      </w:r>
      <w:r>
        <w:rPr>
          <w:color w:val="auto"/>
        </w:rPr>
        <w:t>3</w:t>
      </w:r>
      <w:r>
        <w:rPr>
          <w:rFonts w:hint="eastAsia"/>
          <w:color w:val="auto"/>
        </w:rPr>
        <w:t>。</w:t>
      </w:r>
    </w:p>
    <w:p>
      <w:pPr>
        <w:pStyle w:val="181"/>
        <w:bidi w:val="0"/>
        <w:rPr>
          <w:color w:val="auto"/>
        </w:rPr>
      </w:pPr>
      <w:r>
        <w:rPr>
          <w:rFonts w:hint="eastAsia"/>
          <w:color w:val="auto"/>
        </w:rPr>
        <w:t>表3</w:t>
      </w:r>
      <w:r>
        <w:rPr>
          <w:color w:val="auto"/>
        </w:rPr>
        <w:t>.</w:t>
      </w:r>
      <w:r>
        <w:rPr>
          <w:rFonts w:hint="eastAsia"/>
          <w:color w:val="auto"/>
          <w:lang w:val="en-US" w:eastAsia="zh-CN"/>
        </w:rPr>
        <w:t>3</w:t>
      </w:r>
      <w:r>
        <w:rPr>
          <w:rFonts w:hint="eastAsia"/>
          <w:color w:val="auto"/>
        </w:rPr>
        <w:t>-</w:t>
      </w:r>
      <w:r>
        <w:rPr>
          <w:color w:val="auto"/>
        </w:rPr>
        <w:t xml:space="preserve">3  </w:t>
      </w:r>
      <w:r>
        <w:rPr>
          <w:rFonts w:hint="eastAsia"/>
          <w:color w:val="auto"/>
          <w:lang w:val="en-US" w:eastAsia="zh-CN"/>
        </w:rPr>
        <w:t xml:space="preserve">             已建</w:t>
      </w:r>
      <w:r>
        <w:rPr>
          <w:rFonts w:hint="eastAsia"/>
          <w:color w:val="auto"/>
        </w:rPr>
        <w:t>工程主要生产设备一览表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739"/>
        <w:gridCol w:w="223"/>
        <w:gridCol w:w="1591"/>
        <w:gridCol w:w="4355"/>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b/>
                <w:bCs/>
                <w:color w:val="auto"/>
              </w:rPr>
            </w:pPr>
            <w:r>
              <w:rPr>
                <w:rFonts w:hint="eastAsia"/>
                <w:b/>
                <w:bCs/>
                <w:color w:val="auto"/>
              </w:rPr>
              <w:t>序号</w:t>
            </w:r>
          </w:p>
        </w:tc>
        <w:tc>
          <w:tcPr>
            <w:tcW w:w="1499" w:type="pct"/>
            <w:gridSpan w:val="3"/>
            <w:vAlign w:val="center"/>
          </w:tcPr>
          <w:p>
            <w:pPr>
              <w:pStyle w:val="182"/>
              <w:bidi w:val="0"/>
              <w:rPr>
                <w:b/>
                <w:bCs/>
                <w:color w:val="auto"/>
              </w:rPr>
            </w:pPr>
            <w:r>
              <w:rPr>
                <w:rFonts w:hint="eastAsia"/>
                <w:b/>
                <w:bCs/>
                <w:color w:val="auto"/>
              </w:rPr>
              <w:t>设备名称</w:t>
            </w:r>
          </w:p>
        </w:tc>
        <w:tc>
          <w:tcPr>
            <w:tcW w:w="2556" w:type="pct"/>
            <w:vAlign w:val="center"/>
          </w:tcPr>
          <w:p>
            <w:pPr>
              <w:pStyle w:val="182"/>
              <w:bidi w:val="0"/>
              <w:rPr>
                <w:b/>
                <w:bCs/>
                <w:color w:val="auto"/>
              </w:rPr>
            </w:pPr>
            <w:r>
              <w:rPr>
                <w:rFonts w:hint="eastAsia"/>
                <w:b/>
                <w:bCs/>
                <w:color w:val="auto"/>
              </w:rPr>
              <w:t>规格型号</w:t>
            </w:r>
          </w:p>
        </w:tc>
        <w:tc>
          <w:tcPr>
            <w:tcW w:w="630" w:type="pct"/>
            <w:vAlign w:val="center"/>
          </w:tcPr>
          <w:p>
            <w:pPr>
              <w:pStyle w:val="182"/>
              <w:bidi w:val="0"/>
              <w:rPr>
                <w:b/>
                <w:bCs/>
                <w:color w:val="auto"/>
              </w:rPr>
            </w:pPr>
            <w:r>
              <w:rPr>
                <w:rFonts w:hint="eastAsia"/>
                <w:b/>
                <w:bCs/>
                <w:color w:val="auto"/>
              </w:rPr>
              <w:t>数量</w:t>
            </w:r>
          </w:p>
          <w:p>
            <w:pPr>
              <w:pStyle w:val="182"/>
              <w:bidi w:val="0"/>
              <w:rPr>
                <w:b/>
                <w:bCs/>
                <w:color w:val="auto"/>
              </w:rPr>
            </w:pPr>
            <w:r>
              <w:rPr>
                <w:rFonts w:hint="eastAsia"/>
                <w:b/>
                <w:bCs/>
                <w:color w:val="auto"/>
              </w:rPr>
              <w:t>（台/套）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color w:val="auto"/>
              </w:rPr>
            </w:pPr>
            <w:r>
              <w:rPr>
                <w:rFonts w:hint="eastAsia"/>
                <w:color w:val="auto"/>
              </w:rPr>
              <w:t>年产5000吨差别化新型连续纺粘胶长丝工程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w:t>
            </w:r>
          </w:p>
        </w:tc>
        <w:tc>
          <w:tcPr>
            <w:tcW w:w="434" w:type="pct"/>
            <w:vMerge w:val="restart"/>
            <w:vAlign w:val="center"/>
          </w:tcPr>
          <w:p>
            <w:pPr>
              <w:pStyle w:val="182"/>
              <w:bidi w:val="0"/>
              <w:rPr>
                <w:color w:val="auto"/>
              </w:rPr>
            </w:pPr>
            <w:r>
              <w:rPr>
                <w:rFonts w:hint="eastAsia"/>
                <w:color w:val="auto"/>
              </w:rPr>
              <w:t>原液车间</w:t>
            </w:r>
          </w:p>
        </w:tc>
        <w:tc>
          <w:tcPr>
            <w:tcW w:w="1065" w:type="pct"/>
            <w:gridSpan w:val="2"/>
            <w:vMerge w:val="restart"/>
            <w:vAlign w:val="center"/>
          </w:tcPr>
          <w:p>
            <w:pPr>
              <w:pStyle w:val="182"/>
              <w:bidi w:val="0"/>
              <w:rPr>
                <w:color w:val="auto"/>
              </w:rPr>
            </w:pPr>
            <w:r>
              <w:rPr>
                <w:rFonts w:hint="eastAsia"/>
                <w:color w:val="auto"/>
              </w:rPr>
              <w:t>喂粕机</w:t>
            </w:r>
          </w:p>
        </w:tc>
        <w:tc>
          <w:tcPr>
            <w:tcW w:w="2556" w:type="pct"/>
            <w:vAlign w:val="center"/>
          </w:tcPr>
          <w:p>
            <w:pPr>
              <w:pStyle w:val="182"/>
              <w:bidi w:val="0"/>
              <w:rPr>
                <w:color w:val="auto"/>
              </w:rPr>
            </w:pPr>
            <w:r>
              <w:rPr>
                <w:color w:val="auto"/>
              </w:rPr>
              <w:t>R091A 2.2KW</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2</w:t>
            </w:r>
          </w:p>
        </w:tc>
        <w:tc>
          <w:tcPr>
            <w:tcW w:w="434" w:type="pct"/>
            <w:vMerge w:val="continue"/>
            <w:vAlign w:val="center"/>
          </w:tcPr>
          <w:p>
            <w:pPr>
              <w:pStyle w:val="182"/>
              <w:bidi w:val="0"/>
              <w:rPr>
                <w:color w:val="auto"/>
              </w:rPr>
            </w:pPr>
          </w:p>
        </w:tc>
        <w:tc>
          <w:tcPr>
            <w:tcW w:w="1065" w:type="pct"/>
            <w:gridSpan w:val="2"/>
            <w:vMerge w:val="continue"/>
            <w:vAlign w:val="center"/>
          </w:tcPr>
          <w:p>
            <w:pPr>
              <w:pStyle w:val="182"/>
              <w:bidi w:val="0"/>
              <w:rPr>
                <w:color w:val="auto"/>
              </w:rPr>
            </w:pPr>
          </w:p>
        </w:tc>
        <w:tc>
          <w:tcPr>
            <w:tcW w:w="2556" w:type="pct"/>
            <w:vAlign w:val="center"/>
          </w:tcPr>
          <w:p>
            <w:pPr>
              <w:pStyle w:val="182"/>
              <w:bidi w:val="0"/>
              <w:rPr>
                <w:color w:val="auto"/>
              </w:rPr>
            </w:pPr>
            <w:r>
              <w:rPr>
                <w:rFonts w:hint="eastAsia"/>
                <w:color w:val="auto"/>
              </w:rPr>
              <w:t>P091 0.55KW；TD75-00 4KW</w:t>
            </w:r>
          </w:p>
        </w:tc>
        <w:tc>
          <w:tcPr>
            <w:tcW w:w="630" w:type="pct"/>
            <w:vAlign w:val="center"/>
          </w:tcPr>
          <w:p>
            <w:pPr>
              <w:pStyle w:val="182"/>
              <w:bidi w:val="0"/>
              <w:rPr>
                <w:color w:val="auto"/>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3</w:t>
            </w:r>
          </w:p>
        </w:tc>
        <w:tc>
          <w:tcPr>
            <w:tcW w:w="434" w:type="pct"/>
            <w:vMerge w:val="continue"/>
            <w:vAlign w:val="center"/>
          </w:tcPr>
          <w:p>
            <w:pPr>
              <w:pStyle w:val="182"/>
              <w:bidi w:val="0"/>
              <w:rPr>
                <w:color w:val="auto"/>
              </w:rPr>
            </w:pPr>
          </w:p>
        </w:tc>
        <w:tc>
          <w:tcPr>
            <w:tcW w:w="1065" w:type="pct"/>
            <w:gridSpan w:val="2"/>
            <w:vMerge w:val="restart"/>
            <w:vAlign w:val="center"/>
          </w:tcPr>
          <w:p>
            <w:pPr>
              <w:pStyle w:val="182"/>
              <w:bidi w:val="0"/>
              <w:rPr>
                <w:color w:val="auto"/>
              </w:rPr>
            </w:pPr>
            <w:r>
              <w:rPr>
                <w:rFonts w:hint="eastAsia"/>
                <w:color w:val="auto"/>
              </w:rPr>
              <w:t>浸渍桶</w:t>
            </w:r>
          </w:p>
        </w:tc>
        <w:tc>
          <w:tcPr>
            <w:tcW w:w="2556" w:type="pct"/>
            <w:vAlign w:val="center"/>
          </w:tcPr>
          <w:p>
            <w:pPr>
              <w:pStyle w:val="182"/>
              <w:bidi w:val="0"/>
              <w:rPr>
                <w:color w:val="auto"/>
              </w:rPr>
            </w:pPr>
            <w:r>
              <w:rPr>
                <w:color w:val="auto"/>
              </w:rPr>
              <w:t>RO22 φ2000 V=9.5M3</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4</w:t>
            </w:r>
          </w:p>
        </w:tc>
        <w:tc>
          <w:tcPr>
            <w:tcW w:w="434" w:type="pct"/>
            <w:vMerge w:val="continue"/>
            <w:vAlign w:val="center"/>
          </w:tcPr>
          <w:p>
            <w:pPr>
              <w:pStyle w:val="182"/>
              <w:bidi w:val="0"/>
              <w:rPr>
                <w:color w:val="auto"/>
              </w:rPr>
            </w:pPr>
          </w:p>
        </w:tc>
        <w:tc>
          <w:tcPr>
            <w:tcW w:w="1065" w:type="pct"/>
            <w:gridSpan w:val="2"/>
            <w:vMerge w:val="continue"/>
            <w:vAlign w:val="center"/>
          </w:tcPr>
          <w:p>
            <w:pPr>
              <w:pStyle w:val="182"/>
              <w:bidi w:val="0"/>
              <w:rPr>
                <w:color w:val="auto"/>
              </w:rPr>
            </w:pPr>
          </w:p>
        </w:tc>
        <w:tc>
          <w:tcPr>
            <w:tcW w:w="2556" w:type="pct"/>
            <w:vAlign w:val="center"/>
          </w:tcPr>
          <w:p>
            <w:pPr>
              <w:pStyle w:val="182"/>
              <w:bidi w:val="0"/>
              <w:rPr>
                <w:color w:val="auto"/>
              </w:rPr>
            </w:pPr>
            <w:r>
              <w:rPr>
                <w:rFonts w:hint="eastAsia"/>
                <w:color w:val="auto"/>
              </w:rPr>
              <w:t>FY2004 浸渍桶φ3500 V=18m</w:t>
            </w:r>
            <w:r>
              <w:rPr>
                <w:rFonts w:hint="eastAsia"/>
                <w:color w:val="auto"/>
                <w:vertAlign w:val="superscript"/>
              </w:rPr>
              <w:t>3</w:t>
            </w:r>
          </w:p>
        </w:tc>
        <w:tc>
          <w:tcPr>
            <w:tcW w:w="630" w:type="pct"/>
            <w:vAlign w:val="center"/>
          </w:tcPr>
          <w:p>
            <w:pPr>
              <w:pStyle w:val="182"/>
              <w:bidi w:val="0"/>
              <w:rPr>
                <w:color w:val="auto"/>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5</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压榨粉碎联合机</w:t>
            </w:r>
          </w:p>
        </w:tc>
        <w:tc>
          <w:tcPr>
            <w:tcW w:w="2556" w:type="pct"/>
            <w:vAlign w:val="center"/>
          </w:tcPr>
          <w:p>
            <w:pPr>
              <w:pStyle w:val="182"/>
              <w:bidi w:val="0"/>
              <w:rPr>
                <w:color w:val="auto"/>
              </w:rPr>
            </w:pPr>
            <w:r>
              <w:rPr>
                <w:color w:val="auto"/>
              </w:rPr>
              <w:t>FYR055 10.5KW</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6</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黄化机</w:t>
            </w:r>
          </w:p>
        </w:tc>
        <w:tc>
          <w:tcPr>
            <w:tcW w:w="2556" w:type="pct"/>
            <w:vAlign w:val="center"/>
          </w:tcPr>
          <w:p>
            <w:pPr>
              <w:pStyle w:val="182"/>
              <w:bidi w:val="0"/>
              <w:rPr>
                <w:color w:val="auto"/>
              </w:rPr>
            </w:pPr>
            <w:r>
              <w:rPr>
                <w:rFonts w:hint="eastAsia"/>
                <w:color w:val="auto"/>
              </w:rPr>
              <w:t>CGHR133B，N=90KW，V=35m</w:t>
            </w:r>
            <w:r>
              <w:rPr>
                <w:rFonts w:hint="eastAsia"/>
                <w:color w:val="auto"/>
                <w:vertAlign w:val="superscript"/>
              </w:rPr>
              <w:t>3</w:t>
            </w:r>
            <w:r>
              <w:rPr>
                <w:rFonts w:hint="eastAsia"/>
                <w:color w:val="auto"/>
              </w:rPr>
              <w:t>，T=4h</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7</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溶解桶</w:t>
            </w:r>
          </w:p>
        </w:tc>
        <w:tc>
          <w:tcPr>
            <w:tcW w:w="2556" w:type="pct"/>
            <w:vAlign w:val="center"/>
          </w:tcPr>
          <w:p>
            <w:pPr>
              <w:pStyle w:val="182"/>
              <w:bidi w:val="0"/>
              <w:rPr>
                <w:color w:val="auto"/>
              </w:rPr>
            </w:pPr>
            <w:r>
              <w:rPr>
                <w:rFonts w:hint="eastAsia"/>
                <w:color w:val="auto"/>
              </w:rPr>
              <w:t>φ3800，V=45M3</w:t>
            </w:r>
          </w:p>
        </w:tc>
        <w:tc>
          <w:tcPr>
            <w:tcW w:w="630" w:type="pct"/>
            <w:vAlign w:val="center"/>
          </w:tcPr>
          <w:p>
            <w:pPr>
              <w:pStyle w:val="182"/>
              <w:bidi w:val="0"/>
              <w:rPr>
                <w:color w:val="auto"/>
              </w:rPr>
            </w:pPr>
            <w:r>
              <w:rPr>
                <w:rFonts w:hint="eastAsia"/>
                <w:color w:val="auto"/>
              </w:rPr>
              <w:t>1</w:t>
            </w: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eastAsia="zh-CN"/>
              </w:rPr>
            </w:pPr>
            <w:r>
              <w:rPr>
                <w:rFonts w:hint="eastAsia"/>
                <w:color w:val="auto"/>
                <w:lang w:val="en-US" w:eastAsia="zh-CN"/>
              </w:rPr>
              <w:t>8</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研磨泵</w:t>
            </w:r>
          </w:p>
        </w:tc>
        <w:tc>
          <w:tcPr>
            <w:tcW w:w="2556" w:type="pct"/>
            <w:vAlign w:val="center"/>
          </w:tcPr>
          <w:p>
            <w:pPr>
              <w:pStyle w:val="182"/>
              <w:bidi w:val="0"/>
              <w:rPr>
                <w:color w:val="auto"/>
              </w:rPr>
            </w:pPr>
            <w:r>
              <w:rPr>
                <w:rFonts w:hint="eastAsia"/>
                <w:color w:val="auto"/>
              </w:rPr>
              <w:t>QGB08 Q=30M3/H N=45KW</w:t>
            </w:r>
          </w:p>
        </w:tc>
        <w:tc>
          <w:tcPr>
            <w:tcW w:w="630" w:type="pct"/>
            <w:vAlign w:val="center"/>
          </w:tcPr>
          <w:p>
            <w:pPr>
              <w:pStyle w:val="182"/>
              <w:bidi w:val="0"/>
              <w:rPr>
                <w:color w:val="auto"/>
              </w:rPr>
            </w:pPr>
            <w:r>
              <w:rPr>
                <w:rFonts w:hint="eastAsia"/>
                <w:color w:val="auto"/>
              </w:rPr>
              <w:t>1</w:t>
            </w: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eastAsia="zh-CN"/>
              </w:rPr>
            </w:pPr>
            <w:r>
              <w:rPr>
                <w:rFonts w:hint="eastAsia"/>
                <w:color w:val="auto"/>
                <w:lang w:val="en-US" w:eastAsia="zh-CN"/>
              </w:rPr>
              <w:t>9</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混合机</w:t>
            </w:r>
          </w:p>
        </w:tc>
        <w:tc>
          <w:tcPr>
            <w:tcW w:w="2556" w:type="pct"/>
            <w:vAlign w:val="center"/>
          </w:tcPr>
          <w:p>
            <w:pPr>
              <w:pStyle w:val="182"/>
              <w:bidi w:val="0"/>
              <w:rPr>
                <w:color w:val="auto"/>
              </w:rPr>
            </w:pPr>
            <w:r>
              <w:rPr>
                <w:rFonts w:hint="eastAsia"/>
                <w:color w:val="auto"/>
              </w:rPr>
              <w:t>ZHR164 φ3000 V=40M3</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10</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KKF 滤机</w:t>
            </w:r>
          </w:p>
        </w:tc>
        <w:tc>
          <w:tcPr>
            <w:tcW w:w="2556" w:type="pct"/>
            <w:vAlign w:val="center"/>
          </w:tcPr>
          <w:p>
            <w:pPr>
              <w:pStyle w:val="182"/>
              <w:bidi w:val="0"/>
              <w:rPr>
                <w:color w:val="auto"/>
              </w:rPr>
            </w:pPr>
            <w:r>
              <w:rPr>
                <w:rFonts w:hint="eastAsia"/>
                <w:color w:val="auto"/>
              </w:rPr>
              <w:t>有效过滤面积=1.72M2/台；滤径15μm</w:t>
            </w:r>
          </w:p>
        </w:tc>
        <w:tc>
          <w:tcPr>
            <w:tcW w:w="630" w:type="pct"/>
            <w:vAlign w:val="center"/>
          </w:tcPr>
          <w:p>
            <w:pPr>
              <w:pStyle w:val="182"/>
              <w:bidi w:val="0"/>
              <w:rPr>
                <w:color w:val="auto"/>
              </w:rPr>
            </w:pPr>
            <w:r>
              <w:rPr>
                <w:rFonts w:hint="eastAsia"/>
                <w:color w:val="auto"/>
              </w:rPr>
              <w:t>8</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eastAsia="zh-CN"/>
              </w:rPr>
            </w:pPr>
            <w:r>
              <w:rPr>
                <w:color w:val="auto"/>
              </w:rPr>
              <w:t>1</w:t>
            </w:r>
            <w:r>
              <w:rPr>
                <w:rFonts w:hint="eastAsia"/>
                <w:color w:val="auto"/>
                <w:lang w:val="en-US" w:eastAsia="zh-CN"/>
              </w:rPr>
              <w:t>1</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三道过滤机</w:t>
            </w:r>
          </w:p>
        </w:tc>
        <w:tc>
          <w:tcPr>
            <w:tcW w:w="2556" w:type="pct"/>
            <w:vAlign w:val="center"/>
          </w:tcPr>
          <w:p>
            <w:pPr>
              <w:pStyle w:val="182"/>
              <w:bidi w:val="0"/>
              <w:rPr>
                <w:rFonts w:hint="default" w:eastAsia="宋体"/>
                <w:color w:val="auto"/>
                <w:lang w:val="en-US" w:eastAsia="zh-CN"/>
              </w:rPr>
            </w:pPr>
            <w:r>
              <w:rPr>
                <w:rFonts w:hint="eastAsia"/>
                <w:color w:val="auto"/>
              </w:rPr>
              <w:t>R241D 有效过滤面积50</w:t>
            </w:r>
            <w:r>
              <w:rPr>
                <w:rFonts w:hint="eastAsia"/>
                <w:color w:val="auto"/>
                <w:lang w:val="en-US" w:eastAsia="zh-CN"/>
              </w:rPr>
              <w:t>m</w:t>
            </w:r>
            <w:r>
              <w:rPr>
                <w:rFonts w:hint="eastAsia"/>
                <w:color w:val="auto"/>
                <w:vertAlign w:val="superscript"/>
                <w:lang w:val="en-US" w:eastAsia="zh-CN"/>
              </w:rPr>
              <w:t>2</w:t>
            </w:r>
          </w:p>
        </w:tc>
        <w:tc>
          <w:tcPr>
            <w:tcW w:w="630" w:type="pct"/>
            <w:vAlign w:val="center"/>
          </w:tcPr>
          <w:p>
            <w:pPr>
              <w:pStyle w:val="182"/>
              <w:bidi w:val="0"/>
              <w:rPr>
                <w:color w:val="auto"/>
              </w:rPr>
            </w:pPr>
            <w:r>
              <w:rPr>
                <w:rFonts w:hint="eastAsia"/>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2</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喂给桶</w:t>
            </w:r>
          </w:p>
        </w:tc>
        <w:tc>
          <w:tcPr>
            <w:tcW w:w="2556" w:type="pct"/>
            <w:vAlign w:val="center"/>
          </w:tcPr>
          <w:p>
            <w:pPr>
              <w:pStyle w:val="182"/>
              <w:bidi w:val="0"/>
              <w:rPr>
                <w:color w:val="auto"/>
              </w:rPr>
            </w:pPr>
            <w:r>
              <w:rPr>
                <w:rFonts w:hint="eastAsia"/>
                <w:color w:val="auto"/>
              </w:rPr>
              <w:t>R237B φ2600 V=16m</w:t>
            </w:r>
            <w:r>
              <w:rPr>
                <w:rFonts w:hint="eastAsia"/>
                <w:color w:val="auto"/>
                <w:vertAlign w:val="superscript"/>
              </w:rPr>
              <w:t>3</w:t>
            </w:r>
          </w:p>
        </w:tc>
        <w:tc>
          <w:tcPr>
            <w:tcW w:w="630" w:type="pct"/>
            <w:vAlign w:val="center"/>
          </w:tcPr>
          <w:p>
            <w:pPr>
              <w:pStyle w:val="182"/>
              <w:bidi w:val="0"/>
              <w:rPr>
                <w:color w:val="auto"/>
              </w:rPr>
            </w:pPr>
            <w:r>
              <w:rPr>
                <w:rFonts w:hint="eastAsia"/>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3</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脱泡塔</w:t>
            </w:r>
          </w:p>
        </w:tc>
        <w:tc>
          <w:tcPr>
            <w:tcW w:w="2556" w:type="pct"/>
            <w:vAlign w:val="center"/>
          </w:tcPr>
          <w:p>
            <w:pPr>
              <w:pStyle w:val="182"/>
              <w:bidi w:val="0"/>
              <w:rPr>
                <w:color w:val="auto"/>
              </w:rPr>
            </w:pPr>
            <w:r>
              <w:rPr>
                <w:rFonts w:hint="eastAsia"/>
                <w:color w:val="auto"/>
              </w:rPr>
              <w:t>R236A φ1600 V=6.2m</w:t>
            </w:r>
            <w:r>
              <w:rPr>
                <w:rFonts w:hint="eastAsia"/>
                <w:color w:val="auto"/>
                <w:vertAlign w:val="superscript"/>
              </w:rPr>
              <w:t>3</w:t>
            </w:r>
          </w:p>
        </w:tc>
        <w:tc>
          <w:tcPr>
            <w:tcW w:w="630" w:type="pct"/>
            <w:vAlign w:val="center"/>
          </w:tcPr>
          <w:p>
            <w:pPr>
              <w:pStyle w:val="182"/>
              <w:bidi w:val="0"/>
              <w:rPr>
                <w:color w:val="auto"/>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4</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脱泡桶</w:t>
            </w:r>
          </w:p>
        </w:tc>
        <w:tc>
          <w:tcPr>
            <w:tcW w:w="2556" w:type="pct"/>
            <w:vAlign w:val="center"/>
          </w:tcPr>
          <w:p>
            <w:pPr>
              <w:pStyle w:val="182"/>
              <w:bidi w:val="0"/>
              <w:rPr>
                <w:color w:val="auto"/>
              </w:rPr>
            </w:pPr>
            <w:r>
              <w:rPr>
                <w:rFonts w:hint="eastAsia"/>
                <w:color w:val="auto"/>
              </w:rPr>
              <w:t>R237C φ3000 V=20</w:t>
            </w:r>
            <w:r>
              <w:rPr>
                <w:rFonts w:hint="eastAsia"/>
                <w:color w:val="auto"/>
                <w:vertAlign w:val="superscript"/>
              </w:rPr>
              <w:t>3</w:t>
            </w:r>
          </w:p>
        </w:tc>
        <w:tc>
          <w:tcPr>
            <w:tcW w:w="630" w:type="pct"/>
            <w:vAlign w:val="center"/>
          </w:tcPr>
          <w:p>
            <w:pPr>
              <w:pStyle w:val="182"/>
              <w:bidi w:val="0"/>
              <w:rPr>
                <w:color w:val="auto"/>
              </w:rPr>
            </w:pPr>
            <w:r>
              <w:rPr>
                <w:rFonts w:hint="eastAsia"/>
                <w:color w:val="auto"/>
              </w:rPr>
              <w:t>4</w:t>
            </w: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5</w:t>
            </w:r>
          </w:p>
        </w:tc>
        <w:tc>
          <w:tcPr>
            <w:tcW w:w="434" w:type="pct"/>
            <w:vMerge w:val="restart"/>
            <w:vAlign w:val="center"/>
          </w:tcPr>
          <w:p>
            <w:pPr>
              <w:pStyle w:val="182"/>
              <w:bidi w:val="0"/>
              <w:rPr>
                <w:color w:val="auto"/>
              </w:rPr>
            </w:pPr>
            <w:r>
              <w:rPr>
                <w:rFonts w:hint="eastAsia"/>
                <w:color w:val="auto"/>
              </w:rPr>
              <w:t>纺丝</w:t>
            </w:r>
          </w:p>
          <w:p>
            <w:pPr>
              <w:pStyle w:val="182"/>
              <w:bidi w:val="0"/>
              <w:rPr>
                <w:color w:val="auto"/>
              </w:rPr>
            </w:pPr>
            <w:r>
              <w:rPr>
                <w:rFonts w:hint="eastAsia"/>
                <w:color w:val="auto"/>
              </w:rPr>
              <w:t>车间</w:t>
            </w:r>
          </w:p>
        </w:tc>
        <w:tc>
          <w:tcPr>
            <w:tcW w:w="1065" w:type="pct"/>
            <w:gridSpan w:val="2"/>
            <w:vAlign w:val="center"/>
          </w:tcPr>
          <w:p>
            <w:pPr>
              <w:pStyle w:val="182"/>
              <w:bidi w:val="0"/>
              <w:rPr>
                <w:color w:val="auto"/>
              </w:rPr>
            </w:pPr>
            <w:r>
              <w:rPr>
                <w:rFonts w:hint="eastAsia"/>
                <w:color w:val="auto"/>
              </w:rPr>
              <w:t>连续纺丝机</w:t>
            </w:r>
          </w:p>
        </w:tc>
        <w:tc>
          <w:tcPr>
            <w:tcW w:w="2556" w:type="pct"/>
            <w:vAlign w:val="center"/>
          </w:tcPr>
          <w:p>
            <w:pPr>
              <w:pStyle w:val="182"/>
              <w:bidi w:val="0"/>
              <w:rPr>
                <w:color w:val="auto"/>
              </w:rPr>
            </w:pPr>
            <w:r>
              <w:rPr>
                <w:rFonts w:hint="eastAsia"/>
                <w:color w:val="auto"/>
              </w:rPr>
              <w:t>/</w:t>
            </w:r>
          </w:p>
        </w:tc>
        <w:tc>
          <w:tcPr>
            <w:tcW w:w="630" w:type="pct"/>
            <w:vAlign w:val="center"/>
          </w:tcPr>
          <w:p>
            <w:pPr>
              <w:pStyle w:val="182"/>
              <w:bidi w:val="0"/>
              <w:rPr>
                <w:color w:val="auto"/>
              </w:rPr>
            </w:pPr>
            <w:r>
              <w:rPr>
                <w:rFonts w:hint="eastAsia"/>
                <w:color w:val="auto"/>
              </w:rPr>
              <w:t>1</w:t>
            </w: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6</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中间胶罐</w:t>
            </w:r>
          </w:p>
        </w:tc>
        <w:tc>
          <w:tcPr>
            <w:tcW w:w="2556" w:type="pct"/>
            <w:vAlign w:val="center"/>
          </w:tcPr>
          <w:p>
            <w:pPr>
              <w:pStyle w:val="182"/>
              <w:bidi w:val="0"/>
              <w:rPr>
                <w:color w:val="auto"/>
              </w:rPr>
            </w:pPr>
            <w:r>
              <w:rPr>
                <w:rFonts w:hint="eastAsia"/>
                <w:color w:val="auto"/>
              </w:rPr>
              <w:t>10m</w:t>
            </w:r>
            <w:r>
              <w:rPr>
                <w:rFonts w:hint="eastAsia"/>
                <w:color w:val="auto"/>
                <w:vertAlign w:val="superscript"/>
              </w:rPr>
              <w:t>3</w:t>
            </w:r>
          </w:p>
        </w:tc>
        <w:tc>
          <w:tcPr>
            <w:tcW w:w="630" w:type="pct"/>
            <w:vAlign w:val="center"/>
          </w:tcPr>
          <w:p>
            <w:pPr>
              <w:pStyle w:val="182"/>
              <w:bidi w:val="0"/>
              <w:rPr>
                <w:color w:val="auto"/>
              </w:rPr>
            </w:pPr>
            <w:r>
              <w:rPr>
                <w:rFonts w:hint="eastAsia"/>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7</w:t>
            </w:r>
          </w:p>
        </w:tc>
        <w:tc>
          <w:tcPr>
            <w:tcW w:w="434" w:type="pct"/>
            <w:vMerge w:val="restart"/>
            <w:vAlign w:val="center"/>
          </w:tcPr>
          <w:p>
            <w:pPr>
              <w:pStyle w:val="182"/>
              <w:bidi w:val="0"/>
              <w:rPr>
                <w:color w:val="auto"/>
              </w:rPr>
            </w:pPr>
            <w:r>
              <w:rPr>
                <w:rFonts w:hint="eastAsia"/>
                <w:color w:val="auto"/>
              </w:rPr>
              <w:t>酸站</w:t>
            </w:r>
          </w:p>
        </w:tc>
        <w:tc>
          <w:tcPr>
            <w:tcW w:w="1065" w:type="pct"/>
            <w:gridSpan w:val="2"/>
            <w:vAlign w:val="center"/>
          </w:tcPr>
          <w:p>
            <w:pPr>
              <w:pStyle w:val="182"/>
              <w:bidi w:val="0"/>
              <w:rPr>
                <w:color w:val="auto"/>
              </w:rPr>
            </w:pPr>
            <w:r>
              <w:rPr>
                <w:rFonts w:hint="eastAsia"/>
                <w:color w:val="auto"/>
              </w:rPr>
              <w:t>丝束过滤器</w:t>
            </w:r>
          </w:p>
        </w:tc>
        <w:tc>
          <w:tcPr>
            <w:tcW w:w="2556" w:type="pct"/>
            <w:vAlign w:val="center"/>
          </w:tcPr>
          <w:p>
            <w:pPr>
              <w:pStyle w:val="182"/>
              <w:bidi w:val="0"/>
              <w:rPr>
                <w:color w:val="auto"/>
              </w:rPr>
            </w:pPr>
            <w:r>
              <w:rPr>
                <w:color w:val="auto"/>
              </w:rPr>
              <w:t>Q=60M2/h  φ1600×3095</w:t>
            </w:r>
          </w:p>
        </w:tc>
        <w:tc>
          <w:tcPr>
            <w:tcW w:w="630" w:type="pct"/>
            <w:vAlign w:val="center"/>
          </w:tcPr>
          <w:p>
            <w:pPr>
              <w:pStyle w:val="182"/>
              <w:bidi w:val="0"/>
              <w:rPr>
                <w:color w:val="auto"/>
              </w:rPr>
            </w:pPr>
            <w:r>
              <w:rPr>
                <w:color w:val="auto"/>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18</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石墨加热器</w:t>
            </w:r>
          </w:p>
        </w:tc>
        <w:tc>
          <w:tcPr>
            <w:tcW w:w="2556" w:type="pct"/>
            <w:vAlign w:val="center"/>
          </w:tcPr>
          <w:p>
            <w:pPr>
              <w:pStyle w:val="182"/>
              <w:bidi w:val="0"/>
              <w:rPr>
                <w:color w:val="auto"/>
              </w:rPr>
            </w:pPr>
            <w:r>
              <w:rPr>
                <w:color w:val="auto"/>
              </w:rPr>
              <w:t>JX-03</w:t>
            </w:r>
          </w:p>
        </w:tc>
        <w:tc>
          <w:tcPr>
            <w:tcW w:w="630" w:type="pct"/>
            <w:vAlign w:val="center"/>
          </w:tcPr>
          <w:p>
            <w:pPr>
              <w:pStyle w:val="182"/>
              <w:bidi w:val="0"/>
              <w:rPr>
                <w:color w:val="auto"/>
              </w:rPr>
            </w:pPr>
            <w:r>
              <w:rPr>
                <w:color w:val="auto"/>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19</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真空结晶机</w:t>
            </w:r>
          </w:p>
        </w:tc>
        <w:tc>
          <w:tcPr>
            <w:tcW w:w="2556" w:type="pct"/>
            <w:vAlign w:val="center"/>
          </w:tcPr>
          <w:p>
            <w:pPr>
              <w:pStyle w:val="182"/>
              <w:bidi w:val="0"/>
              <w:rPr>
                <w:color w:val="auto"/>
              </w:rPr>
            </w:pPr>
            <w:r>
              <w:rPr>
                <w:color w:val="auto"/>
              </w:rPr>
              <w:t>KR861</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0</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焙烧装置</w:t>
            </w:r>
          </w:p>
        </w:tc>
        <w:tc>
          <w:tcPr>
            <w:tcW w:w="2556" w:type="pct"/>
            <w:vAlign w:val="center"/>
          </w:tcPr>
          <w:p>
            <w:pPr>
              <w:pStyle w:val="182"/>
              <w:bidi w:val="0"/>
              <w:rPr>
                <w:color w:val="auto"/>
              </w:rPr>
            </w:pPr>
            <w:r>
              <w:rPr>
                <w:color w:val="auto"/>
              </w:rPr>
              <w:t>LKR861</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1</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脱气装置</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color w:val="auto"/>
              </w:rPr>
              <w:t>2</w:t>
            </w:r>
            <w:r>
              <w:rPr>
                <w:rFonts w:hint="eastAsia"/>
                <w:color w:val="auto"/>
                <w:lang w:val="en-US" w:eastAsia="zh-CN"/>
              </w:rPr>
              <w:t>2</w:t>
            </w:r>
          </w:p>
        </w:tc>
        <w:tc>
          <w:tcPr>
            <w:tcW w:w="434" w:type="pct"/>
            <w:vMerge w:val="restart"/>
            <w:vAlign w:val="center"/>
          </w:tcPr>
          <w:p>
            <w:pPr>
              <w:pStyle w:val="182"/>
              <w:bidi w:val="0"/>
              <w:rPr>
                <w:color w:val="auto"/>
              </w:rPr>
            </w:pPr>
            <w:r>
              <w:rPr>
                <w:rFonts w:hint="eastAsia"/>
                <w:color w:val="auto"/>
              </w:rPr>
              <w:t>罐区</w:t>
            </w:r>
          </w:p>
        </w:tc>
        <w:tc>
          <w:tcPr>
            <w:tcW w:w="1065" w:type="pct"/>
            <w:gridSpan w:val="2"/>
            <w:vAlign w:val="center"/>
          </w:tcPr>
          <w:p>
            <w:pPr>
              <w:pStyle w:val="182"/>
              <w:bidi w:val="0"/>
              <w:rPr>
                <w:color w:val="auto"/>
              </w:rPr>
            </w:pPr>
            <w:r>
              <w:rPr>
                <w:rFonts w:hint="eastAsia"/>
                <w:color w:val="auto"/>
              </w:rPr>
              <w:t>硫酸储罐</w:t>
            </w:r>
          </w:p>
        </w:tc>
        <w:tc>
          <w:tcPr>
            <w:tcW w:w="2556" w:type="pct"/>
            <w:vAlign w:val="center"/>
          </w:tcPr>
          <w:p>
            <w:pPr>
              <w:pStyle w:val="182"/>
              <w:bidi w:val="0"/>
              <w:rPr>
                <w:color w:val="auto"/>
              </w:rPr>
            </w:pPr>
            <w:r>
              <w:rPr>
                <w:color w:val="auto"/>
              </w:rPr>
              <w:t>500m</w:t>
            </w:r>
            <w:r>
              <w:rPr>
                <w:rFonts w:hint="eastAsia"/>
                <w:color w:val="auto"/>
                <w:vertAlign w:val="superscript"/>
              </w:rPr>
              <w:t>3</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3</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碱液储罐</w:t>
            </w:r>
          </w:p>
        </w:tc>
        <w:tc>
          <w:tcPr>
            <w:tcW w:w="2556" w:type="pct"/>
            <w:vAlign w:val="center"/>
          </w:tcPr>
          <w:p>
            <w:pPr>
              <w:pStyle w:val="182"/>
              <w:bidi w:val="0"/>
              <w:rPr>
                <w:color w:val="auto"/>
              </w:rPr>
            </w:pPr>
            <w:r>
              <w:rPr>
                <w:color w:val="auto"/>
              </w:rPr>
              <w:t>1800 m</w:t>
            </w:r>
            <w:r>
              <w:rPr>
                <w:rFonts w:hint="eastAsia"/>
                <w:color w:val="auto"/>
                <w:vertAlign w:val="superscript"/>
              </w:rPr>
              <w:t>3</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4</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二硫化碳储罐</w:t>
            </w:r>
          </w:p>
        </w:tc>
        <w:tc>
          <w:tcPr>
            <w:tcW w:w="2556" w:type="pct"/>
            <w:vAlign w:val="center"/>
          </w:tcPr>
          <w:p>
            <w:pPr>
              <w:pStyle w:val="182"/>
              <w:bidi w:val="0"/>
              <w:rPr>
                <w:color w:val="auto"/>
              </w:rPr>
            </w:pPr>
            <w:r>
              <w:rPr>
                <w:color w:val="auto"/>
              </w:rPr>
              <w:t>200 m</w:t>
            </w:r>
            <w:r>
              <w:rPr>
                <w:rFonts w:hint="eastAsia"/>
                <w:color w:val="auto"/>
                <w:vertAlign w:val="superscript"/>
              </w:rPr>
              <w:t>3</w:t>
            </w:r>
          </w:p>
        </w:tc>
        <w:tc>
          <w:tcPr>
            <w:tcW w:w="630" w:type="pct"/>
            <w:vAlign w:val="center"/>
          </w:tcPr>
          <w:p>
            <w:pPr>
              <w:pStyle w:val="182"/>
              <w:bidi w:val="0"/>
              <w:rPr>
                <w:color w:val="auto"/>
              </w:rPr>
            </w:pP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5</w:t>
            </w:r>
          </w:p>
        </w:tc>
        <w:tc>
          <w:tcPr>
            <w:tcW w:w="1499" w:type="pct"/>
            <w:gridSpan w:val="3"/>
            <w:vAlign w:val="center"/>
          </w:tcPr>
          <w:p>
            <w:pPr>
              <w:pStyle w:val="182"/>
              <w:bidi w:val="0"/>
              <w:rPr>
                <w:color w:val="auto"/>
              </w:rPr>
            </w:pPr>
            <w:r>
              <w:rPr>
                <w:rFonts w:hint="eastAsia"/>
                <w:color w:val="auto"/>
              </w:rPr>
              <w:t>锅炉</w:t>
            </w:r>
          </w:p>
        </w:tc>
        <w:tc>
          <w:tcPr>
            <w:tcW w:w="2556" w:type="pct"/>
            <w:vAlign w:val="center"/>
          </w:tcPr>
          <w:p>
            <w:pPr>
              <w:pStyle w:val="182"/>
              <w:bidi w:val="0"/>
              <w:rPr>
                <w:color w:val="auto"/>
              </w:rPr>
            </w:pPr>
            <w:r>
              <w:rPr>
                <w:color w:val="auto"/>
              </w:rPr>
              <w:t>75t/h</w:t>
            </w:r>
          </w:p>
        </w:tc>
        <w:tc>
          <w:tcPr>
            <w:tcW w:w="630" w:type="pct"/>
            <w:vAlign w:val="center"/>
          </w:tcPr>
          <w:p>
            <w:pPr>
              <w:pStyle w:val="182"/>
              <w:bidi w:val="0"/>
              <w:rPr>
                <w:color w:val="auto"/>
              </w:rPr>
            </w:pPr>
            <w:r>
              <w:rPr>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color w:val="auto"/>
              </w:rPr>
            </w:pPr>
            <w:r>
              <w:rPr>
                <w:rFonts w:hint="eastAsia"/>
                <w:color w:val="auto"/>
              </w:rPr>
              <w:t>年产2×2万吨超柔软氨纶纤维项目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w:t>
            </w:r>
          </w:p>
        </w:tc>
        <w:tc>
          <w:tcPr>
            <w:tcW w:w="1499" w:type="pct"/>
            <w:gridSpan w:val="3"/>
            <w:vAlign w:val="center"/>
          </w:tcPr>
          <w:p>
            <w:pPr>
              <w:pStyle w:val="182"/>
              <w:bidi w:val="0"/>
              <w:rPr>
                <w:color w:val="auto"/>
              </w:rPr>
            </w:pPr>
            <w:r>
              <w:rPr>
                <w:color w:val="auto"/>
              </w:rPr>
              <w:t>PTMG</w:t>
            </w:r>
            <w:r>
              <w:rPr>
                <w:rFonts w:hint="eastAsia"/>
                <w:color w:val="auto"/>
              </w:rPr>
              <w:t>混合罐</w:t>
            </w:r>
          </w:p>
        </w:tc>
        <w:tc>
          <w:tcPr>
            <w:tcW w:w="2556" w:type="pct"/>
            <w:vAlign w:val="center"/>
          </w:tcPr>
          <w:p>
            <w:pPr>
              <w:pStyle w:val="182"/>
              <w:bidi w:val="0"/>
              <w:rPr>
                <w:color w:val="auto"/>
              </w:rPr>
            </w:pPr>
            <w:r>
              <w:rPr>
                <w:color w:val="auto"/>
              </w:rPr>
              <w:t>400</w:t>
            </w:r>
            <w:r>
              <w:rPr>
                <w:rFonts w:hint="eastAsia"/>
                <w:color w:val="auto"/>
              </w:rPr>
              <w:t>立方</w:t>
            </w:r>
          </w:p>
        </w:tc>
        <w:tc>
          <w:tcPr>
            <w:tcW w:w="630" w:type="pct"/>
            <w:vAlign w:val="center"/>
          </w:tcPr>
          <w:p>
            <w:pPr>
              <w:pStyle w:val="182"/>
              <w:bidi w:val="0"/>
              <w:rPr>
                <w:color w:val="auto"/>
              </w:rPr>
            </w:pPr>
            <w:r>
              <w:rPr>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2</w:t>
            </w:r>
          </w:p>
        </w:tc>
        <w:tc>
          <w:tcPr>
            <w:tcW w:w="1499" w:type="pct"/>
            <w:gridSpan w:val="3"/>
            <w:vAlign w:val="center"/>
          </w:tcPr>
          <w:p>
            <w:pPr>
              <w:pStyle w:val="182"/>
              <w:bidi w:val="0"/>
              <w:rPr>
                <w:color w:val="auto"/>
              </w:rPr>
            </w:pPr>
            <w:r>
              <w:rPr>
                <w:color w:val="auto"/>
              </w:rPr>
              <w:t>DMAC</w:t>
            </w:r>
            <w:r>
              <w:rPr>
                <w:rFonts w:hint="eastAsia"/>
                <w:color w:val="auto"/>
              </w:rPr>
              <w:t>储罐</w:t>
            </w:r>
          </w:p>
        </w:tc>
        <w:tc>
          <w:tcPr>
            <w:tcW w:w="2556" w:type="pct"/>
            <w:vAlign w:val="center"/>
          </w:tcPr>
          <w:p>
            <w:pPr>
              <w:pStyle w:val="182"/>
              <w:bidi w:val="0"/>
              <w:rPr>
                <w:color w:val="auto"/>
              </w:rPr>
            </w:pPr>
            <w:r>
              <w:rPr>
                <w:rFonts w:hint="eastAsia"/>
                <w:color w:val="auto"/>
              </w:rPr>
              <w:t>冷水夹套</w:t>
            </w:r>
          </w:p>
        </w:tc>
        <w:tc>
          <w:tcPr>
            <w:tcW w:w="630" w:type="pct"/>
            <w:vAlign w:val="center"/>
          </w:tcPr>
          <w:p>
            <w:pPr>
              <w:pStyle w:val="182"/>
              <w:bidi w:val="0"/>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3</w:t>
            </w:r>
          </w:p>
        </w:tc>
        <w:tc>
          <w:tcPr>
            <w:tcW w:w="1499" w:type="pct"/>
            <w:gridSpan w:val="3"/>
            <w:vAlign w:val="center"/>
          </w:tcPr>
          <w:p>
            <w:pPr>
              <w:pStyle w:val="182"/>
              <w:bidi w:val="0"/>
              <w:rPr>
                <w:color w:val="auto"/>
              </w:rPr>
            </w:pPr>
            <w:r>
              <w:rPr>
                <w:rFonts w:hint="eastAsia"/>
                <w:color w:val="auto"/>
              </w:rPr>
              <w:t>预聚合反应器</w:t>
            </w:r>
          </w:p>
        </w:tc>
        <w:tc>
          <w:tcPr>
            <w:tcW w:w="2556" w:type="pct"/>
            <w:vAlign w:val="center"/>
          </w:tcPr>
          <w:p>
            <w:pPr>
              <w:pStyle w:val="182"/>
              <w:bidi w:val="0"/>
              <w:rPr>
                <w:color w:val="auto"/>
              </w:rPr>
            </w:pPr>
            <w:r>
              <w:rPr>
                <w:rFonts w:hint="eastAsia"/>
                <w:color w:val="auto"/>
              </w:rPr>
              <w:t>夹套：静态混合</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4</w:t>
            </w:r>
          </w:p>
        </w:tc>
        <w:tc>
          <w:tcPr>
            <w:tcW w:w="1499" w:type="pct"/>
            <w:gridSpan w:val="3"/>
            <w:vAlign w:val="center"/>
          </w:tcPr>
          <w:p>
            <w:pPr>
              <w:pStyle w:val="182"/>
              <w:bidi w:val="0"/>
              <w:rPr>
                <w:color w:val="auto"/>
              </w:rPr>
            </w:pPr>
            <w:r>
              <w:rPr>
                <w:rFonts w:hint="eastAsia"/>
                <w:color w:val="auto"/>
              </w:rPr>
              <w:t>聚合反应器</w:t>
            </w:r>
          </w:p>
        </w:tc>
        <w:tc>
          <w:tcPr>
            <w:tcW w:w="2556" w:type="pct"/>
            <w:vAlign w:val="center"/>
          </w:tcPr>
          <w:p>
            <w:pPr>
              <w:pStyle w:val="182"/>
              <w:bidi w:val="0"/>
              <w:rPr>
                <w:color w:val="auto"/>
              </w:rPr>
            </w:pPr>
            <w:r>
              <w:rPr>
                <w:color w:val="auto"/>
              </w:rPr>
              <w:t>RT5000-20</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5</w:t>
            </w:r>
          </w:p>
        </w:tc>
        <w:tc>
          <w:tcPr>
            <w:tcW w:w="1499" w:type="pct"/>
            <w:gridSpan w:val="3"/>
            <w:vAlign w:val="center"/>
          </w:tcPr>
          <w:p>
            <w:pPr>
              <w:pStyle w:val="182"/>
              <w:bidi w:val="0"/>
              <w:rPr>
                <w:color w:val="auto"/>
              </w:rPr>
            </w:pPr>
            <w:r>
              <w:rPr>
                <w:rFonts w:hint="eastAsia"/>
                <w:color w:val="auto"/>
              </w:rPr>
              <w:t>纺丝原液储槽</w:t>
            </w:r>
          </w:p>
        </w:tc>
        <w:tc>
          <w:tcPr>
            <w:tcW w:w="2556" w:type="pct"/>
            <w:vAlign w:val="center"/>
          </w:tcPr>
          <w:p>
            <w:pPr>
              <w:pStyle w:val="182"/>
              <w:bidi w:val="0"/>
              <w:rPr>
                <w:color w:val="auto"/>
              </w:rPr>
            </w:pPr>
            <w:r>
              <w:rPr>
                <w:rFonts w:hint="eastAsia"/>
                <w:color w:val="auto"/>
              </w:rPr>
              <w:t>夹套；带搅拌</w:t>
            </w:r>
          </w:p>
        </w:tc>
        <w:tc>
          <w:tcPr>
            <w:tcW w:w="630" w:type="pct"/>
            <w:vAlign w:val="center"/>
          </w:tcPr>
          <w:p>
            <w:pPr>
              <w:pStyle w:val="182"/>
              <w:bidi w:val="0"/>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6</w:t>
            </w:r>
          </w:p>
        </w:tc>
        <w:tc>
          <w:tcPr>
            <w:tcW w:w="1499" w:type="pct"/>
            <w:gridSpan w:val="3"/>
            <w:vAlign w:val="center"/>
          </w:tcPr>
          <w:p>
            <w:pPr>
              <w:pStyle w:val="182"/>
              <w:bidi w:val="0"/>
              <w:rPr>
                <w:color w:val="auto"/>
              </w:rPr>
            </w:pPr>
            <w:r>
              <w:rPr>
                <w:rFonts w:hint="eastAsia"/>
                <w:color w:val="auto"/>
              </w:rPr>
              <w:t>混合胺供给罐</w:t>
            </w:r>
          </w:p>
        </w:tc>
        <w:tc>
          <w:tcPr>
            <w:tcW w:w="2556" w:type="pct"/>
            <w:vAlign w:val="center"/>
          </w:tcPr>
          <w:p>
            <w:pPr>
              <w:pStyle w:val="182"/>
              <w:bidi w:val="0"/>
              <w:rPr>
                <w:color w:val="auto"/>
              </w:rPr>
            </w:pPr>
            <w:r>
              <w:rPr>
                <w:rFonts w:hint="eastAsia"/>
                <w:color w:val="auto"/>
              </w:rPr>
              <w:t>冷冻夹套</w:t>
            </w:r>
          </w:p>
        </w:tc>
        <w:tc>
          <w:tcPr>
            <w:tcW w:w="630" w:type="pct"/>
            <w:vAlign w:val="center"/>
          </w:tcPr>
          <w:p>
            <w:pPr>
              <w:pStyle w:val="182"/>
              <w:bidi w:val="0"/>
              <w:rPr>
                <w:color w:val="auto"/>
              </w:rPr>
            </w:pPr>
            <w:r>
              <w:rPr>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7</w:t>
            </w:r>
          </w:p>
        </w:tc>
        <w:tc>
          <w:tcPr>
            <w:tcW w:w="1499" w:type="pct"/>
            <w:gridSpan w:val="3"/>
            <w:vAlign w:val="center"/>
          </w:tcPr>
          <w:p>
            <w:pPr>
              <w:pStyle w:val="182"/>
              <w:bidi w:val="0"/>
              <w:rPr>
                <w:color w:val="auto"/>
              </w:rPr>
            </w:pPr>
            <w:r>
              <w:rPr>
                <w:rFonts w:hint="eastAsia"/>
                <w:color w:val="auto"/>
              </w:rPr>
              <w:t>添加剂调配罐</w:t>
            </w:r>
          </w:p>
        </w:tc>
        <w:tc>
          <w:tcPr>
            <w:tcW w:w="2556" w:type="pct"/>
            <w:vAlign w:val="center"/>
          </w:tcPr>
          <w:p>
            <w:pPr>
              <w:pStyle w:val="182"/>
              <w:bidi w:val="0"/>
              <w:rPr>
                <w:color w:val="auto"/>
              </w:rPr>
            </w:pPr>
            <w:r>
              <w:rPr>
                <w:rFonts w:hint="eastAsia"/>
                <w:color w:val="auto"/>
              </w:rPr>
              <w:t>冷冻水夹套</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8</w:t>
            </w:r>
          </w:p>
        </w:tc>
        <w:tc>
          <w:tcPr>
            <w:tcW w:w="1499" w:type="pct"/>
            <w:gridSpan w:val="3"/>
            <w:vAlign w:val="center"/>
          </w:tcPr>
          <w:p>
            <w:pPr>
              <w:pStyle w:val="182"/>
              <w:bidi w:val="0"/>
              <w:rPr>
                <w:color w:val="auto"/>
              </w:rPr>
            </w:pPr>
            <w:r>
              <w:rPr>
                <w:rFonts w:hint="eastAsia"/>
                <w:color w:val="auto"/>
              </w:rPr>
              <w:t>纺丝甬道</w:t>
            </w:r>
          </w:p>
        </w:tc>
        <w:tc>
          <w:tcPr>
            <w:tcW w:w="2556" w:type="pct"/>
            <w:vAlign w:val="center"/>
          </w:tcPr>
          <w:p>
            <w:pPr>
              <w:pStyle w:val="182"/>
              <w:bidi w:val="0"/>
              <w:rPr>
                <w:color w:val="auto"/>
              </w:rPr>
            </w:pPr>
            <w:r>
              <w:rPr>
                <w:rFonts w:hint="eastAsia"/>
                <w:color w:val="auto"/>
              </w:rPr>
              <w:t>专用</w:t>
            </w:r>
          </w:p>
        </w:tc>
        <w:tc>
          <w:tcPr>
            <w:tcW w:w="630" w:type="pct"/>
            <w:vAlign w:val="center"/>
          </w:tcPr>
          <w:p>
            <w:pPr>
              <w:pStyle w:val="182"/>
              <w:bidi w:val="0"/>
              <w:rPr>
                <w:color w:val="auto"/>
              </w:rPr>
            </w:pPr>
            <w:r>
              <w:rPr>
                <w:color w:val="auto"/>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9</w:t>
            </w:r>
          </w:p>
        </w:tc>
        <w:tc>
          <w:tcPr>
            <w:tcW w:w="1499" w:type="pct"/>
            <w:gridSpan w:val="3"/>
            <w:vAlign w:val="center"/>
          </w:tcPr>
          <w:p>
            <w:pPr>
              <w:pStyle w:val="182"/>
              <w:bidi w:val="0"/>
              <w:rPr>
                <w:color w:val="auto"/>
              </w:rPr>
            </w:pPr>
            <w:r>
              <w:rPr>
                <w:rFonts w:hint="eastAsia"/>
                <w:color w:val="auto"/>
              </w:rPr>
              <w:t>纺丝组件</w:t>
            </w:r>
          </w:p>
        </w:tc>
        <w:tc>
          <w:tcPr>
            <w:tcW w:w="2556" w:type="pct"/>
            <w:vAlign w:val="center"/>
          </w:tcPr>
          <w:p>
            <w:pPr>
              <w:pStyle w:val="182"/>
              <w:bidi w:val="0"/>
              <w:rPr>
                <w:color w:val="auto"/>
              </w:rPr>
            </w:pPr>
            <w:r>
              <w:rPr>
                <w:rFonts w:hint="eastAsia"/>
                <w:color w:val="auto"/>
              </w:rPr>
              <w:t>分配板，保温板，滤筒，过滤网，垫片</w:t>
            </w:r>
          </w:p>
        </w:tc>
        <w:tc>
          <w:tcPr>
            <w:tcW w:w="630" w:type="pct"/>
            <w:vAlign w:val="center"/>
          </w:tcPr>
          <w:p>
            <w:pPr>
              <w:pStyle w:val="182"/>
              <w:bidi w:val="0"/>
              <w:rPr>
                <w:color w:val="auto"/>
              </w:rPr>
            </w:pPr>
            <w:r>
              <w:rPr>
                <w:color w:val="auto"/>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10</w:t>
            </w:r>
          </w:p>
        </w:tc>
        <w:tc>
          <w:tcPr>
            <w:tcW w:w="1499" w:type="pct"/>
            <w:gridSpan w:val="3"/>
            <w:vAlign w:val="center"/>
          </w:tcPr>
          <w:p>
            <w:pPr>
              <w:pStyle w:val="182"/>
              <w:bidi w:val="0"/>
              <w:rPr>
                <w:color w:val="auto"/>
              </w:rPr>
            </w:pPr>
            <w:r>
              <w:rPr>
                <w:rFonts w:hint="eastAsia"/>
                <w:color w:val="auto"/>
              </w:rPr>
              <w:t>卷绕头</w:t>
            </w:r>
          </w:p>
        </w:tc>
        <w:tc>
          <w:tcPr>
            <w:tcW w:w="2556" w:type="pct"/>
            <w:vAlign w:val="center"/>
          </w:tcPr>
          <w:p>
            <w:pPr>
              <w:pStyle w:val="182"/>
              <w:bidi w:val="0"/>
              <w:rPr>
                <w:color w:val="auto"/>
              </w:rPr>
            </w:pPr>
            <w:r>
              <w:rPr>
                <w:rFonts w:hint="eastAsia"/>
                <w:color w:val="auto"/>
              </w:rPr>
              <w:t>专用</w:t>
            </w:r>
          </w:p>
        </w:tc>
        <w:tc>
          <w:tcPr>
            <w:tcW w:w="630" w:type="pct"/>
            <w:vAlign w:val="center"/>
          </w:tcPr>
          <w:p>
            <w:pPr>
              <w:pStyle w:val="182"/>
              <w:bidi w:val="0"/>
              <w:rPr>
                <w:color w:val="auto"/>
              </w:rPr>
            </w:pPr>
            <w:r>
              <w:rPr>
                <w:color w:val="auto"/>
              </w:rPr>
              <w:t>1140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11</w:t>
            </w:r>
          </w:p>
        </w:tc>
        <w:tc>
          <w:tcPr>
            <w:tcW w:w="1499" w:type="pct"/>
            <w:gridSpan w:val="3"/>
            <w:vAlign w:val="center"/>
          </w:tcPr>
          <w:p>
            <w:pPr>
              <w:pStyle w:val="182"/>
              <w:bidi w:val="0"/>
              <w:rPr>
                <w:color w:val="auto"/>
              </w:rPr>
            </w:pPr>
            <w:r>
              <w:rPr>
                <w:color w:val="auto"/>
              </w:rPr>
              <w:t>SM</w:t>
            </w:r>
            <w:r>
              <w:rPr>
                <w:rFonts w:hint="eastAsia"/>
                <w:color w:val="auto"/>
              </w:rPr>
              <w:t>风机</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color w:val="auto"/>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12</w:t>
            </w:r>
          </w:p>
        </w:tc>
        <w:tc>
          <w:tcPr>
            <w:tcW w:w="1499" w:type="pct"/>
            <w:gridSpan w:val="3"/>
            <w:vAlign w:val="center"/>
          </w:tcPr>
          <w:p>
            <w:pPr>
              <w:pStyle w:val="182"/>
              <w:bidi w:val="0"/>
              <w:rPr>
                <w:color w:val="auto"/>
              </w:rPr>
            </w:pPr>
            <w:r>
              <w:rPr>
                <w:color w:val="auto"/>
              </w:rPr>
              <w:t>DMAC</w:t>
            </w:r>
            <w:r>
              <w:rPr>
                <w:rFonts w:hint="eastAsia"/>
                <w:color w:val="auto"/>
              </w:rPr>
              <w:t>回收、精制</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w:t>
            </w:r>
            <w:r>
              <w:rPr>
                <w:rFonts w:hint="eastAsia"/>
                <w:color w:val="auto"/>
              </w:rPr>
              <w:t>3</w:t>
            </w:r>
          </w:p>
        </w:tc>
        <w:tc>
          <w:tcPr>
            <w:tcW w:w="1499" w:type="pct"/>
            <w:gridSpan w:val="3"/>
            <w:vAlign w:val="center"/>
          </w:tcPr>
          <w:p>
            <w:pPr>
              <w:pStyle w:val="182"/>
              <w:bidi w:val="0"/>
              <w:rPr>
                <w:color w:val="auto"/>
              </w:rPr>
            </w:pPr>
            <w:r>
              <w:rPr>
                <w:color w:val="auto"/>
              </w:rPr>
              <w:t>DCS</w:t>
            </w:r>
            <w:r>
              <w:rPr>
                <w:rFonts w:hint="eastAsia"/>
                <w:color w:val="auto"/>
              </w:rPr>
              <w:t>控制系统</w:t>
            </w:r>
          </w:p>
        </w:tc>
        <w:tc>
          <w:tcPr>
            <w:tcW w:w="2556" w:type="pct"/>
            <w:vAlign w:val="center"/>
          </w:tcPr>
          <w:p>
            <w:pPr>
              <w:pStyle w:val="182"/>
              <w:bidi w:val="0"/>
              <w:rPr>
                <w:color w:val="auto"/>
              </w:rPr>
            </w:pPr>
            <w:r>
              <w:rPr>
                <w:color w:val="auto"/>
              </w:rPr>
              <w:t>CENTUM CS3000</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color w:val="auto"/>
              </w:rPr>
            </w:pPr>
            <w:r>
              <w:rPr>
                <w:rFonts w:hint="eastAsia"/>
                <w:color w:val="auto"/>
              </w:rPr>
              <w:t>新建2×170t/h蒸汽锅炉项目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w:t>
            </w:r>
          </w:p>
        </w:tc>
        <w:tc>
          <w:tcPr>
            <w:tcW w:w="1499" w:type="pct"/>
            <w:gridSpan w:val="3"/>
            <w:vAlign w:val="center"/>
          </w:tcPr>
          <w:p>
            <w:pPr>
              <w:pStyle w:val="182"/>
              <w:bidi w:val="0"/>
              <w:rPr>
                <w:color w:val="auto"/>
              </w:rPr>
            </w:pPr>
            <w:r>
              <w:rPr>
                <w:rFonts w:hint="eastAsia"/>
                <w:color w:val="auto"/>
              </w:rPr>
              <w:t>煤粉炉蒸汽锅炉</w:t>
            </w:r>
          </w:p>
        </w:tc>
        <w:tc>
          <w:tcPr>
            <w:tcW w:w="2556" w:type="pct"/>
            <w:vAlign w:val="center"/>
          </w:tcPr>
          <w:p>
            <w:pPr>
              <w:pStyle w:val="182"/>
              <w:bidi w:val="0"/>
              <w:rPr>
                <w:color w:val="auto"/>
              </w:rPr>
            </w:pPr>
            <w:r>
              <w:rPr>
                <w:rFonts w:hint="eastAsia"/>
                <w:color w:val="auto"/>
              </w:rPr>
              <w:t>170t/h</w:t>
            </w:r>
          </w:p>
        </w:tc>
        <w:tc>
          <w:tcPr>
            <w:tcW w:w="630" w:type="pct"/>
            <w:vAlign w:val="center"/>
          </w:tcPr>
          <w:p>
            <w:pPr>
              <w:pStyle w:val="182"/>
              <w:bidi w:val="0"/>
              <w:rPr>
                <w:color w:val="auto"/>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2</w:t>
            </w:r>
          </w:p>
        </w:tc>
        <w:tc>
          <w:tcPr>
            <w:tcW w:w="1499" w:type="pct"/>
            <w:gridSpan w:val="3"/>
            <w:vAlign w:val="center"/>
          </w:tcPr>
          <w:p>
            <w:pPr>
              <w:pStyle w:val="182"/>
              <w:bidi w:val="0"/>
              <w:rPr>
                <w:color w:val="auto"/>
              </w:rPr>
            </w:pPr>
            <w:r>
              <w:rPr>
                <w:rFonts w:hint="eastAsia"/>
                <w:color w:val="auto"/>
              </w:rPr>
              <w:t>背压机组</w:t>
            </w:r>
          </w:p>
        </w:tc>
        <w:tc>
          <w:tcPr>
            <w:tcW w:w="2556" w:type="pct"/>
            <w:vAlign w:val="center"/>
          </w:tcPr>
          <w:p>
            <w:pPr>
              <w:pStyle w:val="182"/>
              <w:bidi w:val="0"/>
              <w:rPr>
                <w:color w:val="auto"/>
              </w:rPr>
            </w:pPr>
            <w:r>
              <w:rPr>
                <w:rFonts w:hint="eastAsia"/>
                <w:color w:val="auto"/>
              </w:rPr>
              <w:t>25MW</w:t>
            </w:r>
          </w:p>
        </w:tc>
        <w:tc>
          <w:tcPr>
            <w:tcW w:w="630" w:type="pct"/>
            <w:vAlign w:val="center"/>
          </w:tcPr>
          <w:p>
            <w:pPr>
              <w:pStyle w:val="182"/>
              <w:bidi w:val="0"/>
              <w:rPr>
                <w:color w:val="auto"/>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3</w:t>
            </w:r>
          </w:p>
        </w:tc>
        <w:tc>
          <w:tcPr>
            <w:tcW w:w="1499" w:type="pct"/>
            <w:gridSpan w:val="3"/>
            <w:vAlign w:val="center"/>
          </w:tcPr>
          <w:p>
            <w:pPr>
              <w:pStyle w:val="182"/>
              <w:bidi w:val="0"/>
              <w:rPr>
                <w:color w:val="auto"/>
              </w:rPr>
            </w:pPr>
            <w:r>
              <w:rPr>
                <w:rFonts w:hint="eastAsia"/>
                <w:color w:val="auto"/>
              </w:rPr>
              <w:t>氨水储罐</w:t>
            </w:r>
          </w:p>
        </w:tc>
        <w:tc>
          <w:tcPr>
            <w:tcW w:w="2556" w:type="pct"/>
            <w:vAlign w:val="center"/>
          </w:tcPr>
          <w:p>
            <w:pPr>
              <w:pStyle w:val="182"/>
              <w:bidi w:val="0"/>
              <w:rPr>
                <w:color w:val="auto"/>
              </w:rPr>
            </w:pPr>
            <w:r>
              <w:rPr>
                <w:rFonts w:hint="eastAsia"/>
                <w:color w:val="auto"/>
              </w:rPr>
              <w:t>75m</w:t>
            </w:r>
            <w:r>
              <w:rPr>
                <w:rFonts w:hint="eastAsia"/>
                <w:color w:val="auto"/>
                <w:vertAlign w:val="superscript"/>
              </w:rPr>
              <w:t>3</w:t>
            </w:r>
          </w:p>
        </w:tc>
        <w:tc>
          <w:tcPr>
            <w:tcW w:w="630" w:type="pct"/>
            <w:vAlign w:val="center"/>
          </w:tcPr>
          <w:p>
            <w:pPr>
              <w:pStyle w:val="182"/>
              <w:bidi w:val="0"/>
              <w:rPr>
                <w:color w:val="auto"/>
              </w:rPr>
            </w:pPr>
            <w:r>
              <w:rPr>
                <w:rFonts w:hint="eastAsia"/>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color w:val="auto"/>
              </w:rPr>
            </w:pPr>
            <w:r>
              <w:rPr>
                <w:rFonts w:hint="eastAsia"/>
                <w:color w:val="auto"/>
              </w:rPr>
              <w:t>年产2万吨超细旦氨纶纤维项目（年产3×2万吨超细旦氨纶纤维项目一期工程）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w:t>
            </w:r>
          </w:p>
        </w:tc>
        <w:tc>
          <w:tcPr>
            <w:tcW w:w="1499" w:type="pct"/>
            <w:gridSpan w:val="3"/>
            <w:vAlign w:val="center"/>
          </w:tcPr>
          <w:p>
            <w:pPr>
              <w:pStyle w:val="182"/>
              <w:bidi w:val="0"/>
              <w:rPr>
                <w:color w:val="auto"/>
              </w:rPr>
            </w:pPr>
            <w:r>
              <w:rPr>
                <w:rFonts w:hint="eastAsia"/>
                <w:color w:val="auto"/>
              </w:rPr>
              <w:t>液态</w:t>
            </w:r>
            <w:r>
              <w:rPr>
                <w:color w:val="auto"/>
              </w:rPr>
              <w:t>MDI</w:t>
            </w:r>
            <w:r>
              <w:rPr>
                <w:rFonts w:hint="eastAsia"/>
                <w:color w:val="auto"/>
              </w:rPr>
              <w:t>存储罐</w:t>
            </w:r>
          </w:p>
        </w:tc>
        <w:tc>
          <w:tcPr>
            <w:tcW w:w="2556" w:type="pct"/>
            <w:vAlign w:val="center"/>
          </w:tcPr>
          <w:p>
            <w:pPr>
              <w:pStyle w:val="182"/>
              <w:bidi w:val="0"/>
              <w:rPr>
                <w:color w:val="auto"/>
              </w:rPr>
            </w:pPr>
            <w:r>
              <w:rPr>
                <w:color w:val="auto"/>
              </w:rPr>
              <w:t>30m</w:t>
            </w:r>
            <w:r>
              <w:rPr>
                <w:color w:val="auto"/>
                <w:vertAlign w:val="superscript"/>
              </w:rPr>
              <w:t>3</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restart"/>
            <w:vAlign w:val="center"/>
          </w:tcPr>
          <w:p>
            <w:pPr>
              <w:pStyle w:val="182"/>
              <w:bidi w:val="0"/>
              <w:rPr>
                <w:color w:val="auto"/>
              </w:rPr>
            </w:pPr>
            <w:r>
              <w:rPr>
                <w:rFonts w:hint="eastAsia"/>
                <w:color w:val="auto"/>
              </w:rPr>
              <w:t>2</w:t>
            </w:r>
          </w:p>
        </w:tc>
        <w:tc>
          <w:tcPr>
            <w:tcW w:w="1499" w:type="pct"/>
            <w:gridSpan w:val="3"/>
            <w:vMerge w:val="restart"/>
            <w:vAlign w:val="center"/>
          </w:tcPr>
          <w:p>
            <w:pPr>
              <w:pStyle w:val="182"/>
              <w:bidi w:val="0"/>
              <w:rPr>
                <w:color w:val="auto"/>
              </w:rPr>
            </w:pPr>
            <w:r>
              <w:rPr>
                <w:rFonts w:hint="eastAsia"/>
                <w:color w:val="auto"/>
              </w:rPr>
              <w:t>液态PTMG存储罐</w:t>
            </w:r>
          </w:p>
        </w:tc>
        <w:tc>
          <w:tcPr>
            <w:tcW w:w="2556" w:type="pct"/>
            <w:vAlign w:val="center"/>
          </w:tcPr>
          <w:p>
            <w:pPr>
              <w:pStyle w:val="182"/>
              <w:bidi w:val="0"/>
              <w:rPr>
                <w:color w:val="auto"/>
              </w:rPr>
            </w:pPr>
            <w:r>
              <w:rPr>
                <w:color w:val="auto"/>
              </w:rPr>
              <w:t>500 m</w:t>
            </w:r>
            <w:r>
              <w:rPr>
                <w:color w:val="auto"/>
                <w:vertAlign w:val="superscript"/>
              </w:rPr>
              <w:t>3</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pStyle w:val="182"/>
              <w:bidi w:val="0"/>
              <w:rPr>
                <w:color w:val="auto"/>
              </w:rPr>
            </w:pPr>
          </w:p>
        </w:tc>
        <w:tc>
          <w:tcPr>
            <w:tcW w:w="1499" w:type="pct"/>
            <w:gridSpan w:val="3"/>
            <w:vMerge w:val="continue"/>
            <w:vAlign w:val="center"/>
          </w:tcPr>
          <w:p>
            <w:pPr>
              <w:pStyle w:val="182"/>
              <w:bidi w:val="0"/>
              <w:rPr>
                <w:color w:val="auto"/>
              </w:rPr>
            </w:pPr>
          </w:p>
        </w:tc>
        <w:tc>
          <w:tcPr>
            <w:tcW w:w="2556" w:type="pct"/>
            <w:vAlign w:val="center"/>
          </w:tcPr>
          <w:p>
            <w:pPr>
              <w:pStyle w:val="182"/>
              <w:bidi w:val="0"/>
              <w:rPr>
                <w:color w:val="auto"/>
              </w:rPr>
            </w:pPr>
            <w:r>
              <w:rPr>
                <w:color w:val="auto"/>
              </w:rPr>
              <w:t>200 m</w:t>
            </w:r>
            <w:r>
              <w:rPr>
                <w:color w:val="auto"/>
                <w:vertAlign w:val="superscript"/>
              </w:rPr>
              <w:t>3</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restart"/>
            <w:vAlign w:val="center"/>
          </w:tcPr>
          <w:p>
            <w:pPr>
              <w:pStyle w:val="182"/>
              <w:bidi w:val="0"/>
              <w:rPr>
                <w:color w:val="auto"/>
              </w:rPr>
            </w:pPr>
            <w:r>
              <w:rPr>
                <w:rFonts w:hint="eastAsia"/>
                <w:color w:val="auto"/>
              </w:rPr>
              <w:t>3</w:t>
            </w:r>
          </w:p>
        </w:tc>
        <w:tc>
          <w:tcPr>
            <w:tcW w:w="1499" w:type="pct"/>
            <w:gridSpan w:val="3"/>
            <w:vMerge w:val="restart"/>
            <w:vAlign w:val="center"/>
          </w:tcPr>
          <w:p>
            <w:pPr>
              <w:pStyle w:val="182"/>
              <w:bidi w:val="0"/>
              <w:rPr>
                <w:color w:val="auto"/>
              </w:rPr>
            </w:pPr>
            <w:r>
              <w:rPr>
                <w:color w:val="auto"/>
              </w:rPr>
              <w:t>DMAC</w:t>
            </w:r>
            <w:r>
              <w:rPr>
                <w:rFonts w:hint="eastAsia"/>
                <w:color w:val="auto"/>
              </w:rPr>
              <w:t>存储罐</w:t>
            </w:r>
          </w:p>
        </w:tc>
        <w:tc>
          <w:tcPr>
            <w:tcW w:w="2556" w:type="pct"/>
            <w:vAlign w:val="center"/>
          </w:tcPr>
          <w:p>
            <w:pPr>
              <w:pStyle w:val="182"/>
              <w:bidi w:val="0"/>
              <w:rPr>
                <w:color w:val="auto"/>
              </w:rPr>
            </w:pPr>
            <w:r>
              <w:rPr>
                <w:color w:val="auto"/>
              </w:rPr>
              <w:t>1100 m</w:t>
            </w:r>
            <w:r>
              <w:rPr>
                <w:color w:val="auto"/>
                <w:vertAlign w:val="superscript"/>
              </w:rPr>
              <w:t>3</w:t>
            </w:r>
          </w:p>
        </w:tc>
        <w:tc>
          <w:tcPr>
            <w:tcW w:w="630" w:type="pct"/>
            <w:vAlign w:val="center"/>
          </w:tcPr>
          <w:p>
            <w:pPr>
              <w:pStyle w:val="182"/>
              <w:bidi w:val="0"/>
              <w:rPr>
                <w:color w:val="auto"/>
              </w:rPr>
            </w:pPr>
            <w:r>
              <w:rPr>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pStyle w:val="182"/>
              <w:bidi w:val="0"/>
              <w:rPr>
                <w:color w:val="auto"/>
              </w:rPr>
            </w:pPr>
          </w:p>
        </w:tc>
        <w:tc>
          <w:tcPr>
            <w:tcW w:w="1499" w:type="pct"/>
            <w:gridSpan w:val="3"/>
            <w:vMerge w:val="continue"/>
            <w:vAlign w:val="center"/>
          </w:tcPr>
          <w:p>
            <w:pPr>
              <w:pStyle w:val="182"/>
              <w:bidi w:val="0"/>
              <w:rPr>
                <w:color w:val="auto"/>
              </w:rPr>
            </w:pPr>
          </w:p>
        </w:tc>
        <w:tc>
          <w:tcPr>
            <w:tcW w:w="2556" w:type="pct"/>
            <w:vAlign w:val="center"/>
          </w:tcPr>
          <w:p>
            <w:pPr>
              <w:pStyle w:val="182"/>
              <w:bidi w:val="0"/>
              <w:rPr>
                <w:color w:val="auto"/>
                <w:vertAlign w:val="superscript"/>
              </w:rPr>
            </w:pPr>
            <w:r>
              <w:rPr>
                <w:color w:val="auto"/>
              </w:rPr>
              <w:t>500m</w:t>
            </w:r>
            <w:r>
              <w:rPr>
                <w:color w:val="auto"/>
                <w:vertAlign w:val="superscript"/>
              </w:rPr>
              <w:t>3</w:t>
            </w:r>
          </w:p>
        </w:tc>
        <w:tc>
          <w:tcPr>
            <w:tcW w:w="630" w:type="pct"/>
            <w:vAlign w:val="center"/>
          </w:tcPr>
          <w:p>
            <w:pPr>
              <w:pStyle w:val="182"/>
              <w:bidi w:val="0"/>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4</w:t>
            </w:r>
          </w:p>
        </w:tc>
        <w:tc>
          <w:tcPr>
            <w:tcW w:w="1499" w:type="pct"/>
            <w:gridSpan w:val="3"/>
            <w:vAlign w:val="center"/>
          </w:tcPr>
          <w:p>
            <w:pPr>
              <w:pStyle w:val="182"/>
              <w:bidi w:val="0"/>
              <w:rPr>
                <w:color w:val="auto"/>
              </w:rPr>
            </w:pPr>
            <w:r>
              <w:rPr>
                <w:rFonts w:hint="eastAsia"/>
                <w:color w:val="auto"/>
              </w:rPr>
              <w:t>预聚合反应器</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5</w:t>
            </w:r>
          </w:p>
        </w:tc>
        <w:tc>
          <w:tcPr>
            <w:tcW w:w="1499" w:type="pct"/>
            <w:gridSpan w:val="3"/>
            <w:vAlign w:val="center"/>
          </w:tcPr>
          <w:p>
            <w:pPr>
              <w:pStyle w:val="182"/>
              <w:bidi w:val="0"/>
              <w:rPr>
                <w:color w:val="auto"/>
              </w:rPr>
            </w:pPr>
            <w:r>
              <w:rPr>
                <w:rFonts w:hint="eastAsia"/>
                <w:color w:val="auto"/>
              </w:rPr>
              <w:t>混合胺供给罐</w:t>
            </w:r>
          </w:p>
        </w:tc>
        <w:tc>
          <w:tcPr>
            <w:tcW w:w="2556" w:type="pct"/>
            <w:vAlign w:val="center"/>
          </w:tcPr>
          <w:p>
            <w:pPr>
              <w:pStyle w:val="182"/>
              <w:bidi w:val="0"/>
              <w:rPr>
                <w:color w:val="auto"/>
              </w:rPr>
            </w:pPr>
            <w:r>
              <w:rPr>
                <w:color w:val="auto"/>
              </w:rPr>
              <w:t>3m</w:t>
            </w:r>
            <w:r>
              <w:rPr>
                <w:color w:val="auto"/>
                <w:vertAlign w:val="superscript"/>
              </w:rPr>
              <w:t>3</w:t>
            </w:r>
          </w:p>
        </w:tc>
        <w:tc>
          <w:tcPr>
            <w:tcW w:w="630" w:type="pct"/>
            <w:vAlign w:val="center"/>
          </w:tcPr>
          <w:p>
            <w:pPr>
              <w:pStyle w:val="182"/>
              <w:bidi w:val="0"/>
              <w:rPr>
                <w:color w:val="auto"/>
              </w:rPr>
            </w:pPr>
            <w:r>
              <w:rPr>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6</w:t>
            </w:r>
          </w:p>
        </w:tc>
        <w:tc>
          <w:tcPr>
            <w:tcW w:w="1499" w:type="pct"/>
            <w:gridSpan w:val="3"/>
            <w:vAlign w:val="center"/>
          </w:tcPr>
          <w:p>
            <w:pPr>
              <w:pStyle w:val="182"/>
              <w:bidi w:val="0"/>
              <w:rPr>
                <w:color w:val="auto"/>
              </w:rPr>
            </w:pPr>
            <w:r>
              <w:rPr>
                <w:rFonts w:hint="eastAsia"/>
                <w:color w:val="auto"/>
              </w:rPr>
              <w:t>聚合反应器</w:t>
            </w:r>
          </w:p>
        </w:tc>
        <w:tc>
          <w:tcPr>
            <w:tcW w:w="2556" w:type="pct"/>
            <w:vAlign w:val="center"/>
          </w:tcPr>
          <w:p>
            <w:pPr>
              <w:pStyle w:val="182"/>
              <w:bidi w:val="0"/>
              <w:rPr>
                <w:color w:val="auto"/>
              </w:rPr>
            </w:pPr>
            <w:r>
              <w:rPr>
                <w:rFonts w:hint="eastAsia"/>
                <w:color w:val="auto"/>
              </w:rPr>
              <w:t>与原液罐配套</w:t>
            </w:r>
          </w:p>
        </w:tc>
        <w:tc>
          <w:tcPr>
            <w:tcW w:w="630" w:type="pct"/>
            <w:vAlign w:val="center"/>
          </w:tcPr>
          <w:p>
            <w:pPr>
              <w:pStyle w:val="182"/>
              <w:bidi w:val="0"/>
              <w:rPr>
                <w:color w:val="auto"/>
              </w:rPr>
            </w:pPr>
            <w:r>
              <w:rPr>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7</w:t>
            </w:r>
          </w:p>
        </w:tc>
        <w:tc>
          <w:tcPr>
            <w:tcW w:w="1499" w:type="pct"/>
            <w:gridSpan w:val="3"/>
            <w:vAlign w:val="center"/>
          </w:tcPr>
          <w:p>
            <w:pPr>
              <w:pStyle w:val="182"/>
              <w:bidi w:val="0"/>
              <w:rPr>
                <w:color w:val="auto"/>
              </w:rPr>
            </w:pPr>
            <w:r>
              <w:rPr>
                <w:rFonts w:hint="eastAsia"/>
                <w:color w:val="auto"/>
              </w:rPr>
              <w:t>添加剂调配罐</w:t>
            </w:r>
          </w:p>
        </w:tc>
        <w:tc>
          <w:tcPr>
            <w:tcW w:w="2556" w:type="pct"/>
            <w:vAlign w:val="center"/>
          </w:tcPr>
          <w:p>
            <w:pPr>
              <w:pStyle w:val="182"/>
              <w:bidi w:val="0"/>
              <w:rPr>
                <w:color w:val="auto"/>
              </w:rPr>
            </w:pPr>
            <w:r>
              <w:rPr>
                <w:color w:val="auto"/>
              </w:rPr>
              <w:t>3m</w:t>
            </w:r>
            <w:r>
              <w:rPr>
                <w:color w:val="auto"/>
                <w:vertAlign w:val="superscript"/>
              </w:rPr>
              <w:t>3</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8</w:t>
            </w:r>
          </w:p>
        </w:tc>
        <w:tc>
          <w:tcPr>
            <w:tcW w:w="1499" w:type="pct"/>
            <w:gridSpan w:val="3"/>
            <w:vAlign w:val="center"/>
          </w:tcPr>
          <w:p>
            <w:pPr>
              <w:pStyle w:val="182"/>
              <w:bidi w:val="0"/>
              <w:rPr>
                <w:color w:val="auto"/>
              </w:rPr>
            </w:pPr>
            <w:r>
              <w:rPr>
                <w:rFonts w:hint="eastAsia"/>
                <w:color w:val="auto"/>
              </w:rPr>
              <w:t>聚合物混合器</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9</w:t>
            </w:r>
          </w:p>
        </w:tc>
        <w:tc>
          <w:tcPr>
            <w:tcW w:w="1499" w:type="pct"/>
            <w:gridSpan w:val="3"/>
            <w:vAlign w:val="center"/>
          </w:tcPr>
          <w:p>
            <w:pPr>
              <w:pStyle w:val="182"/>
              <w:bidi w:val="0"/>
              <w:rPr>
                <w:color w:val="auto"/>
              </w:rPr>
            </w:pPr>
            <w:r>
              <w:rPr>
                <w:rFonts w:hint="eastAsia"/>
                <w:color w:val="auto"/>
              </w:rPr>
              <w:t>原液储罐</w:t>
            </w:r>
          </w:p>
        </w:tc>
        <w:tc>
          <w:tcPr>
            <w:tcW w:w="2556" w:type="pct"/>
            <w:vAlign w:val="center"/>
          </w:tcPr>
          <w:p>
            <w:pPr>
              <w:pStyle w:val="182"/>
              <w:bidi w:val="0"/>
              <w:rPr>
                <w:color w:val="auto"/>
              </w:rPr>
            </w:pPr>
            <w:r>
              <w:rPr>
                <w:color w:val="auto"/>
              </w:rPr>
              <w:t>ST26.0</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10</w:t>
            </w:r>
          </w:p>
        </w:tc>
        <w:tc>
          <w:tcPr>
            <w:tcW w:w="1499" w:type="pct"/>
            <w:gridSpan w:val="3"/>
            <w:vAlign w:val="center"/>
          </w:tcPr>
          <w:p>
            <w:pPr>
              <w:pStyle w:val="182"/>
              <w:bidi w:val="0"/>
              <w:rPr>
                <w:color w:val="auto"/>
              </w:rPr>
            </w:pPr>
            <w:r>
              <w:rPr>
                <w:rFonts w:hint="eastAsia"/>
                <w:color w:val="auto"/>
              </w:rPr>
              <w:t>纺丝甬道</w:t>
            </w:r>
          </w:p>
        </w:tc>
        <w:tc>
          <w:tcPr>
            <w:tcW w:w="2556" w:type="pct"/>
            <w:vAlign w:val="center"/>
          </w:tcPr>
          <w:p>
            <w:pPr>
              <w:pStyle w:val="182"/>
              <w:bidi w:val="0"/>
              <w:rPr>
                <w:color w:val="auto"/>
              </w:rPr>
            </w:pPr>
            <w:r>
              <w:rPr>
                <w:color w:val="auto"/>
              </w:rPr>
              <w:t>64E</w:t>
            </w:r>
            <w:r>
              <w:rPr>
                <w:rFonts w:hint="eastAsia"/>
                <w:color w:val="auto"/>
              </w:rPr>
              <w:t>专用</w:t>
            </w:r>
          </w:p>
        </w:tc>
        <w:tc>
          <w:tcPr>
            <w:tcW w:w="630" w:type="pct"/>
            <w:vAlign w:val="center"/>
          </w:tcPr>
          <w:p>
            <w:pPr>
              <w:pStyle w:val="182"/>
              <w:bidi w:val="0"/>
              <w:rPr>
                <w:color w:val="auto"/>
              </w:rPr>
            </w:pPr>
            <w:r>
              <w:rPr>
                <w:color w:val="auto"/>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11</w:t>
            </w:r>
          </w:p>
        </w:tc>
        <w:tc>
          <w:tcPr>
            <w:tcW w:w="1499" w:type="pct"/>
            <w:gridSpan w:val="3"/>
            <w:vAlign w:val="center"/>
          </w:tcPr>
          <w:p>
            <w:pPr>
              <w:pStyle w:val="182"/>
              <w:bidi w:val="0"/>
              <w:rPr>
                <w:color w:val="auto"/>
              </w:rPr>
            </w:pPr>
            <w:r>
              <w:rPr>
                <w:rFonts w:hint="eastAsia"/>
                <w:color w:val="auto"/>
              </w:rPr>
              <w:t>纺丝组件</w:t>
            </w:r>
          </w:p>
        </w:tc>
        <w:tc>
          <w:tcPr>
            <w:tcW w:w="2556" w:type="pct"/>
            <w:vAlign w:val="center"/>
          </w:tcPr>
          <w:p>
            <w:pPr>
              <w:pStyle w:val="182"/>
              <w:bidi w:val="0"/>
              <w:rPr>
                <w:color w:val="auto"/>
              </w:rPr>
            </w:pPr>
            <w:r>
              <w:rPr>
                <w:rFonts w:hint="eastAsia"/>
                <w:color w:val="auto"/>
              </w:rPr>
              <w:t>喷丝板、过滤网等</w:t>
            </w:r>
          </w:p>
          <w:p>
            <w:pPr>
              <w:pStyle w:val="182"/>
              <w:bidi w:val="0"/>
              <w:rPr>
                <w:color w:val="auto"/>
              </w:rPr>
            </w:pPr>
            <w:r>
              <w:rPr>
                <w:rFonts w:hint="eastAsia"/>
                <w:color w:val="auto"/>
              </w:rPr>
              <w:t>（</w:t>
            </w:r>
            <w:r>
              <w:rPr>
                <w:color w:val="auto"/>
              </w:rPr>
              <w:t>14</w:t>
            </w:r>
            <w:r>
              <w:rPr>
                <w:rFonts w:hint="eastAsia"/>
                <w:color w:val="auto"/>
              </w:rPr>
              <w:t>条生产线，每条线</w:t>
            </w:r>
            <w:r>
              <w:rPr>
                <w:color w:val="auto"/>
              </w:rPr>
              <w:t>18</w:t>
            </w:r>
            <w:r>
              <w:rPr>
                <w:rFonts w:hint="eastAsia"/>
                <w:color w:val="auto"/>
              </w:rPr>
              <w:t>个）</w:t>
            </w:r>
          </w:p>
        </w:tc>
        <w:tc>
          <w:tcPr>
            <w:tcW w:w="630" w:type="pct"/>
            <w:vAlign w:val="center"/>
          </w:tcPr>
          <w:p>
            <w:pPr>
              <w:pStyle w:val="182"/>
              <w:bidi w:val="0"/>
              <w:rPr>
                <w:color w:val="auto"/>
              </w:rPr>
            </w:pPr>
            <w:r>
              <w:rPr>
                <w:color w:val="auto"/>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12</w:t>
            </w:r>
          </w:p>
        </w:tc>
        <w:tc>
          <w:tcPr>
            <w:tcW w:w="1499" w:type="pct"/>
            <w:gridSpan w:val="3"/>
            <w:vAlign w:val="center"/>
          </w:tcPr>
          <w:p>
            <w:pPr>
              <w:pStyle w:val="182"/>
              <w:bidi w:val="0"/>
              <w:rPr>
                <w:color w:val="auto"/>
              </w:rPr>
            </w:pPr>
            <w:r>
              <w:rPr>
                <w:rFonts w:hint="eastAsia"/>
                <w:color w:val="auto"/>
              </w:rPr>
              <w:t>导丝机构</w:t>
            </w:r>
          </w:p>
        </w:tc>
        <w:tc>
          <w:tcPr>
            <w:tcW w:w="2556" w:type="pct"/>
            <w:vAlign w:val="center"/>
          </w:tcPr>
          <w:p>
            <w:pPr>
              <w:pStyle w:val="182"/>
              <w:bidi w:val="0"/>
              <w:rPr>
                <w:color w:val="auto"/>
              </w:rPr>
            </w:pPr>
            <w:r>
              <w:rPr>
                <w:color w:val="auto"/>
              </w:rPr>
              <w:t>GR-1</w:t>
            </w:r>
            <w:r>
              <w:rPr>
                <w:rFonts w:hint="eastAsia"/>
                <w:color w:val="auto"/>
              </w:rPr>
              <w:t>，</w:t>
            </w:r>
            <w:r>
              <w:rPr>
                <w:color w:val="auto"/>
              </w:rPr>
              <w:t>GR-2</w:t>
            </w:r>
            <w:r>
              <w:rPr>
                <w:rFonts w:hint="eastAsia"/>
                <w:color w:val="auto"/>
              </w:rPr>
              <w:t>，</w:t>
            </w:r>
            <w:r>
              <w:rPr>
                <w:color w:val="auto"/>
              </w:rPr>
              <w:t>GR-3</w:t>
            </w:r>
          </w:p>
        </w:tc>
        <w:tc>
          <w:tcPr>
            <w:tcW w:w="630" w:type="pct"/>
            <w:vAlign w:val="center"/>
          </w:tcPr>
          <w:p>
            <w:pPr>
              <w:pStyle w:val="182"/>
              <w:bidi w:val="0"/>
              <w:rPr>
                <w:color w:val="auto"/>
              </w:rPr>
            </w:pPr>
            <w:r>
              <w:rPr>
                <w:color w:val="auto"/>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13</w:t>
            </w:r>
          </w:p>
        </w:tc>
        <w:tc>
          <w:tcPr>
            <w:tcW w:w="1499" w:type="pct"/>
            <w:gridSpan w:val="3"/>
            <w:vAlign w:val="center"/>
          </w:tcPr>
          <w:p>
            <w:pPr>
              <w:pStyle w:val="182"/>
              <w:bidi w:val="0"/>
              <w:rPr>
                <w:color w:val="auto"/>
              </w:rPr>
            </w:pPr>
            <w:r>
              <w:rPr>
                <w:rFonts w:hint="eastAsia"/>
                <w:color w:val="auto"/>
              </w:rPr>
              <w:t>卷绕头</w:t>
            </w:r>
          </w:p>
        </w:tc>
        <w:tc>
          <w:tcPr>
            <w:tcW w:w="2556" w:type="pct"/>
            <w:vAlign w:val="center"/>
          </w:tcPr>
          <w:p>
            <w:pPr>
              <w:pStyle w:val="182"/>
              <w:bidi w:val="0"/>
              <w:rPr>
                <w:color w:val="auto"/>
              </w:rPr>
            </w:pPr>
            <w:r>
              <w:rPr>
                <w:color w:val="auto"/>
              </w:rPr>
              <w:t>WAW-101</w:t>
            </w:r>
          </w:p>
        </w:tc>
        <w:tc>
          <w:tcPr>
            <w:tcW w:w="630" w:type="pct"/>
            <w:vAlign w:val="center"/>
          </w:tcPr>
          <w:p>
            <w:pPr>
              <w:pStyle w:val="182"/>
              <w:bidi w:val="0"/>
              <w:rPr>
                <w:color w:val="auto"/>
              </w:rPr>
            </w:pPr>
            <w:r>
              <w:rPr>
                <w:color w:val="auto"/>
              </w:rPr>
              <w:t>756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14</w:t>
            </w:r>
          </w:p>
        </w:tc>
        <w:tc>
          <w:tcPr>
            <w:tcW w:w="1499" w:type="pct"/>
            <w:gridSpan w:val="3"/>
            <w:vAlign w:val="center"/>
          </w:tcPr>
          <w:p>
            <w:pPr>
              <w:pStyle w:val="182"/>
              <w:bidi w:val="0"/>
              <w:rPr>
                <w:color w:val="auto"/>
              </w:rPr>
            </w:pPr>
            <w:r>
              <w:rPr>
                <w:color w:val="auto"/>
              </w:rPr>
              <w:t>SM</w:t>
            </w:r>
            <w:r>
              <w:rPr>
                <w:rFonts w:hint="eastAsia"/>
                <w:color w:val="auto"/>
              </w:rPr>
              <w:t>系统</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15</w:t>
            </w:r>
          </w:p>
        </w:tc>
        <w:tc>
          <w:tcPr>
            <w:tcW w:w="1499" w:type="pct"/>
            <w:gridSpan w:val="3"/>
            <w:vAlign w:val="center"/>
          </w:tcPr>
          <w:p>
            <w:pPr>
              <w:pStyle w:val="182"/>
              <w:bidi w:val="0"/>
              <w:rPr>
                <w:color w:val="auto"/>
              </w:rPr>
            </w:pPr>
            <w:r>
              <w:rPr>
                <w:rFonts w:hint="eastAsia"/>
                <w:color w:val="auto"/>
              </w:rPr>
              <w:t>分级设备</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16</w:t>
            </w:r>
          </w:p>
        </w:tc>
        <w:tc>
          <w:tcPr>
            <w:tcW w:w="1499" w:type="pct"/>
            <w:gridSpan w:val="3"/>
            <w:vAlign w:val="center"/>
          </w:tcPr>
          <w:p>
            <w:pPr>
              <w:pStyle w:val="182"/>
              <w:bidi w:val="0"/>
              <w:rPr>
                <w:color w:val="auto"/>
              </w:rPr>
            </w:pPr>
            <w:r>
              <w:rPr>
                <w:rFonts w:hint="eastAsia"/>
                <w:color w:val="auto"/>
              </w:rPr>
              <w:t>溶剂精制系统</w:t>
            </w:r>
          </w:p>
        </w:tc>
        <w:tc>
          <w:tcPr>
            <w:tcW w:w="2556" w:type="pct"/>
            <w:vAlign w:val="center"/>
          </w:tcPr>
          <w:p>
            <w:pPr>
              <w:pStyle w:val="182"/>
              <w:bidi w:val="0"/>
              <w:rPr>
                <w:color w:val="auto"/>
              </w:rPr>
            </w:pPr>
            <w:r>
              <w:rPr>
                <w:rFonts w:hint="eastAsia"/>
                <w:color w:val="auto"/>
              </w:rPr>
              <w:t>含</w:t>
            </w:r>
            <w:r>
              <w:rPr>
                <w:color w:val="auto"/>
              </w:rPr>
              <w:t>3</w:t>
            </w:r>
            <w:r>
              <w:rPr>
                <w:rFonts w:hint="eastAsia"/>
                <w:color w:val="auto"/>
              </w:rPr>
              <w:t>个精馏塔和</w:t>
            </w:r>
            <w:r>
              <w:rPr>
                <w:color w:val="auto"/>
              </w:rPr>
              <w:t>1</w:t>
            </w:r>
            <w:r>
              <w:rPr>
                <w:rFonts w:hint="eastAsia"/>
                <w:color w:val="auto"/>
              </w:rPr>
              <w:t>个</w:t>
            </w:r>
            <w:r>
              <w:rPr>
                <w:color w:val="auto"/>
              </w:rPr>
              <w:t>DMAC</w:t>
            </w:r>
            <w:r>
              <w:rPr>
                <w:rFonts w:hint="eastAsia"/>
                <w:color w:val="auto"/>
              </w:rPr>
              <w:t>回收装置</w:t>
            </w:r>
          </w:p>
        </w:tc>
        <w:tc>
          <w:tcPr>
            <w:tcW w:w="630" w:type="pct"/>
            <w:vAlign w:val="center"/>
          </w:tcPr>
          <w:p>
            <w:pPr>
              <w:pStyle w:val="182"/>
              <w:bidi w:val="0"/>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17</w:t>
            </w:r>
          </w:p>
        </w:tc>
        <w:tc>
          <w:tcPr>
            <w:tcW w:w="1499" w:type="pct"/>
            <w:gridSpan w:val="3"/>
            <w:vAlign w:val="center"/>
          </w:tcPr>
          <w:p>
            <w:pPr>
              <w:pStyle w:val="182"/>
              <w:bidi w:val="0"/>
              <w:rPr>
                <w:color w:val="auto"/>
              </w:rPr>
            </w:pPr>
            <w:r>
              <w:rPr>
                <w:rFonts w:hint="eastAsia"/>
                <w:color w:val="auto"/>
              </w:rPr>
              <w:t>超声波清洗机</w:t>
            </w:r>
          </w:p>
        </w:tc>
        <w:tc>
          <w:tcPr>
            <w:tcW w:w="2556" w:type="pct"/>
            <w:vAlign w:val="center"/>
          </w:tcPr>
          <w:p>
            <w:pPr>
              <w:pStyle w:val="182"/>
              <w:bidi w:val="0"/>
              <w:rPr>
                <w:color w:val="auto"/>
              </w:rPr>
            </w:pPr>
            <w:r>
              <w:rPr>
                <w:color w:val="auto"/>
              </w:rPr>
              <w:t>UCS-3015D-AC</w:t>
            </w:r>
          </w:p>
        </w:tc>
        <w:tc>
          <w:tcPr>
            <w:tcW w:w="630" w:type="pct"/>
            <w:vAlign w:val="center"/>
          </w:tcPr>
          <w:p>
            <w:pPr>
              <w:pStyle w:val="182"/>
              <w:bidi w:val="0"/>
              <w:rPr>
                <w:color w:val="auto"/>
              </w:rPr>
            </w:pP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18</w:t>
            </w:r>
          </w:p>
        </w:tc>
        <w:tc>
          <w:tcPr>
            <w:tcW w:w="1499" w:type="pct"/>
            <w:gridSpan w:val="3"/>
            <w:vAlign w:val="center"/>
          </w:tcPr>
          <w:p>
            <w:pPr>
              <w:pStyle w:val="182"/>
              <w:bidi w:val="0"/>
              <w:rPr>
                <w:color w:val="auto"/>
              </w:rPr>
            </w:pPr>
            <w:r>
              <w:rPr>
                <w:color w:val="auto"/>
              </w:rPr>
              <w:t>DCS</w:t>
            </w:r>
            <w:r>
              <w:rPr>
                <w:rFonts w:hint="eastAsia"/>
                <w:color w:val="auto"/>
              </w:rPr>
              <w:t>控制系统</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color w:val="auto"/>
              </w:rPr>
            </w:pPr>
            <w:r>
              <w:rPr>
                <w:rFonts w:hint="eastAsia"/>
                <w:color w:val="auto"/>
              </w:rPr>
              <w:t>年产一万吨新型纤维素长丝项目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w:t>
            </w:r>
          </w:p>
        </w:tc>
        <w:tc>
          <w:tcPr>
            <w:tcW w:w="1499" w:type="pct"/>
            <w:gridSpan w:val="3"/>
            <w:vAlign w:val="center"/>
          </w:tcPr>
          <w:p>
            <w:pPr>
              <w:pStyle w:val="182"/>
              <w:bidi w:val="0"/>
              <w:rPr>
                <w:color w:val="auto"/>
              </w:rPr>
            </w:pPr>
            <w:r>
              <w:rPr>
                <w:rFonts w:hint="eastAsia"/>
                <w:color w:val="auto"/>
              </w:rPr>
              <w:t>原液车间</w:t>
            </w:r>
          </w:p>
        </w:tc>
        <w:tc>
          <w:tcPr>
            <w:tcW w:w="3187" w:type="pct"/>
            <w:gridSpan w:val="2"/>
            <w:vAlign w:val="center"/>
          </w:tcPr>
          <w:p>
            <w:pPr>
              <w:pStyle w:val="182"/>
              <w:bidi w:val="0"/>
              <w:rPr>
                <w:color w:val="auto"/>
              </w:rPr>
            </w:pPr>
            <w:r>
              <w:rPr>
                <w:rFonts w:hint="eastAsia"/>
                <w:color w:val="auto"/>
              </w:rPr>
              <w:t>该项目原液生产利用现有年产</w:t>
            </w:r>
            <w:r>
              <w:rPr>
                <w:color w:val="auto"/>
              </w:rPr>
              <w:t>5000</w:t>
            </w:r>
            <w:r>
              <w:rPr>
                <w:rFonts w:hint="eastAsia"/>
                <w:color w:val="auto"/>
              </w:rPr>
              <w:t>吨差别化新型连续纺粘胶长丝工程原液车间进行，因此此处不再表述，详见年产</w:t>
            </w:r>
            <w:r>
              <w:rPr>
                <w:color w:val="auto"/>
              </w:rPr>
              <w:t>5000</w:t>
            </w:r>
            <w:r>
              <w:rPr>
                <w:rFonts w:hint="eastAsia"/>
                <w:color w:val="auto"/>
              </w:rPr>
              <w:t>吨差别化新型连续纺粘胶长丝工程原液车间生产设备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2</w:t>
            </w:r>
          </w:p>
        </w:tc>
        <w:tc>
          <w:tcPr>
            <w:tcW w:w="434" w:type="pct"/>
            <w:vMerge w:val="restart"/>
            <w:vAlign w:val="center"/>
          </w:tcPr>
          <w:p>
            <w:pPr>
              <w:pStyle w:val="182"/>
              <w:bidi w:val="0"/>
              <w:rPr>
                <w:color w:val="auto"/>
              </w:rPr>
            </w:pPr>
            <w:r>
              <w:rPr>
                <w:rFonts w:hint="eastAsia"/>
                <w:color w:val="auto"/>
              </w:rPr>
              <w:t>纺丝车间</w:t>
            </w:r>
          </w:p>
        </w:tc>
        <w:tc>
          <w:tcPr>
            <w:tcW w:w="1065" w:type="pct"/>
            <w:gridSpan w:val="2"/>
            <w:vAlign w:val="center"/>
          </w:tcPr>
          <w:p>
            <w:pPr>
              <w:pStyle w:val="182"/>
              <w:bidi w:val="0"/>
              <w:rPr>
                <w:color w:val="auto"/>
              </w:rPr>
            </w:pPr>
            <w:r>
              <w:rPr>
                <w:rFonts w:hint="eastAsia"/>
                <w:color w:val="auto"/>
              </w:rPr>
              <w:t>中间胶罐</w:t>
            </w:r>
          </w:p>
        </w:tc>
        <w:tc>
          <w:tcPr>
            <w:tcW w:w="2556" w:type="pct"/>
            <w:vAlign w:val="center"/>
          </w:tcPr>
          <w:p>
            <w:pPr>
              <w:pStyle w:val="182"/>
              <w:bidi w:val="0"/>
              <w:rPr>
                <w:color w:val="auto"/>
              </w:rPr>
            </w:pPr>
            <w:r>
              <w:rPr>
                <w:color w:val="auto"/>
              </w:rPr>
              <w:t>10</w:t>
            </w:r>
            <w:r>
              <w:rPr>
                <w:rFonts w:hint="eastAsia"/>
                <w:color w:val="auto"/>
              </w:rPr>
              <w:t>m</w:t>
            </w:r>
            <w:r>
              <w:rPr>
                <w:rFonts w:hint="eastAsia"/>
                <w:color w:val="auto"/>
                <w:vertAlign w:val="superscript"/>
              </w:rPr>
              <w:t>3</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3</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连续纺丝机</w:t>
            </w:r>
          </w:p>
        </w:tc>
        <w:tc>
          <w:tcPr>
            <w:tcW w:w="2556" w:type="pct"/>
            <w:vAlign w:val="center"/>
          </w:tcPr>
          <w:p>
            <w:pPr>
              <w:pStyle w:val="182"/>
              <w:bidi w:val="0"/>
              <w:rPr>
                <w:color w:val="auto"/>
              </w:rPr>
            </w:pPr>
            <w:r>
              <w:rPr>
                <w:color w:val="auto"/>
              </w:rPr>
              <w:t>LF-3000</w:t>
            </w:r>
          </w:p>
        </w:tc>
        <w:tc>
          <w:tcPr>
            <w:tcW w:w="630" w:type="pct"/>
            <w:vAlign w:val="center"/>
          </w:tcPr>
          <w:p>
            <w:pPr>
              <w:pStyle w:val="182"/>
              <w:bidi w:val="0"/>
              <w:rPr>
                <w:color w:val="auto"/>
              </w:rPr>
            </w:pPr>
            <w:r>
              <w:rPr>
                <w:color w:val="auto"/>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4</w:t>
            </w:r>
          </w:p>
        </w:tc>
        <w:tc>
          <w:tcPr>
            <w:tcW w:w="434" w:type="pct"/>
            <w:vMerge w:val="restart"/>
            <w:vAlign w:val="center"/>
          </w:tcPr>
          <w:p>
            <w:pPr>
              <w:pStyle w:val="182"/>
              <w:bidi w:val="0"/>
              <w:rPr>
                <w:color w:val="auto"/>
              </w:rPr>
            </w:pPr>
            <w:r>
              <w:rPr>
                <w:rFonts w:hint="eastAsia"/>
                <w:color w:val="auto"/>
              </w:rPr>
              <w:t>酸站</w:t>
            </w:r>
          </w:p>
        </w:tc>
        <w:tc>
          <w:tcPr>
            <w:tcW w:w="1065" w:type="pct"/>
            <w:gridSpan w:val="2"/>
            <w:vAlign w:val="center"/>
          </w:tcPr>
          <w:p>
            <w:pPr>
              <w:pStyle w:val="182"/>
              <w:bidi w:val="0"/>
              <w:rPr>
                <w:color w:val="auto"/>
              </w:rPr>
            </w:pPr>
            <w:r>
              <w:rPr>
                <w:rFonts w:hint="eastAsia"/>
                <w:color w:val="auto"/>
              </w:rPr>
              <w:t>酸浴接收槽</w:t>
            </w:r>
          </w:p>
        </w:tc>
        <w:tc>
          <w:tcPr>
            <w:tcW w:w="2556" w:type="pct"/>
            <w:vAlign w:val="center"/>
          </w:tcPr>
          <w:p>
            <w:pPr>
              <w:pStyle w:val="182"/>
              <w:bidi w:val="0"/>
              <w:rPr>
                <w:color w:val="auto"/>
              </w:rPr>
            </w:pPr>
            <w:r>
              <w:rPr>
                <w:color w:val="auto"/>
              </w:rPr>
              <w:t>V=30m3</w:t>
            </w:r>
            <w:r>
              <w:rPr>
                <w:rFonts w:hint="eastAsia"/>
                <w:color w:val="auto"/>
              </w:rPr>
              <w:t>，</w:t>
            </w:r>
            <w:r>
              <w:rPr>
                <w:color w:val="auto"/>
              </w:rPr>
              <w:t>∅4000×3000</w:t>
            </w:r>
          </w:p>
        </w:tc>
        <w:tc>
          <w:tcPr>
            <w:tcW w:w="630" w:type="pct"/>
            <w:vAlign w:val="center"/>
          </w:tcPr>
          <w:p>
            <w:pPr>
              <w:pStyle w:val="182"/>
              <w:bidi w:val="0"/>
              <w:rPr>
                <w:color w:val="auto"/>
              </w:rPr>
            </w:pP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5</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过滤脱气循环泵</w:t>
            </w:r>
          </w:p>
        </w:tc>
        <w:tc>
          <w:tcPr>
            <w:tcW w:w="2556" w:type="pct"/>
            <w:vAlign w:val="center"/>
          </w:tcPr>
          <w:p>
            <w:pPr>
              <w:pStyle w:val="182"/>
              <w:bidi w:val="0"/>
              <w:rPr>
                <w:color w:val="auto"/>
              </w:rPr>
            </w:pPr>
            <w:r>
              <w:rPr>
                <w:color w:val="auto"/>
              </w:rPr>
              <w:t>Q=400 m3/h</w:t>
            </w:r>
            <w:r>
              <w:rPr>
                <w:rFonts w:hint="eastAsia"/>
                <w:color w:val="auto"/>
              </w:rPr>
              <w:t>，</w:t>
            </w:r>
            <w:r>
              <w:rPr>
                <w:color w:val="auto"/>
              </w:rPr>
              <w:t>H=32m</w:t>
            </w:r>
            <w:r>
              <w:rPr>
                <w:rFonts w:hint="eastAsia"/>
                <w:color w:val="auto"/>
              </w:rPr>
              <w:t>，</w:t>
            </w:r>
            <w:r>
              <w:rPr>
                <w:color w:val="auto"/>
              </w:rPr>
              <w:t>90kw</w:t>
            </w:r>
          </w:p>
        </w:tc>
        <w:tc>
          <w:tcPr>
            <w:tcW w:w="630" w:type="pct"/>
            <w:vAlign w:val="center"/>
          </w:tcPr>
          <w:p>
            <w:pPr>
              <w:pStyle w:val="182"/>
              <w:bidi w:val="0"/>
              <w:rPr>
                <w:color w:val="auto"/>
              </w:rPr>
            </w:pPr>
            <w:r>
              <w:rPr>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6</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供酸地槽</w:t>
            </w:r>
          </w:p>
        </w:tc>
        <w:tc>
          <w:tcPr>
            <w:tcW w:w="2556" w:type="pct"/>
            <w:vAlign w:val="center"/>
          </w:tcPr>
          <w:p>
            <w:pPr>
              <w:pStyle w:val="182"/>
              <w:bidi w:val="0"/>
              <w:rPr>
                <w:color w:val="auto"/>
              </w:rPr>
            </w:pPr>
            <w:r>
              <w:rPr>
                <w:color w:val="auto"/>
              </w:rPr>
              <w:t>V=30 m3</w:t>
            </w:r>
            <w:r>
              <w:rPr>
                <w:rFonts w:hint="eastAsia"/>
                <w:color w:val="auto"/>
              </w:rPr>
              <w:t>，</w:t>
            </w:r>
            <w:r>
              <w:rPr>
                <w:color w:val="auto"/>
              </w:rPr>
              <w:t>∅4000×3000</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7</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高位槽供酸泵</w:t>
            </w:r>
          </w:p>
        </w:tc>
        <w:tc>
          <w:tcPr>
            <w:tcW w:w="2556" w:type="pct"/>
            <w:vAlign w:val="center"/>
          </w:tcPr>
          <w:p>
            <w:pPr>
              <w:pStyle w:val="182"/>
              <w:bidi w:val="0"/>
              <w:rPr>
                <w:color w:val="auto"/>
              </w:rPr>
            </w:pPr>
            <w:r>
              <w:rPr>
                <w:color w:val="auto"/>
              </w:rPr>
              <w:t>Q=400 m3/h</w:t>
            </w:r>
            <w:r>
              <w:rPr>
                <w:rFonts w:hint="eastAsia"/>
                <w:color w:val="auto"/>
              </w:rPr>
              <w:t>，</w:t>
            </w:r>
            <w:r>
              <w:rPr>
                <w:color w:val="auto"/>
              </w:rPr>
              <w:t>H=32m</w:t>
            </w:r>
            <w:r>
              <w:rPr>
                <w:rFonts w:hint="eastAsia"/>
                <w:color w:val="auto"/>
              </w:rPr>
              <w:t>，</w:t>
            </w:r>
            <w:r>
              <w:rPr>
                <w:color w:val="auto"/>
              </w:rPr>
              <w:t>90kw</w:t>
            </w:r>
          </w:p>
        </w:tc>
        <w:tc>
          <w:tcPr>
            <w:tcW w:w="630" w:type="pct"/>
            <w:vAlign w:val="center"/>
          </w:tcPr>
          <w:p>
            <w:pPr>
              <w:pStyle w:val="182"/>
              <w:bidi w:val="0"/>
              <w:rPr>
                <w:color w:val="auto"/>
              </w:rPr>
            </w:pPr>
            <w:r>
              <w:rPr>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8</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污酸槽</w:t>
            </w:r>
          </w:p>
        </w:tc>
        <w:tc>
          <w:tcPr>
            <w:tcW w:w="2556" w:type="pct"/>
            <w:vAlign w:val="center"/>
          </w:tcPr>
          <w:p>
            <w:pPr>
              <w:pStyle w:val="182"/>
              <w:bidi w:val="0"/>
              <w:rPr>
                <w:color w:val="auto"/>
              </w:rPr>
            </w:pPr>
            <w:r>
              <w:rPr>
                <w:color w:val="auto"/>
              </w:rPr>
              <w:t>V=25 m3</w:t>
            </w:r>
            <w:r>
              <w:rPr>
                <w:rFonts w:hint="eastAsia"/>
                <w:color w:val="auto"/>
              </w:rPr>
              <w:t>，</w:t>
            </w:r>
            <w:r>
              <w:rPr>
                <w:color w:val="auto"/>
              </w:rPr>
              <w:t>∅3300×3000</w:t>
            </w:r>
          </w:p>
        </w:tc>
        <w:tc>
          <w:tcPr>
            <w:tcW w:w="630" w:type="pct"/>
            <w:vAlign w:val="center"/>
          </w:tcPr>
          <w:p>
            <w:pPr>
              <w:pStyle w:val="182"/>
              <w:bidi w:val="0"/>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9</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污酸泵</w:t>
            </w:r>
          </w:p>
        </w:tc>
        <w:tc>
          <w:tcPr>
            <w:tcW w:w="2556" w:type="pct"/>
            <w:vAlign w:val="center"/>
          </w:tcPr>
          <w:p>
            <w:pPr>
              <w:pStyle w:val="182"/>
              <w:bidi w:val="0"/>
              <w:rPr>
                <w:color w:val="auto"/>
              </w:rPr>
            </w:pPr>
            <w:r>
              <w:rPr>
                <w:color w:val="auto"/>
              </w:rPr>
              <w:t>Q=90 m3/h</w:t>
            </w:r>
            <w:r>
              <w:rPr>
                <w:rFonts w:hint="eastAsia"/>
                <w:color w:val="auto"/>
              </w:rPr>
              <w:t>，</w:t>
            </w:r>
            <w:r>
              <w:rPr>
                <w:color w:val="auto"/>
              </w:rPr>
              <w:t>H=28m</w:t>
            </w:r>
            <w:r>
              <w:rPr>
                <w:rFonts w:hint="eastAsia"/>
                <w:color w:val="auto"/>
              </w:rPr>
              <w:t>，</w:t>
            </w:r>
            <w:r>
              <w:rPr>
                <w:color w:val="auto"/>
              </w:rPr>
              <w:t>Y160L-2</w:t>
            </w:r>
            <w:r>
              <w:rPr>
                <w:rFonts w:hint="eastAsia"/>
                <w:color w:val="auto"/>
              </w:rPr>
              <w:t>，</w:t>
            </w:r>
            <w:r>
              <w:rPr>
                <w:color w:val="auto"/>
              </w:rPr>
              <w:t>18.5kw</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10</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酸浴过滤器</w:t>
            </w:r>
          </w:p>
        </w:tc>
        <w:tc>
          <w:tcPr>
            <w:tcW w:w="2556" w:type="pct"/>
            <w:vAlign w:val="center"/>
          </w:tcPr>
          <w:p>
            <w:pPr>
              <w:pStyle w:val="182"/>
              <w:bidi w:val="0"/>
              <w:rPr>
                <w:color w:val="auto"/>
              </w:rPr>
            </w:pPr>
            <w:r>
              <w:rPr>
                <w:color w:val="auto"/>
              </w:rPr>
              <w:t>Q=60m2/h</w:t>
            </w:r>
            <w:r>
              <w:rPr>
                <w:rFonts w:hint="eastAsia"/>
                <w:color w:val="auto"/>
              </w:rPr>
              <w:t>，</w:t>
            </w:r>
            <w:r>
              <w:rPr>
                <w:color w:val="auto"/>
              </w:rPr>
              <w:t>∅1600×3095</w:t>
            </w:r>
          </w:p>
        </w:tc>
        <w:tc>
          <w:tcPr>
            <w:tcW w:w="630" w:type="pct"/>
            <w:vAlign w:val="center"/>
          </w:tcPr>
          <w:p>
            <w:pPr>
              <w:pStyle w:val="182"/>
              <w:bidi w:val="0"/>
              <w:rPr>
                <w:color w:val="auto"/>
              </w:rPr>
            </w:pPr>
            <w:r>
              <w:rPr>
                <w:color w:val="auto"/>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11</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硫酸锌溶解槽</w:t>
            </w:r>
          </w:p>
        </w:tc>
        <w:tc>
          <w:tcPr>
            <w:tcW w:w="2556" w:type="pct"/>
            <w:vAlign w:val="center"/>
          </w:tcPr>
          <w:p>
            <w:pPr>
              <w:pStyle w:val="182"/>
              <w:bidi w:val="0"/>
              <w:rPr>
                <w:color w:val="auto"/>
              </w:rPr>
            </w:pPr>
            <w:r>
              <w:rPr>
                <w:color w:val="auto"/>
              </w:rPr>
              <w:t>∅900×850</w:t>
            </w:r>
            <w:r>
              <w:rPr>
                <w:rFonts w:hint="eastAsia"/>
                <w:color w:val="auto"/>
              </w:rPr>
              <w:t>，</w:t>
            </w:r>
            <w:r>
              <w:rPr>
                <w:color w:val="auto"/>
              </w:rPr>
              <w:t xml:space="preserve">V=0.5 </w:t>
            </w:r>
            <w:r>
              <w:rPr>
                <w:rFonts w:hint="eastAsia"/>
                <w:color w:val="auto"/>
              </w:rPr>
              <w:t>m</w:t>
            </w:r>
            <w:r>
              <w:rPr>
                <w:rFonts w:hint="eastAsia"/>
                <w:color w:val="auto"/>
                <w:vertAlign w:val="superscript"/>
              </w:rPr>
              <w:t>3</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12</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脱气水环真空泵</w:t>
            </w:r>
          </w:p>
        </w:tc>
        <w:tc>
          <w:tcPr>
            <w:tcW w:w="2556" w:type="pct"/>
            <w:vAlign w:val="center"/>
          </w:tcPr>
          <w:p>
            <w:pPr>
              <w:pStyle w:val="182"/>
              <w:bidi w:val="0"/>
              <w:rPr>
                <w:color w:val="auto"/>
                <w:lang w:val="de-DE"/>
              </w:rPr>
            </w:pPr>
            <w:r>
              <w:rPr>
                <w:color w:val="auto"/>
                <w:lang w:val="de-DE"/>
              </w:rPr>
              <w:t>10</w:t>
            </w:r>
            <w:r>
              <w:rPr>
                <w:color w:val="auto"/>
              </w:rPr>
              <w:t xml:space="preserve"> m3</w:t>
            </w:r>
            <w:r>
              <w:rPr>
                <w:color w:val="auto"/>
                <w:lang w:val="de-DE"/>
              </w:rPr>
              <w:t>/min</w:t>
            </w:r>
            <w:r>
              <w:rPr>
                <w:rFonts w:hint="eastAsia"/>
                <w:color w:val="auto"/>
                <w:lang w:val="de-DE"/>
              </w:rPr>
              <w:t>，</w:t>
            </w:r>
            <w:r>
              <w:rPr>
                <w:color w:val="auto"/>
                <w:lang w:val="de-DE"/>
              </w:rPr>
              <w:t>-725mmHg</w:t>
            </w:r>
            <w:r>
              <w:rPr>
                <w:rFonts w:hint="eastAsia"/>
                <w:color w:val="auto"/>
                <w:lang w:val="de-DE"/>
              </w:rPr>
              <w:t>，</w:t>
            </w:r>
            <w:r>
              <w:rPr>
                <w:color w:val="auto"/>
                <w:lang w:val="de-DE"/>
              </w:rPr>
              <w:t>22kw</w:t>
            </w:r>
          </w:p>
        </w:tc>
        <w:tc>
          <w:tcPr>
            <w:tcW w:w="630" w:type="pct"/>
            <w:vAlign w:val="center"/>
          </w:tcPr>
          <w:p>
            <w:pPr>
              <w:pStyle w:val="182"/>
              <w:bidi w:val="0"/>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13</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脱盐水加热器</w:t>
            </w:r>
          </w:p>
        </w:tc>
        <w:tc>
          <w:tcPr>
            <w:tcW w:w="2556" w:type="pct"/>
            <w:vAlign w:val="center"/>
          </w:tcPr>
          <w:p>
            <w:pPr>
              <w:pStyle w:val="182"/>
              <w:bidi w:val="0"/>
              <w:rPr>
                <w:color w:val="auto"/>
              </w:rPr>
            </w:pPr>
            <w:r>
              <w:rPr>
                <w:color w:val="auto"/>
              </w:rPr>
              <w:t>∅600×2908</w:t>
            </w:r>
            <w:r>
              <w:rPr>
                <w:rFonts w:hint="eastAsia"/>
                <w:color w:val="auto"/>
              </w:rPr>
              <w:t>，</w:t>
            </w:r>
            <w:r>
              <w:rPr>
                <w:color w:val="auto"/>
              </w:rPr>
              <w:t>35 m</w:t>
            </w:r>
            <w:r>
              <w:rPr>
                <w:color w:val="auto"/>
                <w:vertAlign w:val="superscript"/>
              </w:rPr>
              <w:t>2</w:t>
            </w:r>
          </w:p>
        </w:tc>
        <w:tc>
          <w:tcPr>
            <w:tcW w:w="630" w:type="pct"/>
            <w:vAlign w:val="center"/>
          </w:tcPr>
          <w:p>
            <w:pPr>
              <w:pStyle w:val="182"/>
              <w:bidi w:val="0"/>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14</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酸浴加热器</w:t>
            </w:r>
          </w:p>
        </w:tc>
        <w:tc>
          <w:tcPr>
            <w:tcW w:w="2556" w:type="pct"/>
            <w:vAlign w:val="center"/>
          </w:tcPr>
          <w:p>
            <w:pPr>
              <w:pStyle w:val="182"/>
              <w:bidi w:val="0"/>
              <w:rPr>
                <w:color w:val="auto"/>
              </w:rPr>
            </w:pPr>
            <w:r>
              <w:rPr>
                <w:color w:val="auto"/>
              </w:rPr>
              <w:t>∅800×2500</w:t>
            </w:r>
            <w:r>
              <w:rPr>
                <w:rFonts w:hint="eastAsia"/>
                <w:color w:val="auto"/>
              </w:rPr>
              <w:t>，</w:t>
            </w:r>
            <w:r>
              <w:rPr>
                <w:color w:val="auto"/>
              </w:rPr>
              <w:t>30 m</w:t>
            </w:r>
            <w:r>
              <w:rPr>
                <w:color w:val="auto"/>
                <w:vertAlign w:val="superscript"/>
              </w:rPr>
              <w:t>2</w:t>
            </w:r>
          </w:p>
        </w:tc>
        <w:tc>
          <w:tcPr>
            <w:tcW w:w="630" w:type="pct"/>
            <w:vAlign w:val="center"/>
          </w:tcPr>
          <w:p>
            <w:pPr>
              <w:pStyle w:val="182"/>
              <w:bidi w:val="0"/>
              <w:rPr>
                <w:color w:val="auto"/>
              </w:rPr>
            </w:pPr>
            <w:r>
              <w:rPr>
                <w:color w:val="auto"/>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15</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高位槽</w:t>
            </w:r>
          </w:p>
        </w:tc>
        <w:tc>
          <w:tcPr>
            <w:tcW w:w="2556" w:type="pct"/>
            <w:vAlign w:val="center"/>
          </w:tcPr>
          <w:p>
            <w:pPr>
              <w:pStyle w:val="182"/>
              <w:bidi w:val="0"/>
              <w:rPr>
                <w:color w:val="auto"/>
              </w:rPr>
            </w:pPr>
            <w:r>
              <w:rPr>
                <w:color w:val="auto"/>
              </w:rPr>
              <w:t>V=15 m3</w:t>
            </w:r>
            <w:r>
              <w:rPr>
                <w:rFonts w:hint="eastAsia"/>
                <w:color w:val="auto"/>
              </w:rPr>
              <w:t>，</w:t>
            </w:r>
            <w:r>
              <w:rPr>
                <w:color w:val="auto"/>
              </w:rPr>
              <w:t>∅2500×3000</w:t>
            </w:r>
          </w:p>
        </w:tc>
        <w:tc>
          <w:tcPr>
            <w:tcW w:w="630"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16</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脱气加热器</w:t>
            </w:r>
          </w:p>
        </w:tc>
        <w:tc>
          <w:tcPr>
            <w:tcW w:w="2556" w:type="pct"/>
            <w:vAlign w:val="center"/>
          </w:tcPr>
          <w:p>
            <w:pPr>
              <w:pStyle w:val="182"/>
              <w:bidi w:val="0"/>
              <w:rPr>
                <w:color w:val="auto"/>
              </w:rPr>
            </w:pPr>
            <w:r>
              <w:rPr>
                <w:color w:val="auto"/>
              </w:rPr>
              <w:t>∅1000×3000</w:t>
            </w:r>
            <w:r>
              <w:rPr>
                <w:rFonts w:hint="eastAsia"/>
                <w:color w:val="auto"/>
              </w:rPr>
              <w:t>，</w:t>
            </w:r>
            <w:r>
              <w:rPr>
                <w:color w:val="auto"/>
              </w:rPr>
              <w:t>54m</w:t>
            </w:r>
            <w:r>
              <w:rPr>
                <w:color w:val="auto"/>
                <w:vertAlign w:val="superscript"/>
              </w:rPr>
              <w:t>2</w:t>
            </w:r>
          </w:p>
        </w:tc>
        <w:tc>
          <w:tcPr>
            <w:tcW w:w="630" w:type="pct"/>
            <w:vAlign w:val="center"/>
          </w:tcPr>
          <w:p>
            <w:pPr>
              <w:pStyle w:val="182"/>
              <w:bidi w:val="0"/>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17</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脱气罐</w:t>
            </w:r>
          </w:p>
        </w:tc>
        <w:tc>
          <w:tcPr>
            <w:tcW w:w="2556" w:type="pct"/>
            <w:vAlign w:val="center"/>
          </w:tcPr>
          <w:p>
            <w:pPr>
              <w:pStyle w:val="182"/>
              <w:bidi w:val="0"/>
              <w:rPr>
                <w:color w:val="auto"/>
              </w:rPr>
            </w:pPr>
            <w:r>
              <w:rPr>
                <w:color w:val="auto"/>
              </w:rPr>
              <w:t>∅1800×5000</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18</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板式换热器</w:t>
            </w:r>
          </w:p>
        </w:tc>
        <w:tc>
          <w:tcPr>
            <w:tcW w:w="2556" w:type="pct"/>
            <w:vAlign w:val="center"/>
          </w:tcPr>
          <w:p>
            <w:pPr>
              <w:pStyle w:val="182"/>
              <w:bidi w:val="0"/>
              <w:rPr>
                <w:color w:val="auto"/>
              </w:rPr>
            </w:pPr>
            <w:r>
              <w:rPr>
                <w:color w:val="auto"/>
              </w:rPr>
              <w:t>1815×584×1710</w:t>
            </w:r>
            <w:r>
              <w:rPr>
                <w:rFonts w:hint="eastAsia"/>
                <w:color w:val="auto"/>
              </w:rPr>
              <w:t>，</w:t>
            </w:r>
            <w:r>
              <w:rPr>
                <w:color w:val="auto"/>
              </w:rPr>
              <w:t>218 m</w:t>
            </w:r>
            <w:r>
              <w:rPr>
                <w:color w:val="auto"/>
                <w:vertAlign w:val="superscript"/>
              </w:rPr>
              <w:t>3</w:t>
            </w:r>
            <w:r>
              <w:rPr>
                <w:color w:val="auto"/>
              </w:rPr>
              <w:t>/h</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19</w:t>
            </w:r>
          </w:p>
        </w:tc>
        <w:tc>
          <w:tcPr>
            <w:tcW w:w="434" w:type="pct"/>
            <w:vMerge w:val="continue"/>
            <w:vAlign w:val="center"/>
          </w:tcPr>
          <w:p>
            <w:pPr>
              <w:pStyle w:val="182"/>
              <w:bidi w:val="0"/>
              <w:rPr>
                <w:color w:val="auto"/>
              </w:rPr>
            </w:pPr>
          </w:p>
        </w:tc>
        <w:tc>
          <w:tcPr>
            <w:tcW w:w="1065" w:type="pct"/>
            <w:gridSpan w:val="2"/>
            <w:vAlign w:val="center"/>
          </w:tcPr>
          <w:p>
            <w:pPr>
              <w:pStyle w:val="182"/>
              <w:bidi w:val="0"/>
              <w:rPr>
                <w:color w:val="auto"/>
              </w:rPr>
            </w:pPr>
            <w:r>
              <w:rPr>
                <w:rFonts w:hint="eastAsia"/>
                <w:color w:val="auto"/>
              </w:rPr>
              <w:t>硫酸中间储罐</w:t>
            </w:r>
          </w:p>
        </w:tc>
        <w:tc>
          <w:tcPr>
            <w:tcW w:w="2556" w:type="pct"/>
            <w:vAlign w:val="center"/>
          </w:tcPr>
          <w:p>
            <w:pPr>
              <w:pStyle w:val="182"/>
              <w:bidi w:val="0"/>
              <w:rPr>
                <w:color w:val="auto"/>
              </w:rPr>
            </w:pPr>
            <w:r>
              <w:rPr>
                <w:color w:val="auto"/>
              </w:rPr>
              <w:t>70m</w:t>
            </w:r>
            <w:r>
              <w:rPr>
                <w:rFonts w:hint="eastAsia"/>
                <w:color w:val="auto"/>
                <w:vertAlign w:val="superscript"/>
              </w:rPr>
              <w:t>3</w:t>
            </w:r>
          </w:p>
        </w:tc>
        <w:tc>
          <w:tcPr>
            <w:tcW w:w="630"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rFonts w:hint="eastAsia" w:eastAsia="宋体"/>
                <w:color w:val="auto"/>
                <w:lang w:eastAsia="zh-CN"/>
              </w:rPr>
            </w:pPr>
            <w:r>
              <w:rPr>
                <w:rFonts w:hint="eastAsia"/>
                <w:color w:val="auto"/>
              </w:rPr>
              <w:t>年产2×2万吨超细旦氨纶纤维项目（年产3×2万吨超细旦氨纶纤维项目二期</w:t>
            </w:r>
            <w:r>
              <w:rPr>
                <w:rFonts w:hint="eastAsia"/>
                <w:color w:val="auto"/>
                <w:lang w:val="en-US" w:eastAsia="zh-CN"/>
              </w:rPr>
              <w:t>三期工程</w:t>
            </w:r>
            <w:r>
              <w:rPr>
                <w:rFonts w:hint="eastAsia"/>
                <w:color w:val="auto"/>
              </w:rPr>
              <w:t>）</w:t>
            </w:r>
            <w:r>
              <w:rPr>
                <w:rFonts w:hint="eastAsia"/>
                <w:color w:val="auto"/>
                <w:lang w:eastAsia="zh-CN"/>
              </w:rPr>
              <w:t>（</w:t>
            </w:r>
            <w:r>
              <w:rPr>
                <w:rFonts w:hint="eastAsia"/>
                <w:color w:val="auto"/>
                <w:lang w:val="en-US" w:eastAsia="zh-CN"/>
              </w:rPr>
              <w:t>二期</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w:t>
            </w:r>
          </w:p>
        </w:tc>
        <w:tc>
          <w:tcPr>
            <w:tcW w:w="1499" w:type="pct"/>
            <w:gridSpan w:val="3"/>
            <w:vAlign w:val="center"/>
          </w:tcPr>
          <w:p>
            <w:pPr>
              <w:pStyle w:val="182"/>
              <w:bidi w:val="0"/>
              <w:rPr>
                <w:color w:val="auto"/>
              </w:rPr>
            </w:pPr>
            <w:r>
              <w:rPr>
                <w:rFonts w:hint="eastAsia"/>
                <w:color w:val="auto"/>
              </w:rPr>
              <w:t>液态MDI存储罐</w:t>
            </w:r>
          </w:p>
        </w:tc>
        <w:tc>
          <w:tcPr>
            <w:tcW w:w="2556" w:type="pct"/>
            <w:vAlign w:val="center"/>
          </w:tcPr>
          <w:p>
            <w:pPr>
              <w:pStyle w:val="182"/>
              <w:bidi w:val="0"/>
              <w:rPr>
                <w:color w:val="auto"/>
              </w:rPr>
            </w:pPr>
            <w:r>
              <w:rPr>
                <w:rFonts w:hint="eastAsia"/>
                <w:color w:val="auto"/>
              </w:rPr>
              <w:t>30m</w:t>
            </w:r>
            <w:r>
              <w:rPr>
                <w:rFonts w:hint="eastAsia"/>
                <w:color w:val="auto"/>
                <w:vertAlign w:val="superscript"/>
              </w:rPr>
              <w:t>3</w:t>
            </w:r>
          </w:p>
        </w:tc>
        <w:tc>
          <w:tcPr>
            <w:tcW w:w="630" w:type="pct"/>
            <w:vAlign w:val="center"/>
          </w:tcPr>
          <w:p>
            <w:pPr>
              <w:pStyle w:val="182"/>
              <w:bidi w:val="0"/>
              <w:rPr>
                <w:rFonts w:hint="eastAsia" w:eastAsia="宋体"/>
                <w:color w:val="auto"/>
                <w:lang w:eastAsia="zh-CN"/>
              </w:rPr>
            </w:pPr>
            <w:r>
              <w:rPr>
                <w:rFonts w:hint="eastAsia"/>
                <w:color w:val="auto"/>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restart"/>
            <w:vAlign w:val="center"/>
          </w:tcPr>
          <w:p>
            <w:pPr>
              <w:pStyle w:val="182"/>
              <w:bidi w:val="0"/>
              <w:rPr>
                <w:color w:val="auto"/>
              </w:rPr>
            </w:pPr>
            <w:r>
              <w:rPr>
                <w:rFonts w:hint="eastAsia"/>
                <w:color w:val="auto"/>
              </w:rPr>
              <w:t>2</w:t>
            </w:r>
          </w:p>
        </w:tc>
        <w:tc>
          <w:tcPr>
            <w:tcW w:w="1499" w:type="pct"/>
            <w:gridSpan w:val="3"/>
            <w:vMerge w:val="restart"/>
            <w:vAlign w:val="center"/>
          </w:tcPr>
          <w:p>
            <w:pPr>
              <w:pStyle w:val="182"/>
              <w:bidi w:val="0"/>
              <w:rPr>
                <w:color w:val="auto"/>
              </w:rPr>
            </w:pPr>
            <w:r>
              <w:rPr>
                <w:rFonts w:hint="eastAsia"/>
                <w:color w:val="auto"/>
              </w:rPr>
              <w:t>液态PTMG 存储罐</w:t>
            </w:r>
          </w:p>
        </w:tc>
        <w:tc>
          <w:tcPr>
            <w:tcW w:w="2556" w:type="pct"/>
            <w:vAlign w:val="center"/>
          </w:tcPr>
          <w:p>
            <w:pPr>
              <w:pStyle w:val="182"/>
              <w:bidi w:val="0"/>
              <w:rPr>
                <w:color w:val="auto"/>
              </w:rPr>
            </w:pPr>
            <w:r>
              <w:rPr>
                <w:rFonts w:hint="eastAsia"/>
                <w:color w:val="auto"/>
              </w:rPr>
              <w:t>500m</w:t>
            </w:r>
            <w:r>
              <w:rPr>
                <w:rFonts w:hint="eastAsia"/>
                <w:color w:val="auto"/>
                <w:vertAlign w:val="superscript"/>
              </w:rPr>
              <w:t>3</w:t>
            </w:r>
          </w:p>
        </w:tc>
        <w:tc>
          <w:tcPr>
            <w:tcW w:w="630" w:type="pct"/>
            <w:vAlign w:val="center"/>
          </w:tcPr>
          <w:p>
            <w:pPr>
              <w:pStyle w:val="182"/>
              <w:bidi w:val="0"/>
              <w:rPr>
                <w:rFonts w:hint="eastAsia" w:eastAsia="宋体"/>
                <w:color w:val="auto"/>
                <w:lang w:eastAsia="zh-CN"/>
              </w:rPr>
            </w:pPr>
            <w:r>
              <w:rPr>
                <w:rFonts w:hint="eastAsia"/>
                <w:color w:va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pStyle w:val="182"/>
              <w:bidi w:val="0"/>
              <w:rPr>
                <w:color w:val="auto"/>
              </w:rPr>
            </w:pPr>
          </w:p>
        </w:tc>
        <w:tc>
          <w:tcPr>
            <w:tcW w:w="1499" w:type="pct"/>
            <w:gridSpan w:val="3"/>
            <w:vMerge w:val="continue"/>
            <w:vAlign w:val="center"/>
          </w:tcPr>
          <w:p>
            <w:pPr>
              <w:pStyle w:val="182"/>
              <w:bidi w:val="0"/>
              <w:rPr>
                <w:color w:val="auto"/>
              </w:rPr>
            </w:pPr>
          </w:p>
        </w:tc>
        <w:tc>
          <w:tcPr>
            <w:tcW w:w="2556" w:type="pct"/>
            <w:vAlign w:val="center"/>
          </w:tcPr>
          <w:p>
            <w:pPr>
              <w:pStyle w:val="182"/>
              <w:bidi w:val="0"/>
              <w:rPr>
                <w:color w:val="auto"/>
              </w:rPr>
            </w:pPr>
            <w:r>
              <w:rPr>
                <w:rFonts w:hint="eastAsia"/>
                <w:color w:val="auto"/>
              </w:rPr>
              <w:t>200m</w:t>
            </w:r>
            <w:r>
              <w:rPr>
                <w:rFonts w:hint="eastAsia"/>
                <w:color w:val="auto"/>
                <w:vertAlign w:val="superscript"/>
              </w:rPr>
              <w:t>3</w:t>
            </w:r>
          </w:p>
        </w:tc>
        <w:tc>
          <w:tcPr>
            <w:tcW w:w="630" w:type="pct"/>
            <w:vAlign w:val="center"/>
          </w:tcPr>
          <w:p>
            <w:pPr>
              <w:pStyle w:val="182"/>
              <w:bidi w:val="0"/>
              <w:rPr>
                <w:rFonts w:hint="eastAsia" w:eastAsia="宋体"/>
                <w:color w:val="auto"/>
                <w:lang w:eastAsia="zh-CN"/>
              </w:rPr>
            </w:pPr>
            <w:r>
              <w:rPr>
                <w:rFonts w:hint="eastAsia"/>
                <w:color w:va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3</w:t>
            </w:r>
          </w:p>
        </w:tc>
        <w:tc>
          <w:tcPr>
            <w:tcW w:w="1499" w:type="pct"/>
            <w:gridSpan w:val="3"/>
            <w:vAlign w:val="center"/>
          </w:tcPr>
          <w:p>
            <w:pPr>
              <w:pStyle w:val="182"/>
              <w:bidi w:val="0"/>
              <w:rPr>
                <w:color w:val="auto"/>
              </w:rPr>
            </w:pPr>
            <w:r>
              <w:rPr>
                <w:rFonts w:hint="eastAsia"/>
                <w:color w:val="auto"/>
              </w:rPr>
              <w:t>DMAC存储罐</w:t>
            </w:r>
          </w:p>
        </w:tc>
        <w:tc>
          <w:tcPr>
            <w:tcW w:w="2556" w:type="pct"/>
            <w:vAlign w:val="center"/>
          </w:tcPr>
          <w:p>
            <w:pPr>
              <w:pStyle w:val="182"/>
              <w:bidi w:val="0"/>
              <w:rPr>
                <w:color w:val="auto"/>
              </w:rPr>
            </w:pPr>
            <w:r>
              <w:rPr>
                <w:rFonts w:hint="eastAsia"/>
                <w:color w:val="auto"/>
              </w:rPr>
              <w:t>1000m</w:t>
            </w:r>
            <w:r>
              <w:rPr>
                <w:rFonts w:hint="eastAsia"/>
                <w:color w:val="auto"/>
                <w:vertAlign w:val="superscript"/>
              </w:rPr>
              <w:t>3</w:t>
            </w:r>
          </w:p>
        </w:tc>
        <w:tc>
          <w:tcPr>
            <w:tcW w:w="630" w:type="pct"/>
            <w:vAlign w:val="center"/>
          </w:tcPr>
          <w:p>
            <w:pPr>
              <w:pStyle w:val="182"/>
              <w:bidi w:val="0"/>
              <w:rPr>
                <w:rFonts w:hint="default" w:eastAsia="宋体"/>
                <w:color w:val="auto"/>
                <w:lang w:val="en-US" w:eastAsia="zh-CN"/>
              </w:rPr>
            </w:pPr>
            <w:r>
              <w:rPr>
                <w:rFonts w:hint="eastAsia"/>
                <w:color w:val="auto"/>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4</w:t>
            </w:r>
          </w:p>
        </w:tc>
        <w:tc>
          <w:tcPr>
            <w:tcW w:w="1499" w:type="pct"/>
            <w:gridSpan w:val="3"/>
            <w:vAlign w:val="center"/>
          </w:tcPr>
          <w:p>
            <w:pPr>
              <w:pStyle w:val="182"/>
              <w:bidi w:val="0"/>
              <w:rPr>
                <w:color w:val="auto"/>
              </w:rPr>
            </w:pPr>
            <w:r>
              <w:rPr>
                <w:rFonts w:hint="eastAsia"/>
                <w:color w:val="auto"/>
              </w:rPr>
              <w:t>预聚合反应器</w:t>
            </w:r>
          </w:p>
        </w:tc>
        <w:tc>
          <w:tcPr>
            <w:tcW w:w="2556" w:type="pct"/>
            <w:vAlign w:val="center"/>
          </w:tcPr>
          <w:p>
            <w:pPr>
              <w:pStyle w:val="182"/>
              <w:bidi w:val="0"/>
              <w:rPr>
                <w:color w:val="auto"/>
              </w:rPr>
            </w:pPr>
            <w:r>
              <w:rPr>
                <w:color w:val="auto"/>
              </w:rPr>
              <w:t>/</w:t>
            </w:r>
          </w:p>
        </w:tc>
        <w:tc>
          <w:tcPr>
            <w:tcW w:w="630" w:type="pct"/>
            <w:vAlign w:val="center"/>
          </w:tcPr>
          <w:p>
            <w:pPr>
              <w:pStyle w:val="182"/>
              <w:bidi w:val="0"/>
              <w:rPr>
                <w:rFonts w:hint="eastAsia" w:eastAsia="宋体"/>
                <w:color w:val="auto"/>
                <w:lang w:eastAsia="zh-CN"/>
              </w:rPr>
            </w:pPr>
            <w:r>
              <w:rPr>
                <w:rFonts w:hint="eastAsia"/>
                <w:color w:va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5</w:t>
            </w:r>
          </w:p>
        </w:tc>
        <w:tc>
          <w:tcPr>
            <w:tcW w:w="1499" w:type="pct"/>
            <w:gridSpan w:val="3"/>
            <w:vAlign w:val="center"/>
          </w:tcPr>
          <w:p>
            <w:pPr>
              <w:pStyle w:val="182"/>
              <w:bidi w:val="0"/>
              <w:rPr>
                <w:color w:val="auto"/>
              </w:rPr>
            </w:pPr>
            <w:r>
              <w:rPr>
                <w:rFonts w:hint="eastAsia"/>
                <w:color w:val="auto"/>
              </w:rPr>
              <w:t>混合胺供给罐</w:t>
            </w:r>
          </w:p>
        </w:tc>
        <w:tc>
          <w:tcPr>
            <w:tcW w:w="2556" w:type="pct"/>
            <w:vAlign w:val="center"/>
          </w:tcPr>
          <w:p>
            <w:pPr>
              <w:pStyle w:val="182"/>
              <w:bidi w:val="0"/>
              <w:rPr>
                <w:color w:val="auto"/>
              </w:rPr>
            </w:pPr>
            <w:r>
              <w:rPr>
                <w:rFonts w:hint="eastAsia"/>
                <w:color w:val="auto"/>
              </w:rPr>
              <w:t>3m</w:t>
            </w:r>
            <w:r>
              <w:rPr>
                <w:rFonts w:hint="eastAsia"/>
                <w:color w:val="auto"/>
                <w:vertAlign w:val="superscript"/>
              </w:rPr>
              <w:t>3</w:t>
            </w:r>
          </w:p>
        </w:tc>
        <w:tc>
          <w:tcPr>
            <w:tcW w:w="630" w:type="pct"/>
            <w:vAlign w:val="center"/>
          </w:tcPr>
          <w:p>
            <w:pPr>
              <w:pStyle w:val="182"/>
              <w:bidi w:val="0"/>
              <w:rPr>
                <w:rFonts w:hint="eastAsia" w:eastAsia="宋体"/>
                <w:color w:val="auto"/>
                <w:lang w:eastAsia="zh-CN"/>
              </w:rPr>
            </w:pPr>
            <w:r>
              <w:rPr>
                <w:rFonts w:hint="eastAsia"/>
                <w:color w:va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6</w:t>
            </w:r>
          </w:p>
        </w:tc>
        <w:tc>
          <w:tcPr>
            <w:tcW w:w="1499" w:type="pct"/>
            <w:gridSpan w:val="3"/>
            <w:vAlign w:val="center"/>
          </w:tcPr>
          <w:p>
            <w:pPr>
              <w:pStyle w:val="182"/>
              <w:bidi w:val="0"/>
              <w:rPr>
                <w:color w:val="auto"/>
              </w:rPr>
            </w:pPr>
            <w:r>
              <w:rPr>
                <w:rFonts w:hint="eastAsia"/>
                <w:color w:val="auto"/>
              </w:rPr>
              <w:t>聚合反应器</w:t>
            </w:r>
          </w:p>
        </w:tc>
        <w:tc>
          <w:tcPr>
            <w:tcW w:w="2556" w:type="pct"/>
            <w:vAlign w:val="bottom"/>
          </w:tcPr>
          <w:p>
            <w:pPr>
              <w:pStyle w:val="182"/>
              <w:bidi w:val="0"/>
              <w:rPr>
                <w:color w:val="auto"/>
              </w:rPr>
            </w:pPr>
            <w:r>
              <w:rPr>
                <w:rFonts w:hint="eastAsia"/>
                <w:color w:val="auto"/>
              </w:rPr>
              <w:t>/</w:t>
            </w:r>
          </w:p>
        </w:tc>
        <w:tc>
          <w:tcPr>
            <w:tcW w:w="630" w:type="pct"/>
            <w:vAlign w:val="center"/>
          </w:tcPr>
          <w:p>
            <w:pPr>
              <w:pStyle w:val="182"/>
              <w:bidi w:val="0"/>
              <w:rPr>
                <w:rFonts w:hint="eastAsia" w:eastAsia="宋体"/>
                <w:color w:val="auto"/>
                <w:lang w:eastAsia="zh-CN"/>
              </w:rPr>
            </w:pPr>
            <w:r>
              <w:rPr>
                <w:rFonts w:hint="eastAsia"/>
                <w:color w:va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7</w:t>
            </w:r>
          </w:p>
        </w:tc>
        <w:tc>
          <w:tcPr>
            <w:tcW w:w="1499" w:type="pct"/>
            <w:gridSpan w:val="3"/>
            <w:vAlign w:val="center"/>
          </w:tcPr>
          <w:p>
            <w:pPr>
              <w:pStyle w:val="182"/>
              <w:bidi w:val="0"/>
              <w:rPr>
                <w:color w:val="auto"/>
              </w:rPr>
            </w:pPr>
            <w:r>
              <w:rPr>
                <w:rFonts w:hint="eastAsia"/>
                <w:color w:val="auto"/>
              </w:rPr>
              <w:t>添加剂调配罐</w:t>
            </w:r>
          </w:p>
        </w:tc>
        <w:tc>
          <w:tcPr>
            <w:tcW w:w="2556" w:type="pct"/>
            <w:vAlign w:val="bottom"/>
          </w:tcPr>
          <w:p>
            <w:pPr>
              <w:pStyle w:val="182"/>
              <w:bidi w:val="0"/>
              <w:rPr>
                <w:color w:val="auto"/>
              </w:rPr>
            </w:pPr>
            <w:r>
              <w:rPr>
                <w:rFonts w:hint="eastAsia"/>
                <w:color w:val="auto"/>
              </w:rPr>
              <w:t>3m</w:t>
            </w:r>
            <w:r>
              <w:rPr>
                <w:rFonts w:hint="eastAsia"/>
                <w:color w:val="auto"/>
                <w:vertAlign w:val="superscript"/>
              </w:rPr>
              <w:t>3</w:t>
            </w:r>
          </w:p>
        </w:tc>
        <w:tc>
          <w:tcPr>
            <w:tcW w:w="630" w:type="pct"/>
            <w:vAlign w:val="center"/>
          </w:tcPr>
          <w:p>
            <w:pPr>
              <w:pStyle w:val="182"/>
              <w:bidi w:val="0"/>
              <w:rPr>
                <w:rFonts w:hint="eastAsia" w:eastAsia="宋体"/>
                <w:color w:val="auto"/>
                <w:lang w:eastAsia="zh-CN"/>
              </w:rPr>
            </w:pPr>
            <w:r>
              <w:rPr>
                <w:rFonts w:hint="eastAsia"/>
                <w:color w:va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8</w:t>
            </w:r>
          </w:p>
        </w:tc>
        <w:tc>
          <w:tcPr>
            <w:tcW w:w="1499" w:type="pct"/>
            <w:gridSpan w:val="3"/>
            <w:vAlign w:val="center"/>
          </w:tcPr>
          <w:p>
            <w:pPr>
              <w:pStyle w:val="182"/>
              <w:bidi w:val="0"/>
              <w:rPr>
                <w:color w:val="auto"/>
              </w:rPr>
            </w:pPr>
            <w:r>
              <w:rPr>
                <w:rFonts w:hint="eastAsia"/>
                <w:color w:val="auto"/>
              </w:rPr>
              <w:t>聚合物混合器</w:t>
            </w:r>
          </w:p>
        </w:tc>
        <w:tc>
          <w:tcPr>
            <w:tcW w:w="2556" w:type="pct"/>
            <w:vAlign w:val="bottom"/>
          </w:tcPr>
          <w:p>
            <w:pPr>
              <w:pStyle w:val="182"/>
              <w:bidi w:val="0"/>
              <w:rPr>
                <w:color w:val="auto"/>
              </w:rPr>
            </w:pPr>
            <w:r>
              <w:rPr>
                <w:rFonts w:hint="eastAsia"/>
                <w:color w:val="auto"/>
              </w:rPr>
              <w:t>/</w:t>
            </w:r>
          </w:p>
        </w:tc>
        <w:tc>
          <w:tcPr>
            <w:tcW w:w="630" w:type="pct"/>
            <w:vAlign w:val="center"/>
          </w:tcPr>
          <w:p>
            <w:pPr>
              <w:pStyle w:val="182"/>
              <w:bidi w:val="0"/>
              <w:rPr>
                <w:rFonts w:hint="eastAsia" w:eastAsia="宋体"/>
                <w:color w:val="auto"/>
                <w:lang w:eastAsia="zh-CN"/>
              </w:rPr>
            </w:pPr>
            <w:r>
              <w:rPr>
                <w:rFonts w:hint="eastAsia"/>
                <w:color w:va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9</w:t>
            </w:r>
          </w:p>
        </w:tc>
        <w:tc>
          <w:tcPr>
            <w:tcW w:w="1499" w:type="pct"/>
            <w:gridSpan w:val="3"/>
            <w:vAlign w:val="center"/>
          </w:tcPr>
          <w:p>
            <w:pPr>
              <w:pStyle w:val="182"/>
              <w:bidi w:val="0"/>
              <w:rPr>
                <w:color w:val="auto"/>
              </w:rPr>
            </w:pPr>
            <w:r>
              <w:rPr>
                <w:rFonts w:hint="eastAsia"/>
                <w:color w:val="auto"/>
              </w:rPr>
              <w:t>原液储罐</w:t>
            </w:r>
          </w:p>
        </w:tc>
        <w:tc>
          <w:tcPr>
            <w:tcW w:w="2556" w:type="pct"/>
            <w:vAlign w:val="bottom"/>
          </w:tcPr>
          <w:p>
            <w:pPr>
              <w:pStyle w:val="182"/>
              <w:bidi w:val="0"/>
              <w:rPr>
                <w:color w:val="auto"/>
              </w:rPr>
            </w:pPr>
            <w:r>
              <w:rPr>
                <w:rFonts w:hint="eastAsia"/>
                <w:color w:val="auto"/>
              </w:rPr>
              <w:t>ST26.0</w:t>
            </w:r>
          </w:p>
        </w:tc>
        <w:tc>
          <w:tcPr>
            <w:tcW w:w="630" w:type="pct"/>
            <w:vAlign w:val="center"/>
          </w:tcPr>
          <w:p>
            <w:pPr>
              <w:pStyle w:val="182"/>
              <w:bidi w:val="0"/>
              <w:rPr>
                <w:rFonts w:hint="eastAsia" w:eastAsia="宋体"/>
                <w:color w:val="auto"/>
                <w:lang w:eastAsia="zh-CN"/>
              </w:rPr>
            </w:pPr>
            <w:r>
              <w:rPr>
                <w:rFonts w:hint="eastAsia"/>
                <w:color w:va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10</w:t>
            </w:r>
          </w:p>
        </w:tc>
        <w:tc>
          <w:tcPr>
            <w:tcW w:w="1499" w:type="pct"/>
            <w:gridSpan w:val="3"/>
            <w:vAlign w:val="center"/>
          </w:tcPr>
          <w:p>
            <w:pPr>
              <w:pStyle w:val="182"/>
              <w:bidi w:val="0"/>
              <w:rPr>
                <w:color w:val="auto"/>
              </w:rPr>
            </w:pPr>
            <w:r>
              <w:rPr>
                <w:rFonts w:hint="eastAsia"/>
                <w:color w:val="auto"/>
              </w:rPr>
              <w:t>纺丝甬道</w:t>
            </w:r>
          </w:p>
        </w:tc>
        <w:tc>
          <w:tcPr>
            <w:tcW w:w="2556" w:type="pct"/>
            <w:vAlign w:val="bottom"/>
          </w:tcPr>
          <w:p>
            <w:pPr>
              <w:pStyle w:val="182"/>
              <w:bidi w:val="0"/>
              <w:rPr>
                <w:color w:val="auto"/>
              </w:rPr>
            </w:pPr>
            <w:r>
              <w:rPr>
                <w:rFonts w:hint="eastAsia"/>
                <w:color w:val="auto"/>
              </w:rPr>
              <w:t>64E专用</w:t>
            </w:r>
          </w:p>
        </w:tc>
        <w:tc>
          <w:tcPr>
            <w:tcW w:w="630" w:type="pct"/>
            <w:vAlign w:val="center"/>
          </w:tcPr>
          <w:p>
            <w:pPr>
              <w:pStyle w:val="182"/>
              <w:bidi w:val="0"/>
              <w:rPr>
                <w:rFonts w:hint="default" w:eastAsia="宋体"/>
                <w:color w:val="auto"/>
                <w:lang w:val="en-US" w:eastAsia="zh-CN"/>
              </w:rPr>
            </w:pPr>
            <w:r>
              <w:rPr>
                <w:rFonts w:hint="eastAsia"/>
                <w:color w:val="auto"/>
                <w:lang w:val="en-US" w:eastAsia="zh-CN"/>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11</w:t>
            </w:r>
          </w:p>
        </w:tc>
        <w:tc>
          <w:tcPr>
            <w:tcW w:w="1499" w:type="pct"/>
            <w:gridSpan w:val="3"/>
            <w:vAlign w:val="center"/>
          </w:tcPr>
          <w:p>
            <w:pPr>
              <w:pStyle w:val="182"/>
              <w:bidi w:val="0"/>
              <w:rPr>
                <w:color w:val="auto"/>
              </w:rPr>
            </w:pPr>
            <w:r>
              <w:rPr>
                <w:rFonts w:hint="eastAsia"/>
                <w:color w:val="auto"/>
              </w:rPr>
              <w:t>纺丝组件</w:t>
            </w:r>
          </w:p>
        </w:tc>
        <w:tc>
          <w:tcPr>
            <w:tcW w:w="2556" w:type="pct"/>
            <w:vAlign w:val="bottom"/>
          </w:tcPr>
          <w:p>
            <w:pPr>
              <w:pStyle w:val="182"/>
              <w:bidi w:val="0"/>
              <w:rPr>
                <w:color w:val="auto"/>
              </w:rPr>
            </w:pPr>
            <w:r>
              <w:rPr>
                <w:rFonts w:hint="eastAsia"/>
                <w:color w:val="auto"/>
              </w:rPr>
              <w:t>喷丝板、过滤网等</w:t>
            </w:r>
          </w:p>
        </w:tc>
        <w:tc>
          <w:tcPr>
            <w:tcW w:w="630" w:type="pct"/>
            <w:vAlign w:val="center"/>
          </w:tcPr>
          <w:p>
            <w:pPr>
              <w:pStyle w:val="182"/>
              <w:bidi w:val="0"/>
              <w:rPr>
                <w:rFonts w:hint="default" w:eastAsia="宋体"/>
                <w:color w:val="auto"/>
                <w:lang w:val="en-US" w:eastAsia="zh-CN"/>
              </w:rPr>
            </w:pPr>
            <w:r>
              <w:rPr>
                <w:rFonts w:hint="eastAsia"/>
                <w:color w:val="auto"/>
                <w:lang w:val="en-US" w:eastAsia="zh-CN"/>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12</w:t>
            </w:r>
          </w:p>
        </w:tc>
        <w:tc>
          <w:tcPr>
            <w:tcW w:w="1499" w:type="pct"/>
            <w:gridSpan w:val="3"/>
            <w:vAlign w:val="center"/>
          </w:tcPr>
          <w:p>
            <w:pPr>
              <w:pStyle w:val="182"/>
              <w:bidi w:val="0"/>
              <w:rPr>
                <w:color w:val="auto"/>
              </w:rPr>
            </w:pPr>
            <w:r>
              <w:rPr>
                <w:rFonts w:hint="eastAsia"/>
                <w:color w:val="auto"/>
              </w:rPr>
              <w:t>导丝机构</w:t>
            </w:r>
          </w:p>
        </w:tc>
        <w:tc>
          <w:tcPr>
            <w:tcW w:w="2556" w:type="pct"/>
            <w:vAlign w:val="bottom"/>
          </w:tcPr>
          <w:p>
            <w:pPr>
              <w:pStyle w:val="182"/>
              <w:bidi w:val="0"/>
              <w:rPr>
                <w:color w:val="auto"/>
              </w:rPr>
            </w:pPr>
            <w:r>
              <w:rPr>
                <w:rFonts w:hint="eastAsia"/>
                <w:color w:val="auto"/>
              </w:rPr>
              <w:t>GR-1，GR-2，GR-3</w:t>
            </w:r>
          </w:p>
        </w:tc>
        <w:tc>
          <w:tcPr>
            <w:tcW w:w="630" w:type="pct"/>
            <w:vAlign w:val="center"/>
          </w:tcPr>
          <w:p>
            <w:pPr>
              <w:pStyle w:val="182"/>
              <w:bidi w:val="0"/>
              <w:rPr>
                <w:rFonts w:hint="default" w:eastAsia="宋体"/>
                <w:color w:val="auto"/>
                <w:lang w:val="en-US" w:eastAsia="zh-CN"/>
              </w:rPr>
            </w:pPr>
            <w:r>
              <w:rPr>
                <w:rFonts w:hint="eastAsia"/>
                <w:color w:val="auto"/>
                <w:lang w:val="en-US" w:eastAsia="zh-CN"/>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13</w:t>
            </w:r>
          </w:p>
        </w:tc>
        <w:tc>
          <w:tcPr>
            <w:tcW w:w="1499" w:type="pct"/>
            <w:gridSpan w:val="3"/>
            <w:vAlign w:val="center"/>
          </w:tcPr>
          <w:p>
            <w:pPr>
              <w:pStyle w:val="182"/>
              <w:bidi w:val="0"/>
              <w:rPr>
                <w:color w:val="auto"/>
              </w:rPr>
            </w:pPr>
            <w:r>
              <w:rPr>
                <w:rFonts w:hint="eastAsia"/>
                <w:color w:val="auto"/>
              </w:rPr>
              <w:t>卷绕头</w:t>
            </w:r>
          </w:p>
        </w:tc>
        <w:tc>
          <w:tcPr>
            <w:tcW w:w="2556" w:type="pct"/>
            <w:vAlign w:val="bottom"/>
          </w:tcPr>
          <w:p>
            <w:pPr>
              <w:pStyle w:val="182"/>
              <w:bidi w:val="0"/>
              <w:rPr>
                <w:color w:val="auto"/>
              </w:rPr>
            </w:pPr>
            <w:r>
              <w:rPr>
                <w:rFonts w:hint="eastAsia"/>
                <w:color w:val="auto"/>
              </w:rPr>
              <w:t>WAW-101</w:t>
            </w:r>
          </w:p>
        </w:tc>
        <w:tc>
          <w:tcPr>
            <w:tcW w:w="630" w:type="pct"/>
            <w:vAlign w:val="center"/>
          </w:tcPr>
          <w:p>
            <w:pPr>
              <w:pStyle w:val="182"/>
              <w:bidi w:val="0"/>
              <w:rPr>
                <w:rFonts w:hint="default" w:eastAsia="宋体"/>
                <w:color w:val="auto"/>
                <w:lang w:val="en-US" w:eastAsia="zh-CN"/>
              </w:rPr>
            </w:pPr>
            <w:r>
              <w:rPr>
                <w:rFonts w:hint="eastAsia"/>
                <w:color w:val="auto"/>
                <w:lang w:val="en-US" w:eastAsia="zh-CN"/>
              </w:rPr>
              <w:t>756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14</w:t>
            </w:r>
          </w:p>
        </w:tc>
        <w:tc>
          <w:tcPr>
            <w:tcW w:w="1499" w:type="pct"/>
            <w:gridSpan w:val="3"/>
            <w:vAlign w:val="center"/>
          </w:tcPr>
          <w:p>
            <w:pPr>
              <w:pStyle w:val="182"/>
              <w:bidi w:val="0"/>
              <w:rPr>
                <w:color w:val="auto"/>
              </w:rPr>
            </w:pPr>
            <w:r>
              <w:rPr>
                <w:rFonts w:hint="eastAsia"/>
                <w:color w:val="auto"/>
              </w:rPr>
              <w:t>SM 系统</w:t>
            </w:r>
          </w:p>
        </w:tc>
        <w:tc>
          <w:tcPr>
            <w:tcW w:w="2556" w:type="pct"/>
            <w:vAlign w:val="bottom"/>
          </w:tcPr>
          <w:p>
            <w:pPr>
              <w:pStyle w:val="182"/>
              <w:bidi w:val="0"/>
              <w:rPr>
                <w:color w:val="auto"/>
              </w:rPr>
            </w:pPr>
            <w:r>
              <w:rPr>
                <w:rFonts w:hint="eastAsia"/>
                <w:color w:val="auto"/>
              </w:rPr>
              <w:t>/</w:t>
            </w:r>
          </w:p>
        </w:tc>
        <w:tc>
          <w:tcPr>
            <w:tcW w:w="630" w:type="pct"/>
            <w:vAlign w:val="center"/>
          </w:tcPr>
          <w:p>
            <w:pPr>
              <w:pStyle w:val="182"/>
              <w:bidi w:val="0"/>
              <w:rPr>
                <w:rFonts w:hint="eastAsia" w:eastAsia="宋体"/>
                <w:color w:val="auto"/>
                <w:lang w:eastAsia="zh-CN"/>
              </w:rPr>
            </w:pPr>
            <w:r>
              <w:rPr>
                <w:rFonts w:hint="eastAsia"/>
                <w:color w:val="auto"/>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15</w:t>
            </w:r>
          </w:p>
        </w:tc>
        <w:tc>
          <w:tcPr>
            <w:tcW w:w="1499" w:type="pct"/>
            <w:gridSpan w:val="3"/>
            <w:vAlign w:val="center"/>
          </w:tcPr>
          <w:p>
            <w:pPr>
              <w:pStyle w:val="182"/>
              <w:bidi w:val="0"/>
              <w:rPr>
                <w:color w:val="auto"/>
              </w:rPr>
            </w:pPr>
            <w:r>
              <w:rPr>
                <w:rFonts w:hint="eastAsia"/>
                <w:color w:val="auto"/>
              </w:rPr>
              <w:t>分级设备</w:t>
            </w:r>
          </w:p>
        </w:tc>
        <w:tc>
          <w:tcPr>
            <w:tcW w:w="2556" w:type="pct"/>
            <w:vAlign w:val="bottom"/>
          </w:tcPr>
          <w:p>
            <w:pPr>
              <w:pStyle w:val="182"/>
              <w:bidi w:val="0"/>
              <w:rPr>
                <w:color w:val="auto"/>
              </w:rPr>
            </w:pPr>
            <w:r>
              <w:rPr>
                <w:rFonts w:hint="eastAsia"/>
                <w:color w:val="auto"/>
              </w:rPr>
              <w:t>/</w:t>
            </w:r>
          </w:p>
        </w:tc>
        <w:tc>
          <w:tcPr>
            <w:tcW w:w="630" w:type="pct"/>
            <w:vAlign w:val="center"/>
          </w:tcPr>
          <w:p>
            <w:pPr>
              <w:pStyle w:val="182"/>
              <w:bidi w:val="0"/>
              <w:rPr>
                <w:rFonts w:hint="eastAsia" w:eastAsia="宋体"/>
                <w:color w:val="auto"/>
                <w:lang w:eastAsia="zh-CN"/>
              </w:rPr>
            </w:pPr>
            <w:r>
              <w:rPr>
                <w:rFonts w:hint="eastAsia"/>
                <w:color w:val="auto"/>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16</w:t>
            </w:r>
          </w:p>
        </w:tc>
        <w:tc>
          <w:tcPr>
            <w:tcW w:w="1499" w:type="pct"/>
            <w:gridSpan w:val="3"/>
            <w:vAlign w:val="center"/>
          </w:tcPr>
          <w:p>
            <w:pPr>
              <w:pStyle w:val="182"/>
              <w:bidi w:val="0"/>
              <w:rPr>
                <w:color w:val="auto"/>
              </w:rPr>
            </w:pPr>
            <w:r>
              <w:rPr>
                <w:rFonts w:hint="eastAsia"/>
                <w:color w:val="auto"/>
              </w:rPr>
              <w:t>溶剂精制系统</w:t>
            </w:r>
          </w:p>
        </w:tc>
        <w:tc>
          <w:tcPr>
            <w:tcW w:w="2556" w:type="pct"/>
            <w:vAlign w:val="bottom"/>
          </w:tcPr>
          <w:p>
            <w:pPr>
              <w:pStyle w:val="182"/>
              <w:bidi w:val="0"/>
              <w:rPr>
                <w:color w:val="auto"/>
              </w:rPr>
            </w:pPr>
            <w:r>
              <w:rPr>
                <w:rFonts w:hint="eastAsia"/>
                <w:color w:val="auto"/>
              </w:rPr>
              <w:t>含3个精馏塔和1个DMAC回收装置</w:t>
            </w:r>
          </w:p>
        </w:tc>
        <w:tc>
          <w:tcPr>
            <w:tcW w:w="630" w:type="pct"/>
            <w:vAlign w:val="center"/>
          </w:tcPr>
          <w:p>
            <w:pPr>
              <w:pStyle w:val="182"/>
              <w:bidi w:val="0"/>
              <w:rPr>
                <w:rFonts w:hint="eastAsia" w:eastAsia="宋体"/>
                <w:color w:val="auto"/>
                <w:lang w:eastAsia="zh-CN"/>
              </w:rPr>
            </w:pPr>
            <w:r>
              <w:rPr>
                <w:rFonts w:hint="eastAsia"/>
                <w:color w:va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17</w:t>
            </w:r>
          </w:p>
        </w:tc>
        <w:tc>
          <w:tcPr>
            <w:tcW w:w="1499" w:type="pct"/>
            <w:gridSpan w:val="3"/>
            <w:vAlign w:val="center"/>
          </w:tcPr>
          <w:p>
            <w:pPr>
              <w:pStyle w:val="182"/>
              <w:bidi w:val="0"/>
              <w:rPr>
                <w:color w:val="auto"/>
              </w:rPr>
            </w:pPr>
            <w:r>
              <w:rPr>
                <w:rFonts w:hint="eastAsia"/>
                <w:color w:val="auto"/>
              </w:rPr>
              <w:t>超声波清洗机</w:t>
            </w:r>
          </w:p>
        </w:tc>
        <w:tc>
          <w:tcPr>
            <w:tcW w:w="2556" w:type="pct"/>
            <w:vAlign w:val="bottom"/>
          </w:tcPr>
          <w:p>
            <w:pPr>
              <w:pStyle w:val="182"/>
              <w:bidi w:val="0"/>
              <w:rPr>
                <w:color w:val="auto"/>
              </w:rPr>
            </w:pPr>
            <w:r>
              <w:rPr>
                <w:rFonts w:hint="eastAsia"/>
                <w:color w:val="auto"/>
              </w:rPr>
              <w:t>ATLAS-3015</w:t>
            </w:r>
          </w:p>
        </w:tc>
        <w:tc>
          <w:tcPr>
            <w:tcW w:w="630" w:type="pct"/>
            <w:vAlign w:val="center"/>
          </w:tcPr>
          <w:p>
            <w:pPr>
              <w:pStyle w:val="182"/>
              <w:bidi w:val="0"/>
              <w:rPr>
                <w:rFonts w:hint="eastAsia" w:eastAsia="宋体"/>
                <w:color w:val="auto"/>
                <w:lang w:eastAsia="zh-CN"/>
              </w:rPr>
            </w:pPr>
            <w:r>
              <w:rPr>
                <w:rFonts w:hint="eastAsia"/>
                <w:color w:val="auto"/>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18</w:t>
            </w:r>
          </w:p>
        </w:tc>
        <w:tc>
          <w:tcPr>
            <w:tcW w:w="1499" w:type="pct"/>
            <w:gridSpan w:val="3"/>
            <w:vAlign w:val="center"/>
          </w:tcPr>
          <w:p>
            <w:pPr>
              <w:pStyle w:val="182"/>
              <w:bidi w:val="0"/>
              <w:rPr>
                <w:color w:val="auto"/>
              </w:rPr>
            </w:pPr>
            <w:r>
              <w:rPr>
                <w:rFonts w:hint="eastAsia"/>
                <w:color w:val="auto"/>
              </w:rPr>
              <w:t>DCS 控制系统</w:t>
            </w:r>
          </w:p>
        </w:tc>
        <w:tc>
          <w:tcPr>
            <w:tcW w:w="2556" w:type="pct"/>
            <w:vAlign w:val="bottom"/>
          </w:tcPr>
          <w:p>
            <w:pPr>
              <w:pStyle w:val="182"/>
              <w:bidi w:val="0"/>
              <w:rPr>
                <w:color w:val="auto"/>
              </w:rPr>
            </w:pPr>
            <w:r>
              <w:rPr>
                <w:rFonts w:hint="eastAsia"/>
                <w:color w:val="auto"/>
              </w:rPr>
              <w:t>/</w:t>
            </w:r>
          </w:p>
        </w:tc>
        <w:tc>
          <w:tcPr>
            <w:tcW w:w="630" w:type="pct"/>
            <w:vAlign w:val="center"/>
          </w:tcPr>
          <w:p>
            <w:pPr>
              <w:pStyle w:val="182"/>
              <w:bidi w:val="0"/>
              <w:rPr>
                <w:rFonts w:hint="eastAsia" w:eastAsia="宋体"/>
                <w:color w:val="auto"/>
                <w:lang w:eastAsia="zh-CN"/>
              </w:rPr>
            </w:pPr>
            <w:r>
              <w:rPr>
                <w:rFonts w:hint="eastAsia"/>
                <w:color w:va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19</w:t>
            </w:r>
          </w:p>
        </w:tc>
        <w:tc>
          <w:tcPr>
            <w:tcW w:w="1499" w:type="pct"/>
            <w:gridSpan w:val="3"/>
            <w:vAlign w:val="center"/>
          </w:tcPr>
          <w:p>
            <w:pPr>
              <w:pStyle w:val="182"/>
              <w:bidi w:val="0"/>
              <w:rPr>
                <w:color w:val="auto"/>
              </w:rPr>
            </w:pPr>
            <w:r>
              <w:rPr>
                <w:rFonts w:hint="eastAsia"/>
                <w:color w:val="auto"/>
              </w:rPr>
              <w:t>制氮系统</w:t>
            </w:r>
          </w:p>
        </w:tc>
        <w:tc>
          <w:tcPr>
            <w:tcW w:w="2556" w:type="pct"/>
            <w:vAlign w:val="bottom"/>
          </w:tcPr>
          <w:p>
            <w:pPr>
              <w:pStyle w:val="182"/>
              <w:bidi w:val="0"/>
              <w:rPr>
                <w:color w:val="auto"/>
              </w:rPr>
            </w:pPr>
            <w:r>
              <w:rPr>
                <w:rFonts w:hint="eastAsia"/>
                <w:color w:val="auto"/>
              </w:rPr>
              <w:t>/</w:t>
            </w:r>
          </w:p>
        </w:tc>
        <w:tc>
          <w:tcPr>
            <w:tcW w:w="630" w:type="pct"/>
            <w:vAlign w:val="center"/>
          </w:tcPr>
          <w:p>
            <w:pPr>
              <w:pStyle w:val="182"/>
              <w:bidi w:val="0"/>
              <w:rPr>
                <w:rFonts w:hint="eastAsia" w:eastAsia="宋体"/>
                <w:color w:val="auto"/>
                <w:lang w:eastAsia="zh-CN"/>
              </w:rPr>
            </w:pPr>
            <w:r>
              <w:rPr>
                <w:rFonts w:hint="eastAsia"/>
                <w:color w:va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20</w:t>
            </w:r>
          </w:p>
        </w:tc>
        <w:tc>
          <w:tcPr>
            <w:tcW w:w="1499" w:type="pct"/>
            <w:gridSpan w:val="3"/>
            <w:vAlign w:val="center"/>
          </w:tcPr>
          <w:p>
            <w:pPr>
              <w:pStyle w:val="182"/>
              <w:bidi w:val="0"/>
              <w:rPr>
                <w:color w:val="auto"/>
              </w:rPr>
            </w:pPr>
            <w:r>
              <w:rPr>
                <w:rFonts w:hint="eastAsia"/>
                <w:color w:val="auto"/>
              </w:rPr>
              <w:t>冷媒系统</w:t>
            </w:r>
          </w:p>
        </w:tc>
        <w:tc>
          <w:tcPr>
            <w:tcW w:w="2556" w:type="pct"/>
            <w:vAlign w:val="bottom"/>
          </w:tcPr>
          <w:p>
            <w:pPr>
              <w:pStyle w:val="182"/>
              <w:bidi w:val="0"/>
              <w:rPr>
                <w:color w:val="auto"/>
              </w:rPr>
            </w:pPr>
            <w:r>
              <w:rPr>
                <w:rFonts w:hint="eastAsia"/>
                <w:color w:val="auto"/>
              </w:rPr>
              <w:t>/</w:t>
            </w:r>
          </w:p>
        </w:tc>
        <w:tc>
          <w:tcPr>
            <w:tcW w:w="630" w:type="pct"/>
            <w:vAlign w:val="center"/>
          </w:tcPr>
          <w:p>
            <w:pPr>
              <w:pStyle w:val="182"/>
              <w:bidi w:val="0"/>
              <w:rPr>
                <w:rFonts w:hint="eastAsia" w:eastAsia="宋体"/>
                <w:color w:val="auto"/>
                <w:lang w:eastAsia="zh-CN"/>
              </w:rPr>
            </w:pPr>
            <w:r>
              <w:rPr>
                <w:rFonts w:hint="eastAsia"/>
                <w:color w:val="auto"/>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color w:val="auto"/>
              </w:rPr>
            </w:pPr>
            <w:r>
              <w:rPr>
                <w:rFonts w:hint="eastAsia"/>
                <w:color w:val="auto"/>
              </w:rPr>
              <w:t>年产2万吨生物质纤维素项目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w:t>
            </w:r>
          </w:p>
        </w:tc>
        <w:tc>
          <w:tcPr>
            <w:tcW w:w="565" w:type="pct"/>
            <w:gridSpan w:val="2"/>
            <w:vMerge w:val="restart"/>
            <w:vAlign w:val="center"/>
          </w:tcPr>
          <w:p>
            <w:pPr>
              <w:pStyle w:val="182"/>
              <w:bidi w:val="0"/>
              <w:rPr>
                <w:color w:val="auto"/>
              </w:rPr>
            </w:pPr>
            <w:r>
              <w:rPr>
                <w:rFonts w:hint="eastAsia"/>
                <w:color w:val="auto"/>
              </w:rPr>
              <w:t>原液</w:t>
            </w:r>
          </w:p>
          <w:p>
            <w:pPr>
              <w:pStyle w:val="182"/>
              <w:bidi w:val="0"/>
              <w:rPr>
                <w:color w:val="auto"/>
              </w:rPr>
            </w:pPr>
            <w:r>
              <w:rPr>
                <w:rFonts w:hint="eastAsia"/>
                <w:color w:val="auto"/>
              </w:rPr>
              <w:t>车间（利用4万吨高湿模量短纤维工程原液生产车间并对现有原液车间内部分设备进行升级改造）</w:t>
            </w:r>
          </w:p>
        </w:tc>
        <w:tc>
          <w:tcPr>
            <w:tcW w:w="933" w:type="pct"/>
            <w:vAlign w:val="center"/>
          </w:tcPr>
          <w:p>
            <w:pPr>
              <w:pStyle w:val="182"/>
              <w:bidi w:val="0"/>
              <w:rPr>
                <w:color w:val="auto"/>
              </w:rPr>
            </w:pPr>
            <w:r>
              <w:rPr>
                <w:rFonts w:hint="eastAsia"/>
                <w:color w:val="auto"/>
              </w:rPr>
              <w:t>喂粕机</w:t>
            </w:r>
          </w:p>
        </w:tc>
        <w:tc>
          <w:tcPr>
            <w:tcW w:w="2556" w:type="pct"/>
            <w:vAlign w:val="center"/>
          </w:tcPr>
          <w:p>
            <w:pPr>
              <w:pStyle w:val="182"/>
              <w:bidi w:val="0"/>
              <w:rPr>
                <w:color w:val="auto"/>
              </w:rPr>
            </w:pPr>
            <w:r>
              <w:rPr>
                <w:color w:val="auto"/>
              </w:rPr>
              <w:t>P091</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2</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浸渍桶</w:t>
            </w:r>
          </w:p>
        </w:tc>
        <w:tc>
          <w:tcPr>
            <w:tcW w:w="2556" w:type="pct"/>
            <w:vAlign w:val="center"/>
          </w:tcPr>
          <w:p>
            <w:pPr>
              <w:pStyle w:val="182"/>
              <w:bidi w:val="0"/>
              <w:rPr>
                <w:color w:val="auto"/>
              </w:rPr>
            </w:pPr>
            <w:r>
              <w:rPr>
                <w:color w:val="auto"/>
              </w:rPr>
              <w:t>R021B</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3</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压榨粉碎联合机</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4</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冷却机</w:t>
            </w:r>
          </w:p>
        </w:tc>
        <w:tc>
          <w:tcPr>
            <w:tcW w:w="2556" w:type="pct"/>
            <w:vAlign w:val="center"/>
          </w:tcPr>
          <w:p>
            <w:pPr>
              <w:pStyle w:val="182"/>
              <w:bidi w:val="0"/>
              <w:rPr>
                <w:color w:val="auto"/>
              </w:rPr>
            </w:pPr>
            <w:r>
              <w:rPr>
                <w:color w:val="auto"/>
              </w:rPr>
              <w:t>ZHR115</w:t>
            </w:r>
          </w:p>
        </w:tc>
        <w:tc>
          <w:tcPr>
            <w:tcW w:w="630" w:type="pct"/>
            <w:vAlign w:val="center"/>
          </w:tcPr>
          <w:p>
            <w:pPr>
              <w:pStyle w:val="182"/>
              <w:bidi w:val="0"/>
              <w:rPr>
                <w:color w:val="auto"/>
              </w:rPr>
            </w:pPr>
            <w:r>
              <w:rPr>
                <w:rFonts w:hint="eastAsia"/>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5</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黄化机</w:t>
            </w:r>
          </w:p>
        </w:tc>
        <w:tc>
          <w:tcPr>
            <w:tcW w:w="2556" w:type="pct"/>
            <w:vAlign w:val="center"/>
          </w:tcPr>
          <w:p>
            <w:pPr>
              <w:pStyle w:val="182"/>
              <w:bidi w:val="0"/>
              <w:rPr>
                <w:color w:val="auto"/>
              </w:rPr>
            </w:pPr>
            <w:r>
              <w:rPr>
                <w:color w:val="auto"/>
              </w:rPr>
              <w:t>ZHR133A</w:t>
            </w:r>
          </w:p>
        </w:tc>
        <w:tc>
          <w:tcPr>
            <w:tcW w:w="630" w:type="pct"/>
            <w:vAlign w:val="center"/>
          </w:tcPr>
          <w:p>
            <w:pPr>
              <w:pStyle w:val="182"/>
              <w:bidi w:val="0"/>
              <w:rPr>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6</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后溶解机</w:t>
            </w:r>
          </w:p>
        </w:tc>
        <w:tc>
          <w:tcPr>
            <w:tcW w:w="2556" w:type="pct"/>
            <w:vAlign w:val="center"/>
          </w:tcPr>
          <w:p>
            <w:pPr>
              <w:pStyle w:val="182"/>
              <w:bidi w:val="0"/>
              <w:rPr>
                <w:color w:val="auto"/>
              </w:rPr>
            </w:pPr>
            <w:r>
              <w:rPr>
                <w:color w:val="auto"/>
              </w:rPr>
              <w:t>H1151A</w:t>
            </w:r>
          </w:p>
        </w:tc>
        <w:tc>
          <w:tcPr>
            <w:tcW w:w="630" w:type="pct"/>
            <w:vAlign w:val="center"/>
          </w:tcPr>
          <w:p>
            <w:pPr>
              <w:pStyle w:val="182"/>
              <w:bidi w:val="0"/>
              <w:rPr>
                <w:color w:val="auto"/>
              </w:rPr>
            </w:pPr>
            <w:r>
              <w:rPr>
                <w:rFonts w:hint="eastAsia"/>
                <w:color w:val="auto"/>
              </w:rPr>
              <w:t>1</w:t>
            </w: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7</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研磨机</w:t>
            </w:r>
          </w:p>
        </w:tc>
        <w:tc>
          <w:tcPr>
            <w:tcW w:w="2556" w:type="pct"/>
            <w:vAlign w:val="center"/>
          </w:tcPr>
          <w:p>
            <w:pPr>
              <w:pStyle w:val="182"/>
              <w:bidi w:val="0"/>
              <w:rPr>
                <w:color w:val="auto"/>
              </w:rPr>
            </w:pPr>
            <w:r>
              <w:rPr>
                <w:color w:val="auto"/>
              </w:rPr>
              <w:t>ZHR183</w:t>
            </w:r>
          </w:p>
        </w:tc>
        <w:tc>
          <w:tcPr>
            <w:tcW w:w="630" w:type="pct"/>
            <w:vAlign w:val="center"/>
          </w:tcPr>
          <w:p>
            <w:pPr>
              <w:pStyle w:val="182"/>
              <w:bidi w:val="0"/>
              <w:rPr>
                <w:color w:val="auto"/>
              </w:rPr>
            </w:pPr>
            <w:r>
              <w:rPr>
                <w:rFonts w:hint="eastAsia"/>
                <w:color w:val="auto"/>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12" w:type="pct"/>
            <w:vAlign w:val="center"/>
          </w:tcPr>
          <w:p>
            <w:pPr>
              <w:pStyle w:val="182"/>
              <w:bidi w:val="0"/>
              <w:rPr>
                <w:rFonts w:hint="eastAsia" w:eastAsia="宋体"/>
                <w:color w:val="auto"/>
                <w:lang w:val="en-US" w:eastAsia="zh-CN"/>
              </w:rPr>
            </w:pPr>
            <w:r>
              <w:rPr>
                <w:rFonts w:hint="eastAsia"/>
                <w:color w:val="auto"/>
                <w:lang w:val="en-US" w:eastAsia="zh-CN"/>
              </w:rPr>
              <w:t>8</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脱泡桶</w:t>
            </w:r>
          </w:p>
        </w:tc>
        <w:tc>
          <w:tcPr>
            <w:tcW w:w="2556" w:type="pct"/>
            <w:vAlign w:val="center"/>
          </w:tcPr>
          <w:p>
            <w:pPr>
              <w:pStyle w:val="182"/>
              <w:bidi w:val="0"/>
              <w:rPr>
                <w:color w:val="auto"/>
              </w:rPr>
            </w:pPr>
            <w:r>
              <w:rPr>
                <w:color w:val="auto"/>
              </w:rPr>
              <w:t>ZHR235</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9</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ascii="宋体" w:hAnsi="宋体" w:eastAsia="宋体" w:cs="宋体"/>
                <w:color w:val="auto"/>
              </w:rPr>
              <w:t>Ⅰ</w:t>
            </w:r>
            <w:r>
              <w:rPr>
                <w:rFonts w:hint="eastAsia"/>
                <w:color w:val="auto"/>
              </w:rPr>
              <w:t>、</w:t>
            </w:r>
            <w:r>
              <w:rPr>
                <w:color w:val="auto"/>
              </w:rPr>
              <w:fldChar w:fldCharType="begin"/>
            </w:r>
            <w:r>
              <w:rPr>
                <w:color w:val="auto"/>
              </w:rPr>
              <w:instrText xml:space="preserve"> = 2 \* ROMAN </w:instrText>
            </w:r>
            <w:r>
              <w:rPr>
                <w:color w:val="auto"/>
              </w:rPr>
              <w:fldChar w:fldCharType="separate"/>
            </w:r>
            <w:r>
              <w:rPr>
                <w:color w:val="auto"/>
              </w:rPr>
              <w:t>II</w:t>
            </w:r>
            <w:r>
              <w:rPr>
                <w:color w:val="auto"/>
              </w:rPr>
              <w:fldChar w:fldCharType="end"/>
            </w:r>
            <w:r>
              <w:rPr>
                <w:rFonts w:hint="eastAsia"/>
                <w:color w:val="auto"/>
              </w:rPr>
              <w:t>道过滤机</w:t>
            </w:r>
          </w:p>
        </w:tc>
        <w:tc>
          <w:tcPr>
            <w:tcW w:w="2556" w:type="pct"/>
            <w:vAlign w:val="center"/>
          </w:tcPr>
          <w:p>
            <w:pPr>
              <w:pStyle w:val="182"/>
              <w:bidi w:val="0"/>
              <w:rPr>
                <w:color w:val="auto"/>
              </w:rPr>
            </w:pPr>
            <w:r>
              <w:rPr>
                <w:color w:val="auto"/>
              </w:rPr>
              <w:t>M123</w:t>
            </w:r>
            <w:r>
              <w:rPr>
                <w:rFonts w:hint="eastAsia"/>
                <w:color w:val="auto"/>
              </w:rPr>
              <w:t>，过滤面积</w:t>
            </w:r>
            <w:r>
              <w:rPr>
                <w:color w:val="auto"/>
              </w:rPr>
              <w:t>1.72m</w:t>
            </w:r>
            <w:r>
              <w:rPr>
                <w:color w:val="auto"/>
                <w:vertAlign w:val="superscript"/>
              </w:rPr>
              <w:t>2</w:t>
            </w:r>
            <w:r>
              <w:rPr>
                <w:rFonts w:hint="eastAsia"/>
                <w:color w:val="auto"/>
              </w:rPr>
              <w:t>，滤径1</w:t>
            </w:r>
            <w:r>
              <w:rPr>
                <w:color w:val="auto"/>
              </w:rPr>
              <w:t>5μ</w:t>
            </w:r>
            <w:r>
              <w:rPr>
                <w:rFonts w:hint="eastAsia"/>
                <w:color w:val="auto"/>
              </w:rPr>
              <w:t>m</w:t>
            </w:r>
          </w:p>
        </w:tc>
        <w:tc>
          <w:tcPr>
            <w:tcW w:w="630" w:type="pct"/>
            <w:vAlign w:val="center"/>
          </w:tcPr>
          <w:p>
            <w:pPr>
              <w:pStyle w:val="182"/>
              <w:bidi w:val="0"/>
              <w:rPr>
                <w:color w:val="auto"/>
              </w:rPr>
            </w:pPr>
            <w:r>
              <w:rPr>
                <w:rFonts w:hint="eastAsia"/>
                <w:color w:val="auto"/>
              </w:rPr>
              <w:t>1</w:t>
            </w:r>
            <w:r>
              <w:rPr>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0</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color w:val="auto"/>
              </w:rPr>
              <w:fldChar w:fldCharType="begin"/>
            </w:r>
            <w:r>
              <w:rPr>
                <w:color w:val="auto"/>
              </w:rPr>
              <w:instrText xml:space="preserve"> = 3 \* ROMAN </w:instrText>
            </w:r>
            <w:r>
              <w:rPr>
                <w:color w:val="auto"/>
              </w:rPr>
              <w:fldChar w:fldCharType="separate"/>
            </w:r>
            <w:r>
              <w:rPr>
                <w:color w:val="auto"/>
              </w:rPr>
              <w:t>III</w:t>
            </w:r>
            <w:r>
              <w:rPr>
                <w:color w:val="auto"/>
              </w:rPr>
              <w:fldChar w:fldCharType="end"/>
            </w:r>
            <w:r>
              <w:rPr>
                <w:rFonts w:hint="eastAsia"/>
                <w:color w:val="auto"/>
              </w:rPr>
              <w:t>道过滤机</w:t>
            </w:r>
          </w:p>
        </w:tc>
        <w:tc>
          <w:tcPr>
            <w:tcW w:w="2556" w:type="pct"/>
            <w:vAlign w:val="center"/>
          </w:tcPr>
          <w:p>
            <w:pPr>
              <w:pStyle w:val="182"/>
              <w:bidi w:val="0"/>
              <w:rPr>
                <w:color w:val="auto"/>
              </w:rPr>
            </w:pPr>
            <w:r>
              <w:rPr>
                <w:color w:val="auto"/>
              </w:rPr>
              <w:t>R241D</w:t>
            </w:r>
            <w:r>
              <w:rPr>
                <w:rFonts w:hint="eastAsia"/>
                <w:color w:val="auto"/>
              </w:rPr>
              <w:t>，有效过滤面积</w:t>
            </w:r>
            <w:r>
              <w:rPr>
                <w:color w:val="auto"/>
              </w:rPr>
              <w:t>50m</w:t>
            </w:r>
            <w:r>
              <w:rPr>
                <w:color w:val="auto"/>
                <w:vertAlign w:val="superscript"/>
              </w:rPr>
              <w:t>2</w:t>
            </w:r>
          </w:p>
        </w:tc>
        <w:tc>
          <w:tcPr>
            <w:tcW w:w="630" w:type="pct"/>
            <w:vAlign w:val="center"/>
          </w:tcPr>
          <w:p>
            <w:pPr>
              <w:pStyle w:val="182"/>
              <w:bidi w:val="0"/>
              <w:rPr>
                <w:color w:val="auto"/>
              </w:rPr>
            </w:pPr>
            <w:r>
              <w:rPr>
                <w:rFonts w:hint="eastAsia"/>
                <w:color w:val="auto"/>
              </w:rPr>
              <w:t>1</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1</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废胶过滤机</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2</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板式换热器</w:t>
            </w:r>
          </w:p>
        </w:tc>
        <w:tc>
          <w:tcPr>
            <w:tcW w:w="2556" w:type="pct"/>
            <w:vAlign w:val="center"/>
          </w:tcPr>
          <w:p>
            <w:pPr>
              <w:pStyle w:val="182"/>
              <w:bidi w:val="0"/>
              <w:rPr>
                <w:color w:val="auto"/>
              </w:rPr>
            </w:pPr>
            <w:r>
              <w:rPr>
                <w:color w:val="auto"/>
              </w:rPr>
              <w:t>BRB08-100</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3</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真空机组</w:t>
            </w:r>
          </w:p>
        </w:tc>
        <w:tc>
          <w:tcPr>
            <w:tcW w:w="2556" w:type="pct"/>
            <w:vAlign w:val="center"/>
          </w:tcPr>
          <w:p>
            <w:pPr>
              <w:pStyle w:val="182"/>
              <w:bidi w:val="0"/>
              <w:rPr>
                <w:color w:val="auto"/>
              </w:rPr>
            </w:pPr>
            <w:r>
              <w:rPr>
                <w:color w:val="auto"/>
              </w:rPr>
              <w:t>JZJS300</w:t>
            </w:r>
          </w:p>
        </w:tc>
        <w:tc>
          <w:tcPr>
            <w:tcW w:w="630" w:type="pct"/>
            <w:vAlign w:val="center"/>
          </w:tcPr>
          <w:p>
            <w:pPr>
              <w:pStyle w:val="182"/>
              <w:bidi w:val="0"/>
              <w:rPr>
                <w:color w:val="auto"/>
              </w:rPr>
            </w:pPr>
            <w:r>
              <w:rPr>
                <w:rFonts w:hint="eastAsia"/>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4</w:t>
            </w:r>
          </w:p>
        </w:tc>
        <w:tc>
          <w:tcPr>
            <w:tcW w:w="565" w:type="pct"/>
            <w:gridSpan w:val="2"/>
            <w:vMerge w:val="restart"/>
            <w:vAlign w:val="center"/>
          </w:tcPr>
          <w:p>
            <w:pPr>
              <w:pStyle w:val="182"/>
              <w:bidi w:val="0"/>
              <w:rPr>
                <w:color w:val="auto"/>
              </w:rPr>
            </w:pPr>
            <w:r>
              <w:rPr>
                <w:rFonts w:hint="eastAsia"/>
                <w:color w:val="auto"/>
              </w:rPr>
              <w:t>酸站（利用年产4万吨高湿模量粘胶短纤维项目酸站车间及设备）</w:t>
            </w:r>
          </w:p>
        </w:tc>
        <w:tc>
          <w:tcPr>
            <w:tcW w:w="933" w:type="pct"/>
            <w:vAlign w:val="center"/>
          </w:tcPr>
          <w:p>
            <w:pPr>
              <w:pStyle w:val="182"/>
              <w:bidi w:val="0"/>
              <w:rPr>
                <w:color w:val="auto"/>
              </w:rPr>
            </w:pPr>
            <w:r>
              <w:rPr>
                <w:rFonts w:hint="eastAsia"/>
                <w:color w:val="auto"/>
              </w:rPr>
              <w:t>酸浴加热器</w:t>
            </w:r>
          </w:p>
        </w:tc>
        <w:tc>
          <w:tcPr>
            <w:tcW w:w="2556" w:type="pct"/>
            <w:vAlign w:val="center"/>
          </w:tcPr>
          <w:p>
            <w:pPr>
              <w:pStyle w:val="182"/>
              <w:bidi w:val="0"/>
              <w:rPr>
                <w:color w:val="auto"/>
              </w:rPr>
            </w:pPr>
            <w:r>
              <w:rPr>
                <w:color w:val="auto"/>
              </w:rPr>
              <w:t>UR042A-86</w:t>
            </w:r>
          </w:p>
        </w:tc>
        <w:tc>
          <w:tcPr>
            <w:tcW w:w="630"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5</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脱气加热器</w:t>
            </w:r>
          </w:p>
        </w:tc>
        <w:tc>
          <w:tcPr>
            <w:tcW w:w="2556" w:type="pct"/>
            <w:vAlign w:val="center"/>
          </w:tcPr>
          <w:p>
            <w:pPr>
              <w:pStyle w:val="182"/>
              <w:bidi w:val="0"/>
              <w:rPr>
                <w:color w:val="auto"/>
              </w:rPr>
            </w:pPr>
            <w:r>
              <w:rPr>
                <w:color w:val="auto"/>
              </w:rPr>
              <w:t>UR473B</w:t>
            </w:r>
            <w:r>
              <w:rPr>
                <w:rFonts w:hint="eastAsia"/>
                <w:color w:val="auto"/>
              </w:rPr>
              <w:t>，</w:t>
            </w:r>
            <w:r>
              <w:rPr>
                <w:color w:val="auto"/>
              </w:rPr>
              <w:t>∅1000×3000</w:t>
            </w:r>
            <w:r>
              <w:rPr>
                <w:rFonts w:hint="eastAsia"/>
                <w:color w:val="auto"/>
              </w:rPr>
              <w:t>，</w:t>
            </w:r>
            <w:r>
              <w:rPr>
                <w:color w:val="auto"/>
              </w:rPr>
              <w:t>54m</w:t>
            </w:r>
            <w:r>
              <w:rPr>
                <w:color w:val="auto"/>
                <w:vertAlign w:val="superscript"/>
              </w:rPr>
              <w:t>2</w:t>
            </w:r>
          </w:p>
        </w:tc>
        <w:tc>
          <w:tcPr>
            <w:tcW w:w="630"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6</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板式换热器</w:t>
            </w:r>
          </w:p>
        </w:tc>
        <w:tc>
          <w:tcPr>
            <w:tcW w:w="2556" w:type="pct"/>
            <w:vAlign w:val="center"/>
          </w:tcPr>
          <w:p>
            <w:pPr>
              <w:pStyle w:val="182"/>
              <w:bidi w:val="0"/>
              <w:rPr>
                <w:color w:val="auto"/>
              </w:rPr>
            </w:pPr>
            <w:r>
              <w:rPr>
                <w:rFonts w:hint="eastAsia"/>
                <w:color w:val="auto"/>
              </w:rPr>
              <w:t>BEB0.75-70，190m</w:t>
            </w:r>
            <w:r>
              <w:rPr>
                <w:rFonts w:hint="eastAsia"/>
                <w:color w:val="auto"/>
                <w:vertAlign w:val="superscript"/>
              </w:rPr>
              <w:t>3</w:t>
            </w:r>
            <w:r>
              <w:rPr>
                <w:rFonts w:hint="eastAsia"/>
                <w:color w:val="auto"/>
              </w:rPr>
              <w:t>/h</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7</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酸浴过滤器</w:t>
            </w:r>
          </w:p>
        </w:tc>
        <w:tc>
          <w:tcPr>
            <w:tcW w:w="2556" w:type="pct"/>
            <w:vAlign w:val="center"/>
          </w:tcPr>
          <w:p>
            <w:pPr>
              <w:pStyle w:val="182"/>
              <w:bidi w:val="0"/>
              <w:rPr>
                <w:color w:val="auto"/>
              </w:rPr>
            </w:pPr>
            <w:r>
              <w:rPr>
                <w:color w:val="auto"/>
              </w:rPr>
              <w:t>UR021B-300</w:t>
            </w:r>
          </w:p>
        </w:tc>
        <w:tc>
          <w:tcPr>
            <w:tcW w:w="630" w:type="pct"/>
            <w:vAlign w:val="center"/>
          </w:tcPr>
          <w:p>
            <w:pPr>
              <w:pStyle w:val="182"/>
              <w:bidi w:val="0"/>
              <w:rPr>
                <w:color w:val="auto"/>
              </w:rPr>
            </w:pPr>
            <w:r>
              <w:rPr>
                <w:color w:val="auto"/>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18</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回酸槽</w:t>
            </w:r>
          </w:p>
        </w:tc>
        <w:tc>
          <w:tcPr>
            <w:tcW w:w="2556" w:type="pct"/>
            <w:vAlign w:val="center"/>
          </w:tcPr>
          <w:p>
            <w:pPr>
              <w:pStyle w:val="182"/>
              <w:bidi w:val="0"/>
              <w:rPr>
                <w:color w:val="auto"/>
              </w:rPr>
            </w:pPr>
            <w:r>
              <w:rPr>
                <w:color w:val="auto"/>
              </w:rPr>
              <w:t>Φ4000</w:t>
            </w:r>
            <w:r>
              <w:rPr>
                <w:rFonts w:hint="eastAsia"/>
                <w:color w:val="auto"/>
              </w:rPr>
              <w:t>，</w:t>
            </w:r>
            <w:r>
              <w:rPr>
                <w:color w:val="auto"/>
              </w:rPr>
              <w:t>40m</w:t>
            </w:r>
            <w:r>
              <w:rPr>
                <w:color w:val="auto"/>
                <w:vertAlign w:val="superscript"/>
              </w:rPr>
              <w:t>3</w:t>
            </w:r>
          </w:p>
        </w:tc>
        <w:tc>
          <w:tcPr>
            <w:tcW w:w="630" w:type="pct"/>
            <w:vAlign w:val="center"/>
          </w:tcPr>
          <w:p>
            <w:pPr>
              <w:pStyle w:val="182"/>
              <w:bidi w:val="0"/>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19</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供酸槽</w:t>
            </w:r>
          </w:p>
        </w:tc>
        <w:tc>
          <w:tcPr>
            <w:tcW w:w="2556" w:type="pct"/>
            <w:vAlign w:val="center"/>
          </w:tcPr>
          <w:p>
            <w:pPr>
              <w:pStyle w:val="182"/>
              <w:bidi w:val="0"/>
              <w:rPr>
                <w:color w:val="auto"/>
              </w:rPr>
            </w:pPr>
            <w:r>
              <w:rPr>
                <w:color w:val="auto"/>
              </w:rPr>
              <w:t>Φ4000</w:t>
            </w:r>
            <w:r>
              <w:rPr>
                <w:rFonts w:hint="eastAsia"/>
                <w:color w:val="auto"/>
              </w:rPr>
              <w:t>，</w:t>
            </w:r>
            <w:r>
              <w:rPr>
                <w:color w:val="auto"/>
              </w:rPr>
              <w:t>40m</w:t>
            </w:r>
            <w:r>
              <w:rPr>
                <w:color w:val="auto"/>
                <w:vertAlign w:val="superscript"/>
              </w:rPr>
              <w:t>3</w:t>
            </w:r>
          </w:p>
        </w:tc>
        <w:tc>
          <w:tcPr>
            <w:tcW w:w="630" w:type="pct"/>
            <w:vAlign w:val="center"/>
          </w:tcPr>
          <w:p>
            <w:pPr>
              <w:pStyle w:val="182"/>
              <w:bidi w:val="0"/>
              <w:rPr>
                <w:color w:val="auto"/>
              </w:rPr>
            </w:pP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0</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高位槽</w:t>
            </w:r>
          </w:p>
        </w:tc>
        <w:tc>
          <w:tcPr>
            <w:tcW w:w="2556" w:type="pct"/>
            <w:vAlign w:val="center"/>
          </w:tcPr>
          <w:p>
            <w:pPr>
              <w:pStyle w:val="182"/>
              <w:bidi w:val="0"/>
              <w:rPr>
                <w:color w:val="auto"/>
              </w:rPr>
            </w:pPr>
            <w:r>
              <w:rPr>
                <w:color w:val="auto"/>
              </w:rPr>
              <w:t>/</w:t>
            </w:r>
          </w:p>
        </w:tc>
        <w:tc>
          <w:tcPr>
            <w:tcW w:w="630" w:type="pct"/>
            <w:vAlign w:val="center"/>
          </w:tcPr>
          <w:p>
            <w:pPr>
              <w:pStyle w:val="182"/>
              <w:bidi w:val="0"/>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1</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闪蒸装置</w:t>
            </w:r>
          </w:p>
        </w:tc>
        <w:tc>
          <w:tcPr>
            <w:tcW w:w="2556" w:type="pct"/>
            <w:vAlign w:val="center"/>
          </w:tcPr>
          <w:p>
            <w:pPr>
              <w:pStyle w:val="182"/>
              <w:bidi w:val="0"/>
              <w:rPr>
                <w:color w:val="auto"/>
              </w:rPr>
            </w:pPr>
            <w:r>
              <w:rPr>
                <w:color w:val="auto"/>
              </w:rPr>
              <w:t>11</w:t>
            </w:r>
            <w:r>
              <w:rPr>
                <w:rFonts w:hint="eastAsia"/>
                <w:color w:val="auto"/>
              </w:rPr>
              <w:t>级</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2</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元明粉脱水机</w:t>
            </w:r>
          </w:p>
        </w:tc>
        <w:tc>
          <w:tcPr>
            <w:tcW w:w="2556" w:type="pct"/>
            <w:vAlign w:val="center"/>
          </w:tcPr>
          <w:p>
            <w:pPr>
              <w:pStyle w:val="182"/>
              <w:bidi w:val="0"/>
              <w:rPr>
                <w:color w:val="auto"/>
              </w:rPr>
            </w:pPr>
            <w:r>
              <w:rPr>
                <w:color w:val="auto"/>
              </w:rPr>
              <w:t>Φ1000</w:t>
            </w:r>
          </w:p>
        </w:tc>
        <w:tc>
          <w:tcPr>
            <w:tcW w:w="630"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3</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真空结晶机</w:t>
            </w:r>
          </w:p>
        </w:tc>
        <w:tc>
          <w:tcPr>
            <w:tcW w:w="2556" w:type="pct"/>
            <w:vAlign w:val="center"/>
          </w:tcPr>
          <w:p>
            <w:pPr>
              <w:pStyle w:val="182"/>
              <w:bidi w:val="0"/>
              <w:rPr>
                <w:color w:val="auto"/>
              </w:rPr>
            </w:pPr>
            <w:r>
              <w:rPr>
                <w:color w:val="auto"/>
              </w:rPr>
              <w:t>LKR841-4</w:t>
            </w:r>
          </w:p>
        </w:tc>
        <w:tc>
          <w:tcPr>
            <w:tcW w:w="630"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4</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焙烧装置</w:t>
            </w:r>
          </w:p>
        </w:tc>
        <w:tc>
          <w:tcPr>
            <w:tcW w:w="2556" w:type="pct"/>
            <w:vAlign w:val="center"/>
          </w:tcPr>
          <w:p>
            <w:pPr>
              <w:pStyle w:val="182"/>
              <w:bidi w:val="0"/>
              <w:rPr>
                <w:color w:val="auto"/>
              </w:rPr>
            </w:pPr>
            <w:r>
              <w:rPr>
                <w:color w:val="auto"/>
              </w:rPr>
              <w:t>LKR861</w:t>
            </w:r>
          </w:p>
        </w:tc>
        <w:tc>
          <w:tcPr>
            <w:tcW w:w="630" w:type="pct"/>
            <w:vAlign w:val="center"/>
          </w:tcPr>
          <w:p>
            <w:pPr>
              <w:pStyle w:val="182"/>
              <w:bidi w:val="0"/>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5</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脱气真空泵</w:t>
            </w:r>
          </w:p>
        </w:tc>
        <w:tc>
          <w:tcPr>
            <w:tcW w:w="2556" w:type="pct"/>
            <w:vAlign w:val="center"/>
          </w:tcPr>
          <w:p>
            <w:pPr>
              <w:pStyle w:val="182"/>
              <w:bidi w:val="0"/>
              <w:rPr>
                <w:color w:val="auto"/>
              </w:rPr>
            </w:pPr>
            <w:r>
              <w:rPr>
                <w:color w:val="auto"/>
              </w:rPr>
              <w:t>2BE-153-0</w:t>
            </w:r>
          </w:p>
        </w:tc>
        <w:tc>
          <w:tcPr>
            <w:tcW w:w="630"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6</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冷却塔</w:t>
            </w:r>
          </w:p>
        </w:tc>
        <w:tc>
          <w:tcPr>
            <w:tcW w:w="2556" w:type="pct"/>
            <w:vAlign w:val="center"/>
          </w:tcPr>
          <w:p>
            <w:pPr>
              <w:pStyle w:val="182"/>
              <w:bidi w:val="0"/>
              <w:rPr>
                <w:color w:val="auto"/>
              </w:rPr>
            </w:pPr>
            <w:r>
              <w:rPr>
                <w:color w:val="auto"/>
              </w:rPr>
              <w:t>GBNL3-400</w:t>
            </w:r>
          </w:p>
        </w:tc>
        <w:tc>
          <w:tcPr>
            <w:tcW w:w="630"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7</w:t>
            </w:r>
          </w:p>
        </w:tc>
        <w:tc>
          <w:tcPr>
            <w:tcW w:w="565" w:type="pct"/>
            <w:gridSpan w:val="2"/>
            <w:vMerge w:val="restart"/>
            <w:vAlign w:val="center"/>
          </w:tcPr>
          <w:p>
            <w:pPr>
              <w:pStyle w:val="182"/>
              <w:bidi w:val="0"/>
              <w:rPr>
                <w:color w:val="auto"/>
              </w:rPr>
            </w:pPr>
            <w:r>
              <w:rPr>
                <w:rFonts w:hint="eastAsia"/>
                <w:color w:val="auto"/>
              </w:rPr>
              <w:t>纺丝车间（利用已有）</w:t>
            </w:r>
          </w:p>
        </w:tc>
        <w:tc>
          <w:tcPr>
            <w:tcW w:w="933" w:type="pct"/>
            <w:vAlign w:val="center"/>
          </w:tcPr>
          <w:p>
            <w:pPr>
              <w:pStyle w:val="182"/>
              <w:bidi w:val="0"/>
              <w:rPr>
                <w:color w:val="auto"/>
              </w:rPr>
            </w:pPr>
            <w:r>
              <w:rPr>
                <w:rFonts w:hint="eastAsia"/>
                <w:color w:val="auto"/>
              </w:rPr>
              <w:t>中间胶罐</w:t>
            </w:r>
          </w:p>
        </w:tc>
        <w:tc>
          <w:tcPr>
            <w:tcW w:w="2556" w:type="pct"/>
            <w:vAlign w:val="center"/>
          </w:tcPr>
          <w:p>
            <w:pPr>
              <w:pStyle w:val="182"/>
              <w:bidi w:val="0"/>
              <w:rPr>
                <w:color w:val="auto"/>
              </w:rPr>
            </w:pPr>
            <w:r>
              <w:rPr>
                <w:color w:val="auto"/>
              </w:rPr>
              <w:t>10m</w:t>
            </w:r>
            <w:r>
              <w:rPr>
                <w:rFonts w:hint="eastAsia"/>
                <w:color w:val="auto"/>
                <w:vertAlign w:val="superscript"/>
              </w:rPr>
              <w:t>3</w:t>
            </w:r>
          </w:p>
        </w:tc>
        <w:tc>
          <w:tcPr>
            <w:tcW w:w="630"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28</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连续纺丝机</w:t>
            </w:r>
          </w:p>
        </w:tc>
        <w:tc>
          <w:tcPr>
            <w:tcW w:w="2556" w:type="pct"/>
            <w:vAlign w:val="center"/>
          </w:tcPr>
          <w:p>
            <w:pPr>
              <w:pStyle w:val="182"/>
              <w:bidi w:val="0"/>
              <w:rPr>
                <w:color w:val="auto"/>
              </w:rPr>
            </w:pPr>
            <w:r>
              <w:rPr>
                <w:color w:val="auto"/>
              </w:rPr>
              <w:t>LF-3000</w:t>
            </w:r>
          </w:p>
        </w:tc>
        <w:tc>
          <w:tcPr>
            <w:tcW w:w="630" w:type="pct"/>
            <w:vAlign w:val="center"/>
          </w:tcPr>
          <w:p>
            <w:pPr>
              <w:pStyle w:val="182"/>
              <w:bidi w:val="0"/>
              <w:rPr>
                <w:color w:val="auto"/>
              </w:rPr>
            </w:pPr>
            <w:r>
              <w:rPr>
                <w:rFonts w:hint="eastAsia"/>
                <w:color w:val="auto"/>
              </w:rPr>
              <w:t>3</w:t>
            </w:r>
            <w:r>
              <w:rPr>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29</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硫酸罐</w:t>
            </w:r>
          </w:p>
        </w:tc>
        <w:tc>
          <w:tcPr>
            <w:tcW w:w="2556" w:type="pct"/>
            <w:vAlign w:val="center"/>
          </w:tcPr>
          <w:p>
            <w:pPr>
              <w:pStyle w:val="182"/>
              <w:bidi w:val="0"/>
              <w:rPr>
                <w:color w:val="auto"/>
              </w:rPr>
            </w:pPr>
            <w:r>
              <w:rPr>
                <w:color w:val="auto"/>
              </w:rPr>
              <w:t>500m</w:t>
            </w:r>
            <w:r>
              <w:rPr>
                <w:rFonts w:hint="eastAsia"/>
                <w:color w:val="auto"/>
                <w:vertAlign w:val="superscript"/>
              </w:rPr>
              <w:t>3</w:t>
            </w:r>
          </w:p>
        </w:tc>
        <w:tc>
          <w:tcPr>
            <w:tcW w:w="630" w:type="pct"/>
            <w:vAlign w:val="center"/>
          </w:tcPr>
          <w:p>
            <w:pPr>
              <w:pStyle w:val="182"/>
              <w:bidi w:val="0"/>
              <w:rPr>
                <w:color w:val="auto"/>
              </w:rPr>
            </w:pPr>
            <w:r>
              <w:rPr>
                <w:rFonts w:hint="eastAsia"/>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3</w:t>
            </w:r>
            <w:r>
              <w:rPr>
                <w:rFonts w:hint="eastAsia"/>
                <w:color w:val="auto"/>
                <w:lang w:val="en-US" w:eastAsia="zh-CN"/>
              </w:rPr>
              <w:t>0</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碱罐</w:t>
            </w:r>
          </w:p>
        </w:tc>
        <w:tc>
          <w:tcPr>
            <w:tcW w:w="2556" w:type="pct"/>
            <w:vAlign w:val="center"/>
          </w:tcPr>
          <w:p>
            <w:pPr>
              <w:pStyle w:val="182"/>
              <w:bidi w:val="0"/>
              <w:rPr>
                <w:color w:val="auto"/>
              </w:rPr>
            </w:pPr>
            <w:r>
              <w:rPr>
                <w:color w:val="auto"/>
              </w:rPr>
              <w:t>1800 m</w:t>
            </w:r>
            <w:r>
              <w:rPr>
                <w:rFonts w:hint="eastAsia"/>
                <w:color w:val="auto"/>
                <w:vertAlign w:val="superscript"/>
              </w:rPr>
              <w:t>3</w:t>
            </w:r>
          </w:p>
        </w:tc>
        <w:tc>
          <w:tcPr>
            <w:tcW w:w="630" w:type="pct"/>
            <w:vAlign w:val="center"/>
          </w:tcPr>
          <w:p>
            <w:pPr>
              <w:pStyle w:val="182"/>
              <w:bidi w:val="0"/>
              <w:rPr>
                <w:color w:val="auto"/>
              </w:rPr>
            </w:pPr>
            <w:r>
              <w:rPr>
                <w:rFonts w:hint="eastAsia"/>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rPr>
              <w:t>3</w:t>
            </w:r>
            <w:r>
              <w:rPr>
                <w:rFonts w:hint="eastAsia"/>
                <w:color w:val="auto"/>
                <w:lang w:val="en-US" w:eastAsia="zh-CN"/>
              </w:rPr>
              <w:t>1</w:t>
            </w:r>
          </w:p>
        </w:tc>
        <w:tc>
          <w:tcPr>
            <w:tcW w:w="565" w:type="pct"/>
            <w:gridSpan w:val="2"/>
            <w:vMerge w:val="continue"/>
            <w:vAlign w:val="center"/>
          </w:tcPr>
          <w:p>
            <w:pPr>
              <w:pStyle w:val="182"/>
              <w:bidi w:val="0"/>
              <w:rPr>
                <w:color w:val="auto"/>
              </w:rPr>
            </w:pPr>
          </w:p>
        </w:tc>
        <w:tc>
          <w:tcPr>
            <w:tcW w:w="933" w:type="pct"/>
            <w:vAlign w:val="center"/>
          </w:tcPr>
          <w:p>
            <w:pPr>
              <w:pStyle w:val="182"/>
              <w:bidi w:val="0"/>
              <w:rPr>
                <w:color w:val="auto"/>
              </w:rPr>
            </w:pPr>
            <w:r>
              <w:rPr>
                <w:rFonts w:hint="eastAsia"/>
                <w:color w:val="auto"/>
              </w:rPr>
              <w:t>二硫化碳储罐</w:t>
            </w:r>
          </w:p>
        </w:tc>
        <w:tc>
          <w:tcPr>
            <w:tcW w:w="2556" w:type="pct"/>
            <w:vAlign w:val="center"/>
          </w:tcPr>
          <w:p>
            <w:pPr>
              <w:pStyle w:val="182"/>
              <w:bidi w:val="0"/>
              <w:rPr>
                <w:color w:val="auto"/>
              </w:rPr>
            </w:pPr>
            <w:r>
              <w:rPr>
                <w:color w:val="auto"/>
              </w:rPr>
              <w:t>250 m</w:t>
            </w:r>
            <w:r>
              <w:rPr>
                <w:rFonts w:hint="eastAsia"/>
                <w:color w:val="auto"/>
                <w:vertAlign w:val="superscript"/>
              </w:rPr>
              <w:t>3</w:t>
            </w:r>
          </w:p>
        </w:tc>
        <w:tc>
          <w:tcPr>
            <w:tcW w:w="630" w:type="pct"/>
            <w:vAlign w:val="center"/>
          </w:tcPr>
          <w:p>
            <w:pPr>
              <w:pStyle w:val="182"/>
              <w:bidi w:val="0"/>
              <w:rPr>
                <w:color w:val="auto"/>
              </w:rPr>
            </w:pPr>
            <w:r>
              <w:rPr>
                <w:rFonts w:hint="eastAsia"/>
                <w:color w:val="auto"/>
              </w:rPr>
              <w:t>4</w:t>
            </w:r>
          </w:p>
        </w:tc>
      </w:tr>
    </w:tbl>
    <w:p>
      <w:pPr>
        <w:pStyle w:val="9"/>
        <w:bidi w:val="0"/>
        <w:rPr>
          <w:color w:val="auto"/>
        </w:rPr>
      </w:pPr>
      <w:r>
        <w:rPr>
          <w:rFonts w:hint="eastAsia"/>
          <w:color w:val="auto"/>
        </w:rPr>
        <w:t>3</w:t>
      </w:r>
      <w:r>
        <w:rPr>
          <w:color w:val="auto"/>
        </w:rPr>
        <w:t>.</w:t>
      </w:r>
      <w:r>
        <w:rPr>
          <w:rFonts w:hint="eastAsia"/>
          <w:color w:val="auto"/>
          <w:lang w:val="en-US" w:eastAsia="zh-CN"/>
        </w:rPr>
        <w:t>3</w:t>
      </w:r>
      <w:r>
        <w:rPr>
          <w:color w:val="auto"/>
        </w:rPr>
        <w:t>.4</w:t>
      </w:r>
      <w:r>
        <w:rPr>
          <w:rFonts w:hint="eastAsia"/>
          <w:color w:val="auto"/>
          <w:lang w:val="en-US" w:eastAsia="zh-CN"/>
        </w:rPr>
        <w:t>已建工程</w:t>
      </w:r>
      <w:r>
        <w:rPr>
          <w:rFonts w:hint="eastAsia"/>
          <w:color w:val="auto"/>
        </w:rPr>
        <w:t>原辅材料</w:t>
      </w:r>
    </w:p>
    <w:p>
      <w:pPr>
        <w:bidi w:val="0"/>
        <w:rPr>
          <w:color w:val="auto"/>
        </w:rPr>
      </w:pPr>
      <w:r>
        <w:rPr>
          <w:rFonts w:hint="eastAsia"/>
          <w:color w:val="auto"/>
        </w:rPr>
        <w:t>在建工程原辅材料及动力消耗见表</w:t>
      </w:r>
      <w:r>
        <w:rPr>
          <w:color w:val="auto"/>
        </w:rPr>
        <w:t>3.</w:t>
      </w:r>
      <w:r>
        <w:rPr>
          <w:rFonts w:hint="eastAsia"/>
          <w:color w:val="auto"/>
          <w:lang w:val="en-US" w:eastAsia="zh-CN"/>
        </w:rPr>
        <w:t>3</w:t>
      </w:r>
      <w:r>
        <w:rPr>
          <w:color w:val="auto"/>
        </w:rPr>
        <w:t>-4</w:t>
      </w:r>
      <w:r>
        <w:rPr>
          <w:rFonts w:hint="eastAsia"/>
          <w:color w:val="auto"/>
        </w:rPr>
        <w:t>。</w:t>
      </w:r>
    </w:p>
    <w:p>
      <w:pPr>
        <w:pStyle w:val="181"/>
        <w:bidi w:val="0"/>
        <w:rPr>
          <w:color w:val="auto"/>
        </w:rPr>
      </w:pPr>
      <w:r>
        <w:rPr>
          <w:rFonts w:hint="eastAsia"/>
          <w:color w:val="auto"/>
        </w:rPr>
        <w:t>表</w:t>
      </w:r>
      <w:r>
        <w:rPr>
          <w:color w:val="auto"/>
        </w:rPr>
        <w:t>3.</w:t>
      </w:r>
      <w:r>
        <w:rPr>
          <w:rFonts w:hint="eastAsia"/>
          <w:color w:val="auto"/>
          <w:lang w:val="en-US" w:eastAsia="zh-CN"/>
        </w:rPr>
        <w:t>3</w:t>
      </w:r>
      <w:r>
        <w:rPr>
          <w:color w:val="auto"/>
        </w:rPr>
        <w:t xml:space="preserve">-4 </w:t>
      </w:r>
      <w:r>
        <w:rPr>
          <w:rFonts w:hint="eastAsia"/>
          <w:color w:val="auto"/>
          <w:lang w:val="en-US" w:eastAsia="zh-CN"/>
        </w:rPr>
        <w:t xml:space="preserve">           </w:t>
      </w:r>
      <w:r>
        <w:rPr>
          <w:rFonts w:hint="eastAsia"/>
          <w:color w:val="auto"/>
        </w:rPr>
        <w:t>工程原辅材料及能源消耗一览表</w:t>
      </w:r>
    </w:p>
    <w:tbl>
      <w:tblPr>
        <w:tblStyle w:val="32"/>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54"/>
        <w:gridCol w:w="2576"/>
        <w:gridCol w:w="1453"/>
        <w:gridCol w:w="1379"/>
        <w:gridCol w:w="225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b/>
                <w:bCs/>
                <w:color w:val="auto"/>
              </w:rPr>
            </w:pPr>
            <w:r>
              <w:rPr>
                <w:rFonts w:hint="eastAsia"/>
                <w:b/>
                <w:bCs/>
                <w:color w:val="auto"/>
              </w:rPr>
              <w:t>序号</w:t>
            </w:r>
          </w:p>
        </w:tc>
        <w:tc>
          <w:tcPr>
            <w:tcW w:w="1519" w:type="pct"/>
            <w:tcBorders>
              <w:tl2br w:val="nil"/>
              <w:tr2bl w:val="nil"/>
            </w:tcBorders>
            <w:vAlign w:val="center"/>
          </w:tcPr>
          <w:p>
            <w:pPr>
              <w:pStyle w:val="182"/>
              <w:bidi w:val="0"/>
              <w:rPr>
                <w:b/>
                <w:bCs/>
                <w:color w:val="auto"/>
              </w:rPr>
            </w:pPr>
            <w:r>
              <w:rPr>
                <w:rFonts w:hint="eastAsia"/>
                <w:b/>
                <w:bCs/>
                <w:color w:val="auto"/>
              </w:rPr>
              <w:t>名称</w:t>
            </w:r>
          </w:p>
        </w:tc>
        <w:tc>
          <w:tcPr>
            <w:tcW w:w="860" w:type="pct"/>
            <w:tcBorders>
              <w:tl2br w:val="nil"/>
              <w:tr2bl w:val="nil"/>
            </w:tcBorders>
            <w:vAlign w:val="center"/>
          </w:tcPr>
          <w:p>
            <w:pPr>
              <w:pStyle w:val="182"/>
              <w:bidi w:val="0"/>
              <w:rPr>
                <w:b/>
                <w:bCs/>
                <w:color w:val="auto"/>
              </w:rPr>
            </w:pPr>
            <w:r>
              <w:rPr>
                <w:rFonts w:hint="eastAsia"/>
                <w:b/>
                <w:bCs/>
                <w:color w:val="auto"/>
              </w:rPr>
              <w:t>吨产品消耗</w:t>
            </w:r>
          </w:p>
          <w:p>
            <w:pPr>
              <w:pStyle w:val="182"/>
              <w:bidi w:val="0"/>
              <w:rPr>
                <w:b/>
                <w:bCs/>
                <w:color w:val="auto"/>
              </w:rPr>
            </w:pPr>
            <w:r>
              <w:rPr>
                <w:rFonts w:hint="eastAsia"/>
                <w:b/>
                <w:bCs/>
                <w:color w:val="auto"/>
              </w:rPr>
              <w:t>（</w:t>
            </w:r>
            <w:r>
              <w:rPr>
                <w:b/>
                <w:bCs/>
                <w:color w:val="auto"/>
              </w:rPr>
              <w:t>kg/t</w:t>
            </w:r>
            <w:r>
              <w:rPr>
                <w:rFonts w:hint="eastAsia"/>
                <w:b/>
                <w:bCs/>
                <w:color w:val="auto"/>
              </w:rPr>
              <w:t>）</w:t>
            </w:r>
          </w:p>
        </w:tc>
        <w:tc>
          <w:tcPr>
            <w:tcW w:w="782" w:type="pct"/>
            <w:tcBorders>
              <w:tl2br w:val="nil"/>
              <w:tr2bl w:val="nil"/>
            </w:tcBorders>
            <w:vAlign w:val="center"/>
          </w:tcPr>
          <w:p>
            <w:pPr>
              <w:pStyle w:val="182"/>
              <w:bidi w:val="0"/>
              <w:rPr>
                <w:b/>
                <w:bCs/>
                <w:color w:val="auto"/>
              </w:rPr>
            </w:pPr>
            <w:r>
              <w:rPr>
                <w:rFonts w:hint="eastAsia"/>
                <w:b/>
                <w:bCs/>
                <w:color w:val="auto"/>
              </w:rPr>
              <w:t>年用量（</w:t>
            </w:r>
            <w:r>
              <w:rPr>
                <w:b/>
                <w:bCs/>
                <w:color w:val="auto"/>
              </w:rPr>
              <w:t>t/a</w:t>
            </w:r>
            <w:r>
              <w:rPr>
                <w:rFonts w:hint="eastAsia"/>
                <w:b/>
                <w:bCs/>
                <w:color w:val="auto"/>
              </w:rPr>
              <w:t>）</w:t>
            </w:r>
          </w:p>
        </w:tc>
        <w:tc>
          <w:tcPr>
            <w:tcW w:w="1329" w:type="pct"/>
            <w:tcBorders>
              <w:tl2br w:val="nil"/>
              <w:tr2bl w:val="nil"/>
            </w:tcBorders>
            <w:vAlign w:val="center"/>
          </w:tcPr>
          <w:p>
            <w:pPr>
              <w:pStyle w:val="182"/>
              <w:bidi w:val="0"/>
              <w:rPr>
                <w:b/>
                <w:bCs/>
                <w:color w:val="auto"/>
              </w:rPr>
            </w:pPr>
            <w:r>
              <w:rPr>
                <w:rFonts w:hint="eastAsia"/>
                <w:b/>
                <w:bCs/>
                <w:color w:val="auto"/>
              </w:rPr>
              <w:t>储存方式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vAlign w:val="center"/>
          </w:tcPr>
          <w:p>
            <w:pPr>
              <w:pStyle w:val="182"/>
              <w:bidi w:val="0"/>
              <w:rPr>
                <w:color w:val="auto"/>
              </w:rPr>
            </w:pPr>
            <w:r>
              <w:rPr>
                <w:rFonts w:hint="eastAsia"/>
                <w:color w:val="auto"/>
              </w:rPr>
              <w:t>年产</w:t>
            </w:r>
            <w:r>
              <w:rPr>
                <w:color w:val="auto"/>
              </w:rPr>
              <w:t>5000</w:t>
            </w:r>
            <w:r>
              <w:rPr>
                <w:rFonts w:hint="eastAsia"/>
                <w:color w:val="auto"/>
              </w:rPr>
              <w:t>吨差别化新型连续纺粘胶长丝工程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w:t>
            </w:r>
          </w:p>
        </w:tc>
        <w:tc>
          <w:tcPr>
            <w:tcW w:w="1519" w:type="pct"/>
            <w:tcBorders>
              <w:tl2br w:val="nil"/>
              <w:tr2bl w:val="nil"/>
            </w:tcBorders>
            <w:vAlign w:val="center"/>
          </w:tcPr>
          <w:p>
            <w:pPr>
              <w:pStyle w:val="182"/>
              <w:bidi w:val="0"/>
              <w:rPr>
                <w:color w:val="auto"/>
              </w:rPr>
            </w:pPr>
            <w:r>
              <w:rPr>
                <w:rFonts w:hint="eastAsia"/>
                <w:color w:val="auto"/>
              </w:rPr>
              <w:t>浆粕</w:t>
            </w:r>
          </w:p>
        </w:tc>
        <w:tc>
          <w:tcPr>
            <w:tcW w:w="860" w:type="pct"/>
            <w:tcBorders>
              <w:tl2br w:val="nil"/>
              <w:tr2bl w:val="nil"/>
            </w:tcBorders>
            <w:vAlign w:val="center"/>
          </w:tcPr>
          <w:p>
            <w:pPr>
              <w:pStyle w:val="182"/>
              <w:bidi w:val="0"/>
              <w:rPr>
                <w:color w:val="auto"/>
              </w:rPr>
            </w:pPr>
            <w:r>
              <w:rPr>
                <w:color w:val="auto"/>
              </w:rPr>
              <w:t>1023</w:t>
            </w:r>
          </w:p>
        </w:tc>
        <w:tc>
          <w:tcPr>
            <w:tcW w:w="782" w:type="pct"/>
            <w:tcBorders>
              <w:tl2br w:val="nil"/>
              <w:tr2bl w:val="nil"/>
            </w:tcBorders>
            <w:vAlign w:val="center"/>
          </w:tcPr>
          <w:p>
            <w:pPr>
              <w:pStyle w:val="182"/>
              <w:bidi w:val="0"/>
              <w:rPr>
                <w:color w:val="auto"/>
              </w:rPr>
            </w:pPr>
            <w:r>
              <w:rPr>
                <w:color w:val="auto"/>
              </w:rPr>
              <w:t>5115</w:t>
            </w:r>
          </w:p>
        </w:tc>
        <w:tc>
          <w:tcPr>
            <w:tcW w:w="1329" w:type="pct"/>
            <w:tcBorders>
              <w:tl2br w:val="nil"/>
              <w:tr2bl w:val="nil"/>
            </w:tcBorders>
            <w:vAlign w:val="center"/>
          </w:tcPr>
          <w:p>
            <w:pPr>
              <w:pStyle w:val="182"/>
              <w:bidi w:val="0"/>
              <w:rPr>
                <w:color w:val="auto"/>
              </w:rPr>
            </w:pPr>
            <w:r>
              <w:rPr>
                <w:rFonts w:hint="eastAsia"/>
                <w:color w:val="auto"/>
              </w:rPr>
              <w:t>车间内堆放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2</w:t>
            </w:r>
          </w:p>
        </w:tc>
        <w:tc>
          <w:tcPr>
            <w:tcW w:w="1519" w:type="pct"/>
            <w:tcBorders>
              <w:tl2br w:val="nil"/>
              <w:tr2bl w:val="nil"/>
            </w:tcBorders>
            <w:vAlign w:val="center"/>
          </w:tcPr>
          <w:p>
            <w:pPr>
              <w:pStyle w:val="182"/>
              <w:bidi w:val="0"/>
              <w:rPr>
                <w:color w:val="auto"/>
              </w:rPr>
            </w:pPr>
            <w:r>
              <w:rPr>
                <w:color w:val="auto"/>
              </w:rPr>
              <w:t>92.5%</w:t>
            </w:r>
            <w:r>
              <w:rPr>
                <w:rFonts w:hint="eastAsia"/>
                <w:color w:val="auto"/>
              </w:rPr>
              <w:t>浓硫酸</w:t>
            </w:r>
          </w:p>
        </w:tc>
        <w:tc>
          <w:tcPr>
            <w:tcW w:w="860" w:type="pct"/>
            <w:tcBorders>
              <w:tl2br w:val="nil"/>
              <w:tr2bl w:val="nil"/>
            </w:tcBorders>
            <w:vAlign w:val="center"/>
          </w:tcPr>
          <w:p>
            <w:pPr>
              <w:pStyle w:val="182"/>
              <w:bidi w:val="0"/>
              <w:rPr>
                <w:color w:val="auto"/>
              </w:rPr>
            </w:pPr>
            <w:r>
              <w:rPr>
                <w:color w:val="auto"/>
              </w:rPr>
              <w:t>1390</w:t>
            </w:r>
          </w:p>
        </w:tc>
        <w:tc>
          <w:tcPr>
            <w:tcW w:w="782" w:type="pct"/>
            <w:tcBorders>
              <w:tl2br w:val="nil"/>
              <w:tr2bl w:val="nil"/>
            </w:tcBorders>
            <w:vAlign w:val="center"/>
          </w:tcPr>
          <w:p>
            <w:pPr>
              <w:pStyle w:val="182"/>
              <w:bidi w:val="0"/>
              <w:rPr>
                <w:color w:val="auto"/>
              </w:rPr>
            </w:pPr>
            <w:r>
              <w:rPr>
                <w:color w:val="auto"/>
              </w:rPr>
              <w:t>6950</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3</w:t>
            </w:r>
          </w:p>
        </w:tc>
        <w:tc>
          <w:tcPr>
            <w:tcW w:w="1519" w:type="pct"/>
            <w:tcBorders>
              <w:tl2br w:val="nil"/>
              <w:tr2bl w:val="nil"/>
            </w:tcBorders>
            <w:vAlign w:val="center"/>
          </w:tcPr>
          <w:p>
            <w:pPr>
              <w:pStyle w:val="182"/>
              <w:bidi w:val="0"/>
              <w:rPr>
                <w:color w:val="auto"/>
              </w:rPr>
            </w:pPr>
            <w:r>
              <w:rPr>
                <w:color w:val="auto"/>
              </w:rPr>
              <w:t>45%</w:t>
            </w:r>
            <w:r>
              <w:rPr>
                <w:rFonts w:hint="eastAsia"/>
                <w:color w:val="auto"/>
              </w:rPr>
              <w:t>氢氧化钠溶液</w:t>
            </w:r>
          </w:p>
        </w:tc>
        <w:tc>
          <w:tcPr>
            <w:tcW w:w="860" w:type="pct"/>
            <w:tcBorders>
              <w:tl2br w:val="nil"/>
              <w:tr2bl w:val="nil"/>
            </w:tcBorders>
            <w:vAlign w:val="center"/>
          </w:tcPr>
          <w:p>
            <w:pPr>
              <w:pStyle w:val="182"/>
              <w:bidi w:val="0"/>
              <w:rPr>
                <w:color w:val="auto"/>
              </w:rPr>
            </w:pPr>
            <w:r>
              <w:rPr>
                <w:color w:val="auto"/>
              </w:rPr>
              <w:t>1589</w:t>
            </w:r>
          </w:p>
        </w:tc>
        <w:tc>
          <w:tcPr>
            <w:tcW w:w="782" w:type="pct"/>
            <w:tcBorders>
              <w:tl2br w:val="nil"/>
              <w:tr2bl w:val="nil"/>
            </w:tcBorders>
            <w:vAlign w:val="center"/>
          </w:tcPr>
          <w:p>
            <w:pPr>
              <w:pStyle w:val="182"/>
              <w:bidi w:val="0"/>
              <w:rPr>
                <w:color w:val="auto"/>
              </w:rPr>
            </w:pPr>
            <w:r>
              <w:rPr>
                <w:color w:val="auto"/>
              </w:rPr>
              <w:t>7945</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b/>
                <w:bCs/>
                <w:color w:val="auto"/>
                <w:u w:val="single"/>
              </w:rPr>
            </w:pPr>
            <w:r>
              <w:rPr>
                <w:b/>
                <w:bCs/>
                <w:color w:val="auto"/>
                <w:u w:val="single"/>
              </w:rPr>
              <w:t>4</w:t>
            </w:r>
          </w:p>
        </w:tc>
        <w:tc>
          <w:tcPr>
            <w:tcW w:w="1519" w:type="pct"/>
            <w:tcBorders>
              <w:tl2br w:val="nil"/>
              <w:tr2bl w:val="nil"/>
            </w:tcBorders>
            <w:vAlign w:val="center"/>
          </w:tcPr>
          <w:p>
            <w:pPr>
              <w:pStyle w:val="182"/>
              <w:bidi w:val="0"/>
              <w:rPr>
                <w:b/>
                <w:bCs/>
                <w:color w:val="auto"/>
                <w:u w:val="single"/>
              </w:rPr>
            </w:pPr>
            <w:r>
              <w:rPr>
                <w:rFonts w:hint="eastAsia"/>
                <w:b/>
                <w:bCs/>
                <w:color w:val="auto"/>
                <w:u w:val="single"/>
              </w:rPr>
              <w:t>二硫化碳（纯度为</w:t>
            </w:r>
            <w:r>
              <w:rPr>
                <w:b/>
                <w:bCs/>
                <w:color w:val="auto"/>
                <w:u w:val="single"/>
              </w:rPr>
              <w:t>98.5%</w:t>
            </w:r>
            <w:r>
              <w:rPr>
                <w:rFonts w:hint="eastAsia"/>
                <w:b/>
                <w:bCs/>
                <w:color w:val="auto"/>
                <w:u w:val="single"/>
              </w:rPr>
              <w:t>）</w:t>
            </w:r>
          </w:p>
        </w:tc>
        <w:tc>
          <w:tcPr>
            <w:tcW w:w="860" w:type="pct"/>
            <w:tcBorders>
              <w:tl2br w:val="nil"/>
              <w:tr2bl w:val="nil"/>
            </w:tcBorders>
            <w:vAlign w:val="center"/>
          </w:tcPr>
          <w:p>
            <w:pPr>
              <w:pStyle w:val="182"/>
              <w:bidi w:val="0"/>
              <w:rPr>
                <w:b/>
                <w:bCs/>
                <w:color w:val="auto"/>
                <w:u w:val="single"/>
              </w:rPr>
            </w:pPr>
            <w:r>
              <w:rPr>
                <w:b/>
                <w:bCs/>
                <w:color w:val="auto"/>
                <w:u w:val="single"/>
              </w:rPr>
              <w:t>132.244</w:t>
            </w:r>
          </w:p>
        </w:tc>
        <w:tc>
          <w:tcPr>
            <w:tcW w:w="782" w:type="pct"/>
            <w:tcBorders>
              <w:tl2br w:val="nil"/>
              <w:tr2bl w:val="nil"/>
            </w:tcBorders>
            <w:vAlign w:val="center"/>
          </w:tcPr>
          <w:p>
            <w:pPr>
              <w:pStyle w:val="182"/>
              <w:bidi w:val="0"/>
              <w:rPr>
                <w:b/>
                <w:bCs/>
                <w:color w:val="auto"/>
                <w:u w:val="single"/>
              </w:rPr>
            </w:pPr>
            <w:r>
              <w:rPr>
                <w:b/>
                <w:bCs/>
                <w:color w:val="auto"/>
                <w:u w:val="single"/>
              </w:rPr>
              <w:t>661.22</w:t>
            </w:r>
          </w:p>
        </w:tc>
        <w:tc>
          <w:tcPr>
            <w:tcW w:w="1329" w:type="pct"/>
            <w:tcBorders>
              <w:tl2br w:val="nil"/>
              <w:tr2bl w:val="nil"/>
            </w:tcBorders>
            <w:vAlign w:val="center"/>
          </w:tcPr>
          <w:p>
            <w:pPr>
              <w:pStyle w:val="182"/>
              <w:bidi w:val="0"/>
              <w:rPr>
                <w:b/>
                <w:bCs/>
                <w:color w:val="auto"/>
                <w:u w:val="single"/>
              </w:rPr>
            </w:pPr>
            <w:r>
              <w:rPr>
                <w:rFonts w:hint="eastAsia"/>
                <w:b/>
                <w:bCs/>
                <w:color w:val="auto"/>
                <w:u w:val="single"/>
              </w:rPr>
              <w:t>密闭储罐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5</w:t>
            </w:r>
          </w:p>
        </w:tc>
        <w:tc>
          <w:tcPr>
            <w:tcW w:w="1519" w:type="pct"/>
            <w:tcBorders>
              <w:tl2br w:val="nil"/>
              <w:tr2bl w:val="nil"/>
            </w:tcBorders>
            <w:vAlign w:val="center"/>
          </w:tcPr>
          <w:p>
            <w:pPr>
              <w:pStyle w:val="182"/>
              <w:bidi w:val="0"/>
              <w:rPr>
                <w:color w:val="auto"/>
              </w:rPr>
            </w:pPr>
            <w:r>
              <w:rPr>
                <w:rFonts w:hint="eastAsia"/>
                <w:color w:val="auto"/>
              </w:rPr>
              <w:t>硫酸锌（纯度为</w:t>
            </w:r>
            <w:r>
              <w:rPr>
                <w:color w:val="auto"/>
              </w:rPr>
              <w:t>98%</w:t>
            </w:r>
            <w:r>
              <w:rPr>
                <w:rFonts w:hint="eastAsia"/>
                <w:color w:val="auto"/>
              </w:rPr>
              <w:t>）</w:t>
            </w:r>
          </w:p>
        </w:tc>
        <w:tc>
          <w:tcPr>
            <w:tcW w:w="860" w:type="pct"/>
            <w:tcBorders>
              <w:tl2br w:val="nil"/>
              <w:tr2bl w:val="nil"/>
            </w:tcBorders>
            <w:vAlign w:val="center"/>
          </w:tcPr>
          <w:p>
            <w:pPr>
              <w:pStyle w:val="182"/>
              <w:bidi w:val="0"/>
              <w:rPr>
                <w:color w:val="auto"/>
              </w:rPr>
            </w:pPr>
            <w:r>
              <w:rPr>
                <w:color w:val="auto"/>
              </w:rPr>
              <w:t>17.1</w:t>
            </w:r>
          </w:p>
        </w:tc>
        <w:tc>
          <w:tcPr>
            <w:tcW w:w="782" w:type="pct"/>
            <w:tcBorders>
              <w:tl2br w:val="nil"/>
              <w:tr2bl w:val="nil"/>
            </w:tcBorders>
            <w:vAlign w:val="center"/>
          </w:tcPr>
          <w:p>
            <w:pPr>
              <w:pStyle w:val="182"/>
              <w:bidi w:val="0"/>
              <w:rPr>
                <w:color w:val="auto"/>
              </w:rPr>
            </w:pPr>
            <w:r>
              <w:rPr>
                <w:color w:val="auto"/>
              </w:rPr>
              <w:t>85.5</w:t>
            </w:r>
          </w:p>
        </w:tc>
        <w:tc>
          <w:tcPr>
            <w:tcW w:w="1329" w:type="pct"/>
            <w:tcBorders>
              <w:tl2br w:val="nil"/>
              <w:tr2bl w:val="nil"/>
            </w:tcBorders>
            <w:vAlign w:val="center"/>
          </w:tcPr>
          <w:p>
            <w:pPr>
              <w:pStyle w:val="182"/>
              <w:bidi w:val="0"/>
              <w:rPr>
                <w:color w:val="auto"/>
              </w:rPr>
            </w:pPr>
            <w:r>
              <w:rPr>
                <w:rFonts w:hint="eastAsia"/>
                <w:color w:val="auto"/>
              </w:rPr>
              <w:t>袋装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6</w:t>
            </w:r>
          </w:p>
        </w:tc>
        <w:tc>
          <w:tcPr>
            <w:tcW w:w="1519" w:type="pct"/>
            <w:tcBorders>
              <w:tl2br w:val="nil"/>
              <w:tr2bl w:val="nil"/>
            </w:tcBorders>
            <w:vAlign w:val="center"/>
          </w:tcPr>
          <w:p>
            <w:pPr>
              <w:pStyle w:val="182"/>
              <w:bidi w:val="0"/>
              <w:rPr>
                <w:color w:val="auto"/>
              </w:rPr>
            </w:pPr>
            <w:r>
              <w:rPr>
                <w:rFonts w:hint="eastAsia"/>
                <w:color w:val="auto"/>
              </w:rPr>
              <w:t>浆料</w:t>
            </w:r>
          </w:p>
        </w:tc>
        <w:tc>
          <w:tcPr>
            <w:tcW w:w="860" w:type="pct"/>
            <w:tcBorders>
              <w:tl2br w:val="nil"/>
              <w:tr2bl w:val="nil"/>
            </w:tcBorders>
            <w:vAlign w:val="center"/>
          </w:tcPr>
          <w:p>
            <w:pPr>
              <w:pStyle w:val="182"/>
              <w:bidi w:val="0"/>
              <w:rPr>
                <w:color w:val="auto"/>
              </w:rPr>
            </w:pPr>
            <w:r>
              <w:rPr>
                <w:color w:val="auto"/>
              </w:rPr>
              <w:t>12</w:t>
            </w:r>
          </w:p>
        </w:tc>
        <w:tc>
          <w:tcPr>
            <w:tcW w:w="782" w:type="pct"/>
            <w:tcBorders>
              <w:tl2br w:val="nil"/>
              <w:tr2bl w:val="nil"/>
            </w:tcBorders>
            <w:vAlign w:val="center"/>
          </w:tcPr>
          <w:p>
            <w:pPr>
              <w:pStyle w:val="182"/>
              <w:bidi w:val="0"/>
              <w:rPr>
                <w:color w:val="auto"/>
              </w:rPr>
            </w:pPr>
            <w:r>
              <w:rPr>
                <w:color w:val="auto"/>
              </w:rPr>
              <w:t>60</w:t>
            </w:r>
          </w:p>
        </w:tc>
        <w:tc>
          <w:tcPr>
            <w:tcW w:w="1329" w:type="pct"/>
            <w:tcBorders>
              <w:tl2br w:val="nil"/>
              <w:tr2bl w:val="nil"/>
            </w:tcBorders>
            <w:vAlign w:val="center"/>
          </w:tcPr>
          <w:p>
            <w:pPr>
              <w:pStyle w:val="182"/>
              <w:bidi w:val="0"/>
              <w:rPr>
                <w:color w:val="auto"/>
              </w:rPr>
            </w:pPr>
            <w:r>
              <w:rPr>
                <w:rFonts w:hint="eastAsia"/>
                <w:color w:val="auto"/>
              </w:rPr>
              <w:t>袋装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7</w:t>
            </w:r>
          </w:p>
        </w:tc>
        <w:tc>
          <w:tcPr>
            <w:tcW w:w="1519" w:type="pct"/>
            <w:tcBorders>
              <w:tl2br w:val="nil"/>
              <w:tr2bl w:val="nil"/>
            </w:tcBorders>
            <w:vAlign w:val="center"/>
          </w:tcPr>
          <w:p>
            <w:pPr>
              <w:pStyle w:val="182"/>
              <w:bidi w:val="0"/>
              <w:rPr>
                <w:color w:val="auto"/>
              </w:rPr>
            </w:pPr>
            <w:r>
              <w:rPr>
                <w:rFonts w:hint="eastAsia"/>
                <w:color w:val="auto"/>
              </w:rPr>
              <w:t>油剂</w:t>
            </w:r>
          </w:p>
        </w:tc>
        <w:tc>
          <w:tcPr>
            <w:tcW w:w="860" w:type="pct"/>
            <w:tcBorders>
              <w:tl2br w:val="nil"/>
              <w:tr2bl w:val="nil"/>
            </w:tcBorders>
            <w:vAlign w:val="center"/>
          </w:tcPr>
          <w:p>
            <w:pPr>
              <w:pStyle w:val="182"/>
              <w:bidi w:val="0"/>
              <w:rPr>
                <w:color w:val="auto"/>
              </w:rPr>
            </w:pPr>
            <w:r>
              <w:rPr>
                <w:color w:val="auto"/>
              </w:rPr>
              <w:t>2.4</w:t>
            </w:r>
          </w:p>
        </w:tc>
        <w:tc>
          <w:tcPr>
            <w:tcW w:w="782" w:type="pct"/>
            <w:tcBorders>
              <w:tl2br w:val="nil"/>
              <w:tr2bl w:val="nil"/>
            </w:tcBorders>
            <w:vAlign w:val="center"/>
          </w:tcPr>
          <w:p>
            <w:pPr>
              <w:pStyle w:val="182"/>
              <w:bidi w:val="0"/>
              <w:rPr>
                <w:color w:val="auto"/>
              </w:rPr>
            </w:pPr>
            <w:r>
              <w:rPr>
                <w:color w:val="auto"/>
              </w:rPr>
              <w:t>12</w:t>
            </w:r>
          </w:p>
        </w:tc>
        <w:tc>
          <w:tcPr>
            <w:tcW w:w="1329" w:type="pct"/>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8</w:t>
            </w:r>
          </w:p>
        </w:tc>
        <w:tc>
          <w:tcPr>
            <w:tcW w:w="1519" w:type="pct"/>
            <w:tcBorders>
              <w:tl2br w:val="nil"/>
              <w:tr2bl w:val="nil"/>
            </w:tcBorders>
            <w:vAlign w:val="center"/>
          </w:tcPr>
          <w:p>
            <w:pPr>
              <w:pStyle w:val="182"/>
              <w:bidi w:val="0"/>
              <w:rPr>
                <w:color w:val="auto"/>
              </w:rPr>
            </w:pPr>
            <w:r>
              <w:rPr>
                <w:rFonts w:hint="eastAsia"/>
                <w:color w:val="auto"/>
              </w:rPr>
              <w:t>蒸汽（平均）</w:t>
            </w:r>
          </w:p>
        </w:tc>
        <w:tc>
          <w:tcPr>
            <w:tcW w:w="860" w:type="pct"/>
            <w:tcBorders>
              <w:tl2br w:val="nil"/>
              <w:tr2bl w:val="nil"/>
            </w:tcBorders>
            <w:vAlign w:val="center"/>
          </w:tcPr>
          <w:p>
            <w:pPr>
              <w:pStyle w:val="182"/>
              <w:bidi w:val="0"/>
              <w:rPr>
                <w:color w:val="auto"/>
              </w:rPr>
            </w:pPr>
            <w:r>
              <w:rPr>
                <w:color w:val="auto"/>
              </w:rPr>
              <w:t>14.377t/h</w:t>
            </w:r>
          </w:p>
        </w:tc>
        <w:tc>
          <w:tcPr>
            <w:tcW w:w="782" w:type="pct"/>
            <w:tcBorders>
              <w:tl2br w:val="nil"/>
              <w:tr2bl w:val="nil"/>
            </w:tcBorders>
            <w:vAlign w:val="center"/>
          </w:tcPr>
          <w:p>
            <w:pPr>
              <w:pStyle w:val="182"/>
              <w:bidi w:val="0"/>
              <w:rPr>
                <w:color w:val="auto"/>
              </w:rPr>
            </w:pPr>
            <w:r>
              <w:rPr>
                <w:color w:val="auto"/>
              </w:rPr>
              <w:t>41.76</w:t>
            </w:r>
            <w:r>
              <w:rPr>
                <w:rFonts w:hint="eastAsia"/>
                <w:color w:val="auto"/>
              </w:rPr>
              <w:t>万</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9</w:t>
            </w:r>
          </w:p>
        </w:tc>
        <w:tc>
          <w:tcPr>
            <w:tcW w:w="1519" w:type="pct"/>
            <w:tcBorders>
              <w:tl2br w:val="nil"/>
              <w:tr2bl w:val="nil"/>
            </w:tcBorders>
            <w:vAlign w:val="center"/>
          </w:tcPr>
          <w:p>
            <w:pPr>
              <w:pStyle w:val="182"/>
              <w:bidi w:val="0"/>
              <w:rPr>
                <w:color w:val="auto"/>
              </w:rPr>
            </w:pPr>
            <w:r>
              <w:rPr>
                <w:rFonts w:hint="eastAsia"/>
                <w:color w:val="auto"/>
              </w:rPr>
              <w:t>电（万</w:t>
            </w:r>
            <w:r>
              <w:rPr>
                <w:color w:val="auto"/>
              </w:rPr>
              <w:t>kwh</w:t>
            </w:r>
            <w:r>
              <w:rPr>
                <w:rFonts w:hint="eastAsia"/>
                <w:color w:val="auto"/>
              </w:rPr>
              <w:t>）</w:t>
            </w:r>
          </w:p>
        </w:tc>
        <w:tc>
          <w:tcPr>
            <w:tcW w:w="860" w:type="pct"/>
            <w:tcBorders>
              <w:tl2br w:val="nil"/>
              <w:tr2bl w:val="nil"/>
            </w:tcBorders>
            <w:vAlign w:val="center"/>
          </w:tcPr>
          <w:p>
            <w:pPr>
              <w:pStyle w:val="182"/>
              <w:bidi w:val="0"/>
              <w:rPr>
                <w:color w:val="auto"/>
              </w:rPr>
            </w:pPr>
            <w:r>
              <w:rPr>
                <w:color w:val="auto"/>
              </w:rPr>
              <w:t>0.172</w:t>
            </w:r>
          </w:p>
        </w:tc>
        <w:tc>
          <w:tcPr>
            <w:tcW w:w="782" w:type="pct"/>
            <w:tcBorders>
              <w:tl2br w:val="nil"/>
              <w:tr2bl w:val="nil"/>
            </w:tcBorders>
            <w:vAlign w:val="center"/>
          </w:tcPr>
          <w:p>
            <w:pPr>
              <w:pStyle w:val="182"/>
              <w:bidi w:val="0"/>
              <w:rPr>
                <w:color w:val="auto"/>
              </w:rPr>
            </w:pPr>
            <w:r>
              <w:rPr>
                <w:color w:val="auto"/>
              </w:rPr>
              <w:t>3320</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vAlign w:val="center"/>
          </w:tcPr>
          <w:p>
            <w:pPr>
              <w:pStyle w:val="182"/>
              <w:bidi w:val="0"/>
              <w:rPr>
                <w:color w:val="auto"/>
              </w:rPr>
            </w:pPr>
            <w:r>
              <w:rPr>
                <w:rFonts w:hint="eastAsia"/>
                <w:color w:val="auto"/>
              </w:rPr>
              <w:t>年产</w:t>
            </w:r>
            <w:r>
              <w:rPr>
                <w:color w:val="auto"/>
              </w:rPr>
              <w:t>2×2</w:t>
            </w:r>
            <w:r>
              <w:rPr>
                <w:rFonts w:hint="eastAsia"/>
                <w:color w:val="auto"/>
              </w:rPr>
              <w:t>万吨超柔软氨纶纤维项目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w:t>
            </w:r>
          </w:p>
        </w:tc>
        <w:tc>
          <w:tcPr>
            <w:tcW w:w="1519" w:type="pct"/>
            <w:tcBorders>
              <w:tl2br w:val="nil"/>
              <w:tr2bl w:val="nil"/>
            </w:tcBorders>
            <w:vAlign w:val="center"/>
          </w:tcPr>
          <w:p>
            <w:pPr>
              <w:pStyle w:val="182"/>
              <w:bidi w:val="0"/>
              <w:rPr>
                <w:color w:val="auto"/>
              </w:rPr>
            </w:pPr>
            <w:r>
              <w:rPr>
                <w:rFonts w:hint="eastAsia"/>
                <w:color w:val="auto"/>
              </w:rPr>
              <w:t>聚醚二醇（</w:t>
            </w:r>
            <w:r>
              <w:rPr>
                <w:color w:val="auto"/>
              </w:rPr>
              <w:t>PTMG</w:t>
            </w:r>
            <w:r>
              <w:rPr>
                <w:rFonts w:hint="eastAsia"/>
                <w:color w:val="auto"/>
              </w:rPr>
              <w:t>）</w:t>
            </w:r>
          </w:p>
        </w:tc>
        <w:tc>
          <w:tcPr>
            <w:tcW w:w="860" w:type="pct"/>
            <w:tcBorders>
              <w:tl2br w:val="nil"/>
              <w:tr2bl w:val="nil"/>
            </w:tcBorders>
            <w:vAlign w:val="center"/>
          </w:tcPr>
          <w:p>
            <w:pPr>
              <w:pStyle w:val="182"/>
              <w:bidi w:val="0"/>
              <w:rPr>
                <w:color w:val="auto"/>
              </w:rPr>
            </w:pPr>
            <w:r>
              <w:rPr>
                <w:color w:val="auto"/>
              </w:rPr>
              <w:t>770</w:t>
            </w:r>
          </w:p>
        </w:tc>
        <w:tc>
          <w:tcPr>
            <w:tcW w:w="782" w:type="pct"/>
            <w:tcBorders>
              <w:tl2br w:val="nil"/>
              <w:tr2bl w:val="nil"/>
            </w:tcBorders>
            <w:vAlign w:val="center"/>
          </w:tcPr>
          <w:p>
            <w:pPr>
              <w:pStyle w:val="182"/>
              <w:bidi w:val="0"/>
              <w:rPr>
                <w:color w:val="auto"/>
              </w:rPr>
            </w:pPr>
            <w:r>
              <w:rPr>
                <w:color w:val="auto"/>
              </w:rPr>
              <w:t>30800</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2</w:t>
            </w:r>
          </w:p>
        </w:tc>
        <w:tc>
          <w:tcPr>
            <w:tcW w:w="1519" w:type="pct"/>
            <w:tcBorders>
              <w:tl2br w:val="nil"/>
              <w:tr2bl w:val="nil"/>
            </w:tcBorders>
            <w:vAlign w:val="center"/>
          </w:tcPr>
          <w:p>
            <w:pPr>
              <w:pStyle w:val="182"/>
              <w:bidi w:val="0"/>
              <w:rPr>
                <w:color w:val="auto"/>
              </w:rPr>
            </w:pPr>
            <w:r>
              <w:rPr>
                <w:color w:val="auto"/>
              </w:rPr>
              <w:t>4,4</w:t>
            </w:r>
            <w:r>
              <w:rPr>
                <w:rFonts w:hint="eastAsia"/>
                <w:color w:val="auto"/>
              </w:rPr>
              <w:t>二苯基甲烷二异氰酸酯（</w:t>
            </w:r>
            <w:r>
              <w:rPr>
                <w:color w:val="auto"/>
              </w:rPr>
              <w:t>MDI</w:t>
            </w:r>
            <w:r>
              <w:rPr>
                <w:rFonts w:hint="eastAsia"/>
                <w:color w:val="auto"/>
              </w:rPr>
              <w:t>）</w:t>
            </w:r>
          </w:p>
        </w:tc>
        <w:tc>
          <w:tcPr>
            <w:tcW w:w="860" w:type="pct"/>
            <w:tcBorders>
              <w:tl2br w:val="nil"/>
              <w:tr2bl w:val="nil"/>
            </w:tcBorders>
            <w:vAlign w:val="center"/>
          </w:tcPr>
          <w:p>
            <w:pPr>
              <w:pStyle w:val="182"/>
              <w:bidi w:val="0"/>
              <w:rPr>
                <w:color w:val="auto"/>
              </w:rPr>
            </w:pPr>
            <w:r>
              <w:rPr>
                <w:color w:val="auto"/>
              </w:rPr>
              <w:t>180</w:t>
            </w:r>
          </w:p>
        </w:tc>
        <w:tc>
          <w:tcPr>
            <w:tcW w:w="782" w:type="pct"/>
            <w:tcBorders>
              <w:tl2br w:val="nil"/>
              <w:tr2bl w:val="nil"/>
            </w:tcBorders>
            <w:vAlign w:val="center"/>
          </w:tcPr>
          <w:p>
            <w:pPr>
              <w:pStyle w:val="182"/>
              <w:bidi w:val="0"/>
              <w:rPr>
                <w:color w:val="auto"/>
              </w:rPr>
            </w:pPr>
            <w:r>
              <w:rPr>
                <w:color w:val="auto"/>
              </w:rPr>
              <w:t>7200</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3</w:t>
            </w:r>
          </w:p>
        </w:tc>
        <w:tc>
          <w:tcPr>
            <w:tcW w:w="1519" w:type="pct"/>
            <w:tcBorders>
              <w:tl2br w:val="nil"/>
              <w:tr2bl w:val="nil"/>
            </w:tcBorders>
            <w:vAlign w:val="center"/>
          </w:tcPr>
          <w:p>
            <w:pPr>
              <w:pStyle w:val="182"/>
              <w:bidi w:val="0"/>
              <w:rPr>
                <w:color w:val="auto"/>
              </w:rPr>
            </w:pPr>
            <w:r>
              <w:rPr>
                <w:rFonts w:hint="eastAsia"/>
                <w:color w:val="auto"/>
              </w:rPr>
              <w:t>扩链剂（乙二胺、丙二胺）</w:t>
            </w:r>
          </w:p>
        </w:tc>
        <w:tc>
          <w:tcPr>
            <w:tcW w:w="860" w:type="pct"/>
            <w:tcBorders>
              <w:tl2br w:val="nil"/>
              <w:tr2bl w:val="nil"/>
            </w:tcBorders>
            <w:vAlign w:val="center"/>
          </w:tcPr>
          <w:p>
            <w:pPr>
              <w:pStyle w:val="182"/>
              <w:bidi w:val="0"/>
              <w:rPr>
                <w:color w:val="auto"/>
              </w:rPr>
            </w:pPr>
            <w:r>
              <w:rPr>
                <w:color w:val="auto"/>
              </w:rPr>
              <w:t>18</w:t>
            </w:r>
          </w:p>
        </w:tc>
        <w:tc>
          <w:tcPr>
            <w:tcW w:w="782" w:type="pct"/>
            <w:tcBorders>
              <w:tl2br w:val="nil"/>
              <w:tr2bl w:val="nil"/>
            </w:tcBorders>
            <w:vAlign w:val="center"/>
          </w:tcPr>
          <w:p>
            <w:pPr>
              <w:pStyle w:val="182"/>
              <w:bidi w:val="0"/>
              <w:rPr>
                <w:color w:val="auto"/>
              </w:rPr>
            </w:pPr>
            <w:r>
              <w:rPr>
                <w:color w:val="auto"/>
              </w:rPr>
              <w:t>680</w:t>
            </w:r>
          </w:p>
        </w:tc>
        <w:tc>
          <w:tcPr>
            <w:tcW w:w="1329" w:type="pct"/>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4</w:t>
            </w:r>
          </w:p>
        </w:tc>
        <w:tc>
          <w:tcPr>
            <w:tcW w:w="1519" w:type="pct"/>
            <w:tcBorders>
              <w:tl2br w:val="nil"/>
              <w:tr2bl w:val="nil"/>
            </w:tcBorders>
            <w:vAlign w:val="center"/>
          </w:tcPr>
          <w:p>
            <w:pPr>
              <w:pStyle w:val="182"/>
              <w:bidi w:val="0"/>
              <w:rPr>
                <w:color w:val="auto"/>
              </w:rPr>
            </w:pPr>
            <w:r>
              <w:rPr>
                <w:rFonts w:hint="eastAsia"/>
                <w:color w:val="auto"/>
              </w:rPr>
              <w:t>添加剂（黄变防止剂等）</w:t>
            </w:r>
          </w:p>
        </w:tc>
        <w:tc>
          <w:tcPr>
            <w:tcW w:w="860" w:type="pct"/>
            <w:tcBorders>
              <w:tl2br w:val="nil"/>
              <w:tr2bl w:val="nil"/>
            </w:tcBorders>
            <w:vAlign w:val="center"/>
          </w:tcPr>
          <w:p>
            <w:pPr>
              <w:pStyle w:val="182"/>
              <w:bidi w:val="0"/>
              <w:rPr>
                <w:color w:val="auto"/>
              </w:rPr>
            </w:pPr>
            <w:r>
              <w:rPr>
                <w:color w:val="auto"/>
              </w:rPr>
              <w:t>34</w:t>
            </w:r>
          </w:p>
        </w:tc>
        <w:tc>
          <w:tcPr>
            <w:tcW w:w="782" w:type="pct"/>
            <w:tcBorders>
              <w:tl2br w:val="nil"/>
              <w:tr2bl w:val="nil"/>
            </w:tcBorders>
            <w:vAlign w:val="center"/>
          </w:tcPr>
          <w:p>
            <w:pPr>
              <w:pStyle w:val="182"/>
              <w:bidi w:val="0"/>
              <w:rPr>
                <w:color w:val="auto"/>
              </w:rPr>
            </w:pPr>
            <w:r>
              <w:rPr>
                <w:color w:val="auto"/>
              </w:rPr>
              <w:t>960</w:t>
            </w:r>
          </w:p>
        </w:tc>
        <w:tc>
          <w:tcPr>
            <w:tcW w:w="1329" w:type="pct"/>
            <w:tcBorders>
              <w:tl2br w:val="nil"/>
              <w:tr2bl w:val="nil"/>
            </w:tcBorders>
            <w:vAlign w:val="center"/>
          </w:tcPr>
          <w:p>
            <w:pPr>
              <w:pStyle w:val="182"/>
              <w:bidi w:val="0"/>
              <w:rPr>
                <w:color w:val="auto"/>
              </w:rPr>
            </w:pPr>
            <w:r>
              <w:rPr>
                <w:rFonts w:hint="eastAsia"/>
                <w:color w:val="auto"/>
              </w:rPr>
              <w:t>箱、桶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5</w:t>
            </w:r>
          </w:p>
        </w:tc>
        <w:tc>
          <w:tcPr>
            <w:tcW w:w="1519" w:type="pct"/>
            <w:tcBorders>
              <w:tl2br w:val="nil"/>
              <w:tr2bl w:val="nil"/>
            </w:tcBorders>
            <w:vAlign w:val="center"/>
          </w:tcPr>
          <w:p>
            <w:pPr>
              <w:pStyle w:val="182"/>
              <w:bidi w:val="0"/>
              <w:rPr>
                <w:color w:val="auto"/>
              </w:rPr>
            </w:pPr>
            <w:r>
              <w:rPr>
                <w:rFonts w:hint="eastAsia"/>
                <w:color w:val="auto"/>
              </w:rPr>
              <w:t>二甲基乙酰胺（</w:t>
            </w:r>
            <w:r>
              <w:rPr>
                <w:color w:val="auto"/>
              </w:rPr>
              <w:t>DMAC</w:t>
            </w:r>
            <w:r>
              <w:rPr>
                <w:rFonts w:hint="eastAsia"/>
                <w:color w:val="auto"/>
              </w:rPr>
              <w:t>）</w:t>
            </w:r>
          </w:p>
        </w:tc>
        <w:tc>
          <w:tcPr>
            <w:tcW w:w="860" w:type="pct"/>
            <w:tcBorders>
              <w:tl2br w:val="nil"/>
              <w:tr2bl w:val="nil"/>
            </w:tcBorders>
            <w:vAlign w:val="center"/>
          </w:tcPr>
          <w:p>
            <w:pPr>
              <w:pStyle w:val="182"/>
              <w:bidi w:val="0"/>
              <w:rPr>
                <w:color w:val="auto"/>
              </w:rPr>
            </w:pPr>
            <w:r>
              <w:rPr>
                <w:color w:val="auto"/>
              </w:rPr>
              <w:t>15.4</w:t>
            </w:r>
          </w:p>
        </w:tc>
        <w:tc>
          <w:tcPr>
            <w:tcW w:w="782" w:type="pct"/>
            <w:tcBorders>
              <w:tl2br w:val="nil"/>
              <w:tr2bl w:val="nil"/>
            </w:tcBorders>
            <w:vAlign w:val="center"/>
          </w:tcPr>
          <w:p>
            <w:pPr>
              <w:pStyle w:val="182"/>
              <w:bidi w:val="0"/>
              <w:rPr>
                <w:color w:val="auto"/>
              </w:rPr>
            </w:pPr>
            <w:r>
              <w:rPr>
                <w:color w:val="auto"/>
              </w:rPr>
              <w:t>616</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6</w:t>
            </w:r>
          </w:p>
        </w:tc>
        <w:tc>
          <w:tcPr>
            <w:tcW w:w="1519" w:type="pct"/>
            <w:tcBorders>
              <w:tl2br w:val="nil"/>
              <w:tr2bl w:val="nil"/>
            </w:tcBorders>
            <w:vAlign w:val="center"/>
          </w:tcPr>
          <w:p>
            <w:pPr>
              <w:pStyle w:val="182"/>
              <w:bidi w:val="0"/>
              <w:rPr>
                <w:color w:val="auto"/>
              </w:rPr>
            </w:pPr>
            <w:r>
              <w:rPr>
                <w:rFonts w:hint="eastAsia"/>
                <w:color w:val="auto"/>
              </w:rPr>
              <w:t>油剂（白油等，进口）</w:t>
            </w:r>
          </w:p>
        </w:tc>
        <w:tc>
          <w:tcPr>
            <w:tcW w:w="860" w:type="pct"/>
            <w:tcBorders>
              <w:tl2br w:val="nil"/>
              <w:tr2bl w:val="nil"/>
            </w:tcBorders>
            <w:vAlign w:val="center"/>
          </w:tcPr>
          <w:p>
            <w:pPr>
              <w:pStyle w:val="182"/>
              <w:bidi w:val="0"/>
              <w:rPr>
                <w:color w:val="auto"/>
              </w:rPr>
            </w:pPr>
            <w:r>
              <w:rPr>
                <w:color w:val="auto"/>
              </w:rPr>
              <w:t>40</w:t>
            </w:r>
          </w:p>
        </w:tc>
        <w:tc>
          <w:tcPr>
            <w:tcW w:w="782" w:type="pct"/>
            <w:tcBorders>
              <w:tl2br w:val="nil"/>
              <w:tr2bl w:val="nil"/>
            </w:tcBorders>
            <w:vAlign w:val="center"/>
          </w:tcPr>
          <w:p>
            <w:pPr>
              <w:pStyle w:val="182"/>
              <w:bidi w:val="0"/>
              <w:rPr>
                <w:color w:val="auto"/>
              </w:rPr>
            </w:pPr>
            <w:r>
              <w:rPr>
                <w:color w:val="auto"/>
              </w:rPr>
              <w:t>1600</w:t>
            </w:r>
          </w:p>
        </w:tc>
        <w:tc>
          <w:tcPr>
            <w:tcW w:w="1329" w:type="pct"/>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7</w:t>
            </w:r>
          </w:p>
        </w:tc>
        <w:tc>
          <w:tcPr>
            <w:tcW w:w="1519" w:type="pct"/>
            <w:tcBorders>
              <w:tl2br w:val="nil"/>
              <w:tr2bl w:val="nil"/>
            </w:tcBorders>
            <w:vAlign w:val="center"/>
          </w:tcPr>
          <w:p>
            <w:pPr>
              <w:pStyle w:val="182"/>
              <w:bidi w:val="0"/>
              <w:rPr>
                <w:color w:val="auto"/>
              </w:rPr>
            </w:pPr>
            <w:r>
              <w:rPr>
                <w:rFonts w:hint="eastAsia"/>
                <w:color w:val="auto"/>
              </w:rPr>
              <w:t>蒸汽（平均）</w:t>
            </w:r>
          </w:p>
        </w:tc>
        <w:tc>
          <w:tcPr>
            <w:tcW w:w="860" w:type="pct"/>
            <w:tcBorders>
              <w:tl2br w:val="nil"/>
              <w:tr2bl w:val="nil"/>
            </w:tcBorders>
            <w:vAlign w:val="center"/>
          </w:tcPr>
          <w:p>
            <w:pPr>
              <w:pStyle w:val="182"/>
              <w:bidi w:val="0"/>
              <w:rPr>
                <w:color w:val="auto"/>
              </w:rPr>
            </w:pPr>
            <w:r>
              <w:rPr>
                <w:color w:val="auto"/>
              </w:rPr>
              <w:t>32.75t/h</w:t>
            </w:r>
          </w:p>
        </w:tc>
        <w:tc>
          <w:tcPr>
            <w:tcW w:w="782" w:type="pct"/>
            <w:tcBorders>
              <w:tl2br w:val="nil"/>
              <w:tr2bl w:val="nil"/>
            </w:tcBorders>
            <w:vAlign w:val="center"/>
          </w:tcPr>
          <w:p>
            <w:pPr>
              <w:pStyle w:val="182"/>
              <w:bidi w:val="0"/>
              <w:rPr>
                <w:color w:val="auto"/>
              </w:rPr>
            </w:pPr>
            <w:r>
              <w:rPr>
                <w:color w:val="auto"/>
              </w:rPr>
              <w:t>259380</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8</w:t>
            </w:r>
          </w:p>
        </w:tc>
        <w:tc>
          <w:tcPr>
            <w:tcW w:w="1519" w:type="pct"/>
            <w:tcBorders>
              <w:tl2br w:val="nil"/>
              <w:tr2bl w:val="nil"/>
            </w:tcBorders>
            <w:vAlign w:val="center"/>
          </w:tcPr>
          <w:p>
            <w:pPr>
              <w:pStyle w:val="182"/>
              <w:bidi w:val="0"/>
              <w:rPr>
                <w:color w:val="auto"/>
              </w:rPr>
            </w:pPr>
            <w:r>
              <w:rPr>
                <w:rFonts w:hint="eastAsia"/>
                <w:color w:val="auto"/>
              </w:rPr>
              <w:t>电</w:t>
            </w:r>
          </w:p>
        </w:tc>
        <w:tc>
          <w:tcPr>
            <w:tcW w:w="860" w:type="pct"/>
            <w:tcBorders>
              <w:tl2br w:val="nil"/>
              <w:tr2bl w:val="nil"/>
            </w:tcBorders>
            <w:vAlign w:val="center"/>
          </w:tcPr>
          <w:p>
            <w:pPr>
              <w:pStyle w:val="182"/>
              <w:bidi w:val="0"/>
              <w:rPr>
                <w:color w:val="auto"/>
              </w:rPr>
            </w:pPr>
            <w:r>
              <w:rPr>
                <w:color w:val="auto"/>
              </w:rPr>
              <w:t>4800kwh</w:t>
            </w:r>
          </w:p>
        </w:tc>
        <w:tc>
          <w:tcPr>
            <w:tcW w:w="782" w:type="pct"/>
            <w:tcBorders>
              <w:tl2br w:val="nil"/>
              <w:tr2bl w:val="nil"/>
            </w:tcBorders>
            <w:vAlign w:val="center"/>
          </w:tcPr>
          <w:p>
            <w:pPr>
              <w:pStyle w:val="182"/>
              <w:bidi w:val="0"/>
              <w:rPr>
                <w:color w:val="auto"/>
              </w:rPr>
            </w:pPr>
            <w:r>
              <w:rPr>
                <w:color w:val="auto"/>
              </w:rPr>
              <w:t>19200</w:t>
            </w:r>
            <w:r>
              <w:rPr>
                <w:rFonts w:hint="eastAsia"/>
                <w:color w:val="auto"/>
              </w:rPr>
              <w:t>万</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9</w:t>
            </w:r>
          </w:p>
        </w:tc>
        <w:tc>
          <w:tcPr>
            <w:tcW w:w="1519" w:type="pct"/>
            <w:tcBorders>
              <w:tl2br w:val="nil"/>
              <w:tr2bl w:val="nil"/>
            </w:tcBorders>
            <w:vAlign w:val="center"/>
          </w:tcPr>
          <w:p>
            <w:pPr>
              <w:pStyle w:val="182"/>
              <w:bidi w:val="0"/>
              <w:rPr>
                <w:color w:val="auto"/>
              </w:rPr>
            </w:pPr>
            <w:r>
              <w:rPr>
                <w:rFonts w:hint="eastAsia"/>
                <w:color w:val="auto"/>
              </w:rPr>
              <w:t>制冷量</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56000KW</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10</w:t>
            </w:r>
          </w:p>
        </w:tc>
        <w:tc>
          <w:tcPr>
            <w:tcW w:w="1519" w:type="pct"/>
            <w:tcBorders>
              <w:tl2br w:val="nil"/>
              <w:tr2bl w:val="nil"/>
            </w:tcBorders>
            <w:vAlign w:val="center"/>
          </w:tcPr>
          <w:p>
            <w:pPr>
              <w:pStyle w:val="182"/>
              <w:bidi w:val="0"/>
              <w:rPr>
                <w:color w:val="auto"/>
              </w:rPr>
            </w:pPr>
            <w:r>
              <w:rPr>
                <w:rFonts w:hint="eastAsia"/>
                <w:color w:val="auto"/>
              </w:rPr>
              <w:t>压缩空气</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269Nm</w:t>
            </w:r>
            <w:r>
              <w:rPr>
                <w:color w:val="auto"/>
                <w:vertAlign w:val="superscript"/>
              </w:rPr>
              <w:t>3</w:t>
            </w:r>
            <w:r>
              <w:rPr>
                <w:color w:val="auto"/>
              </w:rPr>
              <w:t>/min</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11</w:t>
            </w:r>
          </w:p>
        </w:tc>
        <w:tc>
          <w:tcPr>
            <w:tcW w:w="1519" w:type="pct"/>
            <w:tcBorders>
              <w:tl2br w:val="nil"/>
              <w:tr2bl w:val="nil"/>
            </w:tcBorders>
            <w:vAlign w:val="center"/>
          </w:tcPr>
          <w:p>
            <w:pPr>
              <w:pStyle w:val="182"/>
              <w:bidi w:val="0"/>
              <w:rPr>
                <w:color w:val="auto"/>
              </w:rPr>
            </w:pPr>
            <w:r>
              <w:rPr>
                <w:rFonts w:hint="eastAsia"/>
                <w:color w:val="auto"/>
              </w:rPr>
              <w:t>氮气</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450Nm</w:t>
            </w:r>
            <w:r>
              <w:rPr>
                <w:color w:val="auto"/>
                <w:vertAlign w:val="superscript"/>
              </w:rPr>
              <w:t>3</w:t>
            </w:r>
            <w:r>
              <w:rPr>
                <w:color w:val="auto"/>
              </w:rPr>
              <w:t>/min</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vAlign w:val="center"/>
          </w:tcPr>
          <w:p>
            <w:pPr>
              <w:pStyle w:val="182"/>
              <w:bidi w:val="0"/>
              <w:rPr>
                <w:color w:val="auto"/>
              </w:rPr>
            </w:pPr>
            <w:r>
              <w:rPr>
                <w:rFonts w:hint="eastAsia"/>
                <w:color w:val="auto"/>
              </w:rPr>
              <w:t>新建</w:t>
            </w:r>
            <w:r>
              <w:rPr>
                <w:color w:val="auto"/>
              </w:rPr>
              <w:t>2×170t/h</w:t>
            </w:r>
            <w:r>
              <w:rPr>
                <w:rFonts w:hint="eastAsia"/>
                <w:color w:val="auto"/>
              </w:rPr>
              <w:t>蒸汽锅炉项目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w:t>
            </w:r>
          </w:p>
        </w:tc>
        <w:tc>
          <w:tcPr>
            <w:tcW w:w="1519" w:type="pct"/>
            <w:tcBorders>
              <w:tl2br w:val="nil"/>
              <w:tr2bl w:val="nil"/>
            </w:tcBorders>
            <w:vAlign w:val="center"/>
          </w:tcPr>
          <w:p>
            <w:pPr>
              <w:pStyle w:val="182"/>
              <w:bidi w:val="0"/>
              <w:rPr>
                <w:color w:val="auto"/>
              </w:rPr>
            </w:pPr>
            <w:r>
              <w:rPr>
                <w:rFonts w:hint="eastAsia"/>
                <w:color w:val="auto"/>
              </w:rPr>
              <w:t>燃煤</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32.9</w:t>
            </w:r>
            <w:r>
              <w:rPr>
                <w:rFonts w:hint="eastAsia"/>
                <w:color w:val="auto"/>
              </w:rPr>
              <w:t>万</w:t>
            </w:r>
          </w:p>
        </w:tc>
        <w:tc>
          <w:tcPr>
            <w:tcW w:w="1329" w:type="pct"/>
            <w:tcBorders>
              <w:tl2br w:val="nil"/>
              <w:tr2bl w:val="nil"/>
            </w:tcBorders>
            <w:vAlign w:val="center"/>
          </w:tcPr>
          <w:p>
            <w:pPr>
              <w:pStyle w:val="182"/>
              <w:bidi w:val="0"/>
              <w:rPr>
                <w:color w:val="auto"/>
              </w:rPr>
            </w:pPr>
            <w:r>
              <w:rPr>
                <w:rFonts w:hint="eastAsia"/>
                <w:color w:val="auto"/>
              </w:rPr>
              <w:t>封闭煤库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2</w:t>
            </w:r>
          </w:p>
        </w:tc>
        <w:tc>
          <w:tcPr>
            <w:tcW w:w="1519" w:type="pct"/>
            <w:tcBorders>
              <w:tl2br w:val="nil"/>
              <w:tr2bl w:val="nil"/>
            </w:tcBorders>
            <w:vAlign w:val="center"/>
          </w:tcPr>
          <w:p>
            <w:pPr>
              <w:pStyle w:val="182"/>
              <w:bidi w:val="0"/>
              <w:rPr>
                <w:color w:val="auto"/>
              </w:rPr>
            </w:pPr>
            <w:r>
              <w:rPr>
                <w:rFonts w:hint="eastAsia"/>
                <w:color w:val="auto"/>
              </w:rPr>
              <w:t>脱硫剂</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rFonts w:hint="eastAsia"/>
                <w:color w:val="auto"/>
              </w:rPr>
              <w:t>2138.4</w:t>
            </w:r>
          </w:p>
        </w:tc>
        <w:tc>
          <w:tcPr>
            <w:tcW w:w="1329" w:type="pct"/>
            <w:tcBorders>
              <w:tl2br w:val="nil"/>
              <w:tr2bl w:val="nil"/>
            </w:tcBorders>
            <w:vAlign w:val="center"/>
          </w:tcPr>
          <w:p>
            <w:pPr>
              <w:pStyle w:val="182"/>
              <w:bidi w:val="0"/>
              <w:rPr>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3</w:t>
            </w:r>
          </w:p>
        </w:tc>
        <w:tc>
          <w:tcPr>
            <w:tcW w:w="1519" w:type="pct"/>
            <w:tcBorders>
              <w:tl2br w:val="nil"/>
              <w:tr2bl w:val="nil"/>
            </w:tcBorders>
            <w:vAlign w:val="center"/>
          </w:tcPr>
          <w:p>
            <w:pPr>
              <w:pStyle w:val="182"/>
              <w:bidi w:val="0"/>
              <w:rPr>
                <w:color w:val="auto"/>
              </w:rPr>
            </w:pPr>
            <w:r>
              <w:rPr>
                <w:rFonts w:hint="eastAsia"/>
                <w:color w:val="auto"/>
              </w:rPr>
              <w:t>脱硝剂</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rFonts w:hint="eastAsia"/>
                <w:color w:val="auto"/>
              </w:rPr>
              <w:t>7063.8</w:t>
            </w:r>
          </w:p>
        </w:tc>
        <w:tc>
          <w:tcPr>
            <w:tcW w:w="1329" w:type="pct"/>
            <w:tcBorders>
              <w:tl2br w:val="nil"/>
              <w:tr2bl w:val="nil"/>
            </w:tcBorders>
            <w:vAlign w:val="center"/>
          </w:tcPr>
          <w:p>
            <w:pPr>
              <w:pStyle w:val="182"/>
              <w:bidi w:val="0"/>
              <w:rPr>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rFonts w:hint="eastAsia"/>
                <w:color w:val="auto"/>
              </w:rPr>
              <w:t>4</w:t>
            </w:r>
          </w:p>
        </w:tc>
        <w:tc>
          <w:tcPr>
            <w:tcW w:w="1519" w:type="pct"/>
            <w:tcBorders>
              <w:tl2br w:val="nil"/>
              <w:tr2bl w:val="nil"/>
            </w:tcBorders>
            <w:vAlign w:val="center"/>
          </w:tcPr>
          <w:p>
            <w:pPr>
              <w:pStyle w:val="182"/>
              <w:bidi w:val="0"/>
              <w:rPr>
                <w:color w:val="auto"/>
              </w:rPr>
            </w:pPr>
            <w:r>
              <w:rPr>
                <w:rFonts w:hint="eastAsia"/>
                <w:color w:val="auto"/>
              </w:rPr>
              <w:t>醇基燃料（点火）</w:t>
            </w:r>
          </w:p>
        </w:tc>
        <w:tc>
          <w:tcPr>
            <w:tcW w:w="860" w:type="pct"/>
            <w:tcBorders>
              <w:tl2br w:val="nil"/>
              <w:tr2bl w:val="nil"/>
            </w:tcBorders>
            <w:vAlign w:val="center"/>
          </w:tcPr>
          <w:p>
            <w:pPr>
              <w:pStyle w:val="182"/>
              <w:bidi w:val="0"/>
              <w:rPr>
                <w:color w:val="auto"/>
              </w:rPr>
            </w:pPr>
            <w:r>
              <w:rPr>
                <w:rFonts w:hint="eastAsia"/>
                <w:color w:val="auto"/>
              </w:rPr>
              <w:t>/</w:t>
            </w:r>
          </w:p>
        </w:tc>
        <w:tc>
          <w:tcPr>
            <w:tcW w:w="782" w:type="pct"/>
            <w:tcBorders>
              <w:tl2br w:val="nil"/>
              <w:tr2bl w:val="nil"/>
            </w:tcBorders>
            <w:vAlign w:val="center"/>
          </w:tcPr>
          <w:p>
            <w:pPr>
              <w:pStyle w:val="182"/>
              <w:bidi w:val="0"/>
              <w:rPr>
                <w:color w:val="auto"/>
              </w:rPr>
            </w:pPr>
            <w:r>
              <w:rPr>
                <w:rFonts w:hint="eastAsia"/>
                <w:color w:val="auto"/>
              </w:rPr>
              <w:t>1</w:t>
            </w:r>
            <w:r>
              <w:rPr>
                <w:color w:val="auto"/>
              </w:rPr>
              <w:t>50</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vAlign w:val="center"/>
          </w:tcPr>
          <w:p>
            <w:pPr>
              <w:pStyle w:val="182"/>
              <w:bidi w:val="0"/>
              <w:rPr>
                <w:color w:val="auto"/>
              </w:rPr>
            </w:pPr>
            <w:r>
              <w:rPr>
                <w:rFonts w:hint="eastAsia"/>
                <w:color w:val="auto"/>
              </w:rPr>
              <w:t>年产</w:t>
            </w:r>
            <w:r>
              <w:rPr>
                <w:color w:val="auto"/>
              </w:rPr>
              <w:t>2</w:t>
            </w:r>
            <w:r>
              <w:rPr>
                <w:rFonts w:hint="eastAsia"/>
                <w:color w:val="auto"/>
              </w:rPr>
              <w:t>万吨超细旦氨纶纤维项目（年产</w:t>
            </w:r>
            <w:r>
              <w:rPr>
                <w:color w:val="auto"/>
              </w:rPr>
              <w:t>3</w:t>
            </w:r>
            <w:r>
              <w:rPr>
                <w:rFonts w:hint="eastAsia"/>
                <w:color w:val="auto"/>
              </w:rPr>
              <w:t>×</w:t>
            </w:r>
            <w:r>
              <w:rPr>
                <w:color w:val="auto"/>
              </w:rPr>
              <w:t>2</w:t>
            </w:r>
            <w:r>
              <w:rPr>
                <w:rFonts w:hint="eastAsia"/>
                <w:color w:val="auto"/>
              </w:rPr>
              <w:t>万吨超细旦氨纶纤维项目一期工程）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w:t>
            </w:r>
          </w:p>
        </w:tc>
        <w:tc>
          <w:tcPr>
            <w:tcW w:w="1519" w:type="pct"/>
            <w:tcBorders>
              <w:tl2br w:val="nil"/>
              <w:tr2bl w:val="nil"/>
            </w:tcBorders>
            <w:vAlign w:val="center"/>
          </w:tcPr>
          <w:p>
            <w:pPr>
              <w:pStyle w:val="182"/>
              <w:bidi w:val="0"/>
              <w:rPr>
                <w:color w:val="auto"/>
              </w:rPr>
            </w:pPr>
            <w:r>
              <w:rPr>
                <w:rFonts w:hint="eastAsia"/>
                <w:color w:val="auto"/>
              </w:rPr>
              <w:t>聚四亚甲基醚二醇（</w:t>
            </w:r>
            <w:r>
              <w:rPr>
                <w:color w:val="auto"/>
              </w:rPr>
              <w:t>PTMG</w:t>
            </w:r>
            <w:r>
              <w:rPr>
                <w:rFonts w:hint="eastAsia"/>
                <w:color w:val="auto"/>
              </w:rPr>
              <w:t>）</w:t>
            </w:r>
          </w:p>
        </w:tc>
        <w:tc>
          <w:tcPr>
            <w:tcW w:w="860" w:type="pct"/>
            <w:tcBorders>
              <w:tl2br w:val="nil"/>
              <w:tr2bl w:val="nil"/>
            </w:tcBorders>
            <w:vAlign w:val="center"/>
          </w:tcPr>
          <w:p>
            <w:pPr>
              <w:pStyle w:val="182"/>
              <w:bidi w:val="0"/>
              <w:rPr>
                <w:color w:val="auto"/>
              </w:rPr>
            </w:pPr>
            <w:r>
              <w:rPr>
                <w:color w:val="auto"/>
              </w:rPr>
              <w:t>770</w:t>
            </w:r>
          </w:p>
        </w:tc>
        <w:tc>
          <w:tcPr>
            <w:tcW w:w="782" w:type="pct"/>
            <w:tcBorders>
              <w:tl2br w:val="nil"/>
              <w:tr2bl w:val="nil"/>
            </w:tcBorders>
            <w:vAlign w:val="center"/>
          </w:tcPr>
          <w:p>
            <w:pPr>
              <w:pStyle w:val="182"/>
              <w:bidi w:val="0"/>
              <w:rPr>
                <w:color w:val="auto"/>
              </w:rPr>
            </w:pPr>
            <w:r>
              <w:rPr>
                <w:color w:val="auto"/>
              </w:rPr>
              <w:t>15400</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2</w:t>
            </w:r>
          </w:p>
        </w:tc>
        <w:tc>
          <w:tcPr>
            <w:tcW w:w="1519" w:type="pct"/>
            <w:tcBorders>
              <w:tl2br w:val="nil"/>
              <w:tr2bl w:val="nil"/>
            </w:tcBorders>
            <w:vAlign w:val="center"/>
          </w:tcPr>
          <w:p>
            <w:pPr>
              <w:pStyle w:val="182"/>
              <w:bidi w:val="0"/>
              <w:rPr>
                <w:color w:val="auto"/>
              </w:rPr>
            </w:pPr>
            <w:r>
              <w:rPr>
                <w:color w:val="auto"/>
              </w:rPr>
              <w:t>4,4</w:t>
            </w:r>
            <w:r>
              <w:rPr>
                <w:rFonts w:hint="eastAsia"/>
                <w:color w:val="auto"/>
                <w:lang w:eastAsia="zh-CN"/>
              </w:rPr>
              <w:t>－</w:t>
            </w:r>
            <w:r>
              <w:rPr>
                <w:rFonts w:hint="eastAsia"/>
                <w:color w:val="auto"/>
              </w:rPr>
              <w:t>二苯基甲烷二异氰酸酯（</w:t>
            </w:r>
            <w:r>
              <w:rPr>
                <w:color w:val="auto"/>
              </w:rPr>
              <w:t>MDI</w:t>
            </w:r>
            <w:r>
              <w:rPr>
                <w:rFonts w:hint="eastAsia"/>
                <w:color w:val="auto"/>
              </w:rPr>
              <w:t>）</w:t>
            </w:r>
          </w:p>
        </w:tc>
        <w:tc>
          <w:tcPr>
            <w:tcW w:w="860" w:type="pct"/>
            <w:tcBorders>
              <w:tl2br w:val="nil"/>
              <w:tr2bl w:val="nil"/>
            </w:tcBorders>
            <w:vAlign w:val="center"/>
          </w:tcPr>
          <w:p>
            <w:pPr>
              <w:pStyle w:val="182"/>
              <w:bidi w:val="0"/>
              <w:rPr>
                <w:color w:val="auto"/>
              </w:rPr>
            </w:pPr>
            <w:r>
              <w:rPr>
                <w:color w:val="auto"/>
              </w:rPr>
              <w:t>180</w:t>
            </w:r>
          </w:p>
        </w:tc>
        <w:tc>
          <w:tcPr>
            <w:tcW w:w="782" w:type="pct"/>
            <w:tcBorders>
              <w:tl2br w:val="nil"/>
              <w:tr2bl w:val="nil"/>
            </w:tcBorders>
            <w:vAlign w:val="center"/>
          </w:tcPr>
          <w:p>
            <w:pPr>
              <w:pStyle w:val="182"/>
              <w:bidi w:val="0"/>
              <w:rPr>
                <w:color w:val="auto"/>
              </w:rPr>
            </w:pPr>
            <w:r>
              <w:rPr>
                <w:color w:val="auto"/>
              </w:rPr>
              <w:t>3600</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3</w:t>
            </w:r>
          </w:p>
        </w:tc>
        <w:tc>
          <w:tcPr>
            <w:tcW w:w="1519" w:type="pct"/>
            <w:tcBorders>
              <w:tl2br w:val="nil"/>
              <w:tr2bl w:val="nil"/>
            </w:tcBorders>
            <w:vAlign w:val="center"/>
          </w:tcPr>
          <w:p>
            <w:pPr>
              <w:pStyle w:val="182"/>
              <w:bidi w:val="0"/>
              <w:rPr>
                <w:color w:val="auto"/>
              </w:rPr>
            </w:pPr>
            <w:r>
              <w:rPr>
                <w:color w:val="auto"/>
              </w:rPr>
              <w:t>N,N</w:t>
            </w:r>
            <w:r>
              <w:rPr>
                <w:rFonts w:hint="eastAsia"/>
                <w:color w:val="auto"/>
                <w:lang w:eastAsia="zh-CN"/>
              </w:rPr>
              <w:t>－</w:t>
            </w:r>
            <w:r>
              <w:rPr>
                <w:rFonts w:hint="eastAsia"/>
                <w:color w:val="auto"/>
              </w:rPr>
              <w:t>二甲基乙酰胺（</w:t>
            </w:r>
            <w:r>
              <w:rPr>
                <w:color w:val="auto"/>
              </w:rPr>
              <w:t>DMAC</w:t>
            </w:r>
            <w:r>
              <w:rPr>
                <w:rFonts w:hint="eastAsia"/>
                <w:color w:val="auto"/>
              </w:rPr>
              <w:t>）</w:t>
            </w:r>
          </w:p>
        </w:tc>
        <w:tc>
          <w:tcPr>
            <w:tcW w:w="860" w:type="pct"/>
            <w:tcBorders>
              <w:tl2br w:val="nil"/>
              <w:tr2bl w:val="nil"/>
            </w:tcBorders>
            <w:vAlign w:val="center"/>
          </w:tcPr>
          <w:p>
            <w:pPr>
              <w:pStyle w:val="182"/>
              <w:bidi w:val="0"/>
              <w:rPr>
                <w:color w:val="auto"/>
              </w:rPr>
            </w:pPr>
            <w:r>
              <w:rPr>
                <w:color w:val="auto"/>
              </w:rPr>
              <w:t>15.35</w:t>
            </w:r>
          </w:p>
        </w:tc>
        <w:tc>
          <w:tcPr>
            <w:tcW w:w="782" w:type="pct"/>
            <w:tcBorders>
              <w:tl2br w:val="nil"/>
              <w:tr2bl w:val="nil"/>
            </w:tcBorders>
            <w:vAlign w:val="center"/>
          </w:tcPr>
          <w:p>
            <w:pPr>
              <w:pStyle w:val="182"/>
              <w:bidi w:val="0"/>
              <w:rPr>
                <w:color w:val="auto"/>
              </w:rPr>
            </w:pPr>
            <w:r>
              <w:rPr>
                <w:color w:val="auto"/>
              </w:rPr>
              <w:t>307</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4</w:t>
            </w:r>
          </w:p>
        </w:tc>
        <w:tc>
          <w:tcPr>
            <w:tcW w:w="1519" w:type="pct"/>
            <w:tcBorders>
              <w:tl2br w:val="nil"/>
              <w:tr2bl w:val="nil"/>
            </w:tcBorders>
            <w:vAlign w:val="center"/>
          </w:tcPr>
          <w:p>
            <w:pPr>
              <w:pStyle w:val="182"/>
              <w:bidi w:val="0"/>
              <w:rPr>
                <w:color w:val="auto"/>
              </w:rPr>
            </w:pPr>
            <w:r>
              <w:rPr>
                <w:rFonts w:hint="eastAsia"/>
                <w:color w:val="auto"/>
              </w:rPr>
              <w:t>扩链剂（乙二胺、丙二胺）</w:t>
            </w:r>
          </w:p>
        </w:tc>
        <w:tc>
          <w:tcPr>
            <w:tcW w:w="860" w:type="pct"/>
            <w:tcBorders>
              <w:tl2br w:val="nil"/>
              <w:tr2bl w:val="nil"/>
            </w:tcBorders>
            <w:vAlign w:val="center"/>
          </w:tcPr>
          <w:p>
            <w:pPr>
              <w:pStyle w:val="182"/>
              <w:bidi w:val="0"/>
              <w:rPr>
                <w:color w:val="auto"/>
              </w:rPr>
            </w:pPr>
            <w:r>
              <w:rPr>
                <w:color w:val="auto"/>
              </w:rPr>
              <w:t>17.8</w:t>
            </w:r>
          </w:p>
        </w:tc>
        <w:tc>
          <w:tcPr>
            <w:tcW w:w="782" w:type="pct"/>
            <w:tcBorders>
              <w:tl2br w:val="nil"/>
              <w:tr2bl w:val="nil"/>
            </w:tcBorders>
            <w:vAlign w:val="center"/>
          </w:tcPr>
          <w:p>
            <w:pPr>
              <w:pStyle w:val="182"/>
              <w:bidi w:val="0"/>
              <w:rPr>
                <w:color w:val="auto"/>
              </w:rPr>
            </w:pPr>
            <w:r>
              <w:rPr>
                <w:color w:val="auto"/>
              </w:rPr>
              <w:t>356</w:t>
            </w:r>
          </w:p>
        </w:tc>
        <w:tc>
          <w:tcPr>
            <w:tcW w:w="1329" w:type="pct"/>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5</w:t>
            </w:r>
          </w:p>
        </w:tc>
        <w:tc>
          <w:tcPr>
            <w:tcW w:w="1519" w:type="pct"/>
            <w:tcBorders>
              <w:tl2br w:val="nil"/>
              <w:tr2bl w:val="nil"/>
            </w:tcBorders>
            <w:vAlign w:val="center"/>
          </w:tcPr>
          <w:p>
            <w:pPr>
              <w:pStyle w:val="182"/>
              <w:bidi w:val="0"/>
              <w:rPr>
                <w:color w:val="auto"/>
              </w:rPr>
            </w:pPr>
            <w:r>
              <w:rPr>
                <w:rFonts w:hint="eastAsia"/>
                <w:color w:val="auto"/>
              </w:rPr>
              <w:t>添加剂（黄变防止剂）</w:t>
            </w:r>
          </w:p>
        </w:tc>
        <w:tc>
          <w:tcPr>
            <w:tcW w:w="860" w:type="pct"/>
            <w:tcBorders>
              <w:tl2br w:val="nil"/>
              <w:tr2bl w:val="nil"/>
            </w:tcBorders>
            <w:vAlign w:val="center"/>
          </w:tcPr>
          <w:p>
            <w:pPr>
              <w:pStyle w:val="182"/>
              <w:bidi w:val="0"/>
              <w:rPr>
                <w:color w:val="auto"/>
              </w:rPr>
            </w:pPr>
            <w:r>
              <w:rPr>
                <w:color w:val="auto"/>
              </w:rPr>
              <w:t>33</w:t>
            </w:r>
          </w:p>
        </w:tc>
        <w:tc>
          <w:tcPr>
            <w:tcW w:w="782" w:type="pct"/>
            <w:tcBorders>
              <w:tl2br w:val="nil"/>
              <w:tr2bl w:val="nil"/>
            </w:tcBorders>
            <w:vAlign w:val="center"/>
          </w:tcPr>
          <w:p>
            <w:pPr>
              <w:pStyle w:val="182"/>
              <w:bidi w:val="0"/>
              <w:rPr>
                <w:color w:val="auto"/>
              </w:rPr>
            </w:pPr>
            <w:r>
              <w:rPr>
                <w:color w:val="auto"/>
              </w:rPr>
              <w:t>660</w:t>
            </w:r>
          </w:p>
        </w:tc>
        <w:tc>
          <w:tcPr>
            <w:tcW w:w="1329" w:type="pct"/>
            <w:tcBorders>
              <w:tl2br w:val="nil"/>
              <w:tr2bl w:val="nil"/>
            </w:tcBorders>
            <w:vAlign w:val="center"/>
          </w:tcPr>
          <w:p>
            <w:pPr>
              <w:pStyle w:val="182"/>
              <w:bidi w:val="0"/>
              <w:rPr>
                <w:color w:val="auto"/>
              </w:rPr>
            </w:pPr>
            <w:r>
              <w:rPr>
                <w:rFonts w:hint="eastAsia"/>
                <w:color w:val="auto"/>
              </w:rPr>
              <w:t>箱、桶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6</w:t>
            </w:r>
          </w:p>
        </w:tc>
        <w:tc>
          <w:tcPr>
            <w:tcW w:w="1519" w:type="pct"/>
            <w:tcBorders>
              <w:tl2br w:val="nil"/>
              <w:tr2bl w:val="nil"/>
            </w:tcBorders>
            <w:vAlign w:val="center"/>
          </w:tcPr>
          <w:p>
            <w:pPr>
              <w:pStyle w:val="182"/>
              <w:bidi w:val="0"/>
              <w:rPr>
                <w:color w:val="auto"/>
              </w:rPr>
            </w:pPr>
            <w:r>
              <w:rPr>
                <w:rFonts w:hint="eastAsia"/>
                <w:color w:val="auto"/>
              </w:rPr>
              <w:t>油剂（白油等，进口）</w:t>
            </w:r>
          </w:p>
        </w:tc>
        <w:tc>
          <w:tcPr>
            <w:tcW w:w="860" w:type="pct"/>
            <w:tcBorders>
              <w:tl2br w:val="nil"/>
              <w:tr2bl w:val="nil"/>
            </w:tcBorders>
            <w:vAlign w:val="center"/>
          </w:tcPr>
          <w:p>
            <w:pPr>
              <w:pStyle w:val="182"/>
              <w:bidi w:val="0"/>
              <w:rPr>
                <w:color w:val="auto"/>
              </w:rPr>
            </w:pPr>
            <w:r>
              <w:rPr>
                <w:color w:val="auto"/>
              </w:rPr>
              <w:t>40</w:t>
            </w:r>
          </w:p>
        </w:tc>
        <w:tc>
          <w:tcPr>
            <w:tcW w:w="782" w:type="pct"/>
            <w:tcBorders>
              <w:tl2br w:val="nil"/>
              <w:tr2bl w:val="nil"/>
            </w:tcBorders>
            <w:vAlign w:val="center"/>
          </w:tcPr>
          <w:p>
            <w:pPr>
              <w:pStyle w:val="182"/>
              <w:bidi w:val="0"/>
              <w:rPr>
                <w:color w:val="auto"/>
              </w:rPr>
            </w:pPr>
            <w:r>
              <w:rPr>
                <w:color w:val="auto"/>
              </w:rPr>
              <w:t>1100</w:t>
            </w:r>
          </w:p>
        </w:tc>
        <w:tc>
          <w:tcPr>
            <w:tcW w:w="1329" w:type="pct"/>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7</w:t>
            </w:r>
          </w:p>
        </w:tc>
        <w:tc>
          <w:tcPr>
            <w:tcW w:w="1519" w:type="pct"/>
            <w:tcBorders>
              <w:tl2br w:val="nil"/>
              <w:tr2bl w:val="nil"/>
            </w:tcBorders>
            <w:vAlign w:val="center"/>
          </w:tcPr>
          <w:p>
            <w:pPr>
              <w:pStyle w:val="182"/>
              <w:bidi w:val="0"/>
              <w:rPr>
                <w:color w:val="auto"/>
              </w:rPr>
            </w:pPr>
            <w:r>
              <w:rPr>
                <w:rFonts w:hint="eastAsia"/>
                <w:color w:val="auto"/>
              </w:rPr>
              <w:t>蒸汽（平均）</w:t>
            </w:r>
          </w:p>
        </w:tc>
        <w:tc>
          <w:tcPr>
            <w:tcW w:w="860" w:type="pct"/>
            <w:tcBorders>
              <w:tl2br w:val="nil"/>
              <w:tr2bl w:val="nil"/>
            </w:tcBorders>
            <w:vAlign w:val="center"/>
          </w:tcPr>
          <w:p>
            <w:pPr>
              <w:pStyle w:val="182"/>
              <w:bidi w:val="0"/>
              <w:rPr>
                <w:color w:val="auto"/>
              </w:rPr>
            </w:pPr>
            <w:r>
              <w:rPr>
                <w:color w:val="auto"/>
              </w:rPr>
              <w:t>10.875t/h</w:t>
            </w:r>
          </w:p>
        </w:tc>
        <w:tc>
          <w:tcPr>
            <w:tcW w:w="782" w:type="pct"/>
            <w:tcBorders>
              <w:tl2br w:val="nil"/>
              <w:tr2bl w:val="nil"/>
            </w:tcBorders>
            <w:vAlign w:val="center"/>
          </w:tcPr>
          <w:p>
            <w:pPr>
              <w:pStyle w:val="182"/>
              <w:bidi w:val="0"/>
              <w:rPr>
                <w:color w:val="auto"/>
              </w:rPr>
            </w:pPr>
            <w:r>
              <w:rPr>
                <w:color w:val="auto"/>
              </w:rPr>
              <w:t>8.7</w:t>
            </w:r>
            <w:r>
              <w:rPr>
                <w:rFonts w:hint="eastAsia"/>
                <w:color w:val="auto"/>
              </w:rPr>
              <w:t>万</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8</w:t>
            </w:r>
          </w:p>
        </w:tc>
        <w:tc>
          <w:tcPr>
            <w:tcW w:w="1519" w:type="pct"/>
            <w:tcBorders>
              <w:tl2br w:val="nil"/>
              <w:tr2bl w:val="nil"/>
            </w:tcBorders>
            <w:vAlign w:val="center"/>
          </w:tcPr>
          <w:p>
            <w:pPr>
              <w:pStyle w:val="182"/>
              <w:bidi w:val="0"/>
              <w:rPr>
                <w:color w:val="auto"/>
              </w:rPr>
            </w:pPr>
            <w:r>
              <w:rPr>
                <w:rFonts w:hint="eastAsia"/>
                <w:color w:val="auto"/>
              </w:rPr>
              <w:t>电（万</w:t>
            </w:r>
            <w:r>
              <w:rPr>
                <w:color w:val="auto"/>
              </w:rPr>
              <w:t>kwh</w:t>
            </w:r>
            <w:r>
              <w:rPr>
                <w:rFonts w:hint="eastAsia"/>
                <w:color w:val="auto"/>
              </w:rPr>
              <w:t>）</w:t>
            </w:r>
          </w:p>
        </w:tc>
        <w:tc>
          <w:tcPr>
            <w:tcW w:w="860" w:type="pct"/>
            <w:tcBorders>
              <w:tl2br w:val="nil"/>
              <w:tr2bl w:val="nil"/>
            </w:tcBorders>
            <w:vAlign w:val="center"/>
          </w:tcPr>
          <w:p>
            <w:pPr>
              <w:pStyle w:val="182"/>
              <w:bidi w:val="0"/>
              <w:rPr>
                <w:color w:val="auto"/>
              </w:rPr>
            </w:pPr>
            <w:r>
              <w:rPr>
                <w:color w:val="auto"/>
              </w:rPr>
              <w:t>0.4123</w:t>
            </w:r>
          </w:p>
        </w:tc>
        <w:tc>
          <w:tcPr>
            <w:tcW w:w="782" w:type="pct"/>
            <w:tcBorders>
              <w:tl2br w:val="nil"/>
              <w:tr2bl w:val="nil"/>
            </w:tcBorders>
            <w:vAlign w:val="center"/>
          </w:tcPr>
          <w:p>
            <w:pPr>
              <w:pStyle w:val="182"/>
              <w:bidi w:val="0"/>
              <w:rPr>
                <w:color w:val="auto"/>
              </w:rPr>
            </w:pPr>
            <w:r>
              <w:rPr>
                <w:color w:val="auto"/>
              </w:rPr>
              <w:t>8246</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rFonts w:hint="eastAsia" w:eastAsia="宋体"/>
                <w:color w:val="auto"/>
                <w:lang w:val="en-US" w:eastAsia="zh-CN"/>
              </w:rPr>
            </w:pPr>
            <w:r>
              <w:rPr>
                <w:rFonts w:hint="eastAsia"/>
                <w:color w:val="auto"/>
                <w:lang w:val="en-US" w:eastAsia="zh-CN"/>
              </w:rPr>
              <w:t>9</w:t>
            </w:r>
          </w:p>
        </w:tc>
        <w:tc>
          <w:tcPr>
            <w:tcW w:w="1519" w:type="pct"/>
            <w:tcBorders>
              <w:tl2br w:val="nil"/>
              <w:tr2bl w:val="nil"/>
            </w:tcBorders>
            <w:vAlign w:val="center"/>
          </w:tcPr>
          <w:p>
            <w:pPr>
              <w:pStyle w:val="182"/>
              <w:bidi w:val="0"/>
              <w:rPr>
                <w:color w:val="auto"/>
              </w:rPr>
            </w:pPr>
            <w:r>
              <w:rPr>
                <w:rFonts w:hint="eastAsia"/>
                <w:color w:val="auto"/>
              </w:rPr>
              <w:t>制冷量</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9300kW</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0</w:t>
            </w:r>
          </w:p>
        </w:tc>
        <w:tc>
          <w:tcPr>
            <w:tcW w:w="1519" w:type="pct"/>
            <w:tcBorders>
              <w:tl2br w:val="nil"/>
              <w:tr2bl w:val="nil"/>
            </w:tcBorders>
            <w:vAlign w:val="center"/>
          </w:tcPr>
          <w:p>
            <w:pPr>
              <w:pStyle w:val="182"/>
              <w:bidi w:val="0"/>
              <w:rPr>
                <w:color w:val="auto"/>
              </w:rPr>
            </w:pPr>
            <w:r>
              <w:rPr>
                <w:rFonts w:hint="eastAsia"/>
                <w:color w:val="auto"/>
              </w:rPr>
              <w:t>压缩空气</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90Nm</w:t>
            </w:r>
            <w:r>
              <w:rPr>
                <w:color w:val="auto"/>
                <w:vertAlign w:val="superscript"/>
              </w:rPr>
              <w:t>3</w:t>
            </w:r>
            <w:r>
              <w:rPr>
                <w:color w:val="auto"/>
              </w:rPr>
              <w:t>/min</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1</w:t>
            </w:r>
          </w:p>
        </w:tc>
        <w:tc>
          <w:tcPr>
            <w:tcW w:w="1519" w:type="pct"/>
            <w:tcBorders>
              <w:tl2br w:val="nil"/>
              <w:tr2bl w:val="nil"/>
            </w:tcBorders>
            <w:vAlign w:val="center"/>
          </w:tcPr>
          <w:p>
            <w:pPr>
              <w:pStyle w:val="182"/>
              <w:bidi w:val="0"/>
              <w:rPr>
                <w:color w:val="auto"/>
              </w:rPr>
            </w:pPr>
            <w:r>
              <w:rPr>
                <w:rFonts w:hint="eastAsia"/>
                <w:color w:val="auto"/>
              </w:rPr>
              <w:t>氮气</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150Nm</w:t>
            </w:r>
            <w:r>
              <w:rPr>
                <w:color w:val="auto"/>
                <w:vertAlign w:val="superscript"/>
              </w:rPr>
              <w:t>3</w:t>
            </w:r>
            <w:r>
              <w:rPr>
                <w:color w:val="auto"/>
              </w:rPr>
              <w:t>/min</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vAlign w:val="center"/>
          </w:tcPr>
          <w:p>
            <w:pPr>
              <w:pStyle w:val="182"/>
              <w:bidi w:val="0"/>
              <w:rPr>
                <w:color w:val="auto"/>
              </w:rPr>
            </w:pPr>
            <w:r>
              <w:rPr>
                <w:rFonts w:hint="eastAsia"/>
                <w:color w:val="auto"/>
              </w:rPr>
              <w:t>年产一万吨新型纤维素长丝项目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w:t>
            </w:r>
          </w:p>
        </w:tc>
        <w:tc>
          <w:tcPr>
            <w:tcW w:w="1519" w:type="pct"/>
            <w:tcBorders>
              <w:tl2br w:val="nil"/>
              <w:tr2bl w:val="nil"/>
            </w:tcBorders>
            <w:vAlign w:val="center"/>
          </w:tcPr>
          <w:p>
            <w:pPr>
              <w:pStyle w:val="182"/>
              <w:bidi w:val="0"/>
              <w:rPr>
                <w:color w:val="auto"/>
              </w:rPr>
            </w:pPr>
            <w:r>
              <w:rPr>
                <w:rFonts w:hint="eastAsia"/>
                <w:color w:val="auto"/>
              </w:rPr>
              <w:t>浆粕</w:t>
            </w:r>
          </w:p>
        </w:tc>
        <w:tc>
          <w:tcPr>
            <w:tcW w:w="860" w:type="pct"/>
            <w:tcBorders>
              <w:tl2br w:val="nil"/>
              <w:tr2bl w:val="nil"/>
            </w:tcBorders>
            <w:vAlign w:val="center"/>
          </w:tcPr>
          <w:p>
            <w:pPr>
              <w:pStyle w:val="182"/>
              <w:bidi w:val="0"/>
              <w:rPr>
                <w:color w:val="auto"/>
              </w:rPr>
            </w:pPr>
            <w:r>
              <w:rPr>
                <w:color w:val="auto"/>
              </w:rPr>
              <w:t>1023</w:t>
            </w:r>
          </w:p>
        </w:tc>
        <w:tc>
          <w:tcPr>
            <w:tcW w:w="782" w:type="pct"/>
            <w:tcBorders>
              <w:tl2br w:val="nil"/>
              <w:tr2bl w:val="nil"/>
            </w:tcBorders>
            <w:vAlign w:val="center"/>
          </w:tcPr>
          <w:p>
            <w:pPr>
              <w:pStyle w:val="182"/>
              <w:bidi w:val="0"/>
              <w:rPr>
                <w:color w:val="auto"/>
              </w:rPr>
            </w:pPr>
            <w:r>
              <w:rPr>
                <w:color w:val="auto"/>
              </w:rPr>
              <w:t>20460</w:t>
            </w:r>
          </w:p>
        </w:tc>
        <w:tc>
          <w:tcPr>
            <w:tcW w:w="1329" w:type="pct"/>
            <w:tcBorders>
              <w:tl2br w:val="nil"/>
              <w:tr2bl w:val="nil"/>
            </w:tcBorders>
            <w:vAlign w:val="center"/>
          </w:tcPr>
          <w:p>
            <w:pPr>
              <w:pStyle w:val="182"/>
              <w:bidi w:val="0"/>
              <w:rPr>
                <w:color w:val="auto"/>
              </w:rPr>
            </w:pPr>
            <w:r>
              <w:rPr>
                <w:rFonts w:hint="eastAsia"/>
                <w:color w:val="auto"/>
              </w:rPr>
              <w:t>车间内堆放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2</w:t>
            </w:r>
          </w:p>
        </w:tc>
        <w:tc>
          <w:tcPr>
            <w:tcW w:w="1519" w:type="pct"/>
            <w:tcBorders>
              <w:tl2br w:val="nil"/>
              <w:tr2bl w:val="nil"/>
            </w:tcBorders>
            <w:vAlign w:val="center"/>
          </w:tcPr>
          <w:p>
            <w:pPr>
              <w:pStyle w:val="182"/>
              <w:bidi w:val="0"/>
              <w:rPr>
                <w:color w:val="auto"/>
              </w:rPr>
            </w:pPr>
            <w:r>
              <w:rPr>
                <w:color w:val="auto"/>
              </w:rPr>
              <w:t>92.5%</w:t>
            </w:r>
            <w:r>
              <w:rPr>
                <w:rFonts w:hint="eastAsia"/>
                <w:color w:val="auto"/>
              </w:rPr>
              <w:t>浓硫酸</w:t>
            </w:r>
          </w:p>
        </w:tc>
        <w:tc>
          <w:tcPr>
            <w:tcW w:w="860" w:type="pct"/>
            <w:tcBorders>
              <w:tl2br w:val="nil"/>
              <w:tr2bl w:val="nil"/>
            </w:tcBorders>
            <w:vAlign w:val="center"/>
          </w:tcPr>
          <w:p>
            <w:pPr>
              <w:pStyle w:val="182"/>
              <w:bidi w:val="0"/>
              <w:rPr>
                <w:color w:val="auto"/>
              </w:rPr>
            </w:pPr>
            <w:r>
              <w:rPr>
                <w:color w:val="auto"/>
              </w:rPr>
              <w:t>1390</w:t>
            </w:r>
          </w:p>
        </w:tc>
        <w:tc>
          <w:tcPr>
            <w:tcW w:w="782" w:type="pct"/>
            <w:tcBorders>
              <w:tl2br w:val="nil"/>
              <w:tr2bl w:val="nil"/>
            </w:tcBorders>
            <w:vAlign w:val="center"/>
          </w:tcPr>
          <w:p>
            <w:pPr>
              <w:pStyle w:val="182"/>
              <w:bidi w:val="0"/>
              <w:rPr>
                <w:color w:val="auto"/>
              </w:rPr>
            </w:pPr>
            <w:r>
              <w:rPr>
                <w:color w:val="auto"/>
              </w:rPr>
              <w:t>27800</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3</w:t>
            </w:r>
          </w:p>
        </w:tc>
        <w:tc>
          <w:tcPr>
            <w:tcW w:w="1519" w:type="pct"/>
            <w:tcBorders>
              <w:tl2br w:val="nil"/>
              <w:tr2bl w:val="nil"/>
            </w:tcBorders>
            <w:vAlign w:val="center"/>
          </w:tcPr>
          <w:p>
            <w:pPr>
              <w:pStyle w:val="182"/>
              <w:bidi w:val="0"/>
              <w:rPr>
                <w:color w:val="auto"/>
              </w:rPr>
            </w:pPr>
            <w:r>
              <w:rPr>
                <w:color w:val="auto"/>
              </w:rPr>
              <w:t>45%</w:t>
            </w:r>
            <w:r>
              <w:rPr>
                <w:rFonts w:hint="eastAsia"/>
                <w:color w:val="auto"/>
              </w:rPr>
              <w:t>氢氧化钠溶液</w:t>
            </w:r>
          </w:p>
        </w:tc>
        <w:tc>
          <w:tcPr>
            <w:tcW w:w="860" w:type="pct"/>
            <w:tcBorders>
              <w:tl2br w:val="nil"/>
              <w:tr2bl w:val="nil"/>
            </w:tcBorders>
            <w:vAlign w:val="center"/>
          </w:tcPr>
          <w:p>
            <w:pPr>
              <w:pStyle w:val="182"/>
              <w:bidi w:val="0"/>
              <w:rPr>
                <w:color w:val="auto"/>
              </w:rPr>
            </w:pPr>
            <w:r>
              <w:rPr>
                <w:color w:val="auto"/>
              </w:rPr>
              <w:t>1589</w:t>
            </w:r>
          </w:p>
        </w:tc>
        <w:tc>
          <w:tcPr>
            <w:tcW w:w="782" w:type="pct"/>
            <w:tcBorders>
              <w:tl2br w:val="nil"/>
              <w:tr2bl w:val="nil"/>
            </w:tcBorders>
            <w:vAlign w:val="center"/>
          </w:tcPr>
          <w:p>
            <w:pPr>
              <w:pStyle w:val="182"/>
              <w:bidi w:val="0"/>
              <w:rPr>
                <w:color w:val="auto"/>
              </w:rPr>
            </w:pPr>
            <w:r>
              <w:rPr>
                <w:color w:val="auto"/>
              </w:rPr>
              <w:t>31780</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b/>
                <w:bCs/>
                <w:color w:val="auto"/>
                <w:u w:val="single"/>
              </w:rPr>
            </w:pPr>
            <w:r>
              <w:rPr>
                <w:b/>
                <w:bCs/>
                <w:color w:val="auto"/>
                <w:u w:val="single"/>
              </w:rPr>
              <w:t>4</w:t>
            </w:r>
          </w:p>
        </w:tc>
        <w:tc>
          <w:tcPr>
            <w:tcW w:w="1519" w:type="pct"/>
            <w:tcBorders>
              <w:tl2br w:val="nil"/>
              <w:tr2bl w:val="nil"/>
            </w:tcBorders>
            <w:vAlign w:val="center"/>
          </w:tcPr>
          <w:p>
            <w:pPr>
              <w:pStyle w:val="182"/>
              <w:bidi w:val="0"/>
              <w:rPr>
                <w:b/>
                <w:bCs/>
                <w:color w:val="auto"/>
                <w:u w:val="single"/>
              </w:rPr>
            </w:pPr>
            <w:r>
              <w:rPr>
                <w:rFonts w:hint="eastAsia"/>
                <w:b/>
                <w:bCs/>
                <w:color w:val="auto"/>
                <w:u w:val="single"/>
              </w:rPr>
              <w:t>二硫化碳（纯度为</w:t>
            </w:r>
            <w:r>
              <w:rPr>
                <w:b/>
                <w:bCs/>
                <w:color w:val="auto"/>
                <w:u w:val="single"/>
              </w:rPr>
              <w:t>98.5%</w:t>
            </w:r>
            <w:r>
              <w:rPr>
                <w:rFonts w:hint="eastAsia"/>
                <w:b/>
                <w:bCs/>
                <w:color w:val="auto"/>
                <w:u w:val="single"/>
              </w:rPr>
              <w:t>）</w:t>
            </w:r>
          </w:p>
        </w:tc>
        <w:tc>
          <w:tcPr>
            <w:tcW w:w="860" w:type="pct"/>
            <w:tcBorders>
              <w:tl2br w:val="nil"/>
              <w:tr2bl w:val="nil"/>
            </w:tcBorders>
            <w:vAlign w:val="center"/>
          </w:tcPr>
          <w:p>
            <w:pPr>
              <w:pStyle w:val="182"/>
              <w:bidi w:val="0"/>
              <w:rPr>
                <w:b/>
                <w:bCs/>
                <w:color w:val="auto"/>
                <w:u w:val="single"/>
              </w:rPr>
            </w:pPr>
            <w:r>
              <w:rPr>
                <w:b/>
                <w:bCs/>
                <w:color w:val="auto"/>
                <w:u w:val="single"/>
              </w:rPr>
              <w:t>132.244</w:t>
            </w:r>
          </w:p>
        </w:tc>
        <w:tc>
          <w:tcPr>
            <w:tcW w:w="782" w:type="pct"/>
            <w:tcBorders>
              <w:tl2br w:val="nil"/>
              <w:tr2bl w:val="nil"/>
            </w:tcBorders>
            <w:vAlign w:val="center"/>
          </w:tcPr>
          <w:p>
            <w:pPr>
              <w:pStyle w:val="182"/>
              <w:keepNext w:val="0"/>
              <w:keepLines w:val="0"/>
              <w:widowControl/>
              <w:suppressLineNumbers w:val="0"/>
              <w:ind w:firstLine="422" w:firstLineChars="200"/>
              <w:jc w:val="right"/>
              <w:textAlignment w:val="center"/>
              <w:rPr>
                <w:rFonts w:hint="eastAsia"/>
                <w:b/>
                <w:bCs/>
                <w:color w:val="auto"/>
                <w:u w:val="single"/>
              </w:rPr>
            </w:pPr>
            <w:r>
              <w:rPr>
                <w:rFonts w:hint="eastAsia"/>
                <w:b/>
                <w:bCs/>
                <w:color w:val="auto"/>
                <w:u w:val="single"/>
                <w:lang w:val="en-US" w:eastAsia="zh-CN"/>
              </w:rPr>
              <w:t>1322.44</w:t>
            </w:r>
          </w:p>
        </w:tc>
        <w:tc>
          <w:tcPr>
            <w:tcW w:w="1329" w:type="pct"/>
            <w:tcBorders>
              <w:tl2br w:val="nil"/>
              <w:tr2bl w:val="nil"/>
            </w:tcBorders>
            <w:vAlign w:val="center"/>
          </w:tcPr>
          <w:p>
            <w:pPr>
              <w:pStyle w:val="182"/>
              <w:bidi w:val="0"/>
              <w:rPr>
                <w:b/>
                <w:bCs/>
                <w:color w:val="auto"/>
                <w:u w:val="single"/>
              </w:rPr>
            </w:pPr>
            <w:r>
              <w:rPr>
                <w:rFonts w:hint="eastAsia"/>
                <w:b/>
                <w:bCs/>
                <w:color w:val="auto"/>
                <w:u w:val="single"/>
              </w:rPr>
              <w:t>密闭储罐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5</w:t>
            </w:r>
          </w:p>
        </w:tc>
        <w:tc>
          <w:tcPr>
            <w:tcW w:w="1519" w:type="pct"/>
            <w:tcBorders>
              <w:tl2br w:val="nil"/>
              <w:tr2bl w:val="nil"/>
            </w:tcBorders>
            <w:vAlign w:val="center"/>
          </w:tcPr>
          <w:p>
            <w:pPr>
              <w:pStyle w:val="182"/>
              <w:bidi w:val="0"/>
              <w:rPr>
                <w:color w:val="auto"/>
              </w:rPr>
            </w:pPr>
            <w:r>
              <w:rPr>
                <w:rFonts w:hint="eastAsia"/>
                <w:color w:val="auto"/>
              </w:rPr>
              <w:t>硫酸锌（纯度为</w:t>
            </w:r>
            <w:r>
              <w:rPr>
                <w:color w:val="auto"/>
              </w:rPr>
              <w:t>98%</w:t>
            </w:r>
            <w:r>
              <w:rPr>
                <w:rFonts w:hint="eastAsia"/>
                <w:color w:val="auto"/>
              </w:rPr>
              <w:t>）</w:t>
            </w:r>
          </w:p>
        </w:tc>
        <w:tc>
          <w:tcPr>
            <w:tcW w:w="860" w:type="pct"/>
            <w:tcBorders>
              <w:tl2br w:val="nil"/>
              <w:tr2bl w:val="nil"/>
            </w:tcBorders>
            <w:vAlign w:val="center"/>
          </w:tcPr>
          <w:p>
            <w:pPr>
              <w:pStyle w:val="182"/>
              <w:bidi w:val="0"/>
              <w:rPr>
                <w:color w:val="auto"/>
              </w:rPr>
            </w:pPr>
            <w:r>
              <w:rPr>
                <w:color w:val="auto"/>
              </w:rPr>
              <w:t>17.1</w:t>
            </w:r>
          </w:p>
        </w:tc>
        <w:tc>
          <w:tcPr>
            <w:tcW w:w="782" w:type="pct"/>
            <w:tcBorders>
              <w:tl2br w:val="nil"/>
              <w:tr2bl w:val="nil"/>
            </w:tcBorders>
            <w:vAlign w:val="center"/>
          </w:tcPr>
          <w:p>
            <w:pPr>
              <w:pStyle w:val="182"/>
              <w:bidi w:val="0"/>
              <w:rPr>
                <w:color w:val="auto"/>
              </w:rPr>
            </w:pPr>
            <w:r>
              <w:rPr>
                <w:color w:val="auto"/>
              </w:rPr>
              <w:t>342</w:t>
            </w:r>
          </w:p>
        </w:tc>
        <w:tc>
          <w:tcPr>
            <w:tcW w:w="1329" w:type="pct"/>
            <w:tcBorders>
              <w:tl2br w:val="nil"/>
              <w:tr2bl w:val="nil"/>
            </w:tcBorders>
            <w:vAlign w:val="center"/>
          </w:tcPr>
          <w:p>
            <w:pPr>
              <w:pStyle w:val="182"/>
              <w:bidi w:val="0"/>
              <w:rPr>
                <w:color w:val="auto"/>
              </w:rPr>
            </w:pPr>
            <w:r>
              <w:rPr>
                <w:rFonts w:hint="eastAsia"/>
                <w:color w:val="auto"/>
              </w:rPr>
              <w:t>袋装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6</w:t>
            </w:r>
          </w:p>
        </w:tc>
        <w:tc>
          <w:tcPr>
            <w:tcW w:w="1519" w:type="pct"/>
            <w:tcBorders>
              <w:tl2br w:val="nil"/>
              <w:tr2bl w:val="nil"/>
            </w:tcBorders>
            <w:vAlign w:val="center"/>
          </w:tcPr>
          <w:p>
            <w:pPr>
              <w:pStyle w:val="182"/>
              <w:bidi w:val="0"/>
              <w:rPr>
                <w:color w:val="auto"/>
              </w:rPr>
            </w:pPr>
            <w:r>
              <w:rPr>
                <w:rFonts w:hint="eastAsia"/>
                <w:color w:val="auto"/>
              </w:rPr>
              <w:t>浆料</w:t>
            </w:r>
          </w:p>
        </w:tc>
        <w:tc>
          <w:tcPr>
            <w:tcW w:w="860" w:type="pct"/>
            <w:tcBorders>
              <w:tl2br w:val="nil"/>
              <w:tr2bl w:val="nil"/>
            </w:tcBorders>
            <w:vAlign w:val="center"/>
          </w:tcPr>
          <w:p>
            <w:pPr>
              <w:pStyle w:val="182"/>
              <w:bidi w:val="0"/>
              <w:rPr>
                <w:color w:val="auto"/>
              </w:rPr>
            </w:pPr>
            <w:r>
              <w:rPr>
                <w:color w:val="auto"/>
              </w:rPr>
              <w:t>12</w:t>
            </w:r>
          </w:p>
        </w:tc>
        <w:tc>
          <w:tcPr>
            <w:tcW w:w="782" w:type="pct"/>
            <w:tcBorders>
              <w:tl2br w:val="nil"/>
              <w:tr2bl w:val="nil"/>
            </w:tcBorders>
            <w:vAlign w:val="center"/>
          </w:tcPr>
          <w:p>
            <w:pPr>
              <w:pStyle w:val="182"/>
              <w:bidi w:val="0"/>
              <w:rPr>
                <w:color w:val="auto"/>
              </w:rPr>
            </w:pPr>
            <w:r>
              <w:rPr>
                <w:color w:val="auto"/>
              </w:rPr>
              <w:t>120</w:t>
            </w:r>
          </w:p>
        </w:tc>
        <w:tc>
          <w:tcPr>
            <w:tcW w:w="1329" w:type="pct"/>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7</w:t>
            </w:r>
          </w:p>
        </w:tc>
        <w:tc>
          <w:tcPr>
            <w:tcW w:w="1519" w:type="pct"/>
            <w:tcBorders>
              <w:tl2br w:val="nil"/>
              <w:tr2bl w:val="nil"/>
            </w:tcBorders>
            <w:vAlign w:val="center"/>
          </w:tcPr>
          <w:p>
            <w:pPr>
              <w:pStyle w:val="182"/>
              <w:bidi w:val="0"/>
              <w:rPr>
                <w:color w:val="auto"/>
              </w:rPr>
            </w:pPr>
            <w:r>
              <w:rPr>
                <w:rFonts w:hint="eastAsia"/>
                <w:color w:val="auto"/>
              </w:rPr>
              <w:t>油剂</w:t>
            </w:r>
          </w:p>
        </w:tc>
        <w:tc>
          <w:tcPr>
            <w:tcW w:w="860" w:type="pct"/>
            <w:tcBorders>
              <w:tl2br w:val="nil"/>
              <w:tr2bl w:val="nil"/>
            </w:tcBorders>
            <w:vAlign w:val="center"/>
          </w:tcPr>
          <w:p>
            <w:pPr>
              <w:pStyle w:val="182"/>
              <w:bidi w:val="0"/>
              <w:rPr>
                <w:color w:val="auto"/>
              </w:rPr>
            </w:pPr>
            <w:r>
              <w:rPr>
                <w:color w:val="auto"/>
              </w:rPr>
              <w:t>2.4</w:t>
            </w:r>
          </w:p>
        </w:tc>
        <w:tc>
          <w:tcPr>
            <w:tcW w:w="782" w:type="pct"/>
            <w:tcBorders>
              <w:tl2br w:val="nil"/>
              <w:tr2bl w:val="nil"/>
            </w:tcBorders>
            <w:vAlign w:val="center"/>
          </w:tcPr>
          <w:p>
            <w:pPr>
              <w:pStyle w:val="182"/>
              <w:bidi w:val="0"/>
              <w:rPr>
                <w:color w:val="auto"/>
              </w:rPr>
            </w:pPr>
            <w:r>
              <w:rPr>
                <w:color w:val="auto"/>
              </w:rPr>
              <w:t>24</w:t>
            </w:r>
          </w:p>
        </w:tc>
        <w:tc>
          <w:tcPr>
            <w:tcW w:w="1329" w:type="pct"/>
            <w:tcBorders>
              <w:tl2br w:val="nil"/>
              <w:tr2bl w:val="nil"/>
            </w:tcBorders>
            <w:vAlign w:val="center"/>
          </w:tcPr>
          <w:p>
            <w:pPr>
              <w:pStyle w:val="182"/>
              <w:bidi w:val="0"/>
              <w:rPr>
                <w:color w:val="auto"/>
              </w:rPr>
            </w:pPr>
            <w:r>
              <w:rPr>
                <w:rFonts w:hint="eastAsia"/>
                <w:color w:val="auto"/>
              </w:rPr>
              <w:t>袋装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8</w:t>
            </w:r>
          </w:p>
        </w:tc>
        <w:tc>
          <w:tcPr>
            <w:tcW w:w="1519" w:type="pct"/>
            <w:tcBorders>
              <w:tl2br w:val="nil"/>
              <w:tr2bl w:val="nil"/>
            </w:tcBorders>
            <w:vAlign w:val="center"/>
          </w:tcPr>
          <w:p>
            <w:pPr>
              <w:pStyle w:val="182"/>
              <w:bidi w:val="0"/>
              <w:rPr>
                <w:color w:val="auto"/>
              </w:rPr>
            </w:pPr>
            <w:r>
              <w:rPr>
                <w:rFonts w:hint="eastAsia"/>
                <w:color w:val="auto"/>
              </w:rPr>
              <w:t>蒸汽（平均）</w:t>
            </w:r>
          </w:p>
        </w:tc>
        <w:tc>
          <w:tcPr>
            <w:tcW w:w="860" w:type="pct"/>
            <w:tcBorders>
              <w:tl2br w:val="nil"/>
              <w:tr2bl w:val="nil"/>
            </w:tcBorders>
            <w:vAlign w:val="center"/>
          </w:tcPr>
          <w:p>
            <w:pPr>
              <w:pStyle w:val="182"/>
              <w:bidi w:val="0"/>
              <w:rPr>
                <w:color w:val="auto"/>
              </w:rPr>
            </w:pPr>
            <w:r>
              <w:rPr>
                <w:color w:val="auto"/>
              </w:rPr>
              <w:t>52.24t/h</w:t>
            </w:r>
          </w:p>
        </w:tc>
        <w:tc>
          <w:tcPr>
            <w:tcW w:w="782" w:type="pct"/>
            <w:tcBorders>
              <w:tl2br w:val="nil"/>
              <w:tr2bl w:val="nil"/>
            </w:tcBorders>
            <w:vAlign w:val="center"/>
          </w:tcPr>
          <w:p>
            <w:pPr>
              <w:pStyle w:val="182"/>
              <w:bidi w:val="0"/>
              <w:rPr>
                <w:color w:val="auto"/>
              </w:rPr>
            </w:pPr>
            <w:r>
              <w:rPr>
                <w:color w:val="auto"/>
              </w:rPr>
              <w:t>41.75</w:t>
            </w:r>
            <w:r>
              <w:rPr>
                <w:rFonts w:hint="eastAsia"/>
                <w:color w:val="auto"/>
              </w:rPr>
              <w:t>万</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9</w:t>
            </w:r>
          </w:p>
        </w:tc>
        <w:tc>
          <w:tcPr>
            <w:tcW w:w="1519" w:type="pct"/>
            <w:tcBorders>
              <w:tl2br w:val="nil"/>
              <w:tr2bl w:val="nil"/>
            </w:tcBorders>
            <w:vAlign w:val="center"/>
          </w:tcPr>
          <w:p>
            <w:pPr>
              <w:pStyle w:val="182"/>
              <w:bidi w:val="0"/>
              <w:rPr>
                <w:color w:val="auto"/>
              </w:rPr>
            </w:pPr>
            <w:r>
              <w:rPr>
                <w:rFonts w:hint="eastAsia"/>
                <w:color w:val="auto"/>
              </w:rPr>
              <w:t>电（万</w:t>
            </w:r>
            <w:r>
              <w:rPr>
                <w:color w:val="auto"/>
              </w:rPr>
              <w:t>kwh</w:t>
            </w:r>
            <w:r>
              <w:rPr>
                <w:rFonts w:hint="eastAsia"/>
                <w:color w:val="auto"/>
              </w:rPr>
              <w:t>）</w:t>
            </w:r>
          </w:p>
        </w:tc>
        <w:tc>
          <w:tcPr>
            <w:tcW w:w="860" w:type="pct"/>
            <w:tcBorders>
              <w:tl2br w:val="nil"/>
              <w:tr2bl w:val="nil"/>
            </w:tcBorders>
            <w:vAlign w:val="center"/>
          </w:tcPr>
          <w:p>
            <w:pPr>
              <w:pStyle w:val="182"/>
              <w:bidi w:val="0"/>
              <w:rPr>
                <w:color w:val="auto"/>
              </w:rPr>
            </w:pPr>
            <w:r>
              <w:rPr>
                <w:color w:val="auto"/>
              </w:rPr>
              <w:t>0.166</w:t>
            </w:r>
          </w:p>
        </w:tc>
        <w:tc>
          <w:tcPr>
            <w:tcW w:w="782" w:type="pct"/>
            <w:tcBorders>
              <w:tl2br w:val="nil"/>
              <w:tr2bl w:val="nil"/>
            </w:tcBorders>
            <w:vAlign w:val="center"/>
          </w:tcPr>
          <w:p>
            <w:pPr>
              <w:pStyle w:val="182"/>
              <w:bidi w:val="0"/>
              <w:rPr>
                <w:color w:val="auto"/>
              </w:rPr>
            </w:pPr>
            <w:r>
              <w:rPr>
                <w:color w:val="auto"/>
              </w:rPr>
              <w:t>3320</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vAlign w:val="center"/>
          </w:tcPr>
          <w:p>
            <w:pPr>
              <w:pStyle w:val="182"/>
              <w:bidi w:val="0"/>
              <w:rPr>
                <w:rFonts w:hint="eastAsia" w:eastAsia="宋体"/>
                <w:color w:val="auto"/>
                <w:lang w:eastAsia="zh-CN"/>
              </w:rPr>
            </w:pPr>
            <w:r>
              <w:rPr>
                <w:color w:val="auto"/>
              </w:rPr>
              <w:t>年产2×2万吨超细旦氨纶纤维项目（年产3×2万吨超细旦氨纶纤维项目二期</w:t>
            </w:r>
            <w:r>
              <w:rPr>
                <w:rFonts w:hint="eastAsia"/>
                <w:color w:val="auto"/>
                <w:lang w:val="en-US" w:eastAsia="zh-CN"/>
              </w:rPr>
              <w:t>三期</w:t>
            </w:r>
            <w:r>
              <w:rPr>
                <w:color w:val="auto"/>
              </w:rPr>
              <w:t>工程）</w:t>
            </w:r>
            <w:r>
              <w:rPr>
                <w:rFonts w:hint="eastAsia"/>
                <w:color w:val="auto"/>
                <w:lang w:eastAsia="zh-CN"/>
              </w:rPr>
              <w:t>（</w:t>
            </w:r>
            <w:r>
              <w:rPr>
                <w:rFonts w:hint="eastAsia"/>
                <w:color w:val="auto"/>
                <w:lang w:val="en-US" w:eastAsia="zh-CN"/>
              </w:rPr>
              <w:t>二期</w:t>
            </w:r>
            <w:r>
              <w:rPr>
                <w:rFonts w:hint="eastAsia"/>
                <w:color w:val="auto"/>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w:t>
            </w:r>
          </w:p>
        </w:tc>
        <w:tc>
          <w:tcPr>
            <w:tcW w:w="1519" w:type="pct"/>
            <w:tcBorders>
              <w:tl2br w:val="nil"/>
              <w:tr2bl w:val="nil"/>
            </w:tcBorders>
            <w:vAlign w:val="center"/>
          </w:tcPr>
          <w:p>
            <w:pPr>
              <w:pStyle w:val="182"/>
              <w:bidi w:val="0"/>
              <w:rPr>
                <w:color w:val="auto"/>
              </w:rPr>
            </w:pPr>
            <w:r>
              <w:rPr>
                <w:rFonts w:hint="eastAsia"/>
                <w:color w:val="auto"/>
              </w:rPr>
              <w:t>聚四亚甲基醚二醇（</w:t>
            </w:r>
            <w:r>
              <w:rPr>
                <w:color w:val="auto"/>
              </w:rPr>
              <w:t>PTMG</w:t>
            </w:r>
            <w:r>
              <w:rPr>
                <w:rFonts w:hint="eastAsia"/>
                <w:color w:val="auto"/>
              </w:rPr>
              <w:t>）</w:t>
            </w:r>
          </w:p>
        </w:tc>
        <w:tc>
          <w:tcPr>
            <w:tcW w:w="860" w:type="pct"/>
            <w:tcBorders>
              <w:tl2br w:val="nil"/>
              <w:tr2bl w:val="nil"/>
            </w:tcBorders>
            <w:vAlign w:val="center"/>
          </w:tcPr>
          <w:p>
            <w:pPr>
              <w:pStyle w:val="182"/>
              <w:bidi w:val="0"/>
              <w:rPr>
                <w:color w:val="auto"/>
              </w:rPr>
            </w:pPr>
            <w:r>
              <w:rPr>
                <w:color w:val="auto"/>
              </w:rPr>
              <w:t>738.35</w:t>
            </w:r>
          </w:p>
        </w:tc>
        <w:tc>
          <w:tcPr>
            <w:tcW w:w="782" w:type="pct"/>
            <w:tcBorders>
              <w:tl2br w:val="nil"/>
              <w:tr2bl w:val="nil"/>
            </w:tcBorders>
            <w:vAlign w:val="center"/>
          </w:tcPr>
          <w:p>
            <w:pPr>
              <w:pStyle w:val="182"/>
              <w:bidi w:val="0"/>
              <w:rPr>
                <w:color w:val="auto"/>
              </w:rPr>
            </w:pPr>
            <w:r>
              <w:rPr>
                <w:color w:val="auto"/>
              </w:rPr>
              <w:t>29534</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2</w:t>
            </w:r>
          </w:p>
        </w:tc>
        <w:tc>
          <w:tcPr>
            <w:tcW w:w="1519" w:type="pct"/>
            <w:tcBorders>
              <w:tl2br w:val="nil"/>
              <w:tr2bl w:val="nil"/>
            </w:tcBorders>
            <w:vAlign w:val="center"/>
          </w:tcPr>
          <w:p>
            <w:pPr>
              <w:pStyle w:val="182"/>
              <w:bidi w:val="0"/>
              <w:rPr>
                <w:color w:val="auto"/>
              </w:rPr>
            </w:pPr>
            <w:r>
              <w:rPr>
                <w:color w:val="auto"/>
              </w:rPr>
              <w:t>4,4</w:t>
            </w:r>
            <w:r>
              <w:rPr>
                <w:rFonts w:hint="eastAsia"/>
                <w:color w:val="auto"/>
                <w:lang w:eastAsia="zh-CN"/>
              </w:rPr>
              <w:t>－</w:t>
            </w:r>
            <w:r>
              <w:rPr>
                <w:rFonts w:hint="eastAsia"/>
                <w:color w:val="auto"/>
              </w:rPr>
              <w:t>二苯基甲烷二异氰酸酯（</w:t>
            </w:r>
            <w:r>
              <w:rPr>
                <w:color w:val="auto"/>
              </w:rPr>
              <w:t>MDI</w:t>
            </w:r>
            <w:r>
              <w:rPr>
                <w:rFonts w:hint="eastAsia"/>
                <w:color w:val="auto"/>
              </w:rPr>
              <w:t>）</w:t>
            </w:r>
          </w:p>
        </w:tc>
        <w:tc>
          <w:tcPr>
            <w:tcW w:w="860" w:type="pct"/>
            <w:tcBorders>
              <w:tl2br w:val="nil"/>
              <w:tr2bl w:val="nil"/>
            </w:tcBorders>
            <w:vAlign w:val="center"/>
          </w:tcPr>
          <w:p>
            <w:pPr>
              <w:pStyle w:val="182"/>
              <w:bidi w:val="0"/>
              <w:rPr>
                <w:color w:val="auto"/>
              </w:rPr>
            </w:pPr>
            <w:r>
              <w:rPr>
                <w:color w:val="auto"/>
              </w:rPr>
              <w:t>172</w:t>
            </w:r>
          </w:p>
        </w:tc>
        <w:tc>
          <w:tcPr>
            <w:tcW w:w="782" w:type="pct"/>
            <w:tcBorders>
              <w:tl2br w:val="nil"/>
              <w:tr2bl w:val="nil"/>
            </w:tcBorders>
            <w:vAlign w:val="center"/>
          </w:tcPr>
          <w:p>
            <w:pPr>
              <w:pStyle w:val="182"/>
              <w:bidi w:val="0"/>
              <w:rPr>
                <w:color w:val="auto"/>
              </w:rPr>
            </w:pPr>
            <w:r>
              <w:rPr>
                <w:color w:val="auto"/>
              </w:rPr>
              <w:t>6880</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3</w:t>
            </w:r>
          </w:p>
        </w:tc>
        <w:tc>
          <w:tcPr>
            <w:tcW w:w="1519" w:type="pct"/>
            <w:tcBorders>
              <w:tl2br w:val="nil"/>
              <w:tr2bl w:val="nil"/>
            </w:tcBorders>
            <w:vAlign w:val="center"/>
          </w:tcPr>
          <w:p>
            <w:pPr>
              <w:pStyle w:val="182"/>
              <w:bidi w:val="0"/>
              <w:rPr>
                <w:color w:val="auto"/>
              </w:rPr>
            </w:pPr>
            <w:r>
              <w:rPr>
                <w:color w:val="auto"/>
              </w:rPr>
              <w:t>N,N</w:t>
            </w:r>
            <w:r>
              <w:rPr>
                <w:rFonts w:hint="eastAsia"/>
                <w:color w:val="auto"/>
                <w:lang w:eastAsia="zh-CN"/>
              </w:rPr>
              <w:t>－</w:t>
            </w:r>
            <w:r>
              <w:rPr>
                <w:rFonts w:hint="eastAsia"/>
                <w:color w:val="auto"/>
              </w:rPr>
              <w:t>二甲基乙酰胺（</w:t>
            </w:r>
            <w:r>
              <w:rPr>
                <w:color w:val="auto"/>
              </w:rPr>
              <w:t>DMAC</w:t>
            </w:r>
            <w:r>
              <w:rPr>
                <w:rFonts w:hint="eastAsia"/>
                <w:color w:val="auto"/>
              </w:rPr>
              <w:t>）</w:t>
            </w:r>
          </w:p>
        </w:tc>
        <w:tc>
          <w:tcPr>
            <w:tcW w:w="860" w:type="pct"/>
            <w:tcBorders>
              <w:tl2br w:val="nil"/>
              <w:tr2bl w:val="nil"/>
            </w:tcBorders>
            <w:vAlign w:val="center"/>
          </w:tcPr>
          <w:p>
            <w:pPr>
              <w:pStyle w:val="182"/>
              <w:bidi w:val="0"/>
              <w:rPr>
                <w:color w:val="auto"/>
              </w:rPr>
            </w:pPr>
            <w:r>
              <w:rPr>
                <w:color w:val="auto"/>
              </w:rPr>
              <w:t>15.35</w:t>
            </w:r>
          </w:p>
        </w:tc>
        <w:tc>
          <w:tcPr>
            <w:tcW w:w="782" w:type="pct"/>
            <w:tcBorders>
              <w:tl2br w:val="nil"/>
              <w:tr2bl w:val="nil"/>
            </w:tcBorders>
            <w:vAlign w:val="center"/>
          </w:tcPr>
          <w:p>
            <w:pPr>
              <w:pStyle w:val="182"/>
              <w:bidi w:val="0"/>
              <w:rPr>
                <w:color w:val="auto"/>
              </w:rPr>
            </w:pPr>
            <w:r>
              <w:rPr>
                <w:color w:val="auto"/>
              </w:rPr>
              <w:t>614</w:t>
            </w:r>
          </w:p>
        </w:tc>
        <w:tc>
          <w:tcPr>
            <w:tcW w:w="1329" w:type="pct"/>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4</w:t>
            </w:r>
          </w:p>
        </w:tc>
        <w:tc>
          <w:tcPr>
            <w:tcW w:w="1519" w:type="pct"/>
            <w:tcBorders>
              <w:tl2br w:val="nil"/>
              <w:tr2bl w:val="nil"/>
            </w:tcBorders>
            <w:vAlign w:val="center"/>
          </w:tcPr>
          <w:p>
            <w:pPr>
              <w:pStyle w:val="182"/>
              <w:bidi w:val="0"/>
              <w:rPr>
                <w:color w:val="auto"/>
              </w:rPr>
            </w:pPr>
            <w:r>
              <w:rPr>
                <w:rFonts w:hint="eastAsia"/>
                <w:color w:val="auto"/>
              </w:rPr>
              <w:t>扩链剂（乙二胺、丙二胺）</w:t>
            </w:r>
          </w:p>
        </w:tc>
        <w:tc>
          <w:tcPr>
            <w:tcW w:w="860" w:type="pct"/>
            <w:tcBorders>
              <w:tl2br w:val="nil"/>
              <w:tr2bl w:val="nil"/>
            </w:tcBorders>
            <w:vAlign w:val="center"/>
          </w:tcPr>
          <w:p>
            <w:pPr>
              <w:pStyle w:val="182"/>
              <w:bidi w:val="0"/>
              <w:rPr>
                <w:color w:val="auto"/>
              </w:rPr>
            </w:pPr>
            <w:r>
              <w:rPr>
                <w:color w:val="auto"/>
              </w:rPr>
              <w:t>17.8</w:t>
            </w:r>
          </w:p>
        </w:tc>
        <w:tc>
          <w:tcPr>
            <w:tcW w:w="782" w:type="pct"/>
            <w:tcBorders>
              <w:tl2br w:val="nil"/>
              <w:tr2bl w:val="nil"/>
            </w:tcBorders>
            <w:vAlign w:val="center"/>
          </w:tcPr>
          <w:p>
            <w:pPr>
              <w:pStyle w:val="182"/>
              <w:bidi w:val="0"/>
              <w:rPr>
                <w:color w:val="auto"/>
              </w:rPr>
            </w:pPr>
            <w:r>
              <w:rPr>
                <w:color w:val="auto"/>
              </w:rPr>
              <w:t>712</w:t>
            </w:r>
          </w:p>
        </w:tc>
        <w:tc>
          <w:tcPr>
            <w:tcW w:w="1329" w:type="pct"/>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5</w:t>
            </w:r>
          </w:p>
        </w:tc>
        <w:tc>
          <w:tcPr>
            <w:tcW w:w="1519" w:type="pct"/>
            <w:tcBorders>
              <w:tl2br w:val="nil"/>
              <w:tr2bl w:val="nil"/>
            </w:tcBorders>
            <w:vAlign w:val="center"/>
          </w:tcPr>
          <w:p>
            <w:pPr>
              <w:pStyle w:val="182"/>
              <w:bidi w:val="0"/>
              <w:rPr>
                <w:color w:val="auto"/>
              </w:rPr>
            </w:pPr>
            <w:r>
              <w:rPr>
                <w:rFonts w:hint="eastAsia"/>
                <w:color w:val="auto"/>
              </w:rPr>
              <w:t>添加剂（黄变防止剂）</w:t>
            </w:r>
          </w:p>
        </w:tc>
        <w:tc>
          <w:tcPr>
            <w:tcW w:w="860" w:type="pct"/>
            <w:tcBorders>
              <w:tl2br w:val="nil"/>
              <w:tr2bl w:val="nil"/>
            </w:tcBorders>
            <w:vAlign w:val="center"/>
          </w:tcPr>
          <w:p>
            <w:pPr>
              <w:pStyle w:val="182"/>
              <w:bidi w:val="0"/>
              <w:rPr>
                <w:color w:val="auto"/>
              </w:rPr>
            </w:pPr>
            <w:r>
              <w:rPr>
                <w:color w:val="auto"/>
              </w:rPr>
              <w:t>33</w:t>
            </w:r>
          </w:p>
        </w:tc>
        <w:tc>
          <w:tcPr>
            <w:tcW w:w="782" w:type="pct"/>
            <w:tcBorders>
              <w:tl2br w:val="nil"/>
              <w:tr2bl w:val="nil"/>
            </w:tcBorders>
            <w:vAlign w:val="center"/>
          </w:tcPr>
          <w:p>
            <w:pPr>
              <w:pStyle w:val="182"/>
              <w:bidi w:val="0"/>
              <w:rPr>
                <w:color w:val="auto"/>
              </w:rPr>
            </w:pPr>
            <w:r>
              <w:rPr>
                <w:color w:val="auto"/>
              </w:rPr>
              <w:t>1320</w:t>
            </w:r>
          </w:p>
        </w:tc>
        <w:tc>
          <w:tcPr>
            <w:tcW w:w="1329" w:type="pct"/>
            <w:tcBorders>
              <w:tl2br w:val="nil"/>
              <w:tr2bl w:val="nil"/>
            </w:tcBorders>
            <w:vAlign w:val="center"/>
          </w:tcPr>
          <w:p>
            <w:pPr>
              <w:pStyle w:val="182"/>
              <w:bidi w:val="0"/>
              <w:rPr>
                <w:color w:val="auto"/>
              </w:rPr>
            </w:pPr>
            <w:r>
              <w:rPr>
                <w:rFonts w:hint="eastAsia"/>
                <w:color w:val="auto"/>
              </w:rPr>
              <w:t>箱、桶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6</w:t>
            </w:r>
          </w:p>
        </w:tc>
        <w:tc>
          <w:tcPr>
            <w:tcW w:w="1519" w:type="pct"/>
            <w:tcBorders>
              <w:tl2br w:val="nil"/>
              <w:tr2bl w:val="nil"/>
            </w:tcBorders>
            <w:vAlign w:val="center"/>
          </w:tcPr>
          <w:p>
            <w:pPr>
              <w:pStyle w:val="182"/>
              <w:bidi w:val="0"/>
              <w:rPr>
                <w:color w:val="auto"/>
              </w:rPr>
            </w:pPr>
            <w:r>
              <w:rPr>
                <w:rFonts w:hint="eastAsia"/>
                <w:color w:val="auto"/>
              </w:rPr>
              <w:t>油剂（白油等，进口）</w:t>
            </w:r>
          </w:p>
        </w:tc>
        <w:tc>
          <w:tcPr>
            <w:tcW w:w="860" w:type="pct"/>
            <w:tcBorders>
              <w:tl2br w:val="nil"/>
              <w:tr2bl w:val="nil"/>
            </w:tcBorders>
            <w:vAlign w:val="center"/>
          </w:tcPr>
          <w:p>
            <w:pPr>
              <w:pStyle w:val="182"/>
              <w:bidi w:val="0"/>
              <w:rPr>
                <w:color w:val="auto"/>
              </w:rPr>
            </w:pPr>
            <w:r>
              <w:rPr>
                <w:color w:val="auto"/>
              </w:rPr>
              <w:t>40</w:t>
            </w:r>
          </w:p>
        </w:tc>
        <w:tc>
          <w:tcPr>
            <w:tcW w:w="782" w:type="pct"/>
            <w:tcBorders>
              <w:tl2br w:val="nil"/>
              <w:tr2bl w:val="nil"/>
            </w:tcBorders>
            <w:vAlign w:val="center"/>
          </w:tcPr>
          <w:p>
            <w:pPr>
              <w:pStyle w:val="182"/>
              <w:bidi w:val="0"/>
              <w:rPr>
                <w:color w:val="auto"/>
              </w:rPr>
            </w:pPr>
            <w:r>
              <w:rPr>
                <w:color w:val="auto"/>
              </w:rPr>
              <w:t>2200</w:t>
            </w:r>
          </w:p>
        </w:tc>
        <w:tc>
          <w:tcPr>
            <w:tcW w:w="1329" w:type="pct"/>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7</w:t>
            </w:r>
          </w:p>
        </w:tc>
        <w:tc>
          <w:tcPr>
            <w:tcW w:w="1519" w:type="pct"/>
            <w:tcBorders>
              <w:tl2br w:val="nil"/>
              <w:tr2bl w:val="nil"/>
            </w:tcBorders>
            <w:vAlign w:val="center"/>
          </w:tcPr>
          <w:p>
            <w:pPr>
              <w:pStyle w:val="182"/>
              <w:bidi w:val="0"/>
              <w:rPr>
                <w:color w:val="auto"/>
              </w:rPr>
            </w:pPr>
            <w:r>
              <w:rPr>
                <w:rFonts w:hint="eastAsia"/>
                <w:color w:val="auto"/>
              </w:rPr>
              <w:t>蒸汽（平均）</w:t>
            </w:r>
          </w:p>
        </w:tc>
        <w:tc>
          <w:tcPr>
            <w:tcW w:w="860" w:type="pct"/>
            <w:tcBorders>
              <w:tl2br w:val="nil"/>
              <w:tr2bl w:val="nil"/>
            </w:tcBorders>
            <w:vAlign w:val="center"/>
          </w:tcPr>
          <w:p>
            <w:pPr>
              <w:pStyle w:val="182"/>
              <w:bidi w:val="0"/>
              <w:rPr>
                <w:color w:val="auto"/>
              </w:rPr>
            </w:pPr>
            <w:r>
              <w:rPr>
                <w:color w:val="auto"/>
              </w:rPr>
              <w:t>10.875t/h</w:t>
            </w:r>
          </w:p>
        </w:tc>
        <w:tc>
          <w:tcPr>
            <w:tcW w:w="782" w:type="pct"/>
            <w:tcBorders>
              <w:tl2br w:val="nil"/>
              <w:tr2bl w:val="nil"/>
            </w:tcBorders>
            <w:vAlign w:val="center"/>
          </w:tcPr>
          <w:p>
            <w:pPr>
              <w:pStyle w:val="182"/>
              <w:bidi w:val="0"/>
              <w:rPr>
                <w:color w:val="auto"/>
              </w:rPr>
            </w:pPr>
            <w:r>
              <w:rPr>
                <w:color w:val="auto"/>
              </w:rPr>
              <w:t>17.4</w:t>
            </w:r>
            <w:r>
              <w:rPr>
                <w:rFonts w:hint="eastAsia"/>
                <w:color w:val="auto"/>
              </w:rPr>
              <w:t>万</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rFonts w:hint="eastAsia" w:eastAsia="宋体"/>
                <w:color w:val="auto"/>
                <w:lang w:val="en-US" w:eastAsia="zh-CN"/>
              </w:rPr>
            </w:pPr>
            <w:r>
              <w:rPr>
                <w:rFonts w:hint="eastAsia"/>
                <w:color w:val="auto"/>
                <w:lang w:val="en-US" w:eastAsia="zh-CN"/>
              </w:rPr>
              <w:t>8</w:t>
            </w:r>
          </w:p>
        </w:tc>
        <w:tc>
          <w:tcPr>
            <w:tcW w:w="1519" w:type="pct"/>
            <w:tcBorders>
              <w:tl2br w:val="nil"/>
              <w:tr2bl w:val="nil"/>
            </w:tcBorders>
            <w:vAlign w:val="center"/>
          </w:tcPr>
          <w:p>
            <w:pPr>
              <w:pStyle w:val="182"/>
              <w:bidi w:val="0"/>
              <w:rPr>
                <w:color w:val="auto"/>
              </w:rPr>
            </w:pPr>
            <w:r>
              <w:rPr>
                <w:rFonts w:hint="eastAsia"/>
                <w:color w:val="auto"/>
              </w:rPr>
              <w:t>脱盐水</w:t>
            </w:r>
          </w:p>
        </w:tc>
        <w:tc>
          <w:tcPr>
            <w:tcW w:w="860" w:type="pct"/>
            <w:tcBorders>
              <w:tl2br w:val="nil"/>
              <w:tr2bl w:val="nil"/>
            </w:tcBorders>
            <w:vAlign w:val="center"/>
          </w:tcPr>
          <w:p>
            <w:pPr>
              <w:pStyle w:val="182"/>
              <w:bidi w:val="0"/>
              <w:rPr>
                <w:color w:val="auto"/>
              </w:rPr>
            </w:pPr>
            <w:r>
              <w:rPr>
                <w:color w:val="auto"/>
              </w:rPr>
              <w:t>1.2 m</w:t>
            </w:r>
            <w:r>
              <w:rPr>
                <w:color w:val="auto"/>
                <w:vertAlign w:val="superscript"/>
              </w:rPr>
              <w:t>3</w:t>
            </w:r>
          </w:p>
        </w:tc>
        <w:tc>
          <w:tcPr>
            <w:tcW w:w="782" w:type="pct"/>
            <w:tcBorders>
              <w:tl2br w:val="nil"/>
              <w:tr2bl w:val="nil"/>
            </w:tcBorders>
            <w:vAlign w:val="center"/>
          </w:tcPr>
          <w:p>
            <w:pPr>
              <w:pStyle w:val="182"/>
              <w:bidi w:val="0"/>
              <w:rPr>
                <w:color w:val="auto"/>
              </w:rPr>
            </w:pPr>
            <w:r>
              <w:rPr>
                <w:color w:val="auto"/>
              </w:rPr>
              <w:t>4.8</w:t>
            </w:r>
            <w:r>
              <w:rPr>
                <w:rFonts w:hint="eastAsia"/>
                <w:color w:val="auto"/>
              </w:rPr>
              <w:t>万</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rFonts w:hint="eastAsia" w:eastAsia="宋体"/>
                <w:color w:val="auto"/>
                <w:lang w:val="en-US" w:eastAsia="zh-CN"/>
              </w:rPr>
            </w:pPr>
            <w:r>
              <w:rPr>
                <w:rFonts w:hint="eastAsia"/>
                <w:color w:val="auto"/>
                <w:lang w:val="en-US" w:eastAsia="zh-CN"/>
              </w:rPr>
              <w:t>9</w:t>
            </w:r>
          </w:p>
        </w:tc>
        <w:tc>
          <w:tcPr>
            <w:tcW w:w="1519" w:type="pct"/>
            <w:tcBorders>
              <w:tl2br w:val="nil"/>
              <w:tr2bl w:val="nil"/>
            </w:tcBorders>
            <w:vAlign w:val="center"/>
          </w:tcPr>
          <w:p>
            <w:pPr>
              <w:pStyle w:val="182"/>
              <w:bidi w:val="0"/>
              <w:rPr>
                <w:color w:val="auto"/>
              </w:rPr>
            </w:pPr>
            <w:r>
              <w:rPr>
                <w:rFonts w:hint="eastAsia"/>
                <w:color w:val="auto"/>
              </w:rPr>
              <w:t>制冷量</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18600kW</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0</w:t>
            </w:r>
          </w:p>
        </w:tc>
        <w:tc>
          <w:tcPr>
            <w:tcW w:w="1519" w:type="pct"/>
            <w:tcBorders>
              <w:tl2br w:val="nil"/>
              <w:tr2bl w:val="nil"/>
            </w:tcBorders>
            <w:vAlign w:val="center"/>
          </w:tcPr>
          <w:p>
            <w:pPr>
              <w:pStyle w:val="182"/>
              <w:bidi w:val="0"/>
              <w:rPr>
                <w:color w:val="auto"/>
              </w:rPr>
            </w:pPr>
            <w:r>
              <w:rPr>
                <w:rFonts w:hint="eastAsia"/>
                <w:color w:val="auto"/>
              </w:rPr>
              <w:t>压缩空气</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180Nm</w:t>
            </w:r>
            <w:r>
              <w:rPr>
                <w:color w:val="auto"/>
                <w:vertAlign w:val="superscript"/>
              </w:rPr>
              <w:t>3</w:t>
            </w:r>
            <w:r>
              <w:rPr>
                <w:color w:val="auto"/>
              </w:rPr>
              <w:t>/min</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1</w:t>
            </w:r>
          </w:p>
        </w:tc>
        <w:tc>
          <w:tcPr>
            <w:tcW w:w="1519" w:type="pct"/>
            <w:tcBorders>
              <w:tl2br w:val="nil"/>
              <w:tr2bl w:val="nil"/>
            </w:tcBorders>
            <w:vAlign w:val="center"/>
          </w:tcPr>
          <w:p>
            <w:pPr>
              <w:pStyle w:val="182"/>
              <w:bidi w:val="0"/>
              <w:rPr>
                <w:color w:val="auto"/>
              </w:rPr>
            </w:pPr>
            <w:r>
              <w:rPr>
                <w:rFonts w:hint="eastAsia"/>
                <w:color w:val="auto"/>
              </w:rPr>
              <w:t>氮气</w:t>
            </w:r>
          </w:p>
        </w:tc>
        <w:tc>
          <w:tcPr>
            <w:tcW w:w="860" w:type="pct"/>
            <w:tcBorders>
              <w:tl2br w:val="nil"/>
              <w:tr2bl w:val="nil"/>
            </w:tcBorders>
            <w:vAlign w:val="center"/>
          </w:tcPr>
          <w:p>
            <w:pPr>
              <w:pStyle w:val="182"/>
              <w:bidi w:val="0"/>
              <w:rPr>
                <w:color w:val="auto"/>
              </w:rPr>
            </w:pPr>
            <w:r>
              <w:rPr>
                <w:color w:val="auto"/>
              </w:rPr>
              <w:t>/</w:t>
            </w:r>
          </w:p>
        </w:tc>
        <w:tc>
          <w:tcPr>
            <w:tcW w:w="782" w:type="pct"/>
            <w:tcBorders>
              <w:tl2br w:val="nil"/>
              <w:tr2bl w:val="nil"/>
            </w:tcBorders>
            <w:vAlign w:val="center"/>
          </w:tcPr>
          <w:p>
            <w:pPr>
              <w:pStyle w:val="182"/>
              <w:bidi w:val="0"/>
              <w:rPr>
                <w:color w:val="auto"/>
              </w:rPr>
            </w:pPr>
            <w:r>
              <w:rPr>
                <w:color w:val="auto"/>
              </w:rPr>
              <w:t>300Nm</w:t>
            </w:r>
            <w:r>
              <w:rPr>
                <w:color w:val="auto"/>
                <w:vertAlign w:val="superscript"/>
              </w:rPr>
              <w:t>3</w:t>
            </w:r>
            <w:r>
              <w:rPr>
                <w:color w:val="auto"/>
              </w:rPr>
              <w:t>/min</w:t>
            </w:r>
          </w:p>
        </w:tc>
        <w:tc>
          <w:tcPr>
            <w:tcW w:w="1329" w:type="pct"/>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2</w:t>
            </w:r>
          </w:p>
        </w:tc>
        <w:tc>
          <w:tcPr>
            <w:tcW w:w="1519" w:type="pct"/>
            <w:tcBorders>
              <w:tl2br w:val="nil"/>
              <w:tr2bl w:val="nil"/>
            </w:tcBorders>
            <w:vAlign w:val="center"/>
          </w:tcPr>
          <w:p>
            <w:pPr>
              <w:pStyle w:val="182"/>
              <w:bidi w:val="0"/>
              <w:rPr>
                <w:color w:val="auto"/>
              </w:rPr>
            </w:pPr>
            <w:r>
              <w:rPr>
                <w:rFonts w:hint="eastAsia"/>
                <w:color w:val="auto"/>
              </w:rPr>
              <w:t>碱液（</w:t>
            </w:r>
            <w:r>
              <w:rPr>
                <w:color w:val="auto"/>
              </w:rPr>
              <w:t>32%</w:t>
            </w:r>
            <w:r>
              <w:rPr>
                <w:rFonts w:hint="eastAsia"/>
                <w:color w:val="auto"/>
              </w:rPr>
              <w:t>）</w:t>
            </w:r>
          </w:p>
        </w:tc>
        <w:tc>
          <w:tcPr>
            <w:tcW w:w="860" w:type="pct"/>
            <w:tcBorders>
              <w:tl2br w:val="nil"/>
              <w:tr2bl w:val="nil"/>
            </w:tcBorders>
            <w:vAlign w:val="center"/>
          </w:tcPr>
          <w:p>
            <w:pPr>
              <w:pStyle w:val="182"/>
              <w:bidi w:val="0"/>
              <w:rPr>
                <w:color w:val="auto"/>
              </w:rPr>
            </w:pPr>
            <w:r>
              <w:rPr>
                <w:color w:val="auto"/>
              </w:rPr>
              <w:t>0.3</w:t>
            </w:r>
          </w:p>
        </w:tc>
        <w:tc>
          <w:tcPr>
            <w:tcW w:w="782" w:type="pct"/>
            <w:tcBorders>
              <w:tl2br w:val="nil"/>
              <w:tr2bl w:val="nil"/>
            </w:tcBorders>
            <w:vAlign w:val="center"/>
          </w:tcPr>
          <w:p>
            <w:pPr>
              <w:pStyle w:val="182"/>
              <w:bidi w:val="0"/>
              <w:rPr>
                <w:color w:val="auto"/>
              </w:rPr>
            </w:pPr>
            <w:r>
              <w:rPr>
                <w:color w:val="auto"/>
              </w:rPr>
              <w:t>12</w:t>
            </w:r>
          </w:p>
        </w:tc>
        <w:tc>
          <w:tcPr>
            <w:tcW w:w="1329" w:type="pct"/>
            <w:tcBorders>
              <w:tl2br w:val="nil"/>
              <w:tr2bl w:val="nil"/>
            </w:tcBorders>
            <w:vAlign w:val="center"/>
          </w:tcPr>
          <w:p>
            <w:pPr>
              <w:pStyle w:val="182"/>
              <w:bidi w:val="0"/>
              <w:rPr>
                <w:color w:val="auto"/>
              </w:rPr>
            </w:pPr>
            <w:r>
              <w:rPr>
                <w:rFonts w:hint="eastAsia"/>
                <w:color w:val="auto"/>
              </w:rPr>
              <w:t>利用公司其他项目产生的废碱液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vAlign w:val="center"/>
          </w:tcPr>
          <w:p>
            <w:pPr>
              <w:pStyle w:val="182"/>
              <w:bidi w:val="0"/>
              <w:rPr>
                <w:color w:val="auto"/>
              </w:rPr>
            </w:pPr>
            <w:r>
              <w:rPr>
                <w:rFonts w:hint="eastAsia"/>
                <w:color w:val="auto"/>
              </w:rPr>
              <w:t>年产2万吨生物质纤维素项目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w:t>
            </w:r>
          </w:p>
        </w:tc>
        <w:tc>
          <w:tcPr>
            <w:tcW w:w="1519" w:type="pct"/>
            <w:tcBorders>
              <w:tl2br w:val="nil"/>
              <w:tr2bl w:val="nil"/>
            </w:tcBorders>
            <w:vAlign w:val="center"/>
          </w:tcPr>
          <w:p>
            <w:pPr>
              <w:pStyle w:val="182"/>
              <w:bidi w:val="0"/>
              <w:rPr>
                <w:color w:val="auto"/>
              </w:rPr>
            </w:pPr>
            <w:r>
              <w:rPr>
                <w:rFonts w:hint="eastAsia"/>
                <w:color w:val="auto"/>
              </w:rPr>
              <w:t>浆粕</w:t>
            </w:r>
          </w:p>
        </w:tc>
        <w:tc>
          <w:tcPr>
            <w:tcW w:w="860" w:type="pct"/>
            <w:tcBorders>
              <w:tl2br w:val="nil"/>
              <w:tr2bl w:val="nil"/>
            </w:tcBorders>
            <w:vAlign w:val="center"/>
          </w:tcPr>
          <w:p>
            <w:pPr>
              <w:pStyle w:val="182"/>
              <w:bidi w:val="0"/>
              <w:rPr>
                <w:color w:val="auto"/>
              </w:rPr>
            </w:pPr>
            <w:r>
              <w:rPr>
                <w:color w:val="auto"/>
              </w:rPr>
              <w:t>1023</w:t>
            </w:r>
          </w:p>
        </w:tc>
        <w:tc>
          <w:tcPr>
            <w:tcW w:w="782" w:type="pct"/>
            <w:tcBorders>
              <w:tl2br w:val="nil"/>
              <w:tr2bl w:val="nil"/>
            </w:tcBorders>
            <w:vAlign w:val="center"/>
          </w:tcPr>
          <w:p>
            <w:pPr>
              <w:pStyle w:val="182"/>
              <w:bidi w:val="0"/>
              <w:rPr>
                <w:color w:val="auto"/>
              </w:rPr>
            </w:pPr>
            <w:r>
              <w:rPr>
                <w:color w:val="auto"/>
              </w:rPr>
              <w:t>20460</w:t>
            </w:r>
          </w:p>
        </w:tc>
        <w:tc>
          <w:tcPr>
            <w:tcW w:w="1329" w:type="pct"/>
            <w:tcBorders>
              <w:tl2br w:val="nil"/>
              <w:tr2bl w:val="nil"/>
            </w:tcBorders>
            <w:vAlign w:val="center"/>
          </w:tcPr>
          <w:p>
            <w:pPr>
              <w:pStyle w:val="182"/>
              <w:bidi w:val="0"/>
              <w:rPr>
                <w:color w:val="auto"/>
              </w:rPr>
            </w:pPr>
            <w:r>
              <w:rPr>
                <w:color w:val="auto"/>
              </w:rPr>
              <w:t>250m³</w:t>
            </w:r>
            <w:r>
              <w:rPr>
                <w:rFonts w:hint="eastAsia"/>
                <w:color w:val="auto"/>
              </w:rPr>
              <w:t>储罐</w:t>
            </w:r>
            <w:r>
              <w:rPr>
                <w:color w:val="auto"/>
              </w:rPr>
              <w:t>4</w:t>
            </w:r>
            <w:r>
              <w:rPr>
                <w:rFonts w:hint="eastAsia"/>
                <w:color w:val="auto"/>
              </w:rPr>
              <w:t>个，采用</w:t>
            </w:r>
            <w:r>
              <w:rPr>
                <w:color w:val="auto"/>
              </w:rPr>
              <w:t>N2</w:t>
            </w:r>
            <w:r>
              <w:rPr>
                <w:rFonts w:hint="eastAsia"/>
                <w:color w:val="auto"/>
              </w:rPr>
              <w:t>密封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2</w:t>
            </w:r>
          </w:p>
        </w:tc>
        <w:tc>
          <w:tcPr>
            <w:tcW w:w="1519" w:type="pct"/>
            <w:tcBorders>
              <w:tl2br w:val="nil"/>
              <w:tr2bl w:val="nil"/>
            </w:tcBorders>
            <w:vAlign w:val="center"/>
          </w:tcPr>
          <w:p>
            <w:pPr>
              <w:pStyle w:val="182"/>
              <w:bidi w:val="0"/>
              <w:rPr>
                <w:color w:val="auto"/>
              </w:rPr>
            </w:pPr>
            <w:r>
              <w:rPr>
                <w:color w:val="auto"/>
              </w:rPr>
              <w:t>92.5%</w:t>
            </w:r>
            <w:r>
              <w:rPr>
                <w:rFonts w:hint="eastAsia"/>
                <w:color w:val="auto"/>
              </w:rPr>
              <w:t>浓硫酸</w:t>
            </w:r>
          </w:p>
        </w:tc>
        <w:tc>
          <w:tcPr>
            <w:tcW w:w="860" w:type="pct"/>
            <w:tcBorders>
              <w:tl2br w:val="nil"/>
              <w:tr2bl w:val="nil"/>
            </w:tcBorders>
            <w:vAlign w:val="center"/>
          </w:tcPr>
          <w:p>
            <w:pPr>
              <w:pStyle w:val="182"/>
              <w:bidi w:val="0"/>
              <w:rPr>
                <w:color w:val="auto"/>
              </w:rPr>
            </w:pPr>
            <w:r>
              <w:rPr>
                <w:color w:val="auto"/>
              </w:rPr>
              <w:t>1390</w:t>
            </w:r>
          </w:p>
        </w:tc>
        <w:tc>
          <w:tcPr>
            <w:tcW w:w="782" w:type="pct"/>
            <w:tcBorders>
              <w:tl2br w:val="nil"/>
              <w:tr2bl w:val="nil"/>
            </w:tcBorders>
            <w:vAlign w:val="center"/>
          </w:tcPr>
          <w:p>
            <w:pPr>
              <w:pStyle w:val="182"/>
              <w:bidi w:val="0"/>
              <w:rPr>
                <w:color w:val="auto"/>
              </w:rPr>
            </w:pPr>
            <w:r>
              <w:rPr>
                <w:color w:val="auto"/>
              </w:rPr>
              <w:t>27800</w:t>
            </w:r>
          </w:p>
        </w:tc>
        <w:tc>
          <w:tcPr>
            <w:tcW w:w="1329" w:type="pct"/>
            <w:tcBorders>
              <w:tl2br w:val="nil"/>
              <w:tr2bl w:val="nil"/>
            </w:tcBorders>
            <w:vAlign w:val="center"/>
          </w:tcPr>
          <w:p>
            <w:pPr>
              <w:pStyle w:val="182"/>
              <w:bidi w:val="0"/>
              <w:rPr>
                <w:color w:val="auto"/>
              </w:rPr>
            </w:pPr>
            <w:r>
              <w:rPr>
                <w:rFonts w:hint="eastAsia"/>
                <w:color w:val="auto"/>
              </w:rPr>
              <w:t>袋装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3</w:t>
            </w:r>
          </w:p>
        </w:tc>
        <w:tc>
          <w:tcPr>
            <w:tcW w:w="1519" w:type="pct"/>
            <w:tcBorders>
              <w:tl2br w:val="nil"/>
              <w:tr2bl w:val="nil"/>
            </w:tcBorders>
            <w:vAlign w:val="center"/>
          </w:tcPr>
          <w:p>
            <w:pPr>
              <w:pStyle w:val="182"/>
              <w:bidi w:val="0"/>
              <w:rPr>
                <w:color w:val="auto"/>
              </w:rPr>
            </w:pPr>
            <w:r>
              <w:rPr>
                <w:color w:val="auto"/>
              </w:rPr>
              <w:t>45%氢氧化钠溶液</w:t>
            </w:r>
          </w:p>
        </w:tc>
        <w:tc>
          <w:tcPr>
            <w:tcW w:w="860" w:type="pct"/>
            <w:tcBorders>
              <w:tl2br w:val="nil"/>
              <w:tr2bl w:val="nil"/>
            </w:tcBorders>
            <w:vAlign w:val="center"/>
          </w:tcPr>
          <w:p>
            <w:pPr>
              <w:pStyle w:val="182"/>
              <w:bidi w:val="0"/>
              <w:rPr>
                <w:color w:val="auto"/>
              </w:rPr>
            </w:pPr>
            <w:r>
              <w:rPr>
                <w:color w:val="auto"/>
              </w:rPr>
              <w:t>1589</w:t>
            </w:r>
          </w:p>
        </w:tc>
        <w:tc>
          <w:tcPr>
            <w:tcW w:w="782" w:type="pct"/>
            <w:tcBorders>
              <w:tl2br w:val="nil"/>
              <w:tr2bl w:val="nil"/>
            </w:tcBorders>
            <w:vAlign w:val="center"/>
          </w:tcPr>
          <w:p>
            <w:pPr>
              <w:pStyle w:val="182"/>
              <w:bidi w:val="0"/>
              <w:rPr>
                <w:color w:val="auto"/>
              </w:rPr>
            </w:pPr>
            <w:r>
              <w:rPr>
                <w:color w:val="auto"/>
              </w:rPr>
              <w:t>31780</w:t>
            </w:r>
          </w:p>
        </w:tc>
        <w:tc>
          <w:tcPr>
            <w:tcW w:w="1329" w:type="pct"/>
            <w:tcBorders>
              <w:tl2br w:val="nil"/>
              <w:tr2bl w:val="nil"/>
            </w:tcBorders>
            <w:vAlign w:val="center"/>
          </w:tcPr>
          <w:p>
            <w:pPr>
              <w:pStyle w:val="182"/>
              <w:bidi w:val="0"/>
              <w:rPr>
                <w:color w:val="auto"/>
              </w:rPr>
            </w:pPr>
            <w:r>
              <w:rPr>
                <w:rFonts w:hint="eastAsia"/>
                <w:color w:val="auto"/>
              </w:rPr>
              <w:t>袋装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b/>
                <w:bCs/>
                <w:color w:val="auto"/>
                <w:u w:val="single"/>
              </w:rPr>
            </w:pPr>
            <w:r>
              <w:rPr>
                <w:b/>
                <w:bCs/>
                <w:color w:val="auto"/>
                <w:u w:val="single"/>
              </w:rPr>
              <w:t>4</w:t>
            </w:r>
          </w:p>
        </w:tc>
        <w:tc>
          <w:tcPr>
            <w:tcW w:w="1519" w:type="pct"/>
            <w:tcBorders>
              <w:tl2br w:val="nil"/>
              <w:tr2bl w:val="nil"/>
            </w:tcBorders>
            <w:vAlign w:val="center"/>
          </w:tcPr>
          <w:p>
            <w:pPr>
              <w:pStyle w:val="182"/>
              <w:bidi w:val="0"/>
              <w:rPr>
                <w:b/>
                <w:bCs/>
                <w:color w:val="auto"/>
                <w:u w:val="single"/>
              </w:rPr>
            </w:pPr>
            <w:r>
              <w:rPr>
                <w:b/>
                <w:bCs/>
                <w:color w:val="auto"/>
                <w:u w:val="single"/>
              </w:rPr>
              <w:t>二硫化碳</w:t>
            </w:r>
          </w:p>
          <w:p>
            <w:pPr>
              <w:pStyle w:val="182"/>
              <w:bidi w:val="0"/>
              <w:rPr>
                <w:b/>
                <w:bCs/>
                <w:color w:val="auto"/>
                <w:u w:val="single"/>
              </w:rPr>
            </w:pPr>
            <w:r>
              <w:rPr>
                <w:b/>
                <w:bCs/>
                <w:color w:val="auto"/>
                <w:u w:val="single"/>
              </w:rPr>
              <w:t>（纯度为98.5%）</w:t>
            </w:r>
          </w:p>
        </w:tc>
        <w:tc>
          <w:tcPr>
            <w:tcW w:w="860" w:type="pct"/>
            <w:tcBorders>
              <w:tl2br w:val="nil"/>
              <w:tr2bl w:val="nil"/>
            </w:tcBorders>
            <w:vAlign w:val="center"/>
          </w:tcPr>
          <w:p>
            <w:pPr>
              <w:pStyle w:val="182"/>
              <w:bidi w:val="0"/>
              <w:rPr>
                <w:b/>
                <w:bCs/>
                <w:color w:val="auto"/>
                <w:u w:val="single"/>
              </w:rPr>
            </w:pPr>
            <w:r>
              <w:rPr>
                <w:b/>
                <w:bCs/>
                <w:color w:val="auto"/>
                <w:u w:val="single"/>
              </w:rPr>
              <w:t>132.244</w:t>
            </w:r>
          </w:p>
        </w:tc>
        <w:tc>
          <w:tcPr>
            <w:tcW w:w="782" w:type="pct"/>
            <w:tcBorders>
              <w:tl2br w:val="nil"/>
              <w:tr2bl w:val="nil"/>
            </w:tcBorders>
            <w:vAlign w:val="center"/>
          </w:tcPr>
          <w:p>
            <w:pPr>
              <w:pStyle w:val="182"/>
              <w:bidi w:val="0"/>
              <w:rPr>
                <w:b/>
                <w:bCs/>
                <w:color w:val="auto"/>
                <w:u w:val="single"/>
              </w:rPr>
            </w:pPr>
            <w:r>
              <w:rPr>
                <w:b/>
                <w:bCs/>
                <w:color w:val="auto"/>
                <w:u w:val="single"/>
              </w:rPr>
              <w:t>2644.88</w:t>
            </w:r>
          </w:p>
        </w:tc>
        <w:tc>
          <w:tcPr>
            <w:tcW w:w="1329" w:type="pct"/>
            <w:tcBorders>
              <w:tl2br w:val="nil"/>
              <w:tr2bl w:val="nil"/>
            </w:tcBorders>
            <w:vAlign w:val="center"/>
          </w:tcPr>
          <w:p>
            <w:pPr>
              <w:pStyle w:val="182"/>
              <w:bidi w:val="0"/>
              <w:rPr>
                <w:b/>
                <w:bCs/>
                <w:color w:val="auto"/>
                <w:u w:val="single"/>
              </w:rPr>
            </w:pPr>
            <w:r>
              <w:rPr>
                <w:rFonts w:hint="eastAsia"/>
                <w:b/>
                <w:bCs/>
                <w:color w:val="auto"/>
                <w:u w:val="single"/>
              </w:rPr>
              <w:t>密闭储罐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5</w:t>
            </w:r>
          </w:p>
        </w:tc>
        <w:tc>
          <w:tcPr>
            <w:tcW w:w="1519" w:type="pct"/>
            <w:tcBorders>
              <w:tl2br w:val="nil"/>
              <w:tr2bl w:val="nil"/>
            </w:tcBorders>
            <w:vAlign w:val="center"/>
          </w:tcPr>
          <w:p>
            <w:pPr>
              <w:pStyle w:val="182"/>
              <w:bidi w:val="0"/>
              <w:rPr>
                <w:color w:val="auto"/>
              </w:rPr>
            </w:pPr>
            <w:r>
              <w:rPr>
                <w:color w:val="auto"/>
              </w:rPr>
              <w:t>硫酸锌（纯度为98%）</w:t>
            </w:r>
          </w:p>
        </w:tc>
        <w:tc>
          <w:tcPr>
            <w:tcW w:w="860" w:type="pct"/>
            <w:tcBorders>
              <w:tl2br w:val="nil"/>
              <w:tr2bl w:val="nil"/>
            </w:tcBorders>
            <w:vAlign w:val="center"/>
          </w:tcPr>
          <w:p>
            <w:pPr>
              <w:pStyle w:val="182"/>
              <w:bidi w:val="0"/>
              <w:rPr>
                <w:color w:val="auto"/>
              </w:rPr>
            </w:pPr>
            <w:r>
              <w:rPr>
                <w:color w:val="auto"/>
              </w:rPr>
              <w:t>17.1</w:t>
            </w:r>
          </w:p>
        </w:tc>
        <w:tc>
          <w:tcPr>
            <w:tcW w:w="782" w:type="pct"/>
            <w:tcBorders>
              <w:tl2br w:val="nil"/>
              <w:tr2bl w:val="nil"/>
            </w:tcBorders>
            <w:vAlign w:val="center"/>
          </w:tcPr>
          <w:p>
            <w:pPr>
              <w:pStyle w:val="182"/>
              <w:bidi w:val="0"/>
              <w:rPr>
                <w:color w:val="auto"/>
              </w:rPr>
            </w:pPr>
            <w:r>
              <w:rPr>
                <w:color w:val="auto"/>
              </w:rPr>
              <w:t>342</w:t>
            </w:r>
          </w:p>
        </w:tc>
        <w:tc>
          <w:tcPr>
            <w:tcW w:w="1329" w:type="pct"/>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6</w:t>
            </w:r>
          </w:p>
        </w:tc>
        <w:tc>
          <w:tcPr>
            <w:tcW w:w="1519" w:type="pct"/>
            <w:tcBorders>
              <w:tl2br w:val="nil"/>
              <w:tr2bl w:val="nil"/>
            </w:tcBorders>
            <w:vAlign w:val="center"/>
          </w:tcPr>
          <w:p>
            <w:pPr>
              <w:pStyle w:val="182"/>
              <w:bidi w:val="0"/>
              <w:rPr>
                <w:color w:val="auto"/>
              </w:rPr>
            </w:pPr>
            <w:r>
              <w:rPr>
                <w:color w:val="auto"/>
              </w:rPr>
              <w:t>浆料</w:t>
            </w:r>
          </w:p>
        </w:tc>
        <w:tc>
          <w:tcPr>
            <w:tcW w:w="860" w:type="pct"/>
            <w:tcBorders>
              <w:tl2br w:val="nil"/>
              <w:tr2bl w:val="nil"/>
            </w:tcBorders>
            <w:vAlign w:val="center"/>
          </w:tcPr>
          <w:p>
            <w:pPr>
              <w:pStyle w:val="182"/>
              <w:bidi w:val="0"/>
              <w:rPr>
                <w:color w:val="auto"/>
              </w:rPr>
            </w:pPr>
            <w:r>
              <w:rPr>
                <w:color w:val="auto"/>
              </w:rPr>
              <w:t>12</w:t>
            </w:r>
          </w:p>
        </w:tc>
        <w:tc>
          <w:tcPr>
            <w:tcW w:w="782" w:type="pct"/>
            <w:tcBorders>
              <w:tl2br w:val="nil"/>
              <w:tr2bl w:val="nil"/>
            </w:tcBorders>
            <w:vAlign w:val="center"/>
          </w:tcPr>
          <w:p>
            <w:pPr>
              <w:pStyle w:val="182"/>
              <w:bidi w:val="0"/>
              <w:rPr>
                <w:color w:val="auto"/>
              </w:rPr>
            </w:pPr>
            <w:r>
              <w:rPr>
                <w:color w:val="auto"/>
              </w:rPr>
              <w:t>240</w:t>
            </w:r>
          </w:p>
        </w:tc>
        <w:tc>
          <w:tcPr>
            <w:tcW w:w="1329" w:type="pct"/>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7</w:t>
            </w:r>
          </w:p>
        </w:tc>
        <w:tc>
          <w:tcPr>
            <w:tcW w:w="1519" w:type="pct"/>
            <w:tcBorders>
              <w:tl2br w:val="nil"/>
              <w:tr2bl w:val="nil"/>
            </w:tcBorders>
            <w:vAlign w:val="center"/>
          </w:tcPr>
          <w:p>
            <w:pPr>
              <w:pStyle w:val="182"/>
              <w:bidi w:val="0"/>
              <w:rPr>
                <w:color w:val="auto"/>
              </w:rPr>
            </w:pPr>
            <w:r>
              <w:rPr>
                <w:rFonts w:hint="eastAsia"/>
                <w:color w:val="auto"/>
              </w:rPr>
              <w:t>油剂</w:t>
            </w:r>
          </w:p>
        </w:tc>
        <w:tc>
          <w:tcPr>
            <w:tcW w:w="860" w:type="pct"/>
            <w:tcBorders>
              <w:tl2br w:val="nil"/>
              <w:tr2bl w:val="nil"/>
            </w:tcBorders>
            <w:vAlign w:val="center"/>
          </w:tcPr>
          <w:p>
            <w:pPr>
              <w:pStyle w:val="182"/>
              <w:bidi w:val="0"/>
              <w:rPr>
                <w:color w:val="auto"/>
              </w:rPr>
            </w:pPr>
            <w:r>
              <w:rPr>
                <w:color w:val="auto"/>
              </w:rPr>
              <w:t>2.4</w:t>
            </w:r>
          </w:p>
        </w:tc>
        <w:tc>
          <w:tcPr>
            <w:tcW w:w="782" w:type="pct"/>
            <w:tcBorders>
              <w:tl2br w:val="nil"/>
              <w:tr2bl w:val="nil"/>
            </w:tcBorders>
            <w:vAlign w:val="center"/>
          </w:tcPr>
          <w:p>
            <w:pPr>
              <w:pStyle w:val="182"/>
              <w:bidi w:val="0"/>
              <w:rPr>
                <w:color w:val="auto"/>
              </w:rPr>
            </w:pPr>
            <w:r>
              <w:rPr>
                <w:color w:val="auto"/>
              </w:rPr>
              <w:t>48</w:t>
            </w:r>
          </w:p>
        </w:tc>
        <w:tc>
          <w:tcPr>
            <w:tcW w:w="1329" w:type="pct"/>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8</w:t>
            </w:r>
          </w:p>
        </w:tc>
        <w:tc>
          <w:tcPr>
            <w:tcW w:w="1519" w:type="pct"/>
            <w:tcBorders>
              <w:tl2br w:val="nil"/>
              <w:tr2bl w:val="nil"/>
            </w:tcBorders>
            <w:vAlign w:val="center"/>
          </w:tcPr>
          <w:p>
            <w:pPr>
              <w:pStyle w:val="182"/>
              <w:bidi w:val="0"/>
              <w:rPr>
                <w:color w:val="auto"/>
              </w:rPr>
            </w:pPr>
            <w:r>
              <w:rPr>
                <w:color w:val="auto"/>
              </w:rPr>
              <w:t>蒸汽平均</w:t>
            </w:r>
          </w:p>
        </w:tc>
        <w:tc>
          <w:tcPr>
            <w:tcW w:w="860" w:type="pct"/>
            <w:tcBorders>
              <w:tl2br w:val="nil"/>
              <w:tr2bl w:val="nil"/>
            </w:tcBorders>
            <w:vAlign w:val="center"/>
          </w:tcPr>
          <w:p>
            <w:pPr>
              <w:pStyle w:val="182"/>
              <w:bidi w:val="0"/>
              <w:rPr>
                <w:color w:val="auto"/>
              </w:rPr>
            </w:pPr>
            <w:r>
              <w:rPr>
                <w:color w:val="auto"/>
              </w:rPr>
              <w:t>52.24t/h</w:t>
            </w:r>
          </w:p>
        </w:tc>
        <w:tc>
          <w:tcPr>
            <w:tcW w:w="782" w:type="pct"/>
            <w:tcBorders>
              <w:tl2br w:val="nil"/>
              <w:tr2bl w:val="nil"/>
            </w:tcBorders>
            <w:vAlign w:val="center"/>
          </w:tcPr>
          <w:p>
            <w:pPr>
              <w:pStyle w:val="182"/>
              <w:bidi w:val="0"/>
              <w:rPr>
                <w:color w:val="auto"/>
              </w:rPr>
            </w:pPr>
            <w:r>
              <w:rPr>
                <w:color w:val="auto"/>
              </w:rPr>
              <w:t>41.79 万</w:t>
            </w:r>
          </w:p>
        </w:tc>
        <w:tc>
          <w:tcPr>
            <w:tcW w:w="1329" w:type="pct"/>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9</w:t>
            </w:r>
          </w:p>
        </w:tc>
        <w:tc>
          <w:tcPr>
            <w:tcW w:w="1519" w:type="pct"/>
            <w:tcBorders>
              <w:tl2br w:val="nil"/>
              <w:tr2bl w:val="nil"/>
            </w:tcBorders>
            <w:vAlign w:val="center"/>
          </w:tcPr>
          <w:p>
            <w:pPr>
              <w:pStyle w:val="182"/>
              <w:bidi w:val="0"/>
              <w:rPr>
                <w:color w:val="auto"/>
              </w:rPr>
            </w:pPr>
            <w:r>
              <w:rPr>
                <w:color w:val="auto"/>
              </w:rPr>
              <w:t>电（万kwh）</w:t>
            </w:r>
          </w:p>
        </w:tc>
        <w:tc>
          <w:tcPr>
            <w:tcW w:w="860" w:type="pct"/>
            <w:tcBorders>
              <w:tl2br w:val="nil"/>
              <w:tr2bl w:val="nil"/>
            </w:tcBorders>
            <w:vAlign w:val="center"/>
          </w:tcPr>
          <w:p>
            <w:pPr>
              <w:pStyle w:val="182"/>
              <w:bidi w:val="0"/>
              <w:rPr>
                <w:color w:val="auto"/>
              </w:rPr>
            </w:pPr>
            <w:r>
              <w:rPr>
                <w:color w:val="auto"/>
              </w:rPr>
              <w:t>0.166</w:t>
            </w:r>
          </w:p>
        </w:tc>
        <w:tc>
          <w:tcPr>
            <w:tcW w:w="782" w:type="pct"/>
            <w:tcBorders>
              <w:tl2br w:val="nil"/>
              <w:tr2bl w:val="nil"/>
            </w:tcBorders>
            <w:vAlign w:val="center"/>
          </w:tcPr>
          <w:p>
            <w:pPr>
              <w:pStyle w:val="182"/>
              <w:bidi w:val="0"/>
              <w:rPr>
                <w:color w:val="auto"/>
              </w:rPr>
            </w:pPr>
            <w:r>
              <w:rPr>
                <w:color w:val="auto"/>
              </w:rPr>
              <w:t>3320</w:t>
            </w:r>
          </w:p>
        </w:tc>
        <w:tc>
          <w:tcPr>
            <w:tcW w:w="1329" w:type="pct"/>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8" w:type="pct"/>
            <w:tcBorders>
              <w:tl2br w:val="nil"/>
              <w:tr2bl w:val="nil"/>
            </w:tcBorders>
            <w:vAlign w:val="center"/>
          </w:tcPr>
          <w:p>
            <w:pPr>
              <w:pStyle w:val="182"/>
              <w:bidi w:val="0"/>
              <w:rPr>
                <w:color w:val="auto"/>
              </w:rPr>
            </w:pPr>
            <w:r>
              <w:rPr>
                <w:color w:val="auto"/>
              </w:rPr>
              <w:t>10</w:t>
            </w:r>
          </w:p>
        </w:tc>
        <w:tc>
          <w:tcPr>
            <w:tcW w:w="1519" w:type="pct"/>
            <w:tcBorders>
              <w:tl2br w:val="nil"/>
              <w:tr2bl w:val="nil"/>
            </w:tcBorders>
            <w:vAlign w:val="center"/>
          </w:tcPr>
          <w:p>
            <w:pPr>
              <w:pStyle w:val="182"/>
              <w:bidi w:val="0"/>
              <w:rPr>
                <w:color w:val="auto"/>
              </w:rPr>
            </w:pPr>
            <w:r>
              <w:rPr>
                <w:color w:val="auto"/>
              </w:rPr>
              <w:t>新鲜水</w:t>
            </w:r>
          </w:p>
        </w:tc>
        <w:tc>
          <w:tcPr>
            <w:tcW w:w="860" w:type="pct"/>
            <w:tcBorders>
              <w:tl2br w:val="nil"/>
              <w:tr2bl w:val="nil"/>
            </w:tcBorders>
            <w:vAlign w:val="center"/>
          </w:tcPr>
          <w:p>
            <w:pPr>
              <w:pStyle w:val="182"/>
              <w:bidi w:val="0"/>
              <w:rPr>
                <w:color w:val="auto"/>
              </w:rPr>
            </w:pPr>
            <w:r>
              <w:rPr>
                <w:color w:val="auto"/>
              </w:rPr>
              <w:t>161.8m</w:t>
            </w:r>
            <w:r>
              <w:rPr>
                <w:color w:val="auto"/>
                <w:vertAlign w:val="superscript"/>
              </w:rPr>
              <w:t>3</w:t>
            </w:r>
          </w:p>
        </w:tc>
        <w:tc>
          <w:tcPr>
            <w:tcW w:w="782" w:type="pct"/>
            <w:tcBorders>
              <w:tl2br w:val="nil"/>
              <w:tr2bl w:val="nil"/>
            </w:tcBorders>
            <w:vAlign w:val="center"/>
          </w:tcPr>
          <w:p>
            <w:pPr>
              <w:pStyle w:val="182"/>
              <w:bidi w:val="0"/>
              <w:rPr>
                <w:color w:val="auto"/>
              </w:rPr>
            </w:pPr>
            <w:r>
              <w:rPr>
                <w:color w:val="auto"/>
              </w:rPr>
              <w:t>323.6 万m</w:t>
            </w:r>
            <w:r>
              <w:rPr>
                <w:color w:val="auto"/>
                <w:vertAlign w:val="superscript"/>
              </w:rPr>
              <w:t>3</w:t>
            </w:r>
          </w:p>
        </w:tc>
        <w:tc>
          <w:tcPr>
            <w:tcW w:w="1329" w:type="pct"/>
            <w:tcBorders>
              <w:tl2br w:val="nil"/>
              <w:tr2bl w:val="nil"/>
            </w:tcBorders>
            <w:vAlign w:val="center"/>
          </w:tcPr>
          <w:p>
            <w:pPr>
              <w:pStyle w:val="182"/>
              <w:bidi w:val="0"/>
              <w:rPr>
                <w:color w:val="auto"/>
              </w:rPr>
            </w:pPr>
            <w:r>
              <w:rPr>
                <w:rFonts w:hint="eastAsia"/>
                <w:color w:val="auto"/>
              </w:rPr>
              <w:t>/</w:t>
            </w:r>
          </w:p>
        </w:tc>
      </w:tr>
    </w:tbl>
    <w:p>
      <w:pPr>
        <w:pStyle w:val="9"/>
        <w:bidi w:val="0"/>
        <w:rPr>
          <w:color w:val="auto"/>
        </w:rPr>
      </w:pPr>
      <w:r>
        <w:rPr>
          <w:rFonts w:hint="eastAsia"/>
          <w:color w:val="auto"/>
        </w:rPr>
        <w:t>3</w:t>
      </w:r>
      <w:r>
        <w:rPr>
          <w:color w:val="auto"/>
        </w:rPr>
        <w:t>.</w:t>
      </w:r>
      <w:r>
        <w:rPr>
          <w:rFonts w:hint="eastAsia"/>
          <w:color w:val="auto"/>
          <w:lang w:val="en-US" w:eastAsia="zh-CN"/>
        </w:rPr>
        <w:t>3</w:t>
      </w:r>
      <w:r>
        <w:rPr>
          <w:color w:val="auto"/>
        </w:rPr>
        <w:t>.5</w:t>
      </w:r>
      <w:r>
        <w:rPr>
          <w:rFonts w:hint="eastAsia"/>
          <w:color w:val="auto"/>
          <w:lang w:val="en-US" w:eastAsia="zh-CN"/>
        </w:rPr>
        <w:t>已建</w:t>
      </w:r>
      <w:r>
        <w:rPr>
          <w:rFonts w:hint="eastAsia"/>
          <w:color w:val="auto"/>
        </w:rPr>
        <w:t>工艺流程及产污环节</w:t>
      </w:r>
    </w:p>
    <w:p>
      <w:pPr>
        <w:bidi w:val="0"/>
        <w:rPr>
          <w:color w:val="auto"/>
        </w:rPr>
      </w:pPr>
      <w:r>
        <w:rPr>
          <w:rFonts w:hint="eastAsia"/>
          <w:color w:val="auto"/>
        </w:rPr>
        <w:t>现有项目（含在建）主要产品包括纤维素粘胶长丝、氨纶纤维和再生氨纶纤维，以下分别描述各主要生产工艺流程。</w:t>
      </w:r>
    </w:p>
    <w:p>
      <w:pPr>
        <w:pStyle w:val="10"/>
        <w:bidi w:val="0"/>
        <w:rPr>
          <w:color w:val="auto"/>
        </w:rPr>
      </w:pPr>
      <w:r>
        <w:rPr>
          <w:rFonts w:hint="eastAsia"/>
          <w:color w:val="auto"/>
        </w:rPr>
        <w:t>3</w:t>
      </w:r>
      <w:r>
        <w:rPr>
          <w:color w:val="auto"/>
        </w:rPr>
        <w:t>.</w:t>
      </w:r>
      <w:r>
        <w:rPr>
          <w:rFonts w:hint="eastAsia"/>
          <w:color w:val="auto"/>
          <w:lang w:val="en-US" w:eastAsia="zh-CN"/>
        </w:rPr>
        <w:t>3</w:t>
      </w:r>
      <w:r>
        <w:rPr>
          <w:color w:val="auto"/>
        </w:rPr>
        <w:t xml:space="preserve">.5.1 </w:t>
      </w:r>
      <w:r>
        <w:rPr>
          <w:rFonts w:hint="eastAsia"/>
          <w:color w:val="auto"/>
        </w:rPr>
        <w:t>纤维素粘胶长丝生产工艺流程</w:t>
      </w:r>
    </w:p>
    <w:p>
      <w:pPr>
        <w:bidi w:val="0"/>
        <w:rPr>
          <w:color w:val="auto"/>
        </w:rPr>
      </w:pPr>
      <w:r>
        <w:rPr>
          <w:rFonts w:hint="eastAsia"/>
          <w:color w:val="auto"/>
        </w:rPr>
        <w:t>项目主要原料为浆粕、烧碱溶液、二硫化碳和硫酸等，首先将浆粕、碱液送入浸渍桶内生成碱纤维素，然后通过压榨、粉碎工段将多余的碱液回收，同时把半纤维素及其他杂质分离出去，增加碱纤维素的反应面积。然后送入黄化机内使碱纤维素与二硫化碳发生黄化反应生成纤维素黄酸酯；黄化得到的纤维素黄酸酯经过溶解、过滤、熟成后送纺丝车间进行纺丝。</w:t>
      </w:r>
    </w:p>
    <w:p>
      <w:pPr>
        <w:bidi w:val="0"/>
        <w:rPr>
          <w:color w:val="auto"/>
        </w:rPr>
      </w:pPr>
      <w:r>
        <w:rPr>
          <w:rFonts w:hint="eastAsia"/>
          <w:color w:val="auto"/>
        </w:rPr>
        <w:t>符合工艺要求的粘胶以一定的压力送到纺丝机上，经过计量泵、碟型过滤器、曲管，从喷丝头喷出，在玻璃管内与酸浴发生化学反应再生成丝条。丝条经过处理辊，四道脱盐水淋洗，再经过上油（含浆料）、干燥，最后卷绕成筒，经物理检验，分级包装送到成品库。</w:t>
      </w:r>
    </w:p>
    <w:p>
      <w:pPr>
        <w:bidi w:val="0"/>
        <w:rPr>
          <w:rFonts w:hint="eastAsia"/>
          <w:color w:val="auto"/>
        </w:rPr>
      </w:pPr>
      <w:r>
        <w:rPr>
          <w:rFonts w:hint="eastAsia"/>
          <w:color w:val="auto"/>
        </w:rPr>
        <w:t>长丝酸站工作原理与粘胶短纤维酸站工作原理基本相同，同时根据酸浴的实际需要投加硫酸和硫酸锌进行补充，同时部分酸浴通过闪蒸、蒸发结晶等工序回收元明粉，另外通过闪蒸可去除部分纺丝过程产生的工艺水。</w:t>
      </w:r>
    </w:p>
    <w:p>
      <w:pPr>
        <w:pStyle w:val="2"/>
        <w:rPr>
          <w:rFonts w:hint="eastAsia"/>
          <w:color w:val="auto"/>
        </w:rPr>
      </w:pPr>
    </w:p>
    <w:p>
      <w:pPr>
        <w:rPr>
          <w:color w:val="auto"/>
        </w:rPr>
        <w:sectPr>
          <w:pgSz w:w="11906" w:h="16838"/>
          <w:pgMar w:top="1440" w:right="1800" w:bottom="1440" w:left="1800" w:header="850" w:footer="850" w:gutter="0"/>
          <w:pgBorders>
            <w:top w:val="none" w:sz="0" w:space="0"/>
            <w:left w:val="none" w:sz="0" w:space="0"/>
            <w:bottom w:val="none" w:sz="0" w:space="0"/>
            <w:right w:val="none" w:sz="0" w:space="0"/>
          </w:pgBorders>
          <w:pgNumType w:fmt="decimal"/>
          <w:cols w:space="720" w:num="1"/>
          <w:docGrid w:linePitch="312" w:charSpace="0"/>
        </w:sectPr>
      </w:pPr>
    </w:p>
    <w:p>
      <w:pPr>
        <w:spacing w:line="240" w:lineRule="auto"/>
        <w:ind w:left="0" w:leftChars="0" w:firstLine="0" w:firstLineChars="0"/>
        <w:jc w:val="center"/>
        <w:rPr>
          <w:color w:val="auto"/>
        </w:rPr>
      </w:pPr>
      <w:r>
        <w:rPr>
          <w:color w:val="auto"/>
        </w:rPr>
        <w:drawing>
          <wp:inline distT="0" distB="0" distL="114300" distR="114300">
            <wp:extent cx="7954645" cy="4994910"/>
            <wp:effectExtent l="0" t="0" r="8255" b="15240"/>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34"/>
                    <a:stretch>
                      <a:fillRect/>
                    </a:stretch>
                  </pic:blipFill>
                  <pic:spPr>
                    <a:xfrm>
                      <a:off x="0" y="0"/>
                      <a:ext cx="7954645" cy="4994910"/>
                    </a:xfrm>
                    <a:prstGeom prst="rect">
                      <a:avLst/>
                    </a:prstGeom>
                    <a:noFill/>
                    <a:ln>
                      <a:noFill/>
                    </a:ln>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3.</w:t>
      </w:r>
      <w:r>
        <w:rPr>
          <w:rFonts w:hint="eastAsia"/>
          <w:color w:val="auto"/>
          <w:lang w:val="en-US" w:eastAsia="zh-CN"/>
        </w:rPr>
        <w:t>3</w:t>
      </w:r>
      <w:r>
        <w:rPr>
          <w:rFonts w:hint="eastAsia"/>
          <w:color w:val="auto"/>
        </w:rPr>
        <w:t>-</w:t>
      </w:r>
      <w:r>
        <w:rPr>
          <w:color w:val="auto"/>
        </w:rPr>
        <w:t xml:space="preserve">1  </w:t>
      </w:r>
      <w:r>
        <w:rPr>
          <w:rFonts w:hint="eastAsia"/>
          <w:color w:val="auto"/>
        </w:rPr>
        <w:t>纤维素黏胶长丝生产工艺流程及产污环节图</w:t>
      </w:r>
    </w:p>
    <w:p>
      <w:pPr>
        <w:spacing w:line="520" w:lineRule="exact"/>
        <w:ind w:firstLine="482"/>
        <w:rPr>
          <w:color w:val="auto"/>
        </w:rPr>
        <w:sectPr>
          <w:pgSz w:w="16838" w:h="11906" w:orient="landscape"/>
          <w:pgMar w:top="1440" w:right="1800" w:bottom="1440" w:left="1800" w:header="851" w:footer="851" w:gutter="0"/>
          <w:pgBorders>
            <w:top w:val="none" w:sz="0" w:space="0"/>
            <w:left w:val="none" w:sz="0" w:space="0"/>
            <w:bottom w:val="none" w:sz="0" w:space="0"/>
            <w:right w:val="none" w:sz="0" w:space="0"/>
          </w:pgBorders>
          <w:pgNumType w:fmt="decimal"/>
          <w:cols w:space="720" w:num="1"/>
          <w:docGrid w:linePitch="326" w:charSpace="0"/>
        </w:sectPr>
      </w:pPr>
    </w:p>
    <w:p>
      <w:pPr>
        <w:pStyle w:val="10"/>
        <w:bidi w:val="0"/>
        <w:rPr>
          <w:rFonts w:hint="eastAsia"/>
          <w:color w:val="auto"/>
        </w:rPr>
      </w:pPr>
      <w:r>
        <w:rPr>
          <w:rFonts w:hint="eastAsia"/>
          <w:color w:val="auto"/>
        </w:rPr>
        <w:t>3</w:t>
      </w:r>
      <w:r>
        <w:rPr>
          <w:color w:val="auto"/>
        </w:rPr>
        <w:t>.</w:t>
      </w:r>
      <w:r>
        <w:rPr>
          <w:rFonts w:hint="eastAsia"/>
          <w:color w:val="auto"/>
          <w:lang w:val="en-US" w:eastAsia="zh-CN"/>
        </w:rPr>
        <w:t>3</w:t>
      </w:r>
      <w:r>
        <w:rPr>
          <w:color w:val="auto"/>
        </w:rPr>
        <w:t>.5.</w:t>
      </w:r>
      <w:r>
        <w:rPr>
          <w:rFonts w:hint="eastAsia"/>
          <w:color w:val="auto"/>
        </w:rPr>
        <w:t>2氨纶纤维生产工艺流程</w:t>
      </w:r>
    </w:p>
    <w:p>
      <w:pPr>
        <w:bidi w:val="0"/>
        <w:rPr>
          <w:color w:val="auto"/>
        </w:rPr>
      </w:pPr>
      <w:r>
        <w:rPr>
          <w:rFonts w:hint="eastAsia"/>
          <w:color w:val="auto"/>
        </w:rPr>
        <w:t>氨纶纤维生产工艺流程详见图3</w:t>
      </w:r>
      <w:r>
        <w:rPr>
          <w:color w:val="auto"/>
        </w:rPr>
        <w:t>.</w:t>
      </w:r>
      <w:r>
        <w:rPr>
          <w:rFonts w:hint="eastAsia"/>
          <w:color w:val="auto"/>
          <w:lang w:val="en-US" w:eastAsia="zh-CN"/>
        </w:rPr>
        <w:t>3</w:t>
      </w:r>
      <w:r>
        <w:rPr>
          <w:rFonts w:hint="eastAsia"/>
          <w:color w:val="auto"/>
        </w:rPr>
        <w:t>-</w:t>
      </w:r>
      <w:r>
        <w:rPr>
          <w:color w:val="auto"/>
        </w:rPr>
        <w:t>2</w:t>
      </w:r>
      <w:r>
        <w:rPr>
          <w:rFonts w:hint="eastAsia"/>
          <w:color w:val="auto"/>
        </w:rPr>
        <w:t>。</w:t>
      </w:r>
    </w:p>
    <w:p>
      <w:pPr>
        <w:spacing w:line="240" w:lineRule="auto"/>
        <w:ind w:left="0" w:leftChars="0" w:firstLine="0" w:firstLineChars="0"/>
        <w:jc w:val="both"/>
        <w:rPr>
          <w:color w:val="auto"/>
        </w:rPr>
      </w:pPr>
      <w:r>
        <w:rPr>
          <w:rFonts w:hint="eastAsia"/>
          <w:color w:val="auto"/>
        </w:rPr>
        <w:drawing>
          <wp:inline distT="0" distB="0" distL="0" distR="0">
            <wp:extent cx="5435600" cy="6732905"/>
            <wp:effectExtent l="0" t="0" r="0" b="0"/>
            <wp:docPr id="1588" name="图片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图片 158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36108" cy="6733032"/>
                    </a:xfrm>
                    <a:prstGeom prst="rect">
                      <a:avLst/>
                    </a:prstGeom>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3.</w:t>
      </w:r>
      <w:r>
        <w:rPr>
          <w:rFonts w:hint="eastAsia"/>
          <w:color w:val="auto"/>
          <w:lang w:val="en-US" w:eastAsia="zh-CN"/>
        </w:rPr>
        <w:t>3</w:t>
      </w:r>
      <w:r>
        <w:rPr>
          <w:rFonts w:hint="eastAsia"/>
          <w:color w:val="auto"/>
        </w:rPr>
        <w:t>-</w:t>
      </w:r>
      <w:r>
        <w:rPr>
          <w:color w:val="auto"/>
        </w:rPr>
        <w:t xml:space="preserve">2  </w:t>
      </w:r>
      <w:r>
        <w:rPr>
          <w:rFonts w:hint="eastAsia"/>
          <w:color w:val="auto"/>
        </w:rPr>
        <w:t>氨纶纤维生产工艺流程及产污环节图</w:t>
      </w:r>
    </w:p>
    <w:p>
      <w:pPr>
        <w:bidi w:val="0"/>
        <w:rPr>
          <w:color w:val="auto"/>
        </w:rPr>
      </w:pPr>
      <w:r>
        <w:rPr>
          <w:rFonts w:hint="eastAsia"/>
          <w:color w:val="auto"/>
        </w:rPr>
        <w:t>工艺流程说明：</w:t>
      </w:r>
    </w:p>
    <w:p>
      <w:pPr>
        <w:bidi w:val="0"/>
        <w:rPr>
          <w:color w:val="auto"/>
        </w:rPr>
      </w:pPr>
      <w:r>
        <w:rPr>
          <w:rFonts w:hint="eastAsia"/>
          <w:color w:val="auto"/>
        </w:rPr>
        <w:t>以聚醚二醇（</w:t>
      </w:r>
      <w:r>
        <w:rPr>
          <w:color w:val="auto"/>
        </w:rPr>
        <w:t>PTMG</w:t>
      </w:r>
      <w:r>
        <w:rPr>
          <w:rFonts w:hint="eastAsia"/>
          <w:color w:val="auto"/>
        </w:rPr>
        <w:t>）、</w:t>
      </w:r>
      <w:r>
        <w:rPr>
          <w:color w:val="auto"/>
        </w:rPr>
        <w:t>4,4</w:t>
      </w:r>
      <w:r>
        <w:rPr>
          <w:rFonts w:hint="eastAsia"/>
          <w:color w:val="auto"/>
        </w:rPr>
        <w:t>二苯基甲烷二异氰酸酯（</w:t>
      </w:r>
      <w:r>
        <w:rPr>
          <w:color w:val="auto"/>
        </w:rPr>
        <w:t>MDI</w:t>
      </w:r>
      <w:r>
        <w:rPr>
          <w:rFonts w:hint="eastAsia"/>
          <w:color w:val="auto"/>
        </w:rPr>
        <w:t>）为主要原料，密闭桶装的</w:t>
      </w:r>
      <w:r>
        <w:rPr>
          <w:color w:val="auto"/>
        </w:rPr>
        <w:t>MDI</w:t>
      </w:r>
      <w:r>
        <w:rPr>
          <w:rFonts w:hint="eastAsia"/>
          <w:color w:val="auto"/>
        </w:rPr>
        <w:t>原料在热溶车间经热水加热溶成液态，两种液态物料打到高位槽内，通过各自的计量泵按照一定的摩尔比进行连续预聚合反应生成预聚合物，预聚合物加入溶剂</w:t>
      </w:r>
      <w:r>
        <w:rPr>
          <w:color w:val="auto"/>
        </w:rPr>
        <w:t>DMAC</w:t>
      </w:r>
      <w:r>
        <w:rPr>
          <w:rFonts w:hint="eastAsia"/>
          <w:color w:val="auto"/>
        </w:rPr>
        <w:t>进行溶解制成预聚合物溶液，再与一定浓度、一定比例的扩链剂溶液进行聚合反应，生成聚合物溶液，再加入添加剂，经过滤后到纺丝高位槽经增压泵将纺丝液经熔体分配管分到各个位的纺丝计量泵，再经喷丝板喷出后到纺丝甬道，由热风蒸发去除</w:t>
      </w:r>
      <w:r>
        <w:rPr>
          <w:color w:val="auto"/>
        </w:rPr>
        <w:t>DMAC</w:t>
      </w:r>
      <w:r>
        <w:rPr>
          <w:rFonts w:hint="eastAsia"/>
          <w:color w:val="auto"/>
        </w:rPr>
        <w:t>溶剂，使丝条凝固成形，再经假捻、上油后卷绕、分级，装箱打包出厂。整个生产过程为全密闭状态。</w:t>
      </w:r>
    </w:p>
    <w:p>
      <w:pPr>
        <w:bidi w:val="0"/>
        <w:rPr>
          <w:color w:val="auto"/>
        </w:rPr>
      </w:pPr>
      <w:r>
        <w:rPr>
          <w:color w:val="auto"/>
        </w:rPr>
        <w:t>SM</w:t>
      </w:r>
      <w:r>
        <w:rPr>
          <w:rFonts w:hint="eastAsia"/>
          <w:color w:val="auto"/>
        </w:rPr>
        <w:t>系统（即纺丝过程溶剂的回收）：以热风为媒介将纺丝液中的</w:t>
      </w:r>
      <w:r>
        <w:rPr>
          <w:color w:val="auto"/>
        </w:rPr>
        <w:t xml:space="preserve">DMAC </w:t>
      </w:r>
      <w:r>
        <w:rPr>
          <w:rFonts w:hint="eastAsia"/>
          <w:color w:val="auto"/>
        </w:rPr>
        <w:t>溶剂循环带出、冷凝、回收，热风再加热的一个过程。具体流程为：在喷丝装置中，喷出的纺丝液丝条在纺丝甬道入口处的热气流带动</w:t>
      </w:r>
      <w:r>
        <w:rPr>
          <w:rFonts w:hint="eastAsia"/>
          <w:color w:val="auto"/>
          <w:lang w:eastAsia="zh-CN"/>
        </w:rPr>
        <w:t>再向下</w:t>
      </w:r>
      <w:r>
        <w:rPr>
          <w:rFonts w:hint="eastAsia"/>
          <w:color w:val="auto"/>
        </w:rPr>
        <w:t>移动，在移动过程中，热气流使丝条表面的溶剂</w:t>
      </w:r>
      <w:r>
        <w:rPr>
          <w:color w:val="auto"/>
        </w:rPr>
        <w:t>DMAC</w:t>
      </w:r>
      <w:r>
        <w:rPr>
          <w:rFonts w:hint="eastAsia"/>
          <w:color w:val="auto"/>
        </w:rPr>
        <w:t>（二甲基乙酰胺）急速挥发，</w:t>
      </w:r>
      <w:r>
        <w:rPr>
          <w:color w:val="auto"/>
        </w:rPr>
        <w:t>DMAC</w:t>
      </w:r>
      <w:r>
        <w:rPr>
          <w:rFonts w:hint="eastAsia"/>
          <w:color w:val="auto"/>
        </w:rPr>
        <w:t>（二甲基乙酰胺）和热气一起先经过热交换器，再经过</w:t>
      </w:r>
      <w:r>
        <w:rPr>
          <w:color w:val="auto"/>
        </w:rPr>
        <w:t>3</w:t>
      </w:r>
      <w:r>
        <w:rPr>
          <w:rFonts w:hint="eastAsia"/>
          <w:color w:val="auto"/>
        </w:rPr>
        <w:t>道冷却器，将热气流中携带的</w:t>
      </w:r>
      <w:r>
        <w:rPr>
          <w:color w:val="auto"/>
        </w:rPr>
        <w:t>DMAC</w:t>
      </w:r>
      <w:r>
        <w:rPr>
          <w:rFonts w:hint="eastAsia"/>
          <w:color w:val="auto"/>
        </w:rPr>
        <w:t>冷凝，冷凝回收的</w:t>
      </w:r>
      <w:r>
        <w:rPr>
          <w:color w:val="auto"/>
        </w:rPr>
        <w:t>DMAC</w:t>
      </w:r>
      <w:r>
        <w:rPr>
          <w:rFonts w:hint="eastAsia"/>
          <w:color w:val="auto"/>
        </w:rPr>
        <w:t>液体送到溶剂精制车间进行精制，处理合格后回用于生产。经过冷凝的热风温度降低较多，再通过换热器和电加热后再次进入纺丝甬道，将纺丝丝条中的</w:t>
      </w:r>
      <w:r>
        <w:rPr>
          <w:color w:val="auto"/>
        </w:rPr>
        <w:t>DMAC</w:t>
      </w:r>
      <w:r>
        <w:rPr>
          <w:rFonts w:hint="eastAsia"/>
          <w:color w:val="auto"/>
        </w:rPr>
        <w:t>溶剂带出。在此过程中，冷却回收热风中的</w:t>
      </w:r>
      <w:r>
        <w:rPr>
          <w:color w:val="auto"/>
        </w:rPr>
        <w:t>DMAC</w:t>
      </w:r>
      <w:r>
        <w:rPr>
          <w:rFonts w:hint="eastAsia"/>
          <w:color w:val="auto"/>
        </w:rPr>
        <w:t>设备称为</w:t>
      </w:r>
      <w:r>
        <w:rPr>
          <w:color w:val="auto"/>
        </w:rPr>
        <w:t>SM</w:t>
      </w:r>
      <w:r>
        <w:rPr>
          <w:rFonts w:hint="eastAsia"/>
          <w:color w:val="auto"/>
        </w:rPr>
        <w:t>系统。</w:t>
      </w:r>
    </w:p>
    <w:p>
      <w:pPr>
        <w:bidi w:val="0"/>
        <w:rPr>
          <w:color w:val="auto"/>
        </w:rPr>
      </w:pPr>
      <w:r>
        <w:rPr>
          <w:color w:val="auto"/>
        </w:rPr>
        <w:t>ABS</w:t>
      </w:r>
      <w:r>
        <w:rPr>
          <w:rFonts w:hint="eastAsia"/>
          <w:color w:val="auto"/>
        </w:rPr>
        <w:t>系统（即纺丝工艺废气水喷淋系统）：为了阻止纺丝甬道内含</w:t>
      </w:r>
      <w:r>
        <w:rPr>
          <w:color w:val="auto"/>
        </w:rPr>
        <w:t>DMAC</w:t>
      </w:r>
      <w:r>
        <w:rPr>
          <w:rFonts w:hint="eastAsia"/>
          <w:color w:val="auto"/>
        </w:rPr>
        <w:t>的热风随丝条带到卷绕间，在纺丝甬道下端增加一抽风装置，将少量热风和卷绕间微量新风混合后一起经风机抽出，抽出的废气经水喷淋吸收装置吸收其中少量</w:t>
      </w:r>
      <w:r>
        <w:rPr>
          <w:color w:val="auto"/>
        </w:rPr>
        <w:t>DMAC</w:t>
      </w:r>
      <w:r>
        <w:rPr>
          <w:rFonts w:hint="eastAsia"/>
          <w:color w:val="auto"/>
        </w:rPr>
        <w:t>，这一系统称为</w:t>
      </w:r>
      <w:r>
        <w:rPr>
          <w:color w:val="auto"/>
        </w:rPr>
        <w:t>ABS</w:t>
      </w:r>
      <w:r>
        <w:rPr>
          <w:rFonts w:hint="eastAsia"/>
          <w:color w:val="auto"/>
        </w:rPr>
        <w:t>系统，处理后的尾气经5</w:t>
      </w:r>
      <w:r>
        <w:rPr>
          <w:color w:val="auto"/>
        </w:rPr>
        <w:t>0m</w:t>
      </w:r>
      <w:r>
        <w:rPr>
          <w:rFonts w:hint="eastAsia"/>
          <w:color w:val="auto"/>
        </w:rPr>
        <w:t>高排气筒排放。</w:t>
      </w:r>
    </w:p>
    <w:p>
      <w:pPr>
        <w:bidi w:val="0"/>
        <w:rPr>
          <w:color w:val="auto"/>
        </w:rPr>
      </w:pPr>
      <w:r>
        <w:rPr>
          <w:rFonts w:hint="eastAsia"/>
          <w:color w:val="auto"/>
        </w:rPr>
        <w:t>溶剂（</w:t>
      </w:r>
      <w:r>
        <w:rPr>
          <w:color w:val="auto"/>
        </w:rPr>
        <w:t>DMAC</w:t>
      </w:r>
      <w:r>
        <w:rPr>
          <w:rFonts w:hint="eastAsia"/>
          <w:color w:val="auto"/>
        </w:rPr>
        <w:t>）精制包括回收溶剂的准备、蒸馏塔一、精馏塔二、蒸馏塔三和蒸馏残渣中</w:t>
      </w:r>
      <w:r>
        <w:rPr>
          <w:color w:val="auto"/>
        </w:rPr>
        <w:t>DMAC</w:t>
      </w:r>
      <w:r>
        <w:rPr>
          <w:rFonts w:hint="eastAsia"/>
          <w:color w:val="auto"/>
        </w:rPr>
        <w:t>回收装置，工艺流程及产污环节见图</w:t>
      </w:r>
      <w:r>
        <w:rPr>
          <w:color w:val="auto"/>
        </w:rPr>
        <w:t>3.</w:t>
      </w:r>
      <w:r>
        <w:rPr>
          <w:rFonts w:hint="eastAsia"/>
          <w:color w:val="auto"/>
          <w:lang w:val="en-US" w:eastAsia="zh-CN"/>
        </w:rPr>
        <w:t>3</w:t>
      </w:r>
      <w:r>
        <w:rPr>
          <w:color w:val="auto"/>
        </w:rPr>
        <w:t>-</w:t>
      </w:r>
      <w:r>
        <w:rPr>
          <w:rFonts w:hint="eastAsia"/>
          <w:color w:val="auto"/>
          <w:lang w:val="en-US" w:eastAsia="zh-CN"/>
        </w:rPr>
        <w:t>3</w:t>
      </w:r>
      <w:r>
        <w:rPr>
          <w:rFonts w:hint="eastAsia"/>
          <w:color w:val="auto"/>
        </w:rPr>
        <w:t>。</w:t>
      </w:r>
    </w:p>
    <w:p>
      <w:pPr>
        <w:spacing w:line="240" w:lineRule="auto"/>
        <w:ind w:left="0" w:leftChars="0" w:firstLine="0" w:firstLineChars="0"/>
        <w:jc w:val="both"/>
        <w:rPr>
          <w:color w:val="auto"/>
        </w:rPr>
      </w:pPr>
      <w:r>
        <w:rPr>
          <w:color w:val="auto"/>
        </w:rPr>
        <w:drawing>
          <wp:inline distT="0" distB="0" distL="0" distR="0">
            <wp:extent cx="5600065" cy="3848735"/>
            <wp:effectExtent l="0" t="0" r="0" b="0"/>
            <wp:docPr id="1589" name="图片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1589"/>
                    <pic:cNvPicPr>
                      <a:picLocks noChangeAspect="1" noChangeArrowheads="1"/>
                    </pic:cNvPicPr>
                  </pic:nvPicPr>
                  <pic:blipFill>
                    <a:blip r:embed="rId36" cstate="print">
                      <a:extLst>
                        <a:ext uri="{28A0092B-C50C-407E-A947-70E740481C1C}">
                          <a14:useLocalDpi xmlns:a14="http://schemas.microsoft.com/office/drawing/2010/main" val="0"/>
                        </a:ext>
                      </a:extLst>
                    </a:blip>
                    <a:srcRect l="2223" t="2487" r="1693"/>
                    <a:stretch>
                      <a:fillRect/>
                    </a:stretch>
                  </pic:blipFill>
                  <pic:spPr>
                    <a:xfrm>
                      <a:off x="0" y="0"/>
                      <a:ext cx="5600065" cy="3848735"/>
                    </a:xfrm>
                    <a:prstGeom prst="rect">
                      <a:avLst/>
                    </a:prstGeom>
                    <a:noFill/>
                    <a:ln>
                      <a:noFill/>
                    </a:ln>
                  </pic:spPr>
                </pic:pic>
              </a:graphicData>
            </a:graphic>
          </wp:inline>
        </w:drawing>
      </w:r>
    </w:p>
    <w:p>
      <w:pPr>
        <w:pStyle w:val="181"/>
        <w:bidi w:val="0"/>
        <w:rPr>
          <w:color w:val="auto"/>
        </w:rPr>
      </w:pPr>
      <w:r>
        <w:rPr>
          <w:rFonts w:hint="eastAsia"/>
          <w:color w:val="auto"/>
        </w:rPr>
        <w:t>图</w:t>
      </w:r>
      <w:r>
        <w:rPr>
          <w:color w:val="auto"/>
        </w:rPr>
        <w:t>3.</w:t>
      </w:r>
      <w:r>
        <w:rPr>
          <w:rFonts w:hint="eastAsia"/>
          <w:color w:val="auto"/>
          <w:lang w:val="en-US" w:eastAsia="zh-CN"/>
        </w:rPr>
        <w:t>3</w:t>
      </w:r>
      <w:r>
        <w:rPr>
          <w:rFonts w:hint="eastAsia"/>
          <w:color w:val="auto"/>
        </w:rPr>
        <w:t>-</w:t>
      </w:r>
      <w:r>
        <w:rPr>
          <w:color w:val="auto"/>
        </w:rPr>
        <w:t>3</w:t>
      </w:r>
      <w:r>
        <w:rPr>
          <w:rFonts w:hint="eastAsia"/>
          <w:color w:val="auto"/>
        </w:rPr>
        <w:t xml:space="preserve">  氨纶纤维生产溶剂回收、精制工艺流程及产污环节图</w:t>
      </w:r>
    </w:p>
    <w:p>
      <w:pPr>
        <w:bidi w:val="0"/>
        <w:rPr>
          <w:color w:val="auto"/>
        </w:rPr>
      </w:pPr>
      <w:r>
        <w:rPr>
          <w:rFonts w:hint="eastAsia"/>
          <w:color w:val="auto"/>
        </w:rPr>
        <w:t>●回收溶剂的准备：从</w:t>
      </w:r>
      <w:r>
        <w:rPr>
          <w:color w:val="auto"/>
        </w:rPr>
        <w:t>SM</w:t>
      </w:r>
      <w:r>
        <w:rPr>
          <w:rFonts w:hint="eastAsia"/>
          <w:color w:val="auto"/>
        </w:rPr>
        <w:t>系统冷凝回收的</w:t>
      </w:r>
      <w:r>
        <w:rPr>
          <w:color w:val="auto"/>
        </w:rPr>
        <w:t>DMAC</w:t>
      </w:r>
      <w:r>
        <w:rPr>
          <w:rFonts w:hint="eastAsia"/>
          <w:color w:val="auto"/>
        </w:rPr>
        <w:t>溶剂以及</w:t>
      </w:r>
      <w:r>
        <w:rPr>
          <w:color w:val="auto"/>
        </w:rPr>
        <w:t>ABS</w:t>
      </w:r>
      <w:r>
        <w:rPr>
          <w:rFonts w:hint="eastAsia"/>
          <w:color w:val="auto"/>
        </w:rPr>
        <w:t>系统的喷淋液送至粗</w:t>
      </w:r>
      <w:r>
        <w:rPr>
          <w:color w:val="auto"/>
        </w:rPr>
        <w:t>DMAC</w:t>
      </w:r>
      <w:r>
        <w:rPr>
          <w:rFonts w:hint="eastAsia"/>
          <w:color w:val="auto"/>
        </w:rPr>
        <w:t>贮槽。</w:t>
      </w:r>
    </w:p>
    <w:p>
      <w:pPr>
        <w:bidi w:val="0"/>
        <w:rPr>
          <w:color w:val="auto"/>
        </w:rPr>
      </w:pPr>
      <w:r>
        <w:rPr>
          <w:rFonts w:hint="eastAsia"/>
          <w:color w:val="auto"/>
        </w:rPr>
        <w:t>●溶剂的蒸馏（蒸馏塔一）：贮槽中的</w:t>
      </w:r>
      <w:r>
        <w:rPr>
          <w:color w:val="auto"/>
        </w:rPr>
        <w:t>DMAC</w:t>
      </w:r>
      <w:r>
        <w:rPr>
          <w:rFonts w:hint="eastAsia"/>
          <w:color w:val="auto"/>
        </w:rPr>
        <w:t>经加热器预热后进入蒸馏塔一中部；其蒸馏目的是除去回收液</w:t>
      </w:r>
      <w:r>
        <w:rPr>
          <w:rFonts w:hint="eastAsia"/>
          <w:color w:val="auto"/>
          <w:lang w:eastAsia="zh-CN"/>
        </w:rPr>
        <w:t>中的水分</w:t>
      </w:r>
      <w:r>
        <w:rPr>
          <w:rFonts w:hint="eastAsia"/>
          <w:color w:val="auto"/>
        </w:rPr>
        <w:t>及微量低沸物，蒸馏塔是在真空条件下操作，以防温度过高导致溶剂</w:t>
      </w:r>
      <w:r>
        <w:rPr>
          <w:color w:val="auto"/>
        </w:rPr>
        <w:t>DMAC</w:t>
      </w:r>
      <w:r>
        <w:rPr>
          <w:rFonts w:hint="eastAsia"/>
          <w:color w:val="auto"/>
        </w:rPr>
        <w:t>分解。塔底液由再沸器加热汽化，从塔底汽化通过汽液接触达到分离效果。除去水分及低沸物的液体从塔底送至精馏塔。</w:t>
      </w:r>
    </w:p>
    <w:p>
      <w:pPr>
        <w:bidi w:val="0"/>
        <w:rPr>
          <w:color w:val="auto"/>
        </w:rPr>
      </w:pPr>
      <w:r>
        <w:rPr>
          <w:rFonts w:hint="eastAsia"/>
          <w:color w:val="auto"/>
        </w:rPr>
        <w:t>●溶剂的精馏（精馏塔二）：从蒸馏塔一送来的液体，从中部进入精馏塔。精馏也是在真空条件下进行，精馏产品从中上段塔板中取出，经冷却器冷却后流入检查槽，检查合格后用泵送至溶剂</w:t>
      </w:r>
      <w:r>
        <w:rPr>
          <w:color w:val="auto"/>
        </w:rPr>
        <w:t>DMAC</w:t>
      </w:r>
      <w:r>
        <w:rPr>
          <w:rFonts w:hint="eastAsia"/>
          <w:color w:val="auto"/>
        </w:rPr>
        <w:t>贮槽再回到生产过程中。塔底残液送至蒸馏塔三处理。</w:t>
      </w:r>
    </w:p>
    <w:p>
      <w:pPr>
        <w:bidi w:val="0"/>
        <w:rPr>
          <w:color w:val="auto"/>
        </w:rPr>
      </w:pPr>
      <w:r>
        <w:rPr>
          <w:rFonts w:hint="eastAsia"/>
          <w:color w:val="auto"/>
        </w:rPr>
        <w:t>●溶剂的粗馏（蒸馏塔三）：从精馏塔底送来的残液、废聚合液、废纺丝液和纺丝组件清洗废液进入蒸馏塔三，经过粗蒸把</w:t>
      </w:r>
      <w:r>
        <w:rPr>
          <w:color w:val="auto"/>
        </w:rPr>
        <w:t>DMAC</w:t>
      </w:r>
      <w:r>
        <w:rPr>
          <w:rFonts w:hint="eastAsia"/>
          <w:color w:val="auto"/>
        </w:rPr>
        <w:t>蒸馏出来，送至粗</w:t>
      </w:r>
      <w:r>
        <w:rPr>
          <w:color w:val="auto"/>
        </w:rPr>
        <w:t>DMAC</w:t>
      </w:r>
      <w:r>
        <w:rPr>
          <w:rFonts w:hint="eastAsia"/>
          <w:color w:val="auto"/>
        </w:rPr>
        <w:t>贮槽中。整个蒸馏同样在真空条件下进行。</w:t>
      </w:r>
    </w:p>
    <w:p>
      <w:pPr>
        <w:bidi w:val="0"/>
        <w:rPr>
          <w:color w:val="auto"/>
        </w:rPr>
      </w:pPr>
      <w:r>
        <w:rPr>
          <w:rFonts w:hint="eastAsia"/>
          <w:color w:val="auto"/>
        </w:rPr>
        <w:t>●溶剂</w:t>
      </w:r>
      <w:r>
        <w:rPr>
          <w:color w:val="auto"/>
        </w:rPr>
        <w:t>DMAC</w:t>
      </w:r>
      <w:r>
        <w:rPr>
          <w:rFonts w:hint="eastAsia"/>
          <w:color w:val="auto"/>
        </w:rPr>
        <w:t>回收装置：</w:t>
      </w:r>
    </w:p>
    <w:p>
      <w:pPr>
        <w:bidi w:val="0"/>
        <w:rPr>
          <w:color w:val="auto"/>
        </w:rPr>
      </w:pPr>
      <w:r>
        <w:rPr>
          <w:rFonts w:hint="eastAsia"/>
          <w:color w:val="auto"/>
        </w:rPr>
        <w:t>该装置的作用主要是进一步回收蒸馏残渣中的溶剂</w:t>
      </w:r>
      <w:r>
        <w:rPr>
          <w:color w:val="auto"/>
        </w:rPr>
        <w:t>DMAC</w:t>
      </w:r>
      <w:r>
        <w:rPr>
          <w:rFonts w:hint="eastAsia"/>
          <w:color w:val="auto"/>
        </w:rPr>
        <w:t>。在溶剂精制过程中，会有少量</w:t>
      </w:r>
      <w:r>
        <w:rPr>
          <w:color w:val="auto"/>
        </w:rPr>
        <w:t>DMAC</w:t>
      </w:r>
      <w:r>
        <w:rPr>
          <w:rFonts w:hint="eastAsia"/>
          <w:color w:val="auto"/>
        </w:rPr>
        <w:t>分解，产生醋酸，蒸馏残渣中含有少量醋酸。溶剂</w:t>
      </w:r>
      <w:r>
        <w:rPr>
          <w:color w:val="auto"/>
        </w:rPr>
        <w:t>DMAC</w:t>
      </w:r>
      <w:r>
        <w:rPr>
          <w:rFonts w:hint="eastAsia"/>
          <w:color w:val="auto"/>
        </w:rPr>
        <w:t>回收处理技术中加烧碱的作用主要是中和醋酸。</w:t>
      </w:r>
    </w:p>
    <w:p>
      <w:pPr>
        <w:bidi w:val="0"/>
        <w:rPr>
          <w:color w:val="auto"/>
        </w:rPr>
      </w:pPr>
      <w:r>
        <w:rPr>
          <w:rFonts w:hint="eastAsia"/>
          <w:color w:val="auto"/>
        </w:rPr>
        <w:t>溶剂</w:t>
      </w:r>
      <w:r>
        <w:rPr>
          <w:color w:val="auto"/>
        </w:rPr>
        <w:t>DMAC</w:t>
      </w:r>
      <w:r>
        <w:rPr>
          <w:rFonts w:hint="eastAsia"/>
          <w:color w:val="auto"/>
        </w:rPr>
        <w:t>回收处理技术介绍：在反应器内加入</w:t>
      </w:r>
      <w:r>
        <w:rPr>
          <w:color w:val="auto"/>
        </w:rPr>
        <w:t>32%</w:t>
      </w:r>
      <w:r>
        <w:rPr>
          <w:rFonts w:hint="eastAsia"/>
          <w:color w:val="auto"/>
        </w:rPr>
        <w:t>烧碱混合，至</w:t>
      </w:r>
      <w:r>
        <w:rPr>
          <w:color w:val="auto"/>
        </w:rPr>
        <w:t>pH6-9</w:t>
      </w:r>
      <w:r>
        <w:rPr>
          <w:rFonts w:hint="eastAsia"/>
          <w:color w:val="auto"/>
        </w:rPr>
        <w:t>，醋酸与烧碱反应生成醋酸钠盐，反应的化学方程式如下：</w:t>
      </w:r>
    </w:p>
    <w:p>
      <w:pPr>
        <w:bidi w:val="0"/>
        <w:rPr>
          <w:color w:val="auto"/>
        </w:rPr>
      </w:pPr>
      <w:r>
        <w:rPr>
          <w:color w:val="auto"/>
        </w:rPr>
        <w:t>CH</w:t>
      </w:r>
      <w:r>
        <w:rPr>
          <w:color w:val="auto"/>
          <w:vertAlign w:val="subscript"/>
        </w:rPr>
        <w:t>3</w:t>
      </w:r>
      <w:r>
        <w:rPr>
          <w:color w:val="auto"/>
        </w:rPr>
        <w:t>COOH+NaOH= CH</w:t>
      </w:r>
      <w:r>
        <w:rPr>
          <w:color w:val="auto"/>
          <w:vertAlign w:val="subscript"/>
        </w:rPr>
        <w:t>3</w:t>
      </w:r>
      <w:r>
        <w:rPr>
          <w:color w:val="auto"/>
        </w:rPr>
        <w:t>COONa+H</w:t>
      </w:r>
      <w:r>
        <w:rPr>
          <w:color w:val="auto"/>
          <w:vertAlign w:val="subscript"/>
        </w:rPr>
        <w:t>2</w:t>
      </w:r>
      <w:r>
        <w:rPr>
          <w:color w:val="auto"/>
        </w:rPr>
        <w:t>O</w:t>
      </w:r>
    </w:p>
    <w:p>
      <w:pPr>
        <w:bidi w:val="0"/>
        <w:rPr>
          <w:color w:val="auto"/>
        </w:rPr>
      </w:pPr>
      <w:r>
        <w:rPr>
          <w:rFonts w:hint="eastAsia"/>
          <w:color w:val="auto"/>
        </w:rPr>
        <w:t>然后向反应器夹套内通入蒸汽加热，蒸馏残渣中的</w:t>
      </w:r>
      <w:r>
        <w:rPr>
          <w:color w:val="auto"/>
        </w:rPr>
        <w:t>DMAC</w:t>
      </w:r>
      <w:r>
        <w:rPr>
          <w:rFonts w:hint="eastAsia"/>
          <w:color w:val="auto"/>
        </w:rPr>
        <w:t>蒸发变成</w:t>
      </w:r>
      <w:r>
        <w:rPr>
          <w:color w:val="auto"/>
        </w:rPr>
        <w:t>DMAC</w:t>
      </w:r>
      <w:r>
        <w:rPr>
          <w:rFonts w:hint="eastAsia"/>
          <w:color w:val="auto"/>
        </w:rPr>
        <w:t>蒸汽，</w:t>
      </w:r>
      <w:r>
        <w:rPr>
          <w:rFonts w:hint="eastAsia"/>
          <w:color w:val="auto"/>
          <w:lang w:eastAsia="zh-CN"/>
        </w:rPr>
        <w:t>与水蒸汽</w:t>
      </w:r>
      <w:r>
        <w:rPr>
          <w:rFonts w:hint="eastAsia"/>
          <w:color w:val="auto"/>
        </w:rPr>
        <w:t>一并抽出反应器，经冷凝器冷却，经冷凝回收的</w:t>
      </w:r>
      <w:r>
        <w:rPr>
          <w:color w:val="auto"/>
        </w:rPr>
        <w:t>DMAC</w:t>
      </w:r>
      <w:r>
        <w:rPr>
          <w:rFonts w:hint="eastAsia"/>
          <w:color w:val="auto"/>
        </w:rPr>
        <w:t>液体，聚结于贮槽内。回收的</w:t>
      </w:r>
      <w:r>
        <w:rPr>
          <w:color w:val="auto"/>
        </w:rPr>
        <w:t>DMAC</w:t>
      </w:r>
      <w:r>
        <w:rPr>
          <w:rFonts w:hint="eastAsia"/>
          <w:color w:val="auto"/>
        </w:rPr>
        <w:t>，再经精制回用于生产。反应器底部蒸馏残渣，经反应器底部的排渣孔排出。</w:t>
      </w:r>
    </w:p>
    <w:p>
      <w:pPr>
        <w:pStyle w:val="10"/>
        <w:bidi w:val="0"/>
        <w:rPr>
          <w:color w:val="auto"/>
        </w:rPr>
      </w:pPr>
      <w:r>
        <w:rPr>
          <w:rFonts w:hint="eastAsia"/>
          <w:color w:val="auto"/>
        </w:rPr>
        <w:t>3</w:t>
      </w:r>
      <w:r>
        <w:rPr>
          <w:color w:val="auto"/>
        </w:rPr>
        <w:t>.</w:t>
      </w:r>
      <w:r>
        <w:rPr>
          <w:rFonts w:hint="eastAsia"/>
          <w:color w:val="auto"/>
          <w:lang w:val="en-US" w:eastAsia="zh-CN"/>
        </w:rPr>
        <w:t>3</w:t>
      </w:r>
      <w:r>
        <w:rPr>
          <w:color w:val="auto"/>
        </w:rPr>
        <w:t>.5.</w:t>
      </w:r>
      <w:r>
        <w:rPr>
          <w:rFonts w:hint="eastAsia"/>
          <w:color w:val="auto"/>
        </w:rPr>
        <w:t>3再生氨纶纤维生产工艺流程</w:t>
      </w:r>
    </w:p>
    <w:p>
      <w:pPr>
        <w:bidi w:val="0"/>
        <w:rPr>
          <w:color w:val="auto"/>
        </w:rPr>
      </w:pPr>
      <w:r>
        <w:rPr>
          <w:rFonts w:hint="eastAsia"/>
          <w:color w:val="auto"/>
        </w:rPr>
        <w:t>再生氨纶纤维生产工艺流程如下：</w:t>
      </w:r>
    </w:p>
    <w:p>
      <w:pPr>
        <w:spacing w:line="240" w:lineRule="auto"/>
        <w:ind w:left="0" w:leftChars="0" w:firstLine="0" w:firstLineChars="0"/>
        <w:jc w:val="center"/>
        <w:rPr>
          <w:color w:val="auto"/>
        </w:rPr>
      </w:pPr>
      <w:r>
        <w:rPr>
          <w:color w:val="auto"/>
        </w:rPr>
        <w:drawing>
          <wp:inline distT="0" distB="0" distL="0" distR="0">
            <wp:extent cx="4871720" cy="5100955"/>
            <wp:effectExtent l="0" t="0" r="5080" b="4445"/>
            <wp:docPr id="1590" name="图片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159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71720" cy="5100955"/>
                    </a:xfrm>
                    <a:prstGeom prst="rect">
                      <a:avLst/>
                    </a:prstGeom>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3.</w:t>
      </w:r>
      <w:r>
        <w:rPr>
          <w:rFonts w:hint="eastAsia"/>
          <w:color w:val="auto"/>
          <w:lang w:val="en-US" w:eastAsia="zh-CN"/>
        </w:rPr>
        <w:t>3</w:t>
      </w:r>
      <w:r>
        <w:rPr>
          <w:rFonts w:hint="eastAsia"/>
          <w:color w:val="auto"/>
        </w:rPr>
        <w:t>-</w:t>
      </w:r>
      <w:r>
        <w:rPr>
          <w:color w:val="auto"/>
        </w:rPr>
        <w:t xml:space="preserve">4  </w:t>
      </w:r>
      <w:r>
        <w:rPr>
          <w:rFonts w:hint="eastAsia"/>
          <w:color w:val="auto"/>
        </w:rPr>
        <w:t>再生氨纶纤维生产工艺流程及产污环节图</w:t>
      </w:r>
    </w:p>
    <w:p>
      <w:pPr>
        <w:bidi w:val="0"/>
        <w:rPr>
          <w:color w:val="auto"/>
        </w:rPr>
      </w:pPr>
      <w:r>
        <w:rPr>
          <w:rFonts w:hint="eastAsia"/>
          <w:color w:val="auto"/>
        </w:rPr>
        <w:t>再生氨纶生产工艺流程说明：</w:t>
      </w:r>
    </w:p>
    <w:p>
      <w:pPr>
        <w:bidi w:val="0"/>
        <w:rPr>
          <w:color w:val="auto"/>
        </w:rPr>
      </w:pPr>
      <w:r>
        <w:rPr>
          <w:rFonts w:hint="eastAsia"/>
          <w:color w:val="auto"/>
        </w:rPr>
        <w:t>氨纶废丝经切丝机切成2</w:t>
      </w:r>
      <w:r>
        <w:rPr>
          <w:rFonts w:hint="eastAsia"/>
          <w:color w:val="auto"/>
          <w:lang w:val="en-US" w:eastAsia="zh-CN"/>
        </w:rPr>
        <w:t>-</w:t>
      </w:r>
      <w:r>
        <w:rPr>
          <w:rFonts w:hint="eastAsia"/>
          <w:color w:val="auto"/>
        </w:rPr>
        <w:t>8mm，经称量机称重后密闭输送至烘干机，烘干机靠蒸汽对废丝进行烘干，烘干温度90℃，烘干后的物料利用高度落差通过管道送至溶解机内与DMAC溶剂以一定比例在一定高温下于溶解机内进行溶解，溶解后通过齿轮泵输送与废聚合溶液、废纺丝液进行混合即生成聚合物溶液，经过滤后到纺丝高位槽经增压泵将纺丝液经熔体分配管分到各个位的纺丝计量泵，再经喷丝板喷出后到纺丝甬道，由电加热800℃热风蒸发去除DMAC溶剂，使丝条凝固成形，再经假捻、上油后卷绕、分级，装箱打包出厂。</w:t>
      </w:r>
    </w:p>
    <w:p>
      <w:pPr>
        <w:pStyle w:val="9"/>
        <w:bidi w:val="0"/>
        <w:rPr>
          <w:color w:val="auto"/>
        </w:rPr>
      </w:pPr>
      <w:r>
        <w:rPr>
          <w:rFonts w:hint="eastAsia"/>
          <w:color w:val="auto"/>
        </w:rPr>
        <w:t>3</w:t>
      </w:r>
      <w:r>
        <w:rPr>
          <w:color w:val="auto"/>
        </w:rPr>
        <w:t>.</w:t>
      </w:r>
      <w:r>
        <w:rPr>
          <w:rFonts w:hint="eastAsia"/>
          <w:color w:val="auto"/>
          <w:lang w:val="en-US" w:eastAsia="zh-CN"/>
        </w:rPr>
        <w:t>3</w:t>
      </w:r>
      <w:r>
        <w:rPr>
          <w:color w:val="auto"/>
        </w:rPr>
        <w:t>.6</w:t>
      </w:r>
      <w:r>
        <w:rPr>
          <w:rFonts w:hint="eastAsia"/>
          <w:color w:val="auto"/>
          <w:lang w:val="en-US" w:eastAsia="zh-CN"/>
        </w:rPr>
        <w:t>已建</w:t>
      </w:r>
      <w:r>
        <w:rPr>
          <w:rFonts w:hint="eastAsia"/>
          <w:color w:val="auto"/>
        </w:rPr>
        <w:t>污染源分析</w:t>
      </w:r>
    </w:p>
    <w:p>
      <w:pPr>
        <w:bidi w:val="0"/>
        <w:rPr>
          <w:color w:val="auto"/>
        </w:rPr>
      </w:pPr>
      <w:r>
        <w:rPr>
          <w:rFonts w:hint="eastAsia"/>
          <w:color w:val="auto"/>
        </w:rPr>
        <w:t>本次评价根据现有工程废水、废气污染源在线监测以及验收监测情况，结合工程实际运行过程中的产污情况，分析现有工程废水、废气、噪声等污染物的达标情况。</w:t>
      </w:r>
    </w:p>
    <w:p>
      <w:pPr>
        <w:pStyle w:val="10"/>
        <w:bidi w:val="0"/>
        <w:rPr>
          <w:color w:val="auto"/>
        </w:rPr>
      </w:pPr>
      <w:r>
        <w:rPr>
          <w:rFonts w:hint="eastAsia"/>
          <w:color w:val="auto"/>
        </w:rPr>
        <w:t>3</w:t>
      </w:r>
      <w:r>
        <w:rPr>
          <w:color w:val="auto"/>
        </w:rPr>
        <w:t>.</w:t>
      </w:r>
      <w:r>
        <w:rPr>
          <w:rFonts w:hint="eastAsia"/>
          <w:color w:val="auto"/>
          <w:lang w:val="en-US" w:eastAsia="zh-CN"/>
        </w:rPr>
        <w:t>3</w:t>
      </w:r>
      <w:r>
        <w:rPr>
          <w:color w:val="auto"/>
        </w:rPr>
        <w:t>.6.1</w:t>
      </w:r>
      <w:r>
        <w:rPr>
          <w:rFonts w:hint="eastAsia"/>
          <w:color w:val="auto"/>
        </w:rPr>
        <w:t>废水</w:t>
      </w:r>
    </w:p>
    <w:p>
      <w:pPr>
        <w:bidi w:val="0"/>
        <w:rPr>
          <w:color w:val="auto"/>
        </w:rPr>
      </w:pPr>
      <w:r>
        <w:rPr>
          <w:rFonts w:hint="eastAsia"/>
          <w:color w:val="auto"/>
        </w:rPr>
        <w:t>现有工程生产过程中产生的废水主要包括：酸性废水、粘胶废水和氨纶、绿纤混合废水，建设单位通过分类分质处理达标后排放，现有污水处理站处理工艺见图</w:t>
      </w:r>
      <w:r>
        <w:rPr>
          <w:color w:val="auto"/>
        </w:rPr>
        <w:t>3.</w:t>
      </w:r>
      <w:r>
        <w:rPr>
          <w:rFonts w:hint="eastAsia"/>
          <w:color w:val="auto"/>
          <w:lang w:val="en-US" w:eastAsia="zh-CN"/>
        </w:rPr>
        <w:t>3</w:t>
      </w:r>
      <w:r>
        <w:rPr>
          <w:rFonts w:hint="eastAsia"/>
          <w:color w:val="auto"/>
        </w:rPr>
        <w:t>-</w:t>
      </w:r>
      <w:r>
        <w:rPr>
          <w:color w:val="auto"/>
        </w:rPr>
        <w:t>5</w:t>
      </w:r>
      <w:r>
        <w:rPr>
          <w:rFonts w:hint="eastAsia"/>
          <w:color w:val="auto"/>
        </w:rPr>
        <w:t>。</w:t>
      </w:r>
    </w:p>
    <w:p>
      <w:pPr>
        <w:bidi w:val="0"/>
        <w:ind w:left="0" w:leftChars="0" w:firstLine="0" w:firstLineChars="0"/>
        <w:jc w:val="center"/>
        <w:rPr>
          <w:color w:val="auto"/>
        </w:rPr>
      </w:pPr>
      <w:r>
        <w:rPr>
          <w:color w:val="auto"/>
        </w:rPr>
        <w:drawing>
          <wp:inline distT="0" distB="0" distL="114300" distR="114300">
            <wp:extent cx="5293360" cy="6597650"/>
            <wp:effectExtent l="0" t="0" r="10160" b="127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38"/>
                    <a:stretch>
                      <a:fillRect/>
                    </a:stretch>
                  </pic:blipFill>
                  <pic:spPr>
                    <a:xfrm>
                      <a:off x="0" y="0"/>
                      <a:ext cx="5293360" cy="6597650"/>
                    </a:xfrm>
                    <a:prstGeom prst="rect">
                      <a:avLst/>
                    </a:prstGeom>
                    <a:noFill/>
                    <a:ln>
                      <a:noFill/>
                    </a:ln>
                  </pic:spPr>
                </pic:pic>
              </a:graphicData>
            </a:graphic>
          </wp:inline>
        </w:drawing>
      </w:r>
    </w:p>
    <w:p>
      <w:pPr>
        <w:pStyle w:val="181"/>
        <w:bidi w:val="0"/>
        <w:ind w:left="0" w:leftChars="0" w:firstLine="0" w:firstLineChars="0"/>
        <w:jc w:val="center"/>
        <w:rPr>
          <w:rFonts w:hint="eastAsia"/>
          <w:color w:val="auto"/>
        </w:rPr>
      </w:pPr>
      <w:r>
        <w:rPr>
          <w:rFonts w:hint="eastAsia"/>
          <w:color w:val="auto"/>
          <w:lang w:val="en-US" w:eastAsia="zh-CN"/>
        </w:rPr>
        <w:t>图</w:t>
      </w:r>
      <w:r>
        <w:rPr>
          <w:color w:val="auto"/>
        </w:rPr>
        <w:t>3.</w:t>
      </w:r>
      <w:r>
        <w:rPr>
          <w:rFonts w:hint="eastAsia"/>
          <w:color w:val="auto"/>
          <w:lang w:val="en-US" w:eastAsia="zh-CN"/>
        </w:rPr>
        <w:t>3</w:t>
      </w:r>
      <w:r>
        <w:rPr>
          <w:rFonts w:hint="eastAsia"/>
          <w:color w:val="auto"/>
        </w:rPr>
        <w:t>-</w:t>
      </w:r>
      <w:r>
        <w:rPr>
          <w:color w:val="auto"/>
        </w:rPr>
        <w:t xml:space="preserve">5  </w:t>
      </w:r>
      <w:r>
        <w:rPr>
          <w:rFonts w:hint="eastAsia"/>
          <w:color w:val="auto"/>
        </w:rPr>
        <w:t>厂区内污水处理站处理工艺流程示意图</w:t>
      </w:r>
    </w:p>
    <w:p>
      <w:pPr>
        <w:ind w:left="0" w:leftChars="0" w:firstLine="0" w:firstLineChars="0"/>
        <w:rPr>
          <w:rFonts w:hint="eastAsia"/>
          <w:color w:val="auto"/>
        </w:rPr>
      </w:pPr>
      <w:r>
        <w:rPr>
          <w:rFonts w:hint="eastAsia"/>
          <w:color w:val="auto"/>
        </w:rPr>
        <w:t>说明：1、两个短丝项目现已淘汰拆除；</w:t>
      </w:r>
    </w:p>
    <w:p>
      <w:pPr>
        <w:numPr>
          <w:ilvl w:val="0"/>
          <w:numId w:val="7"/>
        </w:numPr>
        <w:ind w:left="0" w:leftChars="0" w:firstLine="720" w:firstLineChars="300"/>
        <w:rPr>
          <w:rFonts w:hint="eastAsia"/>
          <w:color w:val="auto"/>
        </w:rPr>
      </w:pPr>
      <w:r>
        <w:rPr>
          <w:rFonts w:hint="eastAsia"/>
          <w:color w:val="auto"/>
        </w:rPr>
        <w:t>绿纤公司自建一座污水处理站，将于2023年5月投放使用，届时新乡化纤不再处理绿纤公司的所有废水。</w:t>
      </w:r>
    </w:p>
    <w:p>
      <w:pPr>
        <w:bidi w:val="0"/>
      </w:pPr>
    </w:p>
    <w:p>
      <w:pPr>
        <w:bidi w:val="0"/>
        <w:sectPr>
          <w:pgSz w:w="11910" w:h="16840"/>
          <w:pgMar w:top="1440" w:right="1800" w:bottom="1440" w:left="1800" w:header="877" w:footer="1196" w:gutter="0"/>
          <w:pgBorders>
            <w:top w:val="none" w:sz="0" w:space="0"/>
            <w:left w:val="none" w:sz="0" w:space="0"/>
            <w:bottom w:val="none" w:sz="0" w:space="0"/>
            <w:right w:val="none" w:sz="0" w:space="0"/>
          </w:pgBorders>
          <w:pgNumType w:fmt="decimal"/>
          <w:cols w:space="720" w:num="1"/>
        </w:sectPr>
      </w:pPr>
    </w:p>
    <w:p>
      <w:pPr>
        <w:pStyle w:val="181"/>
        <w:bidi w:val="0"/>
      </w:pPr>
      <w:r>
        <w:rPr>
          <w:rFonts w:hint="eastAsia"/>
        </w:rPr>
        <w:t>表3</w:t>
      </w:r>
      <w:r>
        <w:t>.</w:t>
      </w:r>
      <w:r>
        <w:rPr>
          <w:rFonts w:hint="eastAsia"/>
          <w:lang w:val="en-US" w:eastAsia="zh-CN"/>
        </w:rPr>
        <w:t>3</w:t>
      </w:r>
      <w:r>
        <w:rPr>
          <w:rFonts w:hint="eastAsia"/>
        </w:rPr>
        <w:t>-</w:t>
      </w:r>
      <w:r>
        <w:rPr>
          <w:rFonts w:hint="eastAsia"/>
          <w:lang w:val="en-US" w:eastAsia="zh-CN"/>
        </w:rPr>
        <w:t>5</w:t>
      </w:r>
      <w:r>
        <w:t xml:space="preserve"> </w:t>
      </w:r>
      <w:r>
        <w:rPr>
          <w:rFonts w:hint="eastAsia"/>
          <w:lang w:val="en-US" w:eastAsia="zh-CN"/>
        </w:rPr>
        <w:t xml:space="preserve">                    </w:t>
      </w:r>
      <w:r>
        <w:rPr>
          <w:rFonts w:hint="eastAsia"/>
        </w:rPr>
        <w:t>厂区污水处理</w:t>
      </w:r>
      <w:r>
        <w:rPr>
          <w:rFonts w:hint="eastAsia"/>
          <w:lang w:val="en-US" w:eastAsia="zh-CN"/>
        </w:rPr>
        <w:t>站</w:t>
      </w:r>
      <w:r>
        <w:rPr>
          <w:rFonts w:hint="eastAsia"/>
        </w:rPr>
        <w:t>总排口</w:t>
      </w:r>
      <w:r>
        <w:rPr>
          <w:rFonts w:hint="eastAsia"/>
          <w:lang w:val="en-US" w:eastAsia="zh-CN"/>
        </w:rPr>
        <w:t>2022年10-12月份污染物排放情况在线</w:t>
      </w:r>
      <w:r>
        <w:rPr>
          <w:rFonts w:hint="eastAsia"/>
        </w:rPr>
        <w:t>监测数据</w:t>
      </w:r>
    </w:p>
    <w:tbl>
      <w:tblPr>
        <w:tblStyle w:val="32"/>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686"/>
        <w:gridCol w:w="26"/>
        <w:gridCol w:w="405"/>
        <w:gridCol w:w="1032"/>
        <w:gridCol w:w="1100"/>
        <w:gridCol w:w="9"/>
        <w:gridCol w:w="1145"/>
        <w:gridCol w:w="9"/>
        <w:gridCol w:w="164"/>
        <w:gridCol w:w="1310"/>
        <w:gridCol w:w="987"/>
        <w:gridCol w:w="9"/>
        <w:gridCol w:w="1474"/>
        <w:gridCol w:w="28"/>
        <w:gridCol w:w="11"/>
        <w:gridCol w:w="1310"/>
        <w:gridCol w:w="28"/>
        <w:gridCol w:w="1075"/>
        <w:gridCol w:w="26"/>
        <w:gridCol w:w="14"/>
        <w:gridCol w:w="1075"/>
        <w:gridCol w:w="14"/>
        <w:gridCol w:w="9"/>
        <w:gridCol w:w="1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000" w:type="pct"/>
            <w:gridSpan w:val="24"/>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10月份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监测时间</w:t>
            </w:r>
          </w:p>
        </w:tc>
        <w:tc>
          <w:tcPr>
            <w:tcW w:w="903"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流量</w:t>
            </w:r>
          </w:p>
        </w:tc>
        <w:tc>
          <w:tcPr>
            <w:tcW w:w="930"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b/>
                <w:bCs/>
                <w:u w:val="single"/>
              </w:rPr>
            </w:pPr>
            <w:r>
              <w:rPr>
                <w:rFonts w:hint="default"/>
                <w:b/>
                <w:bCs/>
                <w:u w:val="single"/>
                <w:lang w:val="en-US" w:eastAsia="zh-CN"/>
              </w:rPr>
              <w:t>COD</w:t>
            </w:r>
          </w:p>
        </w:tc>
        <w:tc>
          <w:tcPr>
            <w:tcW w:w="87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氨氮</w:t>
            </w:r>
          </w:p>
        </w:tc>
        <w:tc>
          <w:tcPr>
            <w:tcW w:w="864"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总氮</w:t>
            </w:r>
          </w:p>
        </w:tc>
        <w:tc>
          <w:tcPr>
            <w:tcW w:w="835"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总磷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5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升/秒</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吨</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毫克/升</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千克</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毫克/升</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千克</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毫克/升</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千克</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毫克/升</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千克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2022-10-01</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337.94</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29198.308</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96.73</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2824.36</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0.24</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7.01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14.75</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430.56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2022-10-02</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320.4</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27682.247</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99.98</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2767.67</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0.22</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6.09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14.86</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411.47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0.14</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2022-10-03</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334.35</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28887.812</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95.9</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2770.39</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4.62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13.89</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401.13</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2022-10-04</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346.38</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29927.54</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94.02</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2813.91</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0.14</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4.19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13.88</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415.46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2022-10-05</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398.56</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34435.674</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94.83</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3265.4</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5.51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13.52</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465.56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0.17</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2022-10-06</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294.05</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24347.016</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97.64</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2377.15</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0.17</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4.14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13.29</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323.61</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0.13</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2022-10-07</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289.57</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25018.511</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98.78</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2471.23</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0.22</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5.50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12.96</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324.17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2022-10-08</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392.49</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33911.281</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101.39</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3438.34</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0.17</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5.76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13.22</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448.27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2022-10-09</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322.07</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27826.749</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93.02</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2588.36</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0.24</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6.68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11.02</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306.75</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0.19</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2022-10-10</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334.39</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28891.373</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99.24</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2867.09</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0.24</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6.93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14.28</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412.66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2022-10-11</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335.3</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28970.122</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99.81</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2891.37</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0.34</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9.85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12.88</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373.27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2022-10-12</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359.44</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31055.421</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105.12</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3264.51</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0.38</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11.80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12.17</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378.01</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0.14</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2022-10-13</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326.64</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28221.326</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100.94</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2848.62</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0.35</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9.88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12.53</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353.48</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2022-10-14</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331.6</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28650.098</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105</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3008.31</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0.48</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13.75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12.62</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361.43</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2022-10-15</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326.53</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28212.488</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109.78</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3097.1</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0.55</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15.52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13.64</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384.76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0.17</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2022-10-16</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372.21</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32158.756</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110.55</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3555.26</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0.41</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13.19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13.88</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446.38</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0.23</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2022-10-17</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343.7</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29695.528</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110.96</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3295.08</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0.36</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10.69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15.56</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461.99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0.21</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2022-10-18</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348.35</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30097.612</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103.08</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3102.45</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0.33</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9.93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13.43</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404.31</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2022-10-19</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363.66</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31420.004</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96.06</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3018.1</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0.34</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10.68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12.42</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390.18</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0.17</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2022-10-20</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348.76</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30133.1</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103.35</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3114.4</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0.62</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18.68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13.27</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399.8</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2022-10-21</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340.51</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29419.95</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100.93</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2969.46</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0.35</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10.30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14.17</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416.75</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0.27</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2022-10-22</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359.22</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31036.34</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83.06</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2577.75</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0.35</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10.86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13.98</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433.76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2022-10-23</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347.66</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30038.007</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78.64</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2362.34</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0.27</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8.11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15.42</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463.2</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2022-10-24</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347.09</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29988.36</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72.86</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2184.83</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0.33</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9.90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13.41</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402.21</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2022-10-25</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352.59</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30463.498</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74.14</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2258.5</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0.46</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14.01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14.57</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443.9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0.21</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2022-10-26</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392.62</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33922.286</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62.66</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2125.56</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0.48</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16.28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12.55</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425.77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0.12</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2022-10-27</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382.42</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33040.816</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59.56</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1967.84</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0.51</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16.85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14.1</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465.78</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2022-10-28</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407.32</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35192.422</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57.78</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2033.36</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0.48</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16.89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14.68</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516.61</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0.12</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2022-10-29</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374.18</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32329.243</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58.41</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1888.33</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0.46</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14.87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15.13</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489.06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0.17</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2022-10-30</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367.74</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31772.355</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64.99</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2064.93</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15.89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15.68</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498.22</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0.19</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2022-10-31</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370.6</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32019.998</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63.85</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2044.42</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0.56</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17.93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17.02</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544.93</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0.21</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最大值</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407.32</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35192.422</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110.96</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3555.26</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0.62</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21.82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17.02</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544.93</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0.27</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最小值</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289.57</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24347.016</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57.78</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1888.33</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0.14</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3.41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11.02</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306.75</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0.12</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平均值</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350.59</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30256.91</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90.1</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2705.05</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0.35</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10.59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13.83</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419.14</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0.17</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59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合计</w:t>
            </w:r>
          </w:p>
        </w:tc>
        <w:tc>
          <w:tcPr>
            <w:tcW w:w="5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38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937964.241</w:t>
            </w:r>
          </w:p>
        </w:tc>
        <w:tc>
          <w:tcPr>
            <w:tcW w:w="41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51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83856.42</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5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332.30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38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12993.44</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4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155.31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3" w:hRule="atLeast"/>
          <w:jc w:val="center"/>
        </w:trPr>
        <w:tc>
          <w:tcPr>
            <w:tcW w:w="5000" w:type="pct"/>
            <w:gridSpan w:val="24"/>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11月份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3" w:hRule="atLeast"/>
          <w:jc w:val="center"/>
        </w:trPr>
        <w:tc>
          <w:tcPr>
            <w:tcW w:w="603"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时间</w:t>
            </w:r>
          </w:p>
        </w:tc>
        <w:tc>
          <w:tcPr>
            <w:tcW w:w="894" w:type="pct"/>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流量(吨)</w:t>
            </w:r>
          </w:p>
        </w:tc>
        <w:tc>
          <w:tcPr>
            <w:tcW w:w="930"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化学需氧量(COD)</w:t>
            </w:r>
          </w:p>
        </w:tc>
        <w:tc>
          <w:tcPr>
            <w:tcW w:w="88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氨氮</w:t>
            </w:r>
          </w:p>
        </w:tc>
        <w:tc>
          <w:tcPr>
            <w:tcW w:w="864"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总氮</w:t>
            </w:r>
          </w:p>
        </w:tc>
        <w:tc>
          <w:tcPr>
            <w:tcW w:w="826"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总磷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603"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p>
        </w:tc>
        <w:tc>
          <w:tcPr>
            <w:tcW w:w="894"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浓度(毫克/升)</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排放量(千克)</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浓度(毫克/升)</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排放量(千克)</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浓度(毫克/升)</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排放量(千克)</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浓度(毫克/升)</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排放量(千克)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-01</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29263.59</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62.411</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1826.368</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0.61</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17.85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15.092</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441.637</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0.208</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6.088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-02</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28274.69</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62.674</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1772.102</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0.44</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12.44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13.588</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384.206</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0.211</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5.968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-03</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28939.78</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62.209</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1800.328</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0.47</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13.60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13.543</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391.93</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0.166</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4.798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-04</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26449.69</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79.799</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2110.65</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0.46</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12.17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14.813</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391.786</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0.187</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-05</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27858.91</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86.566</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2411.641</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0.45</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12.54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14.344</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399.617</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0.18</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5.017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-06</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28031.54</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82.538</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2313.661</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0.56</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15.70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14.201</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398.072</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0.154</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4.306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07</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30573.1</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78.439</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2398.111</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0.52</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15.90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13.699</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418.82</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0.133</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4.067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-08</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29291.4</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77.449</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2268.582</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0.59</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17.28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11.815</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346.064</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0.144</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4.227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-09</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29754.62</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79.68</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2370.854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0.48</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14.28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11.163</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332.165</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0.144</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4.271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-10</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29142.34</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78.538</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2288.784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0.57</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16.61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10.644</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310.178</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0.14</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4.074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-11</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27239.49</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75.203</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2048.5</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10.90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12.128</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330.347</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0.129</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3.527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-12</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26497.16</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74.123</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1964.057</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0.25</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6.62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12.643</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335.002</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0.141</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-13</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26406.57</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77.442</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2044.973</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0.31</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8.19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12.025</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317.544</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0.123</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-14</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28553.16</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78.907</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2253.041</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0.36</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10.28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11.55</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329.78</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0.128</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3.664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-15</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33775.96</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79.22</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2675.726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0.51</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17.23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9.964</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336.546</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0.127</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4.285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-16</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29745.23</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82.731</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2460.842</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0.55</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16.36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9.859</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293.268</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0.14</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4.162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-17</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28440.91</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86.555</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2461.697</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0.65</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18.49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10.473</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297.862</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0.116</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-18</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28830.38</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85.45</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2463.564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0.49</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14.13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10.329</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297.788</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0.137</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3.939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-19</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27763.62</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82.527</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2291.246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0.28</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7.77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10.082</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279.909</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0.115</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3.204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-20</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27875.34</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78.389</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2185.13</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0.05</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1.39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11.4</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317.769</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0.123</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3.423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-21</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26591.16</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82.497</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2193.702</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0.19</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5.05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10.147</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269.824</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0.141</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3.738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-22</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29013.9</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80.385</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2332.268</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0.21</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6.09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8.923</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258.902</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0.112</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3.259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-23</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28004.3</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79.831</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2235.612</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0.28</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7.84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9.601</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268.861</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0.106</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-24</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28905.68</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84.903</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2454.173</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0.23</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6.65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9.686</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279.994</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0.117</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3.378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-25</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29606.97</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85.845</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2541.624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0.43</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12.73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10.213</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302.378</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0.124</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3.676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-26</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28966.1</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89.118</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2581.387</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0.41</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11.88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10.786</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312.419</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0.122</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3.531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-27</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30499.4</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92.181</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2811.458</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12.20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9.415</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287.161</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0.133</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4.066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-28</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46054.83</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90.031</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4146.361</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0.65</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29.94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7.944</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365.875</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0.141</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6.512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-29</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27778.48</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87.396</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2427.716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0.48</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13.33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9.499</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263.869</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0.135</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3.762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rPr>
            </w:pPr>
            <w:r>
              <w:rPr>
                <w:rFonts w:hint="default"/>
                <w:b/>
                <w:bCs/>
                <w:u w:val="single"/>
                <w:lang w:val="en-US" w:eastAsia="zh-CN"/>
              </w:rPr>
              <w:t>2022-1</w:t>
            </w:r>
            <w:r>
              <w:rPr>
                <w:rFonts w:hint="eastAsia"/>
                <w:b/>
                <w:bCs/>
                <w:u w:val="single"/>
                <w:lang w:val="en-US" w:eastAsia="zh-CN"/>
              </w:rPr>
              <w:t>1</w:t>
            </w:r>
            <w:r>
              <w:rPr>
                <w:rFonts w:hint="default"/>
                <w:b/>
                <w:bCs/>
                <w:u w:val="single"/>
                <w:lang w:val="en-US" w:eastAsia="zh-CN"/>
              </w:rPr>
              <w:t>-30</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29227.17</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88.97</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2600.344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0.5</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14.61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8.5</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248.438</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0.145</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4.235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29088.95 </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80.400233</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2357.816733</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0.43</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12.67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11.268966</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326.9337</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0.140733</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4.1125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最大值</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46054.83</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92.181</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4146.361</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0.65</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29.94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15.092</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441.637</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0.211</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6.512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最小值</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26406.57</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62.209</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1772.102</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0.05</w:t>
            </w: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 xml:space="preserve">1.39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7.944</w:t>
            </w: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248.438</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0.106</w:t>
            </w: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2.958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6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月排放总量</w:t>
            </w:r>
          </w:p>
        </w:tc>
        <w:tc>
          <w:tcPr>
            <w:tcW w:w="89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843579.51</w:t>
            </w:r>
          </w:p>
        </w:tc>
        <w:tc>
          <w:tcPr>
            <w:tcW w:w="4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70734.502</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p>
        </w:tc>
        <w:tc>
          <w:tcPr>
            <w:tcW w:w="52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380.044 </w:t>
            </w:r>
          </w:p>
        </w:tc>
        <w:tc>
          <w:tcPr>
            <w:tcW w:w="4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p>
        </w:tc>
        <w:tc>
          <w:tcPr>
            <w:tcW w:w="38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9808.011</w:t>
            </w:r>
          </w:p>
        </w:tc>
        <w:tc>
          <w:tcPr>
            <w:tcW w:w="38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p>
        </w:tc>
        <w:tc>
          <w:tcPr>
            <w:tcW w:w="43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123.375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000" w:type="pct"/>
            <w:gridSpan w:val="24"/>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12月份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746" w:type="pct"/>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监测时间</w:t>
            </w:r>
          </w:p>
        </w:tc>
        <w:tc>
          <w:tcPr>
            <w:tcW w:w="75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流量</w:t>
            </w:r>
          </w:p>
        </w:tc>
        <w:tc>
          <w:tcPr>
            <w:tcW w:w="926"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b/>
                <w:bCs/>
                <w:u w:val="single"/>
              </w:rPr>
            </w:pPr>
            <w:r>
              <w:rPr>
                <w:rFonts w:hint="default"/>
                <w:b/>
                <w:bCs/>
                <w:u w:val="single"/>
                <w:lang w:val="en-US" w:eastAsia="zh-CN"/>
              </w:rPr>
              <w:t>COD</w:t>
            </w:r>
          </w:p>
        </w:tc>
        <w:tc>
          <w:tcPr>
            <w:tcW w:w="884"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氨氮</w:t>
            </w:r>
          </w:p>
        </w:tc>
        <w:tc>
          <w:tcPr>
            <w:tcW w:w="865"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总氮</w:t>
            </w:r>
          </w:p>
        </w:tc>
        <w:tc>
          <w:tcPr>
            <w:tcW w:w="82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总磷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746"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升/秒</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吨</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毫克/升</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千克</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毫克/升</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千克</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毫克/升</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千克</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平均值</w:t>
            </w:r>
            <w:r>
              <w:rPr>
                <w:rFonts w:hint="eastAsia"/>
                <w:b/>
                <w:bCs/>
                <w:u w:val="single"/>
                <w:lang w:val="en-US" w:eastAsia="zh-CN"/>
              </w:rPr>
              <w:br w:type="textWrapping"/>
            </w:r>
            <w:r>
              <w:rPr>
                <w:rFonts w:hint="eastAsia"/>
                <w:b/>
                <w:bCs/>
                <w:u w:val="single"/>
                <w:lang w:val="en-US" w:eastAsia="zh-CN"/>
              </w:rPr>
              <w:t>毫克/升</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rPr>
            </w:pPr>
            <w:r>
              <w:rPr>
                <w:rFonts w:hint="eastAsia"/>
                <w:b/>
                <w:bCs/>
                <w:u w:val="single"/>
                <w:lang w:val="en-US" w:eastAsia="zh-CN"/>
              </w:rPr>
              <w:t>排放量</w:t>
            </w:r>
            <w:r>
              <w:rPr>
                <w:rFonts w:hint="eastAsia"/>
                <w:b/>
                <w:bCs/>
                <w:u w:val="single"/>
                <w:lang w:val="en-US" w:eastAsia="zh-CN"/>
              </w:rPr>
              <w:br w:type="textWrapping"/>
            </w:r>
            <w:r>
              <w:rPr>
                <w:rFonts w:hint="eastAsia"/>
                <w:b/>
                <w:bCs/>
                <w:u w:val="single"/>
                <w:lang w:val="en-US" w:eastAsia="zh-CN"/>
              </w:rPr>
              <w:t>千克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2022-12-01</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315.03</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27218.3</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87.75</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2388.29</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0.66</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17.96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8.26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224.79</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2022-12-02</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334.14</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28869.831</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87.34</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2521.45</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0.66</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19.05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8.39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242.36</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0.18</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2022-12-03</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307.38</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26557.74</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83.94</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2229.2</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0.94</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24.96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9.38</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249</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2022-12-04</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305.22</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26371.419</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80.43</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2121.07</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0.76</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20.04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10.61</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279.74</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2022-12-05</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313.62</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27096.928</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81.7</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2213.71</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0.51</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13.82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295.39</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2022-12-06</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366.91</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30380.044</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67.03</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2036.36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0.48</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14.58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8.16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247.92</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2022-12-07</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332.47</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28725.478</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63.79</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1832.33</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0.59</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16.95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7.94</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227.95</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0.13</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2022-12-08</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342.47</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29589.773</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65.54</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1939.3</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0.7</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20.71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8.69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257.16</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2022-12-09</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318.71</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26389.021</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69.41</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1831.74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0.42</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11.08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8.79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232.03</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0.14</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2022-12-10</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314.74</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26060.443</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71.18</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1854.89</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0.54</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14.07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8.5</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221.58</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2022-12-11</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345.98</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29892.291</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72.07</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2154.34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0.55</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16.44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8.06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241.06</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0.13</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2022-12-12</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324.04</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26830.458</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70.42</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1889.43</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0.7</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18.78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7.81</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209.61</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0.13</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2022-12-13</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321.41</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26612.965</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69.88</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1859.85</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0.52</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13.84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8.99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239.21</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0.13</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2022-12-14</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334.06</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28862.416</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74.34</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2145.67</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0.86</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24.82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288.52</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0.14</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2022-12-15</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325.52</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28125.223</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76.46</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2150.48</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0.48</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13.50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10.33</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290.59</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0.14</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2022-12-16</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313.54</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27089.795</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76.56</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2074.04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0.59</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15.98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10.33</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279.72</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2022-12-17</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310.36</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26815.497</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73.05</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1958.85</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0.74</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19.84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10.1</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270.8</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0.14</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2022-12-18</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315.26</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27238.82</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71.56</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1949.28</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0.71</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19.34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10.45</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284.62</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2022-12-19</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332.25</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27510.004</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70.93</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1951.3</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0.54</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14.86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10.99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302.25</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0.18</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2022-12-20</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388.73</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33586.19</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70.07</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2353.46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0.89</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29.89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8.05</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270.36</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2022-12-21</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340.18</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28166.798</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70.28</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1979.6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1.16</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32.67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6.34</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178.52</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0.19</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2022-12-22</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352.47</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30453.717</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70.12</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2135.46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0.65</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19.79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5.87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178.86</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0.18</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2022-12-23</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333.87</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26442.43</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68.9</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1821.95</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0.54</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14.28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6.76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178.85</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0.19</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2022-12-24</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330.19</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27339.675</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61.25</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1674.67</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1.18</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32.26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8.19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223.92</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2022-12-25</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321.51</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27778.258</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56.32</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1564.44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0.36</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10.00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214.02</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0.17</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2022-12-26</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329.77</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28491.801</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57.67</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1642.98</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0.67</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19.09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8.17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232.73</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0.14</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2022-12-27</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388.78</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32190.718</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70.24</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2260.96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0.31</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9.98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8.72</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280.67</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2022-12-28</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386.25</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31981.417</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72.02</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2303.16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0.28</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8.95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9.77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312.59</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2022-12-29</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345.81</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28632.717</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78.05</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2234.86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0.26</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7.44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10.38</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297.09</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0.19</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2022-12-30</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377.27</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32596.063</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79.72</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2598.61</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0.26</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8.47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10.75</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350.3</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0.17</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2022-12-31</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362.53</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30017.333</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78.15</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2345.86</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0.25</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7.50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10.56</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316.84</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最大值</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388.78</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33586.19</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87.75</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2598.61</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1.18</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39.63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10.99</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350.3</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0.25</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最小值</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305.22</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26060.443</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56.32</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1564.44</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0.25</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6.52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5.87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178.52</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0.13</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平均值</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336.47</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28513.34</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72.46</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2065.08</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0.61</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17.39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8.97</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255.45</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0.16</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4.56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合计</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883913.563</w:t>
            </w: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64017.59</w:t>
            </w: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 xml:space="preserve">530.99 </w:t>
            </w: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7919.05</w:t>
            </w: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rPr>
            </w:pPr>
            <w:r>
              <w:rPr>
                <w:rFonts w:hint="default"/>
                <w:b/>
                <w:bCs/>
                <w:u w:val="single"/>
                <w:lang w:val="en-US" w:eastAsia="zh-CN"/>
              </w:rPr>
              <w:t>141.45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指标</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COD</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氨氮</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总氮</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default" w:ascii="Times New Roman" w:hAnsi="Times New Roman" w:eastAsia="宋体" w:cs="Times New Roman"/>
                <w:b/>
                <w:bCs/>
                <w:color w:val="000000" w:themeColor="text1"/>
                <w:kern w:val="2"/>
                <w:sz w:val="21"/>
                <w:szCs w:val="21"/>
                <w:u w:val="single"/>
                <w:lang w:val="en-US" w:eastAsia="zh-CN" w:bidi="ar-SA"/>
              </w:rPr>
            </w:pPr>
            <w:r>
              <w:rPr>
                <w:rFonts w:hint="eastAsia"/>
                <w:b/>
                <w:bCs/>
                <w:u w:val="single"/>
                <w:lang w:val="en-US" w:eastAsia="zh-CN"/>
              </w:rPr>
              <w:t>总磷</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lang w:val="en-US" w:eastAsia="zh-CN"/>
              </w:rPr>
            </w:pPr>
            <w:r>
              <w:rPr>
                <w:rFonts w:hint="eastAsia"/>
                <w:b/>
                <w:bCs/>
                <w:color w:val="auto"/>
                <w:u w:val="single"/>
              </w:rPr>
              <w:t>《污水综合排放标准》（GB8978-1996）表4</w:t>
            </w:r>
            <w:r>
              <w:rPr>
                <w:rFonts w:hint="eastAsia"/>
                <w:b/>
                <w:bCs/>
                <w:color w:val="auto"/>
                <w:u w:val="single"/>
                <w:lang w:val="en-US" w:eastAsia="zh-CN"/>
              </w:rPr>
              <w:t>二级（</w:t>
            </w:r>
            <w:r>
              <w:rPr>
                <w:rFonts w:hint="eastAsia"/>
                <w:b/>
                <w:bCs/>
                <w:color w:val="auto"/>
                <w:u w:val="single"/>
              </w:rPr>
              <w:t>化学浆粕行业</w:t>
            </w:r>
            <w:r>
              <w:rPr>
                <w:rFonts w:hint="eastAsia"/>
                <w:b/>
                <w:bCs/>
                <w:color w:val="auto"/>
                <w:u w:val="single"/>
                <w:lang w:val="en-US" w:eastAsia="zh-CN"/>
              </w:rPr>
              <w:t>）</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lang w:val="en-US" w:eastAsia="zh-CN"/>
              </w:rPr>
            </w:pPr>
            <w:r>
              <w:rPr>
                <w:rFonts w:hint="eastAsia"/>
                <w:b/>
                <w:bCs/>
                <w:u w:val="single"/>
                <w:lang w:val="en-US" w:eastAsia="zh-CN"/>
              </w:rPr>
              <w:t>300</w:t>
            </w:r>
            <w:r>
              <w:rPr>
                <w:b/>
                <w:bCs/>
                <w:color w:val="auto"/>
                <w:u w:val="single"/>
              </w:rPr>
              <w:t>mg</w:t>
            </w:r>
            <w:r>
              <w:rPr>
                <w:rFonts w:hint="eastAsia"/>
                <w:b/>
                <w:bCs/>
                <w:color w:val="auto"/>
                <w:u w:val="single"/>
              </w:rPr>
              <w:t>/L</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lang w:val="en-US" w:eastAsia="zh-CN"/>
              </w:rPr>
            </w:pP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lang w:val="en-US" w:eastAsia="zh-CN"/>
              </w:rPr>
            </w:pP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lang w:val="en-US" w:eastAsia="zh-CN"/>
              </w:rPr>
            </w:pPr>
            <w:r>
              <w:rPr>
                <w:rFonts w:hint="eastAsia"/>
                <w:b/>
                <w:bCs/>
                <w:u w:val="single"/>
                <w:lang w:val="en-US" w:eastAsia="zh-CN"/>
              </w:rPr>
              <w:t>1</w:t>
            </w:r>
            <w:r>
              <w:rPr>
                <w:b/>
                <w:bCs/>
                <w:color w:val="auto"/>
                <w:u w:val="single"/>
              </w:rPr>
              <w:t>mg</w:t>
            </w:r>
            <w:r>
              <w:rPr>
                <w:rFonts w:hint="eastAsia"/>
                <w:b/>
                <w:bCs/>
                <w:color w:val="auto"/>
                <w:u w:val="single"/>
              </w:rPr>
              <w:t>/L</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color w:val="auto"/>
                <w:u w:val="single"/>
              </w:rPr>
            </w:pPr>
            <w:r>
              <w:rPr>
                <w:rFonts w:hint="eastAsia"/>
                <w:b/>
                <w:bCs/>
                <w:color w:val="auto"/>
                <w:u w:val="single"/>
              </w:rPr>
              <w:t>化纤厂</w:t>
            </w:r>
            <w:r>
              <w:rPr>
                <w:b/>
                <w:bCs/>
                <w:color w:val="auto"/>
                <w:u w:val="single"/>
              </w:rPr>
              <w:t>新厂区排污许可证废水最高允许排放浓度</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lang w:val="en-US" w:eastAsia="zh-CN"/>
              </w:rPr>
            </w:pP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lang w:val="en-US" w:eastAsia="zh-CN"/>
              </w:rPr>
            </w:pPr>
            <w:r>
              <w:rPr>
                <w:rFonts w:hint="eastAsia"/>
                <w:b/>
                <w:bCs/>
                <w:u w:val="single"/>
                <w:lang w:val="en-US" w:eastAsia="zh-CN"/>
              </w:rPr>
              <w:t>15</w:t>
            </w:r>
            <w:r>
              <w:rPr>
                <w:b/>
                <w:bCs/>
                <w:color w:val="auto"/>
                <w:u w:val="single"/>
              </w:rPr>
              <w:t>mg</w:t>
            </w:r>
            <w:r>
              <w:rPr>
                <w:rFonts w:hint="eastAsia"/>
                <w:b/>
                <w:bCs/>
                <w:color w:val="auto"/>
                <w:u w:val="single"/>
              </w:rPr>
              <w:t>/L</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eastAsia"/>
                <w:b/>
                <w:bCs/>
                <w:u w:val="single"/>
                <w:lang w:val="en-US" w:eastAsia="zh-CN"/>
              </w:rPr>
            </w:pP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eastAsia"/>
                <w:b/>
                <w:bCs/>
                <w:u w:val="single"/>
                <w:lang w:val="en-US" w:eastAsia="zh-CN"/>
              </w:rPr>
            </w:pP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小店污水处理厂收水标准</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40</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ind w:firstLine="0" w:firstLineChars="0"/>
              <w:rPr>
                <w:rFonts w:hint="default" w:ascii="Times New Roman" w:hAnsi="Times New Roman" w:eastAsia="宋体" w:cs="Times New Roman"/>
                <w:b/>
                <w:bCs/>
                <w:color w:val="000000" w:themeColor="text1"/>
                <w:kern w:val="2"/>
                <w:sz w:val="21"/>
                <w:szCs w:val="21"/>
                <w:u w:val="single"/>
                <w:lang w:val="en-US" w:eastAsia="zh-CN" w:bidi="ar-SA"/>
              </w:rPr>
            </w:pP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7" w:hRule="atLeast"/>
          <w:jc w:val="center"/>
        </w:trPr>
        <w:tc>
          <w:tcPr>
            <w:tcW w:w="74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是否符合收水标准</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6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符合</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符合</w:t>
            </w:r>
          </w:p>
        </w:tc>
        <w:tc>
          <w:tcPr>
            <w:tcW w:w="53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47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符合</w:t>
            </w:r>
          </w:p>
        </w:tc>
        <w:tc>
          <w:tcPr>
            <w:tcW w:w="39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c>
          <w:tcPr>
            <w:tcW w:w="3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符合</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bidi w:val="0"/>
              <w:rPr>
                <w:rFonts w:hint="default"/>
                <w:b/>
                <w:bCs/>
                <w:u w:val="single"/>
                <w:lang w:val="en-US" w:eastAsia="zh-CN"/>
              </w:rPr>
            </w:pPr>
          </w:p>
        </w:tc>
      </w:tr>
    </w:tbl>
    <w:p>
      <w:pPr>
        <w:bidi w:val="0"/>
      </w:pPr>
    </w:p>
    <w:p>
      <w:pPr>
        <w:bidi w:val="0"/>
        <w:sectPr>
          <w:pgSz w:w="16840" w:h="11910" w:orient="landscape"/>
          <w:pgMar w:top="1800" w:right="1440" w:bottom="1800" w:left="1440" w:header="877" w:footer="1196" w:gutter="0"/>
          <w:pgBorders>
            <w:top w:val="none" w:sz="0" w:space="0"/>
            <w:left w:val="none" w:sz="0" w:space="0"/>
            <w:bottom w:val="none" w:sz="0" w:space="0"/>
            <w:right w:val="none" w:sz="0" w:space="0"/>
          </w:pgBorders>
          <w:pgNumType w:fmt="decimal"/>
          <w:cols w:space="720" w:num="1"/>
        </w:sectPr>
      </w:pPr>
    </w:p>
    <w:p>
      <w:pPr>
        <w:bidi w:val="0"/>
        <w:ind w:left="0" w:leftChars="0" w:firstLine="723" w:firstLineChars="300"/>
        <w:rPr>
          <w:rFonts w:hint="default"/>
          <w:b/>
          <w:bCs/>
          <w:color w:val="auto"/>
          <w:u w:val="single"/>
          <w:lang w:val="en-US" w:eastAsia="zh-CN"/>
        </w:rPr>
      </w:pPr>
      <w:r>
        <w:rPr>
          <w:rFonts w:hint="eastAsia"/>
          <w:b/>
          <w:bCs/>
          <w:color w:val="auto"/>
          <w:u w:val="single"/>
          <w:lang w:val="en-US" w:eastAsia="zh-CN"/>
        </w:rPr>
        <w:t>由上表可知，厂区污水处理站总排口2022年10-12月份排入小店污水处理厂的污水COD 为56.32-110.96mg/L，氨氮浓度为0.05-1.18mg/L，总氮浓度为5.87-17.02mg/L，总磷浓度为0.106-0.27mg/L。能够满足《污水综合排放标准》（GB8978-1996）表4二级（化纤浆粕工业）COD 300mg/L、NH</w:t>
      </w:r>
      <w:r>
        <w:rPr>
          <w:rFonts w:hint="eastAsia"/>
          <w:b/>
          <w:bCs/>
          <w:color w:val="auto"/>
          <w:u w:val="single"/>
          <w:vertAlign w:val="subscript"/>
          <w:lang w:val="en-US" w:eastAsia="zh-CN"/>
        </w:rPr>
        <w:t>3</w:t>
      </w:r>
      <w:r>
        <w:rPr>
          <w:rFonts w:hint="eastAsia"/>
          <w:b/>
          <w:bCs/>
          <w:color w:val="auto"/>
          <w:u w:val="single"/>
          <w:lang w:val="en-US" w:eastAsia="zh-CN"/>
        </w:rPr>
        <w:t>-N 25mg/L、TP 1.0mg/L的标准，同时满足排污许可证废水污染物最高允许排放浓度COD 300mg/L、NH</w:t>
      </w:r>
      <w:r>
        <w:rPr>
          <w:rFonts w:hint="eastAsia"/>
          <w:b/>
          <w:bCs/>
          <w:color w:val="auto"/>
          <w:u w:val="single"/>
          <w:vertAlign w:val="subscript"/>
          <w:lang w:val="en-US" w:eastAsia="zh-CN"/>
        </w:rPr>
        <w:t>3</w:t>
      </w:r>
      <w:r>
        <w:rPr>
          <w:rFonts w:hint="eastAsia"/>
          <w:b/>
          <w:bCs/>
          <w:color w:val="auto"/>
          <w:u w:val="single"/>
          <w:lang w:val="en-US" w:eastAsia="zh-CN"/>
        </w:rPr>
        <w:t>-N 15mg/L的要求及小店污水处理厂收水标准TN40mg/L的要求。</w:t>
      </w:r>
    </w:p>
    <w:p>
      <w:pPr>
        <w:bidi w:val="0"/>
        <w:rPr>
          <w:rFonts w:hint="eastAsia"/>
          <w:color w:val="auto"/>
        </w:rPr>
      </w:pPr>
      <w:r>
        <w:rPr>
          <w:rFonts w:hint="eastAsia"/>
          <w:color w:val="auto"/>
        </w:rPr>
        <w:t>根据新乡化纤股份有限公司提供的2</w:t>
      </w:r>
      <w:r>
        <w:rPr>
          <w:color w:val="auto"/>
        </w:rPr>
        <w:t>022</w:t>
      </w:r>
      <w:r>
        <w:rPr>
          <w:rFonts w:hint="eastAsia"/>
          <w:color w:val="auto"/>
        </w:rPr>
        <w:t>年</w:t>
      </w:r>
      <w:r>
        <w:rPr>
          <w:color w:val="auto"/>
        </w:rPr>
        <w:t>11</w:t>
      </w:r>
      <w:r>
        <w:rPr>
          <w:rFonts w:hint="eastAsia"/>
          <w:color w:val="auto"/>
        </w:rPr>
        <w:t>月检测报告，污水处理站监测数据如下表所示。</w:t>
      </w:r>
    </w:p>
    <w:p>
      <w:pPr>
        <w:pStyle w:val="181"/>
        <w:bidi w:val="0"/>
        <w:rPr>
          <w:color w:val="auto"/>
        </w:rPr>
      </w:pPr>
      <w:r>
        <w:rPr>
          <w:rFonts w:hint="eastAsia"/>
          <w:color w:val="auto"/>
        </w:rPr>
        <w:t>表3</w:t>
      </w:r>
      <w:r>
        <w:rPr>
          <w:color w:val="auto"/>
        </w:rPr>
        <w:t>.</w:t>
      </w:r>
      <w:r>
        <w:rPr>
          <w:rFonts w:hint="eastAsia"/>
          <w:color w:val="auto"/>
          <w:lang w:val="en-US" w:eastAsia="zh-CN"/>
        </w:rPr>
        <w:t>3</w:t>
      </w:r>
      <w:r>
        <w:rPr>
          <w:rFonts w:hint="eastAsia"/>
          <w:color w:val="auto"/>
        </w:rPr>
        <w:t>-</w:t>
      </w:r>
      <w:r>
        <w:rPr>
          <w:rFonts w:hint="eastAsia"/>
          <w:color w:val="auto"/>
          <w:lang w:val="en-US" w:eastAsia="zh-CN"/>
        </w:rPr>
        <w:t>6</w:t>
      </w:r>
      <w:r>
        <w:rPr>
          <w:color w:val="auto"/>
        </w:rPr>
        <w:t xml:space="preserve">  </w:t>
      </w:r>
      <w:r>
        <w:rPr>
          <w:rFonts w:hint="eastAsia"/>
          <w:color w:val="auto"/>
          <w:lang w:val="en-US" w:eastAsia="zh-CN"/>
        </w:rPr>
        <w:t xml:space="preserve">          </w:t>
      </w:r>
      <w:r>
        <w:rPr>
          <w:rFonts w:hint="eastAsia"/>
          <w:color w:val="auto"/>
        </w:rPr>
        <w:t>厂区污水处理站总排口监测数据</w:t>
      </w:r>
    </w:p>
    <w:tbl>
      <w:tblPr>
        <w:tblStyle w:val="3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1"/>
        <w:gridCol w:w="1609"/>
        <w:gridCol w:w="2532"/>
        <w:gridCol w:w="1472"/>
        <w:gridCol w:w="1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Align w:val="center"/>
          </w:tcPr>
          <w:p>
            <w:pPr>
              <w:pStyle w:val="182"/>
              <w:bidi w:val="0"/>
              <w:rPr>
                <w:b/>
                <w:bCs/>
                <w:color w:val="auto"/>
              </w:rPr>
            </w:pPr>
            <w:r>
              <w:rPr>
                <w:rFonts w:hint="eastAsia"/>
                <w:b/>
                <w:bCs/>
                <w:color w:val="auto"/>
                <w:lang w:eastAsia="zh-CN"/>
              </w:rPr>
              <w:t>监测点位</w:t>
            </w:r>
          </w:p>
        </w:tc>
        <w:tc>
          <w:tcPr>
            <w:tcW w:w="952" w:type="pct"/>
            <w:vAlign w:val="center"/>
          </w:tcPr>
          <w:p>
            <w:pPr>
              <w:pStyle w:val="182"/>
              <w:bidi w:val="0"/>
              <w:rPr>
                <w:b/>
                <w:bCs/>
                <w:color w:val="auto"/>
              </w:rPr>
            </w:pPr>
            <w:r>
              <w:rPr>
                <w:rFonts w:hint="eastAsia"/>
                <w:b/>
                <w:bCs/>
                <w:color w:val="auto"/>
              </w:rPr>
              <w:t>检测时间</w:t>
            </w:r>
          </w:p>
        </w:tc>
        <w:tc>
          <w:tcPr>
            <w:tcW w:w="1493" w:type="pct"/>
            <w:vAlign w:val="center"/>
          </w:tcPr>
          <w:p>
            <w:pPr>
              <w:pStyle w:val="182"/>
              <w:bidi w:val="0"/>
              <w:rPr>
                <w:b/>
                <w:bCs/>
                <w:color w:val="auto"/>
              </w:rPr>
            </w:pPr>
            <w:r>
              <w:rPr>
                <w:rFonts w:hint="eastAsia"/>
                <w:b/>
                <w:bCs/>
                <w:color w:val="auto"/>
              </w:rPr>
              <w:t>检测因子</w:t>
            </w:r>
          </w:p>
        </w:tc>
        <w:tc>
          <w:tcPr>
            <w:tcW w:w="872" w:type="pct"/>
            <w:vAlign w:val="center"/>
          </w:tcPr>
          <w:p>
            <w:pPr>
              <w:pStyle w:val="182"/>
              <w:bidi w:val="0"/>
              <w:rPr>
                <w:b/>
                <w:bCs/>
                <w:color w:val="auto"/>
              </w:rPr>
            </w:pPr>
            <w:r>
              <w:rPr>
                <w:rFonts w:hint="eastAsia"/>
                <w:b/>
                <w:bCs/>
                <w:color w:val="auto"/>
              </w:rPr>
              <w:t>单位</w:t>
            </w:r>
          </w:p>
        </w:tc>
        <w:tc>
          <w:tcPr>
            <w:tcW w:w="952" w:type="pct"/>
            <w:vAlign w:val="center"/>
          </w:tcPr>
          <w:p>
            <w:pPr>
              <w:pStyle w:val="182"/>
              <w:bidi w:val="0"/>
              <w:rPr>
                <w:b/>
                <w:bCs/>
                <w:color w:val="auto"/>
              </w:rPr>
            </w:pPr>
            <w:r>
              <w:rPr>
                <w:rFonts w:hint="eastAsia"/>
                <w:b/>
                <w:bCs/>
                <w:color w:val="auto"/>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restart"/>
            <w:vAlign w:val="center"/>
          </w:tcPr>
          <w:p>
            <w:pPr>
              <w:pStyle w:val="182"/>
              <w:bidi w:val="0"/>
              <w:rPr>
                <w:color w:val="auto"/>
              </w:rPr>
            </w:pPr>
            <w:r>
              <w:rPr>
                <w:rFonts w:hint="eastAsia"/>
                <w:color w:val="auto"/>
              </w:rPr>
              <w:t>污水总排口（DW</w:t>
            </w:r>
            <w:r>
              <w:rPr>
                <w:color w:val="auto"/>
              </w:rPr>
              <w:t>001</w:t>
            </w:r>
            <w:r>
              <w:rPr>
                <w:rFonts w:hint="eastAsia"/>
                <w:color w:val="auto"/>
              </w:rPr>
              <w:t>）</w:t>
            </w:r>
          </w:p>
        </w:tc>
        <w:tc>
          <w:tcPr>
            <w:tcW w:w="952" w:type="pct"/>
            <w:vMerge w:val="restart"/>
            <w:vAlign w:val="center"/>
          </w:tcPr>
          <w:p>
            <w:pPr>
              <w:pStyle w:val="182"/>
              <w:bidi w:val="0"/>
              <w:rPr>
                <w:color w:val="auto"/>
              </w:rPr>
            </w:pPr>
            <w:r>
              <w:rPr>
                <w:rFonts w:hint="eastAsia"/>
                <w:color w:val="auto"/>
              </w:rPr>
              <w:t>2</w:t>
            </w:r>
            <w:r>
              <w:rPr>
                <w:color w:val="auto"/>
              </w:rPr>
              <w:t>022.10.29</w:t>
            </w:r>
          </w:p>
        </w:tc>
        <w:tc>
          <w:tcPr>
            <w:tcW w:w="1493" w:type="pct"/>
            <w:vAlign w:val="center"/>
          </w:tcPr>
          <w:p>
            <w:pPr>
              <w:pStyle w:val="182"/>
              <w:bidi w:val="0"/>
              <w:rPr>
                <w:color w:val="auto"/>
              </w:rPr>
            </w:pPr>
            <w:r>
              <w:rPr>
                <w:rFonts w:hint="eastAsia"/>
                <w:color w:val="auto"/>
              </w:rPr>
              <w:t>水温</w:t>
            </w:r>
          </w:p>
        </w:tc>
        <w:tc>
          <w:tcPr>
            <w:tcW w:w="872" w:type="pct"/>
            <w:vAlign w:val="center"/>
          </w:tcPr>
          <w:p>
            <w:pPr>
              <w:pStyle w:val="182"/>
              <w:bidi w:val="0"/>
              <w:rPr>
                <w:color w:val="auto"/>
              </w:rPr>
            </w:pPr>
            <w:r>
              <w:rPr>
                <w:rFonts w:hint="eastAsia"/>
                <w:color w:val="auto"/>
              </w:rPr>
              <w:t>℃</w:t>
            </w:r>
          </w:p>
        </w:tc>
        <w:tc>
          <w:tcPr>
            <w:tcW w:w="952" w:type="pct"/>
            <w:vAlign w:val="center"/>
          </w:tcPr>
          <w:p>
            <w:pPr>
              <w:pStyle w:val="182"/>
              <w:bidi w:val="0"/>
              <w:rPr>
                <w:color w:val="auto"/>
              </w:rPr>
            </w:pPr>
            <w:r>
              <w:rPr>
                <w:rFonts w:hint="eastAsia"/>
                <w:color w:val="auto"/>
              </w:rPr>
              <w:t>1</w:t>
            </w:r>
            <w:r>
              <w:rPr>
                <w:color w:val="auto"/>
              </w:rPr>
              <w:t>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pH</w:t>
            </w:r>
          </w:p>
        </w:tc>
        <w:tc>
          <w:tcPr>
            <w:tcW w:w="872" w:type="pct"/>
            <w:vAlign w:val="center"/>
          </w:tcPr>
          <w:p>
            <w:pPr>
              <w:pStyle w:val="182"/>
              <w:bidi w:val="0"/>
              <w:rPr>
                <w:color w:val="auto"/>
              </w:rPr>
            </w:pPr>
            <w:r>
              <w:rPr>
                <w:rFonts w:hint="eastAsia"/>
                <w:color w:val="auto"/>
              </w:rPr>
              <w:t>/</w:t>
            </w:r>
          </w:p>
        </w:tc>
        <w:tc>
          <w:tcPr>
            <w:tcW w:w="952" w:type="pct"/>
            <w:vAlign w:val="center"/>
          </w:tcPr>
          <w:p>
            <w:pPr>
              <w:pStyle w:val="182"/>
              <w:bidi w:val="0"/>
              <w:rPr>
                <w:color w:val="auto"/>
              </w:rPr>
            </w:pPr>
            <w:r>
              <w:rPr>
                <w:rFonts w:hint="eastAsia"/>
                <w:color w:val="auto"/>
              </w:rPr>
              <w:t>7</w:t>
            </w: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化学需氧量</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8</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生化需氧量</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1</w:t>
            </w:r>
            <w:r>
              <w:rPr>
                <w:color w:val="auto"/>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NH</w:t>
            </w:r>
            <w:r>
              <w:rPr>
                <w:rFonts w:hint="eastAsia"/>
                <w:color w:val="auto"/>
                <w:vertAlign w:val="subscript"/>
              </w:rPr>
              <w:t>3</w:t>
            </w:r>
            <w:r>
              <w:rPr>
                <w:rFonts w:hint="eastAsia"/>
                <w:color w:val="auto"/>
              </w:rPr>
              <w:t>-N</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4</w:t>
            </w:r>
            <w:r>
              <w:rPr>
                <w:color w:val="auto"/>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TP</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0</w:t>
            </w:r>
            <w:r>
              <w:rPr>
                <w:color w:val="auto"/>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TN</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9</w:t>
            </w:r>
            <w:r>
              <w:rPr>
                <w:color w:val="auto"/>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悬浮物</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石油类</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0</w:t>
            </w:r>
            <w:r>
              <w:rPr>
                <w:color w:val="auto"/>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硫化物</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0</w:t>
            </w:r>
            <w:r>
              <w:rPr>
                <w:color w:val="auto"/>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氟化物</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2</w:t>
            </w:r>
            <w:r>
              <w:rPr>
                <w:color w:val="auto"/>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挥发酚</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0</w:t>
            </w:r>
            <w:r>
              <w:rPr>
                <w:color w:val="auto"/>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溶解性总固体</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color w:val="auto"/>
              </w:rPr>
              <w:t>1.04×10</w:t>
            </w:r>
            <w:r>
              <w:rPr>
                <w:color w:val="auto"/>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总有机碳</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1</w:t>
            </w:r>
            <w:r>
              <w:rPr>
                <w:color w:val="auto"/>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vMerge w:val="continue"/>
            <w:vAlign w:val="center"/>
          </w:tcPr>
          <w:p>
            <w:pPr>
              <w:pStyle w:val="182"/>
              <w:bidi w:val="0"/>
              <w:rPr>
                <w:color w:val="auto"/>
              </w:rPr>
            </w:pPr>
          </w:p>
        </w:tc>
        <w:tc>
          <w:tcPr>
            <w:tcW w:w="952" w:type="pct"/>
            <w:vMerge w:val="continue"/>
            <w:vAlign w:val="center"/>
          </w:tcPr>
          <w:p>
            <w:pPr>
              <w:pStyle w:val="182"/>
              <w:bidi w:val="0"/>
              <w:rPr>
                <w:color w:val="auto"/>
              </w:rPr>
            </w:pPr>
          </w:p>
        </w:tc>
        <w:tc>
          <w:tcPr>
            <w:tcW w:w="1493" w:type="pct"/>
            <w:vAlign w:val="center"/>
          </w:tcPr>
          <w:p>
            <w:pPr>
              <w:pStyle w:val="182"/>
              <w:bidi w:val="0"/>
              <w:rPr>
                <w:color w:val="auto"/>
              </w:rPr>
            </w:pPr>
            <w:r>
              <w:rPr>
                <w:rFonts w:hint="eastAsia"/>
                <w:color w:val="auto"/>
              </w:rPr>
              <w:t>锌</w:t>
            </w:r>
          </w:p>
        </w:tc>
        <w:tc>
          <w:tcPr>
            <w:tcW w:w="872" w:type="pct"/>
            <w:vAlign w:val="center"/>
          </w:tcPr>
          <w:p>
            <w:pPr>
              <w:pStyle w:val="182"/>
              <w:bidi w:val="0"/>
              <w:rPr>
                <w:color w:val="auto"/>
              </w:rPr>
            </w:pPr>
            <w:r>
              <w:rPr>
                <w:color w:val="auto"/>
              </w:rPr>
              <w:t>mg/L</w:t>
            </w:r>
          </w:p>
        </w:tc>
        <w:tc>
          <w:tcPr>
            <w:tcW w:w="952" w:type="pct"/>
            <w:vAlign w:val="center"/>
          </w:tcPr>
          <w:p>
            <w:pPr>
              <w:pStyle w:val="182"/>
              <w:bidi w:val="0"/>
              <w:rPr>
                <w:color w:val="auto"/>
              </w:rPr>
            </w:pPr>
            <w:r>
              <w:rPr>
                <w:rFonts w:hint="eastAsia"/>
                <w:color w:val="auto"/>
              </w:rPr>
              <w:t>0</w:t>
            </w:r>
            <w:r>
              <w:rPr>
                <w:color w:val="auto"/>
              </w:rPr>
              <w:t>.034</w:t>
            </w:r>
          </w:p>
        </w:tc>
      </w:tr>
    </w:tbl>
    <w:p>
      <w:pPr>
        <w:bidi w:val="0"/>
        <w:rPr>
          <w:rFonts w:hint="eastAsia"/>
        </w:rPr>
      </w:pPr>
      <w:r>
        <w:rPr>
          <w:rFonts w:hint="eastAsia"/>
        </w:rPr>
        <w:t>由上表可知，总排口主要污染物COD、BOD</w:t>
      </w:r>
      <w:r>
        <w:rPr>
          <w:rFonts w:hint="eastAsia"/>
          <w:vertAlign w:val="subscript"/>
        </w:rPr>
        <w:t>5</w:t>
      </w:r>
      <w:r>
        <w:rPr>
          <w:rFonts w:hint="eastAsia"/>
        </w:rPr>
        <w:t>、SS、NH</w:t>
      </w:r>
      <w:r>
        <w:rPr>
          <w:rFonts w:hint="eastAsia"/>
          <w:vertAlign w:val="subscript"/>
        </w:rPr>
        <w:t>3</w:t>
      </w:r>
      <w:r>
        <w:rPr>
          <w:rFonts w:hint="eastAsia"/>
        </w:rPr>
        <w:t>-N、TN、TP、硫化物、总锌等均能够满足《污水综合排放标准》（GB8978-1996）表4二级（化纤浆粕工业）COD 300mg/L、NH</w:t>
      </w:r>
      <w:r>
        <w:rPr>
          <w:rFonts w:hint="eastAsia"/>
          <w:vertAlign w:val="subscript"/>
        </w:rPr>
        <w:t>3</w:t>
      </w:r>
      <w:r>
        <w:rPr>
          <w:rFonts w:hint="eastAsia"/>
        </w:rPr>
        <w:t>-N 25mg/L、TP 1.0mg/L、SS 150mg/L和BOD</w:t>
      </w:r>
      <w:r>
        <w:rPr>
          <w:rFonts w:hint="eastAsia"/>
          <w:vertAlign w:val="subscript"/>
        </w:rPr>
        <w:t>5</w:t>
      </w:r>
      <w:r>
        <w:rPr>
          <w:rFonts w:hint="eastAsia"/>
        </w:rPr>
        <w:t xml:space="preserve"> 100mg/L的标准，同时满足排污许可证废水污染物最高允许排放浓度COD 300mg/L、NH</w:t>
      </w:r>
      <w:r>
        <w:rPr>
          <w:rFonts w:hint="eastAsia"/>
          <w:vertAlign w:val="subscript"/>
        </w:rPr>
        <w:t>3</w:t>
      </w:r>
      <w:r>
        <w:rPr>
          <w:rFonts w:hint="eastAsia"/>
        </w:rPr>
        <w:t>-N 15mg/L、硫化物1.0mg/L的要求及小店污水处理厂收水标准TN40mg/L的要求。</w:t>
      </w:r>
    </w:p>
    <w:p>
      <w:pPr>
        <w:pStyle w:val="181"/>
        <w:bidi w:val="0"/>
        <w:rPr>
          <w:rFonts w:hint="default"/>
          <w:b/>
          <w:bCs/>
          <w:color w:val="auto"/>
          <w:u w:val="single"/>
          <w:lang w:val="en-US" w:eastAsia="zh-CN"/>
        </w:rPr>
      </w:pPr>
      <w:r>
        <w:rPr>
          <w:rFonts w:hint="eastAsia"/>
          <w:b/>
          <w:bCs/>
          <w:color w:val="auto"/>
          <w:u w:val="single"/>
        </w:rPr>
        <w:t>表3</w:t>
      </w:r>
      <w:r>
        <w:rPr>
          <w:rFonts w:hint="eastAsia"/>
          <w:b/>
          <w:bCs/>
          <w:color w:val="auto"/>
          <w:u w:val="single"/>
          <w:lang w:val="en-US" w:eastAsia="zh-CN"/>
        </w:rPr>
        <w:t>.3</w:t>
      </w:r>
      <w:r>
        <w:rPr>
          <w:b/>
          <w:bCs/>
          <w:color w:val="auto"/>
          <w:u w:val="single"/>
        </w:rPr>
        <w:t>-</w:t>
      </w:r>
      <w:r>
        <w:rPr>
          <w:rFonts w:hint="eastAsia"/>
          <w:b/>
          <w:bCs/>
          <w:color w:val="auto"/>
          <w:u w:val="single"/>
          <w:lang w:val="en-US" w:eastAsia="zh-CN"/>
        </w:rPr>
        <w:t>7</w:t>
      </w:r>
      <w:r>
        <w:rPr>
          <w:b/>
          <w:bCs/>
          <w:color w:val="auto"/>
          <w:u w:val="single"/>
        </w:rPr>
        <w:t xml:space="preserve">   </w:t>
      </w:r>
      <w:r>
        <w:rPr>
          <w:rFonts w:hint="eastAsia"/>
          <w:b/>
          <w:bCs/>
          <w:color w:val="auto"/>
          <w:u w:val="single"/>
          <w:lang w:val="en-US" w:eastAsia="zh-CN"/>
        </w:rPr>
        <w:t xml:space="preserve">   </w:t>
      </w:r>
      <w:r>
        <w:rPr>
          <w:rFonts w:hint="eastAsia"/>
          <w:color w:val="auto"/>
          <w:lang w:val="en-US" w:eastAsia="zh-CN"/>
        </w:rPr>
        <w:t>已建</w:t>
      </w:r>
      <w:r>
        <w:rPr>
          <w:rFonts w:hint="eastAsia"/>
          <w:b/>
          <w:bCs/>
          <w:color w:val="auto"/>
          <w:u w:val="single"/>
        </w:rPr>
        <w:t>项目化纤厂新厂区出口水质</w:t>
      </w:r>
      <w:r>
        <w:rPr>
          <w:rFonts w:hint="eastAsia"/>
          <w:b/>
          <w:bCs/>
          <w:color w:val="auto"/>
          <w:u w:val="single"/>
          <w:lang w:val="en-US" w:eastAsia="zh-CN"/>
        </w:rPr>
        <w:t xml:space="preserve">     单位：mg/L</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841"/>
        <w:gridCol w:w="1477"/>
        <w:gridCol w:w="631"/>
        <w:gridCol w:w="1096"/>
        <w:gridCol w:w="1134"/>
        <w:gridCol w:w="1196"/>
        <w:gridCol w:w="8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5" w:type="pct"/>
            <w:vMerge w:val="restart"/>
            <w:vAlign w:val="center"/>
          </w:tcPr>
          <w:p>
            <w:pPr>
              <w:pStyle w:val="182"/>
              <w:bidi w:val="0"/>
              <w:rPr>
                <w:rFonts w:hint="eastAsia"/>
                <w:b/>
                <w:bCs/>
                <w:color w:val="auto"/>
                <w:u w:val="single"/>
                <w:lang w:val="en-US" w:eastAsia="zh-CN"/>
              </w:rPr>
            </w:pPr>
            <w:r>
              <w:rPr>
                <w:rFonts w:hint="eastAsia"/>
                <w:b/>
                <w:bCs/>
                <w:color w:val="auto"/>
                <w:u w:val="single"/>
                <w:lang w:val="en-US" w:eastAsia="zh-CN"/>
              </w:rPr>
              <w:t>污染源</w:t>
            </w:r>
          </w:p>
        </w:tc>
        <w:tc>
          <w:tcPr>
            <w:tcW w:w="4254" w:type="pct"/>
            <w:gridSpan w:val="7"/>
            <w:vAlign w:val="center"/>
          </w:tcPr>
          <w:p>
            <w:pPr>
              <w:pStyle w:val="182"/>
              <w:bidi w:val="0"/>
              <w:rPr>
                <w:rFonts w:hint="eastAsia"/>
                <w:b/>
                <w:bCs/>
                <w:color w:val="auto"/>
                <w:u w:val="single"/>
              </w:rPr>
            </w:pPr>
            <w:r>
              <w:rPr>
                <w:rFonts w:hint="eastAsia"/>
                <w:b/>
                <w:bCs/>
                <w:color w:val="auto"/>
                <w:u w:val="single"/>
                <w:lang w:val="en-US" w:eastAsia="zh-CN"/>
              </w:rPr>
              <w:t>产生浓度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5" w:type="pct"/>
            <w:vMerge w:val="continue"/>
            <w:vAlign w:val="center"/>
          </w:tcPr>
          <w:p>
            <w:pPr>
              <w:pStyle w:val="182"/>
              <w:bidi w:val="0"/>
              <w:rPr>
                <w:rFonts w:hint="eastAsia"/>
                <w:b/>
                <w:bCs/>
                <w:color w:val="auto"/>
                <w:u w:val="single"/>
              </w:rPr>
            </w:pPr>
          </w:p>
        </w:tc>
        <w:tc>
          <w:tcPr>
            <w:tcW w:w="493" w:type="pct"/>
            <w:vAlign w:val="center"/>
          </w:tcPr>
          <w:p>
            <w:pPr>
              <w:pStyle w:val="182"/>
              <w:bidi w:val="0"/>
              <w:rPr>
                <w:rFonts w:hint="eastAsia"/>
                <w:b/>
                <w:bCs/>
                <w:color w:val="auto"/>
                <w:u w:val="single"/>
              </w:rPr>
            </w:pPr>
            <w:r>
              <w:rPr>
                <w:b/>
                <w:bCs/>
                <w:color w:val="auto"/>
                <w:u w:val="single"/>
              </w:rPr>
              <w:t>pH</w:t>
            </w:r>
          </w:p>
        </w:tc>
        <w:tc>
          <w:tcPr>
            <w:tcW w:w="866" w:type="pct"/>
            <w:vAlign w:val="center"/>
          </w:tcPr>
          <w:p>
            <w:pPr>
              <w:pStyle w:val="182"/>
              <w:bidi w:val="0"/>
              <w:rPr>
                <w:rFonts w:hint="eastAsia"/>
                <w:b/>
                <w:bCs/>
                <w:color w:val="auto"/>
                <w:u w:val="single"/>
              </w:rPr>
            </w:pPr>
            <w:r>
              <w:rPr>
                <w:b/>
                <w:bCs/>
                <w:color w:val="auto"/>
                <w:u w:val="single"/>
              </w:rPr>
              <w:t>COD</w:t>
            </w:r>
          </w:p>
        </w:tc>
        <w:tc>
          <w:tcPr>
            <w:tcW w:w="370" w:type="pct"/>
            <w:vAlign w:val="center"/>
          </w:tcPr>
          <w:p>
            <w:pPr>
              <w:pStyle w:val="182"/>
              <w:bidi w:val="0"/>
              <w:rPr>
                <w:rFonts w:hint="eastAsia"/>
                <w:b/>
                <w:bCs/>
                <w:color w:val="auto"/>
                <w:u w:val="single"/>
              </w:rPr>
            </w:pPr>
            <w:r>
              <w:rPr>
                <w:b/>
                <w:bCs/>
                <w:color w:val="auto"/>
                <w:u w:val="single"/>
              </w:rPr>
              <w:t>SS</w:t>
            </w:r>
          </w:p>
        </w:tc>
        <w:tc>
          <w:tcPr>
            <w:tcW w:w="642" w:type="pct"/>
            <w:vAlign w:val="center"/>
          </w:tcPr>
          <w:p>
            <w:pPr>
              <w:pStyle w:val="182"/>
              <w:bidi w:val="0"/>
              <w:rPr>
                <w:rFonts w:hint="eastAsia"/>
                <w:b/>
                <w:bCs/>
                <w:color w:val="auto"/>
                <w:u w:val="single"/>
              </w:rPr>
            </w:pPr>
            <w:r>
              <w:rPr>
                <w:rFonts w:hint="eastAsia"/>
                <w:b/>
                <w:bCs/>
                <w:color w:val="auto"/>
                <w:u w:val="single"/>
              </w:rPr>
              <w:t>氨氮</w:t>
            </w:r>
          </w:p>
        </w:tc>
        <w:tc>
          <w:tcPr>
            <w:tcW w:w="665" w:type="pct"/>
            <w:vAlign w:val="center"/>
          </w:tcPr>
          <w:p>
            <w:pPr>
              <w:pStyle w:val="182"/>
              <w:bidi w:val="0"/>
              <w:rPr>
                <w:rFonts w:hint="eastAsia"/>
                <w:b/>
                <w:bCs/>
                <w:color w:val="auto"/>
                <w:u w:val="single"/>
              </w:rPr>
            </w:pPr>
            <w:r>
              <w:rPr>
                <w:b/>
                <w:bCs/>
                <w:color w:val="auto"/>
                <w:u w:val="single"/>
              </w:rPr>
              <w:t>TN</w:t>
            </w:r>
          </w:p>
        </w:tc>
        <w:tc>
          <w:tcPr>
            <w:tcW w:w="701" w:type="pct"/>
            <w:vAlign w:val="center"/>
          </w:tcPr>
          <w:p>
            <w:pPr>
              <w:pStyle w:val="182"/>
              <w:bidi w:val="0"/>
              <w:rPr>
                <w:rFonts w:hint="eastAsia"/>
                <w:b/>
                <w:bCs/>
                <w:color w:val="auto"/>
                <w:u w:val="single"/>
              </w:rPr>
            </w:pPr>
            <w:r>
              <w:rPr>
                <w:rFonts w:hint="eastAsia"/>
                <w:b/>
                <w:bCs/>
                <w:color w:val="auto"/>
                <w:u w:val="single"/>
              </w:rPr>
              <w:t>TP</w:t>
            </w:r>
          </w:p>
        </w:tc>
        <w:tc>
          <w:tcPr>
            <w:tcW w:w="516" w:type="pct"/>
            <w:vAlign w:val="center"/>
          </w:tcPr>
          <w:p>
            <w:pPr>
              <w:pStyle w:val="182"/>
              <w:bidi w:val="0"/>
              <w:rPr>
                <w:rFonts w:hint="eastAsia"/>
                <w:b/>
                <w:bCs/>
                <w:color w:val="auto"/>
                <w:u w:val="single"/>
              </w:rPr>
            </w:pPr>
            <w:r>
              <w:rPr>
                <w:rFonts w:hint="eastAsia"/>
                <w:b/>
                <w:bCs/>
                <w:color w:val="auto"/>
                <w:u w:val="single"/>
              </w:rPr>
              <w:t>硫化物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5" w:type="pct"/>
            <w:vAlign w:val="center"/>
          </w:tcPr>
          <w:p>
            <w:pPr>
              <w:pStyle w:val="182"/>
              <w:bidi w:val="0"/>
              <w:rPr>
                <w:rFonts w:hint="eastAsia"/>
                <w:b/>
                <w:bCs/>
                <w:color w:val="auto"/>
                <w:u w:val="single"/>
              </w:rPr>
            </w:pPr>
            <w:r>
              <w:rPr>
                <w:rFonts w:hint="eastAsia"/>
                <w:b/>
                <w:bCs/>
                <w:color w:val="auto"/>
                <w:u w:val="single"/>
              </w:rPr>
              <w:t>化纤厂新厂区总排口</w:t>
            </w:r>
          </w:p>
        </w:tc>
        <w:tc>
          <w:tcPr>
            <w:tcW w:w="493" w:type="pct"/>
            <w:vAlign w:val="center"/>
          </w:tcPr>
          <w:p>
            <w:pPr>
              <w:pStyle w:val="182"/>
              <w:bidi w:val="0"/>
              <w:rPr>
                <w:rFonts w:hint="default"/>
                <w:b/>
                <w:bCs/>
                <w:color w:val="auto"/>
                <w:u w:val="single"/>
                <w:lang w:val="en-US" w:eastAsia="zh-CN"/>
              </w:rPr>
            </w:pPr>
            <w:r>
              <w:rPr>
                <w:rFonts w:hint="eastAsia"/>
                <w:b/>
                <w:bCs/>
                <w:color w:val="auto"/>
                <w:u w:val="single"/>
                <w:lang w:val="en-US" w:eastAsia="zh-CN"/>
              </w:rPr>
              <w:t>7.4</w:t>
            </w:r>
          </w:p>
        </w:tc>
        <w:tc>
          <w:tcPr>
            <w:tcW w:w="866" w:type="pct"/>
            <w:vAlign w:val="center"/>
          </w:tcPr>
          <w:p>
            <w:pPr>
              <w:pStyle w:val="182"/>
              <w:bidi w:val="0"/>
              <w:rPr>
                <w:rFonts w:hint="eastAsia"/>
                <w:b/>
                <w:bCs/>
                <w:color w:val="auto"/>
                <w:u w:val="single"/>
              </w:rPr>
            </w:pPr>
            <w:r>
              <w:rPr>
                <w:rFonts w:hint="eastAsia"/>
                <w:b/>
                <w:bCs/>
                <w:color w:val="auto"/>
                <w:u w:val="single"/>
                <w:lang w:val="en-US" w:eastAsia="zh-CN"/>
              </w:rPr>
              <w:t>56.32-110.96</w:t>
            </w:r>
          </w:p>
        </w:tc>
        <w:tc>
          <w:tcPr>
            <w:tcW w:w="370" w:type="pct"/>
            <w:vAlign w:val="center"/>
          </w:tcPr>
          <w:p>
            <w:pPr>
              <w:pStyle w:val="182"/>
              <w:bidi w:val="0"/>
              <w:rPr>
                <w:rFonts w:hint="eastAsia"/>
                <w:b/>
                <w:bCs/>
                <w:color w:val="auto"/>
                <w:u w:val="single"/>
                <w:lang w:val="en-US" w:eastAsia="zh-CN"/>
              </w:rPr>
            </w:pPr>
            <w:r>
              <w:rPr>
                <w:rFonts w:hint="eastAsia"/>
                <w:b/>
                <w:bCs/>
                <w:color w:val="auto"/>
                <w:u w:val="single"/>
                <w:lang w:val="en-US" w:eastAsia="zh-CN"/>
              </w:rPr>
              <w:t>8</w:t>
            </w:r>
          </w:p>
        </w:tc>
        <w:tc>
          <w:tcPr>
            <w:tcW w:w="642" w:type="pct"/>
            <w:vAlign w:val="center"/>
          </w:tcPr>
          <w:p>
            <w:pPr>
              <w:pStyle w:val="182"/>
              <w:bidi w:val="0"/>
              <w:rPr>
                <w:rFonts w:hint="default"/>
                <w:b/>
                <w:bCs/>
                <w:color w:val="auto"/>
                <w:u w:val="single"/>
                <w:lang w:val="en-US"/>
              </w:rPr>
            </w:pPr>
            <w:r>
              <w:rPr>
                <w:rFonts w:hint="eastAsia"/>
                <w:b/>
                <w:bCs/>
                <w:color w:val="auto"/>
                <w:u w:val="single"/>
                <w:lang w:val="en-US" w:eastAsia="zh-CN"/>
              </w:rPr>
              <w:t>0.05-4.66</w:t>
            </w:r>
          </w:p>
        </w:tc>
        <w:tc>
          <w:tcPr>
            <w:tcW w:w="665" w:type="pct"/>
            <w:vAlign w:val="center"/>
          </w:tcPr>
          <w:p>
            <w:pPr>
              <w:pStyle w:val="182"/>
              <w:bidi w:val="0"/>
              <w:rPr>
                <w:rFonts w:hint="eastAsia"/>
                <w:b/>
                <w:bCs/>
                <w:color w:val="auto"/>
                <w:u w:val="single"/>
              </w:rPr>
            </w:pPr>
            <w:r>
              <w:rPr>
                <w:rFonts w:hint="eastAsia"/>
                <w:b/>
                <w:bCs/>
                <w:color w:val="auto"/>
                <w:u w:val="single"/>
                <w:lang w:val="en-US" w:eastAsia="zh-CN"/>
              </w:rPr>
              <w:t>5.87-17.02</w:t>
            </w:r>
          </w:p>
        </w:tc>
        <w:tc>
          <w:tcPr>
            <w:tcW w:w="701" w:type="pct"/>
            <w:vAlign w:val="center"/>
          </w:tcPr>
          <w:p>
            <w:pPr>
              <w:pStyle w:val="182"/>
              <w:bidi w:val="0"/>
              <w:rPr>
                <w:rFonts w:hint="eastAsia"/>
                <w:b/>
                <w:bCs/>
                <w:color w:val="auto"/>
                <w:u w:val="single"/>
              </w:rPr>
            </w:pPr>
            <w:r>
              <w:rPr>
                <w:rFonts w:hint="eastAsia"/>
                <w:b/>
                <w:bCs/>
                <w:color w:val="auto"/>
                <w:u w:val="single"/>
                <w:lang w:val="en-US" w:eastAsia="zh-CN"/>
              </w:rPr>
              <w:t>0.106-0.27</w:t>
            </w:r>
          </w:p>
        </w:tc>
        <w:tc>
          <w:tcPr>
            <w:tcW w:w="516" w:type="pct"/>
            <w:vAlign w:val="center"/>
          </w:tcPr>
          <w:p>
            <w:pPr>
              <w:pStyle w:val="182"/>
              <w:bidi w:val="0"/>
              <w:rPr>
                <w:rFonts w:hint="default"/>
                <w:b/>
                <w:bCs/>
                <w:color w:val="auto"/>
                <w:u w:val="single"/>
                <w:lang w:val="en-US" w:eastAsia="zh-CN"/>
              </w:rPr>
            </w:pPr>
            <w:r>
              <w:rPr>
                <w:rFonts w:hint="eastAsia"/>
                <w:b/>
                <w:bCs/>
                <w:color w:val="auto"/>
                <w:u w:val="single"/>
                <w:lang w:val="en-US" w:eastAsia="zh-CN"/>
              </w:rPr>
              <w:t>0.01</w:t>
            </w:r>
          </w:p>
        </w:tc>
      </w:tr>
    </w:tbl>
    <w:p>
      <w:pPr>
        <w:adjustRightInd w:val="0"/>
        <w:snapToGrid w:val="0"/>
        <w:spacing w:line="520" w:lineRule="exact"/>
        <w:ind w:firstLine="482" w:firstLineChars="200"/>
        <w:textAlignment w:val="baseline"/>
        <w:rPr>
          <w:b/>
          <w:bCs/>
          <w:color w:val="auto"/>
          <w:kern w:val="0"/>
          <w:sz w:val="24"/>
          <w:szCs w:val="20"/>
          <w:u w:val="single"/>
        </w:rPr>
      </w:pPr>
      <w:r>
        <w:rPr>
          <w:rFonts w:hint="eastAsia"/>
          <w:b/>
          <w:bCs/>
          <w:color w:val="auto"/>
          <w:sz w:val="24"/>
          <w:szCs w:val="20"/>
          <w:u w:val="single"/>
          <w:lang w:val="en-US" w:eastAsia="zh-CN"/>
        </w:rPr>
        <w:t>根据2022年排污许可证执行报告污水排放总量为719.5508万吨，</w:t>
      </w:r>
      <w:r>
        <w:rPr>
          <w:rFonts w:hint="eastAsia"/>
          <w:b/>
          <w:bCs/>
          <w:color w:val="auto"/>
          <w:sz w:val="24"/>
          <w:szCs w:val="20"/>
          <w:u w:val="single"/>
        </w:rPr>
        <w:t>综上所述，该项目废水污染物实际排放量见下表：</w:t>
      </w:r>
    </w:p>
    <w:p>
      <w:pPr>
        <w:pStyle w:val="181"/>
        <w:bidi w:val="0"/>
      </w:pPr>
      <w:r>
        <w:rPr>
          <w:rFonts w:hint="eastAsia"/>
        </w:rPr>
        <w:t>表3</w:t>
      </w:r>
      <w:r>
        <w:rPr>
          <w:rFonts w:hint="eastAsia"/>
          <w:lang w:val="en-US" w:eastAsia="zh-CN"/>
        </w:rPr>
        <w:t>.3</w:t>
      </w:r>
      <w:r>
        <w:t>-</w:t>
      </w:r>
      <w:r>
        <w:rPr>
          <w:rFonts w:hint="eastAsia"/>
          <w:lang w:val="en-US" w:eastAsia="zh-CN"/>
        </w:rPr>
        <w:t>8</w:t>
      </w:r>
      <w:r>
        <w:rPr>
          <w:rFonts w:hint="eastAsia"/>
        </w:rPr>
        <w:t xml:space="preserve">        </w:t>
      </w:r>
      <w:r>
        <w:t xml:space="preserve">   </w:t>
      </w:r>
      <w:r>
        <w:rPr>
          <w:rFonts w:hint="eastAsia"/>
          <w:color w:val="auto"/>
          <w:lang w:val="en-US" w:eastAsia="zh-CN"/>
        </w:rPr>
        <w:t>已建</w:t>
      </w:r>
      <w:r>
        <w:rPr>
          <w:rFonts w:hint="eastAsia"/>
        </w:rPr>
        <w:t>工程废水污染物排放情况</w:t>
      </w:r>
    </w:p>
    <w:tbl>
      <w:tblPr>
        <w:tblStyle w:val="32"/>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366"/>
        <w:gridCol w:w="2640"/>
        <w:gridCol w:w="351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vMerge w:val="restart"/>
            <w:tcBorders>
              <w:tl2br w:val="nil"/>
              <w:tr2bl w:val="nil"/>
            </w:tcBorders>
            <w:vAlign w:val="center"/>
          </w:tcPr>
          <w:p>
            <w:pPr>
              <w:pStyle w:val="182"/>
              <w:bidi w:val="0"/>
              <w:rPr>
                <w:b/>
                <w:bCs/>
                <w:color w:val="auto"/>
                <w:u w:val="single"/>
              </w:rPr>
            </w:pPr>
            <w:r>
              <w:rPr>
                <w:rFonts w:hint="eastAsia"/>
                <w:b/>
                <w:bCs/>
                <w:color w:val="auto"/>
                <w:u w:val="single"/>
              </w:rPr>
              <w:t>污染物</w:t>
            </w:r>
          </w:p>
        </w:tc>
        <w:tc>
          <w:tcPr>
            <w:tcW w:w="3611" w:type="pct"/>
            <w:gridSpan w:val="2"/>
            <w:tcBorders>
              <w:tl2br w:val="nil"/>
              <w:tr2bl w:val="nil"/>
            </w:tcBorders>
            <w:vAlign w:val="center"/>
          </w:tcPr>
          <w:p>
            <w:pPr>
              <w:pStyle w:val="182"/>
              <w:bidi w:val="0"/>
              <w:rPr>
                <w:b/>
                <w:bCs/>
                <w:color w:val="auto"/>
                <w:u w:val="single"/>
              </w:rPr>
            </w:pPr>
            <w:r>
              <w:rPr>
                <w:rFonts w:hint="eastAsia"/>
                <w:b/>
                <w:bCs/>
                <w:color w:val="auto"/>
                <w:u w:val="single"/>
              </w:rPr>
              <w:t>实际排放量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vMerge w:val="continue"/>
            <w:tcBorders>
              <w:tl2br w:val="nil"/>
              <w:tr2bl w:val="nil"/>
            </w:tcBorders>
            <w:vAlign w:val="center"/>
          </w:tcPr>
          <w:p>
            <w:pPr>
              <w:pStyle w:val="182"/>
              <w:bidi w:val="0"/>
              <w:rPr>
                <w:b/>
                <w:bCs/>
                <w:color w:val="auto"/>
                <w:u w:val="single"/>
              </w:rPr>
            </w:pPr>
          </w:p>
        </w:tc>
        <w:tc>
          <w:tcPr>
            <w:tcW w:w="1548" w:type="pct"/>
            <w:tcBorders>
              <w:tl2br w:val="nil"/>
              <w:tr2bl w:val="nil"/>
            </w:tcBorders>
            <w:vAlign w:val="center"/>
          </w:tcPr>
          <w:p>
            <w:pPr>
              <w:pStyle w:val="182"/>
              <w:bidi w:val="0"/>
              <w:rPr>
                <w:rFonts w:hint="eastAsia"/>
                <w:b/>
                <w:bCs/>
                <w:color w:val="auto"/>
                <w:u w:val="single"/>
                <w:lang w:val="en-US" w:eastAsia="zh-CN"/>
              </w:rPr>
            </w:pPr>
            <w:r>
              <w:rPr>
                <w:rFonts w:hint="eastAsia"/>
                <w:b/>
                <w:bCs/>
                <w:color w:val="auto"/>
                <w:u w:val="single"/>
                <w:lang w:val="en-US" w:eastAsia="zh-CN"/>
              </w:rPr>
              <w:t>浓度（mg/L）</w:t>
            </w:r>
          </w:p>
        </w:tc>
        <w:tc>
          <w:tcPr>
            <w:tcW w:w="2062" w:type="pct"/>
            <w:tcBorders>
              <w:tl2br w:val="nil"/>
              <w:tr2bl w:val="nil"/>
            </w:tcBorders>
            <w:vAlign w:val="center"/>
          </w:tcPr>
          <w:p>
            <w:pPr>
              <w:pStyle w:val="182"/>
              <w:bidi w:val="0"/>
              <w:rPr>
                <w:b/>
                <w:bCs/>
                <w:color w:val="auto"/>
                <w:u w:val="single"/>
              </w:rPr>
            </w:pPr>
            <w:r>
              <w:rPr>
                <w:rFonts w:hint="eastAsia"/>
                <w:b/>
                <w:bCs/>
                <w:color w:val="auto"/>
                <w:u w:val="single"/>
              </w:rPr>
              <w:t>化纤厂新厂区总排口</w:t>
            </w:r>
            <w:r>
              <w:rPr>
                <w:rFonts w:hint="eastAsia"/>
                <w:b/>
                <w:bCs/>
                <w:color w:val="auto"/>
                <w:u w:val="single"/>
                <w:lang w:eastAsia="zh-CN"/>
              </w:rPr>
              <w:t>（</w:t>
            </w:r>
            <w:r>
              <w:rPr>
                <w:b/>
                <w:bCs/>
                <w:color w:val="auto"/>
                <w:sz w:val="24"/>
                <w:u w:val="single"/>
              </w:rPr>
              <w:t>t/a</w:t>
            </w:r>
            <w:r>
              <w:rPr>
                <w:rFonts w:hint="eastAsia"/>
                <w:b/>
                <w:bCs/>
                <w:color w:val="auto"/>
                <w:u w:val="singl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COD</w:t>
            </w:r>
          </w:p>
        </w:tc>
        <w:tc>
          <w:tcPr>
            <w:tcW w:w="1548" w:type="pct"/>
            <w:tcBorders>
              <w:tl2br w:val="nil"/>
              <w:tr2bl w:val="nil"/>
            </w:tcBorders>
            <w:shd w:val="clear" w:color="auto" w:fill="auto"/>
            <w:vAlign w:val="center"/>
          </w:tcPr>
          <w:p>
            <w:pPr>
              <w:pStyle w:val="182"/>
              <w:bidi w:val="0"/>
              <w:rPr>
                <w:rFonts w:hint="default"/>
                <w:b/>
                <w:bCs/>
                <w:color w:val="auto"/>
                <w:u w:val="single"/>
                <w:lang w:val="en-US" w:eastAsia="zh-CN"/>
              </w:rPr>
            </w:pPr>
            <w:r>
              <w:rPr>
                <w:rFonts w:hint="eastAsia"/>
                <w:b/>
                <w:bCs/>
                <w:color w:val="auto"/>
                <w:u w:val="single"/>
                <w:lang w:val="en-US" w:eastAsia="zh-CN"/>
              </w:rPr>
              <w:t>110.96</w:t>
            </w:r>
          </w:p>
        </w:tc>
        <w:tc>
          <w:tcPr>
            <w:tcW w:w="3518" w:type="dxa"/>
            <w:tcBorders>
              <w:tl2br w:val="nil"/>
              <w:tr2bl w:val="nil"/>
            </w:tcBorders>
            <w:vAlign w:val="center"/>
          </w:tcPr>
          <w:p>
            <w:pPr>
              <w:pStyle w:val="182"/>
              <w:bidi w:val="0"/>
              <w:rPr>
                <w:b/>
                <w:bCs/>
                <w:u w:val="single"/>
              </w:rPr>
            </w:pPr>
            <w:r>
              <w:rPr>
                <w:rFonts w:hint="eastAsia"/>
                <w:b/>
                <w:bCs/>
                <w:u w:val="single"/>
                <w:lang w:val="en-US" w:eastAsia="zh-CN"/>
              </w:rPr>
              <w:t>798.4136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NH</w:t>
            </w:r>
            <w:r>
              <w:rPr>
                <w:rFonts w:hint="eastAsia"/>
                <w:b/>
                <w:bCs/>
                <w:color w:val="auto"/>
                <w:u w:val="single"/>
                <w:vertAlign w:val="subscript"/>
                <w:lang w:val="en-US" w:eastAsia="zh-CN"/>
              </w:rPr>
              <w:t>3</w:t>
            </w:r>
            <w:r>
              <w:rPr>
                <w:rFonts w:hint="eastAsia"/>
                <w:b/>
                <w:bCs/>
                <w:color w:val="auto"/>
                <w:u w:val="single"/>
                <w:lang w:val="en-US" w:eastAsia="zh-CN"/>
              </w:rPr>
              <w:t>-N</w:t>
            </w:r>
          </w:p>
        </w:tc>
        <w:tc>
          <w:tcPr>
            <w:tcW w:w="1548" w:type="pct"/>
            <w:tcBorders>
              <w:tl2br w:val="nil"/>
              <w:tr2bl w:val="nil"/>
            </w:tcBorders>
            <w:shd w:val="clear" w:color="auto" w:fill="auto"/>
            <w:vAlign w:val="center"/>
          </w:tcPr>
          <w:p>
            <w:pPr>
              <w:pStyle w:val="182"/>
              <w:bidi w:val="0"/>
              <w:rPr>
                <w:rFonts w:hint="default"/>
                <w:b/>
                <w:bCs/>
                <w:color w:val="auto"/>
                <w:u w:val="single"/>
                <w:lang w:val="en-US" w:eastAsia="zh-CN"/>
              </w:rPr>
            </w:pPr>
            <w:r>
              <w:rPr>
                <w:rFonts w:hint="eastAsia"/>
                <w:b/>
                <w:bCs/>
                <w:color w:val="auto"/>
                <w:u w:val="single"/>
                <w:lang w:val="en-US" w:eastAsia="zh-CN"/>
              </w:rPr>
              <w:t>4.66</w:t>
            </w:r>
          </w:p>
        </w:tc>
        <w:tc>
          <w:tcPr>
            <w:tcW w:w="3518" w:type="dxa"/>
            <w:tcBorders>
              <w:tl2br w:val="nil"/>
              <w:tr2bl w:val="nil"/>
            </w:tcBorders>
            <w:vAlign w:val="center"/>
          </w:tcPr>
          <w:p>
            <w:pPr>
              <w:pStyle w:val="182"/>
              <w:bidi w:val="0"/>
              <w:rPr>
                <w:b/>
                <w:bCs/>
                <w:u w:val="single"/>
              </w:rPr>
            </w:pPr>
            <w:r>
              <w:rPr>
                <w:rFonts w:hint="eastAsia"/>
                <w:b/>
                <w:bCs/>
                <w:u w:val="single"/>
                <w:lang w:val="en-US" w:eastAsia="zh-CN"/>
              </w:rPr>
              <w:t>33.5311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TN</w:t>
            </w:r>
          </w:p>
        </w:tc>
        <w:tc>
          <w:tcPr>
            <w:tcW w:w="1548" w:type="pct"/>
            <w:tcBorders>
              <w:tl2br w:val="nil"/>
              <w:tr2bl w:val="nil"/>
            </w:tcBorders>
            <w:shd w:val="clear" w:color="auto" w:fill="auto"/>
            <w:vAlign w:val="center"/>
          </w:tcPr>
          <w:p>
            <w:pPr>
              <w:pStyle w:val="182"/>
              <w:bidi w:val="0"/>
              <w:rPr>
                <w:rFonts w:hint="default"/>
                <w:b/>
                <w:bCs/>
                <w:color w:val="auto"/>
                <w:u w:val="single"/>
                <w:lang w:val="en-US" w:eastAsia="zh-CN"/>
              </w:rPr>
            </w:pPr>
            <w:r>
              <w:rPr>
                <w:rFonts w:hint="eastAsia"/>
                <w:b/>
                <w:bCs/>
                <w:color w:val="auto"/>
                <w:u w:val="single"/>
                <w:lang w:val="en-US" w:eastAsia="zh-CN"/>
              </w:rPr>
              <w:t>17.02</w:t>
            </w:r>
          </w:p>
        </w:tc>
        <w:tc>
          <w:tcPr>
            <w:tcW w:w="3518" w:type="dxa"/>
            <w:tcBorders>
              <w:tl2br w:val="nil"/>
              <w:tr2bl w:val="nil"/>
            </w:tcBorders>
            <w:vAlign w:val="center"/>
          </w:tcPr>
          <w:p>
            <w:pPr>
              <w:pStyle w:val="182"/>
              <w:bidi w:val="0"/>
              <w:rPr>
                <w:b/>
                <w:bCs/>
                <w:u w:val="single"/>
              </w:rPr>
            </w:pPr>
            <w:r>
              <w:rPr>
                <w:rFonts w:hint="eastAsia"/>
                <w:b/>
                <w:bCs/>
                <w:u w:val="single"/>
                <w:lang w:val="en-US" w:eastAsia="zh-CN"/>
              </w:rPr>
              <w:t>122.4675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TP</w:t>
            </w:r>
          </w:p>
        </w:tc>
        <w:tc>
          <w:tcPr>
            <w:tcW w:w="1548" w:type="pct"/>
            <w:tcBorders>
              <w:tl2br w:val="nil"/>
              <w:tr2bl w:val="nil"/>
            </w:tcBorders>
            <w:shd w:val="clear" w:color="auto" w:fill="auto"/>
            <w:vAlign w:val="center"/>
          </w:tcPr>
          <w:p>
            <w:pPr>
              <w:pStyle w:val="182"/>
              <w:bidi w:val="0"/>
              <w:rPr>
                <w:rFonts w:hint="default"/>
                <w:b/>
                <w:bCs/>
                <w:color w:val="auto"/>
                <w:u w:val="single"/>
                <w:lang w:val="en-US" w:eastAsia="zh-CN"/>
              </w:rPr>
            </w:pPr>
            <w:r>
              <w:rPr>
                <w:rFonts w:hint="eastAsia"/>
                <w:b/>
                <w:bCs/>
                <w:color w:val="auto"/>
                <w:u w:val="single"/>
                <w:lang w:val="en-US" w:eastAsia="zh-CN"/>
              </w:rPr>
              <w:t>0.27</w:t>
            </w:r>
          </w:p>
        </w:tc>
        <w:tc>
          <w:tcPr>
            <w:tcW w:w="3518" w:type="dxa"/>
            <w:tcBorders>
              <w:tl2br w:val="nil"/>
              <w:tr2bl w:val="nil"/>
            </w:tcBorders>
            <w:vAlign w:val="center"/>
          </w:tcPr>
          <w:p>
            <w:pPr>
              <w:pStyle w:val="182"/>
              <w:bidi w:val="0"/>
              <w:rPr>
                <w:b/>
                <w:bCs/>
                <w:u w:val="single"/>
              </w:rPr>
            </w:pPr>
            <w:r>
              <w:rPr>
                <w:rFonts w:hint="eastAsia"/>
                <w:b/>
                <w:bCs/>
                <w:u w:val="single"/>
                <w:lang w:val="en-US" w:eastAsia="zh-CN"/>
              </w:rPr>
              <w:t>1.9428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锌</w:t>
            </w:r>
          </w:p>
        </w:tc>
        <w:tc>
          <w:tcPr>
            <w:tcW w:w="1548" w:type="pct"/>
            <w:tcBorders>
              <w:tl2br w:val="nil"/>
              <w:tr2bl w:val="nil"/>
            </w:tcBorders>
            <w:shd w:val="clear" w:color="auto" w:fill="auto"/>
            <w:vAlign w:val="center"/>
          </w:tcPr>
          <w:p>
            <w:pPr>
              <w:pStyle w:val="182"/>
              <w:bidi w:val="0"/>
              <w:rPr>
                <w:rFonts w:hint="default"/>
                <w:b/>
                <w:bCs/>
                <w:color w:val="auto"/>
                <w:u w:val="single"/>
                <w:lang w:val="en-US" w:eastAsia="zh-CN"/>
              </w:rPr>
            </w:pPr>
            <w:r>
              <w:rPr>
                <w:rFonts w:hint="eastAsia"/>
                <w:b/>
                <w:bCs/>
                <w:color w:val="auto"/>
                <w:u w:val="single"/>
                <w:lang w:val="en-US" w:eastAsia="zh-CN"/>
              </w:rPr>
              <w:t>0.034</w:t>
            </w:r>
          </w:p>
        </w:tc>
        <w:tc>
          <w:tcPr>
            <w:tcW w:w="3518" w:type="dxa"/>
            <w:tcBorders>
              <w:tl2br w:val="nil"/>
              <w:tr2bl w:val="nil"/>
            </w:tcBorders>
            <w:vAlign w:val="center"/>
          </w:tcPr>
          <w:p>
            <w:pPr>
              <w:pStyle w:val="182"/>
              <w:bidi w:val="0"/>
              <w:rPr>
                <w:rFonts w:hint="eastAsia"/>
                <w:b/>
                <w:bCs/>
                <w:u w:val="single"/>
              </w:rPr>
            </w:pPr>
            <w:r>
              <w:rPr>
                <w:rFonts w:hint="eastAsia"/>
                <w:b/>
                <w:bCs/>
                <w:u w:val="single"/>
                <w:lang w:val="en-US" w:eastAsia="zh-CN"/>
              </w:rPr>
              <w:t>0.2446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硫化物</w:t>
            </w:r>
          </w:p>
        </w:tc>
        <w:tc>
          <w:tcPr>
            <w:tcW w:w="1548" w:type="pct"/>
            <w:tcBorders>
              <w:tl2br w:val="nil"/>
              <w:tr2bl w:val="nil"/>
            </w:tcBorders>
            <w:shd w:val="clear" w:color="auto" w:fill="auto"/>
            <w:vAlign w:val="center"/>
          </w:tcPr>
          <w:p>
            <w:pPr>
              <w:pStyle w:val="182"/>
              <w:bidi w:val="0"/>
              <w:rPr>
                <w:rFonts w:hint="default"/>
                <w:b/>
                <w:bCs/>
                <w:color w:val="auto"/>
                <w:u w:val="single"/>
                <w:lang w:val="en-US" w:eastAsia="zh-CN"/>
              </w:rPr>
            </w:pPr>
            <w:r>
              <w:rPr>
                <w:rFonts w:hint="eastAsia"/>
                <w:b/>
                <w:bCs/>
                <w:color w:val="auto"/>
                <w:u w:val="single"/>
                <w:lang w:val="en-US" w:eastAsia="zh-CN"/>
              </w:rPr>
              <w:t>0.01</w:t>
            </w:r>
          </w:p>
        </w:tc>
        <w:tc>
          <w:tcPr>
            <w:tcW w:w="3518" w:type="dxa"/>
            <w:tcBorders>
              <w:tl2br w:val="nil"/>
              <w:tr2bl w:val="nil"/>
            </w:tcBorders>
            <w:vAlign w:val="center"/>
          </w:tcPr>
          <w:p>
            <w:pPr>
              <w:pStyle w:val="182"/>
              <w:bidi w:val="0"/>
              <w:rPr>
                <w:rFonts w:hint="eastAsia"/>
                <w:b/>
                <w:bCs/>
                <w:u w:val="single"/>
              </w:rPr>
            </w:pPr>
            <w:r>
              <w:rPr>
                <w:rFonts w:hint="eastAsia"/>
                <w:b/>
                <w:bCs/>
                <w:u w:val="single"/>
                <w:lang w:val="en-US" w:eastAsia="zh-CN"/>
              </w:rPr>
              <w:t>0.0720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tcBorders>
              <w:tl2br w:val="nil"/>
              <w:tr2bl w:val="nil"/>
            </w:tcBorders>
            <w:vAlign w:val="center"/>
          </w:tcPr>
          <w:p>
            <w:pPr>
              <w:pStyle w:val="182"/>
              <w:bidi w:val="0"/>
              <w:rPr>
                <w:b/>
                <w:bCs/>
                <w:color w:val="auto"/>
                <w:u w:val="single"/>
              </w:rPr>
            </w:pPr>
            <w:r>
              <w:rPr>
                <w:rFonts w:hint="eastAsia"/>
                <w:b/>
                <w:bCs/>
                <w:color w:val="auto"/>
                <w:u w:val="single"/>
              </w:rPr>
              <w:t>水量（万</w:t>
            </w:r>
            <w:r>
              <w:rPr>
                <w:b/>
                <w:bCs/>
                <w:color w:val="auto"/>
                <w:u w:val="single"/>
              </w:rPr>
              <w:t>t/a</w:t>
            </w:r>
            <w:r>
              <w:rPr>
                <w:rFonts w:hint="eastAsia"/>
                <w:b/>
                <w:bCs/>
                <w:color w:val="auto"/>
                <w:u w:val="single"/>
              </w:rPr>
              <w:t>）</w:t>
            </w:r>
          </w:p>
        </w:tc>
        <w:tc>
          <w:tcPr>
            <w:tcW w:w="1548"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719.5508</w:t>
            </w:r>
          </w:p>
        </w:tc>
        <w:tc>
          <w:tcPr>
            <w:tcW w:w="2062"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719.5508</w:t>
            </w:r>
          </w:p>
        </w:tc>
      </w:tr>
    </w:tbl>
    <w:p>
      <w:pPr>
        <w:pStyle w:val="10"/>
        <w:bidi w:val="0"/>
        <w:rPr>
          <w:color w:val="auto"/>
        </w:rPr>
      </w:pPr>
      <w:r>
        <w:rPr>
          <w:color w:val="auto"/>
        </w:rPr>
        <w:t>3.</w:t>
      </w:r>
      <w:r>
        <w:rPr>
          <w:rFonts w:hint="eastAsia"/>
          <w:color w:val="auto"/>
          <w:lang w:val="en-US" w:eastAsia="zh-CN"/>
        </w:rPr>
        <w:t>3</w:t>
      </w:r>
      <w:r>
        <w:rPr>
          <w:color w:val="auto"/>
        </w:rPr>
        <w:t>.6.2</w:t>
      </w:r>
      <w:r>
        <w:rPr>
          <w:rFonts w:hint="eastAsia"/>
          <w:color w:val="auto"/>
        </w:rPr>
        <w:t>废气</w:t>
      </w:r>
    </w:p>
    <w:p>
      <w:pPr>
        <w:bidi w:val="0"/>
        <w:rPr>
          <w:color w:val="auto"/>
        </w:rPr>
      </w:pPr>
      <w:r>
        <w:rPr>
          <w:rFonts w:hint="eastAsia"/>
          <w:color w:val="auto"/>
        </w:rPr>
        <w:t>项目厂区现有工程主要废气污染物为锅炉废气、粘胶长丝生产期间产生的非甲烷总烃、CS</w:t>
      </w:r>
      <w:r>
        <w:rPr>
          <w:rFonts w:hint="eastAsia"/>
          <w:color w:val="auto"/>
          <w:vertAlign w:val="subscript"/>
        </w:rPr>
        <w:t>2</w:t>
      </w:r>
      <w:r>
        <w:rPr>
          <w:rFonts w:hint="eastAsia"/>
          <w:color w:val="auto"/>
        </w:rPr>
        <w:t>和H</w:t>
      </w:r>
      <w:r>
        <w:rPr>
          <w:rFonts w:hint="eastAsia"/>
          <w:color w:val="auto"/>
          <w:vertAlign w:val="subscript"/>
        </w:rPr>
        <w:t>2</w:t>
      </w:r>
      <w:r>
        <w:rPr>
          <w:rFonts w:hint="eastAsia"/>
          <w:color w:val="auto"/>
        </w:rPr>
        <w:t>S废气以及氨纶纤维生产期间产生的非甲烷总烃（DMAC）废气。</w:t>
      </w:r>
    </w:p>
    <w:p>
      <w:pPr>
        <w:bidi w:val="0"/>
        <w:rPr>
          <w:color w:val="auto"/>
        </w:rPr>
      </w:pPr>
      <w:r>
        <w:rPr>
          <w:rFonts w:hint="eastAsia"/>
          <w:color w:val="auto"/>
        </w:rPr>
        <w:t>（1）锅炉废气</w:t>
      </w:r>
    </w:p>
    <w:p>
      <w:pPr>
        <w:bidi w:val="0"/>
        <w:rPr>
          <w:rFonts w:hint="eastAsia" w:eastAsia="宋体"/>
          <w:color w:val="auto"/>
          <w:lang w:eastAsia="zh-CN"/>
        </w:rPr>
      </w:pPr>
      <w:r>
        <w:rPr>
          <w:rFonts w:hint="eastAsia"/>
          <w:color w:val="auto"/>
        </w:rPr>
        <w:t>该厂区现有已建成3台75t/h煤粉炉和2台170t/h煤粉炉蒸汽供应已建项目（粘胶长丝和氨纶纤维）和园区其他单位使用，1台</w:t>
      </w:r>
      <w:bookmarkStart w:id="182" w:name="_Hlk119652266"/>
      <w:r>
        <w:rPr>
          <w:rFonts w:hint="eastAsia"/>
          <w:color w:val="auto"/>
        </w:rPr>
        <w:t>3</w:t>
      </w:r>
      <w:r>
        <w:rPr>
          <w:color w:val="auto"/>
        </w:rPr>
        <w:t>60</w:t>
      </w:r>
      <w:r>
        <w:rPr>
          <w:rFonts w:hint="eastAsia"/>
          <w:color w:val="auto"/>
        </w:rPr>
        <w:t>t</w:t>
      </w:r>
      <w:r>
        <w:rPr>
          <w:color w:val="auto"/>
        </w:rPr>
        <w:t>/h</w:t>
      </w:r>
      <w:r>
        <w:rPr>
          <w:rFonts w:hint="eastAsia"/>
          <w:color w:val="auto"/>
        </w:rPr>
        <w:t>煤粉炉</w:t>
      </w:r>
      <w:bookmarkEnd w:id="182"/>
      <w:r>
        <w:rPr>
          <w:rFonts w:hint="eastAsia"/>
          <w:color w:val="auto"/>
        </w:rPr>
        <w:t>在建。75t/h锅炉废气采用SNCR+SCR脱硝+电袋复合除尘+旋流板塔（废碱液）脱硫+脱硫除尘一体化装置进行治理，治理后经80m高烟囱排放；170t/h锅炉废气采用低氮燃烧+SCR脱硝+袋式除尘器+钠碱法湿式（废碱液）脱硫+湿式电除尘治理措施进行治理，尾气通过80m高烟囱排放。厂区内锅炉目前运行方式为2×170t/h+1×75t/h共3台锅炉，2台75t/h锅炉备用。3台75t/h锅炉的1#、2#锅炉共用1根80m的排气筒，3#锅炉单独使用1根80m的排气筒。锅炉废气治理措施详见下表</w:t>
      </w:r>
      <w:r>
        <w:rPr>
          <w:rFonts w:hint="eastAsia"/>
          <w:color w:val="auto"/>
          <w:lang w:eastAsia="zh-CN"/>
        </w:rPr>
        <w:t>。</w:t>
      </w:r>
    </w:p>
    <w:p>
      <w:pPr>
        <w:pStyle w:val="181"/>
        <w:bidi w:val="0"/>
        <w:rPr>
          <w:color w:val="auto"/>
        </w:rPr>
      </w:pPr>
      <w:r>
        <w:rPr>
          <w:rFonts w:hint="eastAsia"/>
          <w:color w:val="auto"/>
        </w:rPr>
        <w:t>表</w:t>
      </w:r>
      <w:r>
        <w:rPr>
          <w:color w:val="auto"/>
        </w:rPr>
        <w:t>3.</w:t>
      </w:r>
      <w:r>
        <w:rPr>
          <w:rFonts w:hint="eastAsia"/>
          <w:color w:val="auto"/>
          <w:lang w:val="en-US" w:eastAsia="zh-CN"/>
        </w:rPr>
        <w:t>3</w:t>
      </w:r>
      <w:r>
        <w:rPr>
          <w:rFonts w:hint="eastAsia"/>
          <w:color w:val="auto"/>
        </w:rPr>
        <w:t>-</w:t>
      </w:r>
      <w:r>
        <w:rPr>
          <w:rFonts w:hint="eastAsia"/>
          <w:color w:val="auto"/>
          <w:lang w:val="en-US" w:eastAsia="zh-CN"/>
        </w:rPr>
        <w:t>9</w:t>
      </w:r>
      <w:r>
        <w:rPr>
          <w:color w:val="auto"/>
        </w:rPr>
        <w:t xml:space="preserve">  </w:t>
      </w:r>
      <w:r>
        <w:rPr>
          <w:rFonts w:hint="eastAsia"/>
          <w:color w:val="auto"/>
          <w:lang w:val="en-US" w:eastAsia="zh-CN"/>
        </w:rPr>
        <w:t xml:space="preserve">    已建</w:t>
      </w:r>
      <w:r>
        <w:rPr>
          <w:rFonts w:hint="eastAsia"/>
          <w:color w:val="auto"/>
        </w:rPr>
        <w:t>蒸汽锅炉及废气治理措施情况一览表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4"/>
        <w:gridCol w:w="1238"/>
        <w:gridCol w:w="1789"/>
        <w:gridCol w:w="3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pct"/>
            <w:vAlign w:val="center"/>
          </w:tcPr>
          <w:p>
            <w:pPr>
              <w:pStyle w:val="182"/>
              <w:bidi w:val="0"/>
              <w:rPr>
                <w:b/>
                <w:bCs/>
                <w:color w:val="auto"/>
              </w:rPr>
            </w:pPr>
            <w:r>
              <w:rPr>
                <w:rFonts w:hint="eastAsia"/>
                <w:b/>
                <w:bCs/>
                <w:color w:val="auto"/>
              </w:rPr>
              <w:t>锅炉型号</w:t>
            </w:r>
          </w:p>
        </w:tc>
        <w:tc>
          <w:tcPr>
            <w:tcW w:w="726" w:type="pct"/>
            <w:vAlign w:val="center"/>
          </w:tcPr>
          <w:p>
            <w:pPr>
              <w:pStyle w:val="182"/>
              <w:bidi w:val="0"/>
              <w:rPr>
                <w:b/>
                <w:bCs/>
                <w:color w:val="auto"/>
              </w:rPr>
            </w:pPr>
            <w:r>
              <w:rPr>
                <w:rFonts w:hint="eastAsia"/>
                <w:b/>
                <w:bCs/>
                <w:color w:val="auto"/>
              </w:rPr>
              <w:t>数量（台）</w:t>
            </w:r>
          </w:p>
        </w:tc>
        <w:tc>
          <w:tcPr>
            <w:tcW w:w="1049" w:type="pct"/>
            <w:vAlign w:val="center"/>
          </w:tcPr>
          <w:p>
            <w:pPr>
              <w:pStyle w:val="182"/>
              <w:bidi w:val="0"/>
              <w:rPr>
                <w:b/>
                <w:bCs/>
                <w:color w:val="auto"/>
              </w:rPr>
            </w:pPr>
            <w:r>
              <w:rPr>
                <w:rFonts w:hint="eastAsia"/>
                <w:b/>
                <w:bCs/>
                <w:color w:val="auto"/>
              </w:rPr>
              <w:t>烟囱高度（m）</w:t>
            </w:r>
          </w:p>
        </w:tc>
        <w:tc>
          <w:tcPr>
            <w:tcW w:w="2176" w:type="pct"/>
            <w:vAlign w:val="center"/>
          </w:tcPr>
          <w:p>
            <w:pPr>
              <w:pStyle w:val="182"/>
              <w:bidi w:val="0"/>
              <w:rPr>
                <w:b/>
                <w:bCs/>
                <w:color w:val="auto"/>
              </w:rPr>
            </w:pPr>
            <w:r>
              <w:rPr>
                <w:rFonts w:hint="eastAsia"/>
                <w:b/>
                <w:bCs/>
                <w:color w:val="auto"/>
              </w:rPr>
              <w:t>废气治理措施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pct"/>
            <w:vAlign w:val="center"/>
          </w:tcPr>
          <w:p>
            <w:pPr>
              <w:pStyle w:val="182"/>
              <w:bidi w:val="0"/>
              <w:rPr>
                <w:color w:val="auto"/>
              </w:rPr>
            </w:pPr>
            <w:r>
              <w:rPr>
                <w:color w:val="auto"/>
              </w:rPr>
              <w:t>1</w:t>
            </w:r>
            <w:r>
              <w:rPr>
                <w:rFonts w:hint="eastAsia"/>
                <w:color w:val="auto"/>
              </w:rPr>
              <w:t>#</w:t>
            </w:r>
            <w:r>
              <w:rPr>
                <w:color w:val="auto"/>
              </w:rPr>
              <w:t>75</w:t>
            </w:r>
            <w:r>
              <w:rPr>
                <w:rFonts w:hint="eastAsia"/>
                <w:color w:val="auto"/>
              </w:rPr>
              <w:t>t/h煤粉炉</w:t>
            </w:r>
          </w:p>
        </w:tc>
        <w:tc>
          <w:tcPr>
            <w:tcW w:w="726" w:type="pct"/>
            <w:vAlign w:val="center"/>
          </w:tcPr>
          <w:p>
            <w:pPr>
              <w:pStyle w:val="182"/>
              <w:bidi w:val="0"/>
              <w:rPr>
                <w:color w:val="auto"/>
              </w:rPr>
            </w:pPr>
            <w:r>
              <w:rPr>
                <w:rFonts w:hint="eastAsia"/>
                <w:color w:val="auto"/>
              </w:rPr>
              <w:t>1</w:t>
            </w:r>
          </w:p>
        </w:tc>
        <w:tc>
          <w:tcPr>
            <w:tcW w:w="1049" w:type="pct"/>
            <w:vMerge w:val="restart"/>
            <w:vAlign w:val="center"/>
          </w:tcPr>
          <w:p>
            <w:pPr>
              <w:pStyle w:val="182"/>
              <w:bidi w:val="0"/>
              <w:rPr>
                <w:color w:val="auto"/>
              </w:rPr>
            </w:pPr>
            <w:r>
              <w:rPr>
                <w:rFonts w:hint="eastAsia"/>
                <w:color w:val="auto"/>
              </w:rPr>
              <w:t>80（1#排气筒）</w:t>
            </w:r>
          </w:p>
        </w:tc>
        <w:tc>
          <w:tcPr>
            <w:tcW w:w="2176" w:type="pct"/>
            <w:vMerge w:val="restart"/>
            <w:vAlign w:val="center"/>
          </w:tcPr>
          <w:p>
            <w:pPr>
              <w:pStyle w:val="182"/>
              <w:bidi w:val="0"/>
              <w:rPr>
                <w:color w:val="auto"/>
              </w:rPr>
            </w:pPr>
            <w:r>
              <w:rPr>
                <w:rFonts w:hint="eastAsia"/>
                <w:color w:val="auto"/>
              </w:rPr>
              <w:t>SNCR+SCR脱硝+电袋复合除尘+旋流板塔（废碱液）脱硫+脱硫除尘一体化装置，每台锅炉均对应一套治理设施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pct"/>
            <w:vAlign w:val="center"/>
          </w:tcPr>
          <w:p>
            <w:pPr>
              <w:pStyle w:val="182"/>
              <w:bidi w:val="0"/>
              <w:rPr>
                <w:color w:val="auto"/>
              </w:rPr>
            </w:pPr>
            <w:r>
              <w:rPr>
                <w:color w:val="auto"/>
              </w:rPr>
              <w:t>2</w:t>
            </w:r>
            <w:r>
              <w:rPr>
                <w:rFonts w:hint="eastAsia"/>
                <w:color w:val="auto"/>
              </w:rPr>
              <w:t>#</w:t>
            </w:r>
            <w:r>
              <w:rPr>
                <w:color w:val="auto"/>
              </w:rPr>
              <w:t>75</w:t>
            </w:r>
            <w:r>
              <w:rPr>
                <w:rFonts w:hint="eastAsia"/>
                <w:color w:val="auto"/>
              </w:rPr>
              <w:t>t/h煤粉炉</w:t>
            </w:r>
          </w:p>
        </w:tc>
        <w:tc>
          <w:tcPr>
            <w:tcW w:w="726" w:type="pct"/>
            <w:vAlign w:val="center"/>
          </w:tcPr>
          <w:p>
            <w:pPr>
              <w:pStyle w:val="182"/>
              <w:bidi w:val="0"/>
              <w:rPr>
                <w:color w:val="auto"/>
              </w:rPr>
            </w:pPr>
            <w:r>
              <w:rPr>
                <w:rFonts w:hint="eastAsia"/>
                <w:color w:val="auto"/>
              </w:rPr>
              <w:t>1</w:t>
            </w:r>
          </w:p>
        </w:tc>
        <w:tc>
          <w:tcPr>
            <w:tcW w:w="1049" w:type="pct"/>
            <w:vMerge w:val="continue"/>
            <w:vAlign w:val="center"/>
          </w:tcPr>
          <w:p>
            <w:pPr>
              <w:pStyle w:val="182"/>
              <w:bidi w:val="0"/>
              <w:rPr>
                <w:color w:val="auto"/>
              </w:rPr>
            </w:pPr>
          </w:p>
        </w:tc>
        <w:tc>
          <w:tcPr>
            <w:tcW w:w="2176"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pct"/>
            <w:vAlign w:val="center"/>
          </w:tcPr>
          <w:p>
            <w:pPr>
              <w:pStyle w:val="182"/>
              <w:bidi w:val="0"/>
              <w:rPr>
                <w:color w:val="auto"/>
              </w:rPr>
            </w:pPr>
            <w:r>
              <w:rPr>
                <w:color w:val="auto"/>
              </w:rPr>
              <w:t>3</w:t>
            </w:r>
            <w:r>
              <w:rPr>
                <w:rFonts w:hint="eastAsia"/>
                <w:color w:val="auto"/>
              </w:rPr>
              <w:t>#</w:t>
            </w:r>
            <w:r>
              <w:rPr>
                <w:color w:val="auto"/>
              </w:rPr>
              <w:t>75</w:t>
            </w:r>
            <w:r>
              <w:rPr>
                <w:rFonts w:hint="eastAsia"/>
                <w:color w:val="auto"/>
              </w:rPr>
              <w:t>t/h煤粉炉</w:t>
            </w:r>
          </w:p>
        </w:tc>
        <w:tc>
          <w:tcPr>
            <w:tcW w:w="726" w:type="pct"/>
            <w:vAlign w:val="center"/>
          </w:tcPr>
          <w:p>
            <w:pPr>
              <w:pStyle w:val="182"/>
              <w:bidi w:val="0"/>
              <w:rPr>
                <w:color w:val="auto"/>
              </w:rPr>
            </w:pPr>
            <w:r>
              <w:rPr>
                <w:rFonts w:hint="eastAsia"/>
                <w:color w:val="auto"/>
              </w:rPr>
              <w:t>1</w:t>
            </w:r>
          </w:p>
        </w:tc>
        <w:tc>
          <w:tcPr>
            <w:tcW w:w="1049" w:type="pct"/>
            <w:vAlign w:val="center"/>
          </w:tcPr>
          <w:p>
            <w:pPr>
              <w:pStyle w:val="182"/>
              <w:bidi w:val="0"/>
              <w:rPr>
                <w:color w:val="auto"/>
              </w:rPr>
            </w:pPr>
            <w:r>
              <w:rPr>
                <w:rFonts w:hint="eastAsia"/>
                <w:color w:val="auto"/>
              </w:rPr>
              <w:t>80（</w:t>
            </w:r>
            <w:r>
              <w:rPr>
                <w:color w:val="auto"/>
              </w:rPr>
              <w:t>2</w:t>
            </w:r>
            <w:r>
              <w:rPr>
                <w:rFonts w:hint="eastAsia"/>
                <w:color w:val="auto"/>
              </w:rPr>
              <w:t>#排气筒）</w:t>
            </w:r>
          </w:p>
        </w:tc>
        <w:tc>
          <w:tcPr>
            <w:tcW w:w="2176"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pct"/>
            <w:vAlign w:val="center"/>
          </w:tcPr>
          <w:p>
            <w:pPr>
              <w:pStyle w:val="182"/>
              <w:bidi w:val="0"/>
              <w:rPr>
                <w:color w:val="auto"/>
              </w:rPr>
            </w:pPr>
            <w:r>
              <w:rPr>
                <w:rFonts w:hint="eastAsia"/>
                <w:color w:val="auto"/>
              </w:rPr>
              <w:t>4#170t/h煤粉炉</w:t>
            </w:r>
          </w:p>
        </w:tc>
        <w:tc>
          <w:tcPr>
            <w:tcW w:w="726" w:type="pct"/>
            <w:vAlign w:val="center"/>
          </w:tcPr>
          <w:p>
            <w:pPr>
              <w:pStyle w:val="182"/>
              <w:bidi w:val="0"/>
              <w:rPr>
                <w:color w:val="auto"/>
              </w:rPr>
            </w:pPr>
            <w:r>
              <w:rPr>
                <w:rFonts w:hint="eastAsia"/>
                <w:color w:val="auto"/>
              </w:rPr>
              <w:t>1</w:t>
            </w:r>
          </w:p>
        </w:tc>
        <w:tc>
          <w:tcPr>
            <w:tcW w:w="1049" w:type="pct"/>
            <w:vAlign w:val="center"/>
          </w:tcPr>
          <w:p>
            <w:pPr>
              <w:pStyle w:val="182"/>
              <w:bidi w:val="0"/>
              <w:rPr>
                <w:color w:val="auto"/>
              </w:rPr>
            </w:pPr>
            <w:r>
              <w:rPr>
                <w:rFonts w:hint="eastAsia"/>
                <w:color w:val="auto"/>
              </w:rPr>
              <w:t>80（</w:t>
            </w:r>
            <w:r>
              <w:rPr>
                <w:color w:val="auto"/>
              </w:rPr>
              <w:t>3</w:t>
            </w:r>
            <w:r>
              <w:rPr>
                <w:rFonts w:hint="eastAsia"/>
                <w:color w:val="auto"/>
              </w:rPr>
              <w:t>#排气筒）</w:t>
            </w:r>
          </w:p>
        </w:tc>
        <w:tc>
          <w:tcPr>
            <w:tcW w:w="2176" w:type="pct"/>
            <w:vMerge w:val="restart"/>
            <w:vAlign w:val="center"/>
          </w:tcPr>
          <w:p>
            <w:pPr>
              <w:pStyle w:val="182"/>
              <w:bidi w:val="0"/>
              <w:rPr>
                <w:color w:val="auto"/>
              </w:rPr>
            </w:pPr>
            <w:r>
              <w:rPr>
                <w:rFonts w:hint="eastAsia"/>
                <w:color w:val="auto"/>
              </w:rPr>
              <w:t>低氮燃烧技术，选择性催化还原法（SCR）脱硝+袋式除尘器+钠碱法湿式脱硫系统+湿式电除尘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6" w:type="pct"/>
            <w:vAlign w:val="center"/>
          </w:tcPr>
          <w:p>
            <w:pPr>
              <w:pStyle w:val="182"/>
              <w:bidi w:val="0"/>
              <w:rPr>
                <w:color w:val="auto"/>
              </w:rPr>
            </w:pPr>
            <w:r>
              <w:rPr>
                <w:color w:val="auto"/>
              </w:rPr>
              <w:t>5</w:t>
            </w:r>
            <w:r>
              <w:rPr>
                <w:rFonts w:hint="eastAsia"/>
                <w:color w:val="auto"/>
              </w:rPr>
              <w:t>#170t/h煤粉炉</w:t>
            </w:r>
          </w:p>
        </w:tc>
        <w:tc>
          <w:tcPr>
            <w:tcW w:w="726" w:type="pct"/>
            <w:vAlign w:val="center"/>
          </w:tcPr>
          <w:p>
            <w:pPr>
              <w:pStyle w:val="182"/>
              <w:bidi w:val="0"/>
              <w:rPr>
                <w:color w:val="auto"/>
              </w:rPr>
            </w:pPr>
            <w:r>
              <w:rPr>
                <w:rFonts w:hint="eastAsia"/>
                <w:color w:val="auto"/>
              </w:rPr>
              <w:t>1</w:t>
            </w:r>
          </w:p>
        </w:tc>
        <w:tc>
          <w:tcPr>
            <w:tcW w:w="1049" w:type="pct"/>
            <w:vAlign w:val="center"/>
          </w:tcPr>
          <w:p>
            <w:pPr>
              <w:pStyle w:val="182"/>
              <w:bidi w:val="0"/>
              <w:rPr>
                <w:color w:val="auto"/>
              </w:rPr>
            </w:pPr>
            <w:r>
              <w:rPr>
                <w:rFonts w:hint="eastAsia"/>
                <w:color w:val="auto"/>
              </w:rPr>
              <w:t>80（</w:t>
            </w:r>
            <w:r>
              <w:rPr>
                <w:color w:val="auto"/>
              </w:rPr>
              <w:t>4</w:t>
            </w:r>
            <w:r>
              <w:rPr>
                <w:rFonts w:hint="eastAsia"/>
                <w:color w:val="auto"/>
              </w:rPr>
              <w:t>#排气筒）</w:t>
            </w:r>
          </w:p>
        </w:tc>
        <w:tc>
          <w:tcPr>
            <w:tcW w:w="2176" w:type="pct"/>
            <w:vMerge w:val="continue"/>
            <w:vAlign w:val="center"/>
          </w:tcPr>
          <w:p>
            <w:pPr>
              <w:pStyle w:val="182"/>
              <w:bidi w:val="0"/>
              <w:rPr>
                <w:color w:val="auto"/>
              </w:rPr>
            </w:pPr>
          </w:p>
        </w:tc>
      </w:tr>
    </w:tbl>
    <w:p>
      <w:pPr>
        <w:bidi w:val="0"/>
        <w:rPr>
          <w:color w:val="auto"/>
        </w:rPr>
      </w:pPr>
      <w:r>
        <w:rPr>
          <w:rFonts w:hint="eastAsia"/>
          <w:color w:val="auto"/>
        </w:rPr>
        <w:t>（2）工艺废气</w:t>
      </w:r>
    </w:p>
    <w:p>
      <w:pPr>
        <w:bidi w:val="0"/>
        <w:rPr>
          <w:color w:val="auto"/>
        </w:rPr>
      </w:pPr>
      <w:r>
        <w:rPr>
          <w:rFonts w:hint="eastAsia"/>
          <w:color w:val="auto"/>
        </w:rPr>
        <w:t>已建及在建项目产生的工艺废气主要有2种，含非甲烷总烃、CS</w:t>
      </w:r>
      <w:r>
        <w:rPr>
          <w:rFonts w:hint="eastAsia"/>
          <w:color w:val="auto"/>
          <w:vertAlign w:val="subscript"/>
        </w:rPr>
        <w:t>2</w:t>
      </w:r>
      <w:r>
        <w:rPr>
          <w:rFonts w:hint="eastAsia"/>
          <w:color w:val="auto"/>
        </w:rPr>
        <w:t>和H</w:t>
      </w:r>
      <w:r>
        <w:rPr>
          <w:rFonts w:hint="eastAsia"/>
          <w:color w:val="auto"/>
          <w:vertAlign w:val="subscript"/>
        </w:rPr>
        <w:t>2</w:t>
      </w:r>
      <w:r>
        <w:rPr>
          <w:rFonts w:hint="eastAsia"/>
          <w:color w:val="auto"/>
        </w:rPr>
        <w:t>S的工艺废气和含非甲烷总烃（DMAC）的工艺废气。</w:t>
      </w:r>
    </w:p>
    <w:p>
      <w:pPr>
        <w:bidi w:val="0"/>
        <w:rPr>
          <w:color w:val="auto"/>
        </w:rPr>
      </w:pPr>
      <w:r>
        <w:rPr>
          <w:rFonts w:hint="eastAsia"/>
          <w:color w:val="auto"/>
        </w:rPr>
        <w:t>①含CS</w:t>
      </w:r>
      <w:r>
        <w:rPr>
          <w:rFonts w:hint="eastAsia"/>
          <w:color w:val="auto"/>
          <w:vertAlign w:val="subscript"/>
        </w:rPr>
        <w:t>2</w:t>
      </w:r>
      <w:r>
        <w:rPr>
          <w:rFonts w:hint="eastAsia"/>
          <w:color w:val="auto"/>
        </w:rPr>
        <w:t>和H</w:t>
      </w:r>
      <w:r>
        <w:rPr>
          <w:rFonts w:hint="eastAsia"/>
          <w:color w:val="auto"/>
          <w:vertAlign w:val="subscript"/>
        </w:rPr>
        <w:t>2</w:t>
      </w:r>
      <w:r>
        <w:rPr>
          <w:rFonts w:hint="eastAsia"/>
          <w:color w:val="auto"/>
        </w:rPr>
        <w:t>S的工艺废气主要来自粘胶长丝工程，主要产生于原液黄化、纺丝、酸站等工段；含非甲烷总烃的废气主要来源于长丝的纺丝烘干工段。</w:t>
      </w:r>
    </w:p>
    <w:p>
      <w:pPr>
        <w:bidi w:val="0"/>
        <w:rPr>
          <w:color w:val="auto"/>
        </w:rPr>
      </w:pPr>
      <w:r>
        <w:rPr>
          <w:rFonts w:hint="eastAsia"/>
          <w:color w:val="auto"/>
        </w:rPr>
        <w:t>②含非甲烷总烃（DMAC）的工艺废气主要来自氨纶项目，主要产生于DMAC精制工序、纺丝工序、纺丝组件清洗工序以及纺丝、卷绕车间废气。</w:t>
      </w:r>
    </w:p>
    <w:p>
      <w:pPr>
        <w:bidi w:val="0"/>
        <w:rPr>
          <w:color w:val="auto"/>
        </w:rPr>
      </w:pPr>
      <w:r>
        <w:rPr>
          <w:rFonts w:hint="eastAsia"/>
          <w:color w:val="auto"/>
        </w:rPr>
        <w:t>工艺废气治理措施详见下表。</w:t>
      </w:r>
    </w:p>
    <w:p>
      <w:pPr>
        <w:pStyle w:val="181"/>
        <w:bidi w:val="0"/>
        <w:rPr>
          <w:color w:val="auto"/>
        </w:rPr>
      </w:pPr>
      <w:r>
        <w:rPr>
          <w:rFonts w:hint="eastAsia"/>
          <w:color w:val="auto"/>
        </w:rPr>
        <w:t>表3</w:t>
      </w:r>
      <w:r>
        <w:rPr>
          <w:color w:val="auto"/>
        </w:rPr>
        <w:t>.</w:t>
      </w:r>
      <w:r>
        <w:rPr>
          <w:rFonts w:hint="eastAsia"/>
          <w:color w:val="auto"/>
          <w:lang w:val="en-US" w:eastAsia="zh-CN"/>
        </w:rPr>
        <w:t>3</w:t>
      </w:r>
      <w:r>
        <w:rPr>
          <w:rFonts w:hint="eastAsia"/>
          <w:color w:val="auto"/>
        </w:rPr>
        <w:t>-</w:t>
      </w:r>
      <w:r>
        <w:rPr>
          <w:rFonts w:hint="eastAsia"/>
          <w:color w:val="auto"/>
          <w:lang w:val="en-US" w:eastAsia="zh-CN"/>
        </w:rPr>
        <w:t>10</w:t>
      </w:r>
      <w:r>
        <w:rPr>
          <w:color w:val="auto"/>
        </w:rPr>
        <w:t xml:space="preserve">  </w:t>
      </w:r>
      <w:r>
        <w:rPr>
          <w:rFonts w:hint="eastAsia"/>
          <w:color w:val="auto"/>
          <w:lang w:val="en-US" w:eastAsia="zh-CN"/>
        </w:rPr>
        <w:t xml:space="preserve">         </w:t>
      </w:r>
      <w:r>
        <w:rPr>
          <w:rFonts w:hint="eastAsia"/>
          <w:color w:val="auto"/>
        </w:rPr>
        <w:t>工艺废气治理措施一览表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1537"/>
        <w:gridCol w:w="1318"/>
        <w:gridCol w:w="1714"/>
        <w:gridCol w:w="3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Align w:val="center"/>
          </w:tcPr>
          <w:p>
            <w:pPr>
              <w:pStyle w:val="182"/>
              <w:bidi w:val="0"/>
              <w:rPr>
                <w:b/>
                <w:bCs/>
                <w:color w:val="auto"/>
              </w:rPr>
            </w:pPr>
            <w:r>
              <w:rPr>
                <w:rFonts w:hint="eastAsia"/>
                <w:b/>
                <w:bCs/>
                <w:color w:val="auto"/>
              </w:rPr>
              <w:t>序号</w:t>
            </w:r>
          </w:p>
        </w:tc>
        <w:tc>
          <w:tcPr>
            <w:tcW w:w="901" w:type="pct"/>
            <w:vAlign w:val="center"/>
          </w:tcPr>
          <w:p>
            <w:pPr>
              <w:pStyle w:val="182"/>
              <w:bidi w:val="0"/>
              <w:rPr>
                <w:b/>
                <w:bCs/>
                <w:color w:val="auto"/>
              </w:rPr>
            </w:pPr>
            <w:r>
              <w:rPr>
                <w:rFonts w:hint="eastAsia"/>
                <w:b/>
                <w:bCs/>
                <w:color w:val="auto"/>
              </w:rPr>
              <w:t>项目名称</w:t>
            </w:r>
          </w:p>
        </w:tc>
        <w:tc>
          <w:tcPr>
            <w:tcW w:w="773" w:type="pct"/>
            <w:vAlign w:val="center"/>
          </w:tcPr>
          <w:p>
            <w:pPr>
              <w:pStyle w:val="182"/>
              <w:bidi w:val="0"/>
              <w:rPr>
                <w:b/>
                <w:bCs/>
                <w:color w:val="auto"/>
              </w:rPr>
            </w:pPr>
            <w:r>
              <w:rPr>
                <w:rFonts w:hint="eastAsia"/>
                <w:b/>
                <w:bCs/>
                <w:color w:val="auto"/>
              </w:rPr>
              <w:t>污染物种类</w:t>
            </w:r>
          </w:p>
        </w:tc>
        <w:tc>
          <w:tcPr>
            <w:tcW w:w="1005" w:type="pct"/>
            <w:vAlign w:val="center"/>
          </w:tcPr>
          <w:p>
            <w:pPr>
              <w:pStyle w:val="182"/>
              <w:bidi w:val="0"/>
              <w:rPr>
                <w:b/>
                <w:bCs/>
                <w:color w:val="auto"/>
              </w:rPr>
            </w:pPr>
            <w:r>
              <w:rPr>
                <w:rFonts w:hint="eastAsia"/>
                <w:b/>
                <w:bCs/>
                <w:color w:val="auto"/>
              </w:rPr>
              <w:t>产污环节</w:t>
            </w:r>
          </w:p>
        </w:tc>
        <w:tc>
          <w:tcPr>
            <w:tcW w:w="1932" w:type="pct"/>
            <w:vAlign w:val="center"/>
          </w:tcPr>
          <w:p>
            <w:pPr>
              <w:pStyle w:val="182"/>
              <w:bidi w:val="0"/>
              <w:rPr>
                <w:b/>
                <w:bCs/>
                <w:color w:val="auto"/>
              </w:rPr>
            </w:pPr>
            <w:r>
              <w:rPr>
                <w:rFonts w:hint="eastAsia"/>
                <w:b/>
                <w:bCs/>
                <w:color w:val="auto"/>
              </w:rPr>
              <w:t>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restart"/>
            <w:vAlign w:val="center"/>
          </w:tcPr>
          <w:p>
            <w:pPr>
              <w:pStyle w:val="182"/>
              <w:bidi w:val="0"/>
              <w:rPr>
                <w:color w:val="auto"/>
              </w:rPr>
            </w:pPr>
            <w:r>
              <w:rPr>
                <w:rFonts w:hint="eastAsia"/>
                <w:color w:val="auto"/>
              </w:rPr>
              <w:t>1</w:t>
            </w:r>
          </w:p>
        </w:tc>
        <w:tc>
          <w:tcPr>
            <w:tcW w:w="901" w:type="pct"/>
            <w:vMerge w:val="restart"/>
            <w:vAlign w:val="center"/>
          </w:tcPr>
          <w:p>
            <w:pPr>
              <w:pStyle w:val="182"/>
              <w:bidi w:val="0"/>
              <w:rPr>
                <w:color w:val="auto"/>
              </w:rPr>
            </w:pPr>
            <w:r>
              <w:rPr>
                <w:rFonts w:hint="eastAsia"/>
                <w:color w:val="auto"/>
              </w:rPr>
              <w:t>年产5000吨差别化新型连续纺粘胶长丝工程</w:t>
            </w:r>
          </w:p>
        </w:tc>
        <w:tc>
          <w:tcPr>
            <w:tcW w:w="773" w:type="pct"/>
            <w:vAlign w:val="center"/>
          </w:tcPr>
          <w:p>
            <w:pPr>
              <w:pStyle w:val="182"/>
              <w:bidi w:val="0"/>
              <w:rPr>
                <w:color w:val="auto"/>
              </w:rPr>
            </w:pPr>
            <w:r>
              <w:rPr>
                <w:color w:val="auto"/>
              </w:rPr>
              <w:t>H</w:t>
            </w:r>
            <w:r>
              <w:rPr>
                <w:color w:val="auto"/>
                <w:vertAlign w:val="subscript"/>
              </w:rPr>
              <w:t>2</w:t>
            </w:r>
            <w:r>
              <w:rPr>
                <w:color w:val="auto"/>
              </w:rPr>
              <w:t>S</w:t>
            </w:r>
          </w:p>
        </w:tc>
        <w:tc>
          <w:tcPr>
            <w:tcW w:w="1005" w:type="pct"/>
            <w:vMerge w:val="restart"/>
            <w:vAlign w:val="center"/>
          </w:tcPr>
          <w:p>
            <w:pPr>
              <w:pStyle w:val="182"/>
              <w:bidi w:val="0"/>
              <w:rPr>
                <w:color w:val="auto"/>
              </w:rPr>
            </w:pPr>
            <w:r>
              <w:rPr>
                <w:rFonts w:hint="eastAsia"/>
                <w:color w:val="auto"/>
              </w:rPr>
              <w:t>原液车间空调换气及纺丝工段</w:t>
            </w:r>
          </w:p>
        </w:tc>
        <w:tc>
          <w:tcPr>
            <w:tcW w:w="1932" w:type="pct"/>
            <w:vMerge w:val="restart"/>
            <w:vAlign w:val="center"/>
          </w:tcPr>
          <w:p>
            <w:pPr>
              <w:pStyle w:val="182"/>
              <w:bidi w:val="0"/>
              <w:rPr>
                <w:color w:val="auto"/>
              </w:rPr>
            </w:pPr>
            <w:r>
              <w:rPr>
                <w:rFonts w:hint="eastAsia"/>
                <w:color w:val="auto"/>
              </w:rPr>
              <w:t>120m排气塔5#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color w:val="auto"/>
              </w:rPr>
              <w:t>CS</w:t>
            </w:r>
            <w:r>
              <w:rPr>
                <w:color w:val="auto"/>
                <w:vertAlign w:val="subscript"/>
              </w:rPr>
              <w:t>2</w:t>
            </w:r>
          </w:p>
        </w:tc>
        <w:tc>
          <w:tcPr>
            <w:tcW w:w="1005" w:type="pct"/>
            <w:vMerge w:val="continue"/>
            <w:vAlign w:val="center"/>
          </w:tcPr>
          <w:p>
            <w:pPr>
              <w:pStyle w:val="182"/>
              <w:bidi w:val="0"/>
              <w:rPr>
                <w:color w:val="auto"/>
              </w:rPr>
            </w:pP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color w:val="auto"/>
              </w:rPr>
              <w:t>H</w:t>
            </w:r>
            <w:r>
              <w:rPr>
                <w:color w:val="auto"/>
                <w:vertAlign w:val="subscript"/>
              </w:rPr>
              <w:t>2</w:t>
            </w:r>
            <w:r>
              <w:rPr>
                <w:color w:val="auto"/>
              </w:rPr>
              <w:t>S</w:t>
            </w:r>
          </w:p>
        </w:tc>
        <w:tc>
          <w:tcPr>
            <w:tcW w:w="1005" w:type="pct"/>
            <w:vMerge w:val="restart"/>
            <w:vAlign w:val="center"/>
          </w:tcPr>
          <w:p>
            <w:pPr>
              <w:pStyle w:val="182"/>
              <w:bidi w:val="0"/>
              <w:rPr>
                <w:color w:val="auto"/>
              </w:rPr>
            </w:pPr>
            <w:r>
              <w:rPr>
                <w:rFonts w:hint="eastAsia"/>
                <w:color w:val="auto"/>
              </w:rPr>
              <w:t>黄化和酸站高浓度废气</w:t>
            </w:r>
          </w:p>
        </w:tc>
        <w:tc>
          <w:tcPr>
            <w:tcW w:w="1932" w:type="pct"/>
            <w:vMerge w:val="restart"/>
            <w:vAlign w:val="center"/>
          </w:tcPr>
          <w:p>
            <w:pPr>
              <w:pStyle w:val="182"/>
              <w:bidi w:val="0"/>
              <w:rPr>
                <w:color w:val="auto"/>
              </w:rPr>
            </w:pPr>
            <w:r>
              <w:rPr>
                <w:rFonts w:hint="eastAsia"/>
                <w:color w:val="auto"/>
              </w:rPr>
              <w:t>进入废气治理措施内进行处理（络合铁回收S单质工艺+活性炭吸附处理），尾气通过120m排气塔6#排放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color w:val="auto"/>
              </w:rPr>
              <w:t>CS</w:t>
            </w:r>
            <w:r>
              <w:rPr>
                <w:color w:val="auto"/>
                <w:vertAlign w:val="subscript"/>
              </w:rPr>
              <w:t>2</w:t>
            </w:r>
          </w:p>
        </w:tc>
        <w:tc>
          <w:tcPr>
            <w:tcW w:w="1005" w:type="pct"/>
            <w:vMerge w:val="continue"/>
            <w:vAlign w:val="center"/>
          </w:tcPr>
          <w:p>
            <w:pPr>
              <w:pStyle w:val="182"/>
              <w:bidi w:val="0"/>
              <w:rPr>
                <w:color w:val="auto"/>
              </w:rPr>
            </w:pP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color w:val="auto"/>
              </w:rPr>
              <w:t>CS</w:t>
            </w:r>
            <w:r>
              <w:rPr>
                <w:color w:val="auto"/>
                <w:vertAlign w:val="subscript"/>
              </w:rPr>
              <w:t>2</w:t>
            </w:r>
          </w:p>
        </w:tc>
        <w:tc>
          <w:tcPr>
            <w:tcW w:w="1005" w:type="pct"/>
            <w:vMerge w:val="continue"/>
            <w:vAlign w:val="center"/>
          </w:tcPr>
          <w:p>
            <w:pPr>
              <w:pStyle w:val="182"/>
              <w:bidi w:val="0"/>
              <w:rPr>
                <w:color w:val="auto"/>
              </w:rPr>
            </w:pP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rFonts w:hint="eastAsia"/>
                <w:color w:val="auto"/>
              </w:rPr>
              <w:t>非甲烷总烃</w:t>
            </w:r>
          </w:p>
        </w:tc>
        <w:tc>
          <w:tcPr>
            <w:tcW w:w="1005" w:type="pct"/>
            <w:vAlign w:val="center"/>
          </w:tcPr>
          <w:p>
            <w:pPr>
              <w:pStyle w:val="182"/>
              <w:bidi w:val="0"/>
              <w:rPr>
                <w:color w:val="auto"/>
              </w:rPr>
            </w:pPr>
            <w:r>
              <w:rPr>
                <w:rFonts w:hint="eastAsia"/>
                <w:color w:val="auto"/>
              </w:rPr>
              <w:t>纺丝烘干</w:t>
            </w: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color w:val="auto"/>
              </w:rPr>
              <w:t>CS</w:t>
            </w:r>
            <w:r>
              <w:rPr>
                <w:color w:val="auto"/>
                <w:vertAlign w:val="subscript"/>
              </w:rPr>
              <w:t>2</w:t>
            </w:r>
          </w:p>
        </w:tc>
        <w:tc>
          <w:tcPr>
            <w:tcW w:w="1005" w:type="pct"/>
            <w:vAlign w:val="center"/>
          </w:tcPr>
          <w:p>
            <w:pPr>
              <w:pStyle w:val="182"/>
              <w:bidi w:val="0"/>
              <w:rPr>
                <w:color w:val="auto"/>
              </w:rPr>
            </w:pP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rFonts w:hint="eastAsia"/>
                <w:color w:val="auto"/>
              </w:rPr>
              <w:t>非甲烷总烃</w:t>
            </w:r>
          </w:p>
        </w:tc>
        <w:tc>
          <w:tcPr>
            <w:tcW w:w="1005" w:type="pct"/>
            <w:vAlign w:val="center"/>
          </w:tcPr>
          <w:p>
            <w:pPr>
              <w:pStyle w:val="182"/>
              <w:bidi w:val="0"/>
              <w:rPr>
                <w:color w:val="auto"/>
              </w:rPr>
            </w:pPr>
            <w:r>
              <w:rPr>
                <w:rFonts w:hint="eastAsia"/>
                <w:color w:val="auto"/>
              </w:rPr>
              <w:t>纺丝烘干</w:t>
            </w: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restart"/>
            <w:vAlign w:val="center"/>
          </w:tcPr>
          <w:p>
            <w:pPr>
              <w:pStyle w:val="182"/>
              <w:bidi w:val="0"/>
              <w:rPr>
                <w:color w:val="auto"/>
              </w:rPr>
            </w:pPr>
            <w:r>
              <w:rPr>
                <w:rFonts w:hint="eastAsia"/>
                <w:color w:val="auto"/>
              </w:rPr>
              <w:t>2</w:t>
            </w:r>
          </w:p>
        </w:tc>
        <w:tc>
          <w:tcPr>
            <w:tcW w:w="901" w:type="pct"/>
            <w:vMerge w:val="restart"/>
            <w:vAlign w:val="center"/>
          </w:tcPr>
          <w:p>
            <w:pPr>
              <w:pStyle w:val="182"/>
              <w:bidi w:val="0"/>
              <w:rPr>
                <w:color w:val="auto"/>
              </w:rPr>
            </w:pPr>
            <w:r>
              <w:rPr>
                <w:rFonts w:hint="eastAsia"/>
                <w:color w:val="auto"/>
              </w:rPr>
              <w:t>年产一万吨新型纤维素长丝项目</w:t>
            </w:r>
          </w:p>
        </w:tc>
        <w:tc>
          <w:tcPr>
            <w:tcW w:w="773" w:type="pct"/>
            <w:vAlign w:val="center"/>
          </w:tcPr>
          <w:p>
            <w:pPr>
              <w:pStyle w:val="182"/>
              <w:bidi w:val="0"/>
              <w:rPr>
                <w:color w:val="auto"/>
              </w:rPr>
            </w:pPr>
            <w:r>
              <w:rPr>
                <w:color w:val="auto"/>
              </w:rPr>
              <w:t>H</w:t>
            </w:r>
            <w:r>
              <w:rPr>
                <w:color w:val="auto"/>
                <w:vertAlign w:val="subscript"/>
              </w:rPr>
              <w:t>2</w:t>
            </w:r>
            <w:r>
              <w:rPr>
                <w:color w:val="auto"/>
              </w:rPr>
              <w:t>S</w:t>
            </w:r>
          </w:p>
        </w:tc>
        <w:tc>
          <w:tcPr>
            <w:tcW w:w="1005" w:type="pct"/>
            <w:vMerge w:val="restart"/>
            <w:vAlign w:val="center"/>
          </w:tcPr>
          <w:p>
            <w:pPr>
              <w:pStyle w:val="182"/>
              <w:bidi w:val="0"/>
              <w:rPr>
                <w:color w:val="auto"/>
              </w:rPr>
            </w:pPr>
            <w:r>
              <w:rPr>
                <w:rFonts w:hint="eastAsia"/>
                <w:color w:val="auto"/>
              </w:rPr>
              <w:t>原液车间空调换气及纺丝工段</w:t>
            </w:r>
          </w:p>
        </w:tc>
        <w:tc>
          <w:tcPr>
            <w:tcW w:w="1932" w:type="pct"/>
            <w:vMerge w:val="restart"/>
            <w:vAlign w:val="center"/>
          </w:tcPr>
          <w:p>
            <w:pPr>
              <w:pStyle w:val="182"/>
              <w:bidi w:val="0"/>
              <w:rPr>
                <w:color w:val="auto"/>
              </w:rPr>
            </w:pPr>
            <w:r>
              <w:rPr>
                <w:rFonts w:hint="eastAsia"/>
                <w:color w:val="auto"/>
              </w:rPr>
              <w:t>120m排气塔</w:t>
            </w:r>
            <w:r>
              <w:rPr>
                <w:color w:val="auto"/>
              </w:rPr>
              <w:t>7</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color w:val="auto"/>
              </w:rPr>
              <w:t>CS</w:t>
            </w:r>
            <w:r>
              <w:rPr>
                <w:color w:val="auto"/>
                <w:vertAlign w:val="subscript"/>
              </w:rPr>
              <w:t>2</w:t>
            </w:r>
          </w:p>
        </w:tc>
        <w:tc>
          <w:tcPr>
            <w:tcW w:w="1005" w:type="pct"/>
            <w:vMerge w:val="continue"/>
            <w:vAlign w:val="center"/>
          </w:tcPr>
          <w:p>
            <w:pPr>
              <w:pStyle w:val="182"/>
              <w:bidi w:val="0"/>
              <w:rPr>
                <w:color w:val="auto"/>
              </w:rPr>
            </w:pP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color w:val="auto"/>
              </w:rPr>
              <w:t>H</w:t>
            </w:r>
            <w:r>
              <w:rPr>
                <w:color w:val="auto"/>
                <w:vertAlign w:val="subscript"/>
              </w:rPr>
              <w:t>2</w:t>
            </w:r>
            <w:r>
              <w:rPr>
                <w:color w:val="auto"/>
              </w:rPr>
              <w:t>S</w:t>
            </w:r>
          </w:p>
        </w:tc>
        <w:tc>
          <w:tcPr>
            <w:tcW w:w="1005" w:type="pct"/>
            <w:vMerge w:val="restart"/>
            <w:vAlign w:val="center"/>
          </w:tcPr>
          <w:p>
            <w:pPr>
              <w:pStyle w:val="182"/>
              <w:bidi w:val="0"/>
              <w:rPr>
                <w:color w:val="auto"/>
              </w:rPr>
            </w:pPr>
            <w:r>
              <w:rPr>
                <w:rFonts w:hint="eastAsia"/>
                <w:color w:val="auto"/>
              </w:rPr>
              <w:t>黄化和酸站高浓度废气</w:t>
            </w:r>
          </w:p>
        </w:tc>
        <w:tc>
          <w:tcPr>
            <w:tcW w:w="1932" w:type="pct"/>
            <w:vMerge w:val="restart"/>
            <w:vAlign w:val="center"/>
          </w:tcPr>
          <w:p>
            <w:pPr>
              <w:pStyle w:val="182"/>
              <w:bidi w:val="0"/>
              <w:rPr>
                <w:color w:val="auto"/>
              </w:rPr>
            </w:pPr>
            <w:r>
              <w:rPr>
                <w:rFonts w:hint="eastAsia"/>
                <w:color w:val="auto"/>
              </w:rPr>
              <w:t>进入废气治理措施内进行处理（络合铁回收S单质工艺+活性炭吸附处理），尾气通过120m排气塔6#排放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Align w:val="center"/>
          </w:tcPr>
          <w:p>
            <w:pPr>
              <w:pStyle w:val="182"/>
              <w:bidi w:val="0"/>
              <w:rPr>
                <w:color w:val="auto"/>
              </w:rPr>
            </w:pPr>
            <w:r>
              <w:rPr>
                <w:color w:val="auto"/>
              </w:rPr>
              <w:t>CS</w:t>
            </w:r>
            <w:r>
              <w:rPr>
                <w:color w:val="auto"/>
                <w:vertAlign w:val="subscript"/>
              </w:rPr>
              <w:t>2</w:t>
            </w:r>
          </w:p>
        </w:tc>
        <w:tc>
          <w:tcPr>
            <w:tcW w:w="1005" w:type="pct"/>
            <w:vMerge w:val="continue"/>
            <w:vAlign w:val="center"/>
          </w:tcPr>
          <w:p>
            <w:pPr>
              <w:pStyle w:val="182"/>
              <w:bidi w:val="0"/>
              <w:rPr>
                <w:color w:val="auto"/>
              </w:rPr>
            </w:pP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restart"/>
            <w:vAlign w:val="center"/>
          </w:tcPr>
          <w:p>
            <w:pPr>
              <w:pStyle w:val="182"/>
              <w:bidi w:val="0"/>
              <w:rPr>
                <w:color w:val="auto"/>
              </w:rPr>
            </w:pPr>
            <w:r>
              <w:rPr>
                <w:rFonts w:hint="eastAsia"/>
                <w:color w:val="auto"/>
              </w:rPr>
              <w:t>3</w:t>
            </w:r>
          </w:p>
        </w:tc>
        <w:tc>
          <w:tcPr>
            <w:tcW w:w="901" w:type="pct"/>
            <w:vMerge w:val="restart"/>
            <w:vAlign w:val="center"/>
          </w:tcPr>
          <w:p>
            <w:pPr>
              <w:pStyle w:val="182"/>
              <w:bidi w:val="0"/>
              <w:rPr>
                <w:color w:val="auto"/>
              </w:rPr>
            </w:pPr>
            <w:r>
              <w:rPr>
                <w:rFonts w:hint="eastAsia"/>
                <w:color w:val="auto"/>
              </w:rPr>
              <w:t>年产2×2万吨超柔软氨纶纤维项目</w:t>
            </w:r>
          </w:p>
        </w:tc>
        <w:tc>
          <w:tcPr>
            <w:tcW w:w="773" w:type="pct"/>
            <w:vMerge w:val="restart"/>
            <w:vAlign w:val="center"/>
          </w:tcPr>
          <w:p>
            <w:pPr>
              <w:pStyle w:val="182"/>
              <w:bidi w:val="0"/>
              <w:rPr>
                <w:color w:val="auto"/>
              </w:rPr>
            </w:pPr>
            <w:r>
              <w:rPr>
                <w:rFonts w:hint="eastAsia"/>
                <w:color w:val="auto"/>
              </w:rPr>
              <w:t>非甲烷总烃</w:t>
            </w:r>
            <w:r>
              <w:rPr>
                <w:rFonts w:hint="eastAsia"/>
                <w:color w:val="auto"/>
                <w:lang w:eastAsia="zh-CN"/>
              </w:rPr>
              <w:t>(</w:t>
            </w:r>
            <w:r>
              <w:rPr>
                <w:color w:val="auto"/>
              </w:rPr>
              <w:t>DMAC)</w:t>
            </w:r>
          </w:p>
        </w:tc>
        <w:tc>
          <w:tcPr>
            <w:tcW w:w="1005" w:type="pct"/>
            <w:vAlign w:val="center"/>
          </w:tcPr>
          <w:p>
            <w:pPr>
              <w:pStyle w:val="182"/>
              <w:bidi w:val="0"/>
              <w:rPr>
                <w:color w:val="auto"/>
              </w:rPr>
            </w:pPr>
            <w:r>
              <w:rPr>
                <w:rFonts w:hint="eastAsia"/>
                <w:color w:val="auto"/>
              </w:rPr>
              <w:t>精制工段</w:t>
            </w:r>
          </w:p>
        </w:tc>
        <w:tc>
          <w:tcPr>
            <w:tcW w:w="1932" w:type="pct"/>
            <w:vMerge w:val="restart"/>
            <w:vAlign w:val="center"/>
          </w:tcPr>
          <w:p>
            <w:pPr>
              <w:pStyle w:val="182"/>
              <w:bidi w:val="0"/>
              <w:rPr>
                <w:color w:val="auto"/>
              </w:rPr>
            </w:pPr>
            <w:r>
              <w:rPr>
                <w:rFonts w:hint="eastAsia"/>
                <w:color w:val="auto"/>
              </w:rPr>
              <w:t>经各自二级水喷淋+末端一级水喷淋处理后经50m高排气筒8#排放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Merge w:val="continue"/>
            <w:vAlign w:val="center"/>
          </w:tcPr>
          <w:p>
            <w:pPr>
              <w:pStyle w:val="182"/>
              <w:bidi w:val="0"/>
              <w:rPr>
                <w:color w:val="auto"/>
              </w:rPr>
            </w:pPr>
          </w:p>
        </w:tc>
        <w:tc>
          <w:tcPr>
            <w:tcW w:w="1005" w:type="pct"/>
            <w:vAlign w:val="center"/>
          </w:tcPr>
          <w:p>
            <w:pPr>
              <w:pStyle w:val="182"/>
              <w:bidi w:val="0"/>
              <w:rPr>
                <w:color w:val="auto"/>
              </w:rPr>
            </w:pPr>
            <w:r>
              <w:rPr>
                <w:rFonts w:hint="eastAsia"/>
                <w:color w:val="auto"/>
              </w:rPr>
              <w:t>纺丝工段</w:t>
            </w: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Merge w:val="continue"/>
            <w:vAlign w:val="center"/>
          </w:tcPr>
          <w:p>
            <w:pPr>
              <w:pStyle w:val="182"/>
              <w:bidi w:val="0"/>
              <w:rPr>
                <w:color w:val="auto"/>
              </w:rPr>
            </w:pPr>
          </w:p>
        </w:tc>
        <w:tc>
          <w:tcPr>
            <w:tcW w:w="1005" w:type="pct"/>
            <w:vAlign w:val="center"/>
          </w:tcPr>
          <w:p>
            <w:pPr>
              <w:pStyle w:val="182"/>
              <w:bidi w:val="0"/>
              <w:rPr>
                <w:color w:val="auto"/>
              </w:rPr>
            </w:pPr>
            <w:r>
              <w:rPr>
                <w:rFonts w:hint="eastAsia"/>
                <w:color w:val="auto"/>
              </w:rPr>
              <w:t>纺丝组件清洗工段</w:t>
            </w:r>
          </w:p>
        </w:tc>
        <w:tc>
          <w:tcPr>
            <w:tcW w:w="1932" w:type="pct"/>
            <w:vAlign w:val="center"/>
          </w:tcPr>
          <w:p>
            <w:pPr>
              <w:pStyle w:val="182"/>
              <w:bidi w:val="0"/>
              <w:rPr>
                <w:color w:val="auto"/>
              </w:rPr>
            </w:pPr>
            <w:r>
              <w:rPr>
                <w:rFonts w:hint="eastAsia"/>
                <w:color w:val="auto"/>
              </w:rPr>
              <w:t>清洗罐上方设抽风装置收集后经末端一级水喷淋处理后经50m高排气筒8#排放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Merge w:val="continue"/>
            <w:vAlign w:val="center"/>
          </w:tcPr>
          <w:p>
            <w:pPr>
              <w:pStyle w:val="182"/>
              <w:bidi w:val="0"/>
              <w:rPr>
                <w:color w:val="auto"/>
              </w:rPr>
            </w:pPr>
          </w:p>
        </w:tc>
        <w:tc>
          <w:tcPr>
            <w:tcW w:w="1005" w:type="pct"/>
            <w:vAlign w:val="center"/>
          </w:tcPr>
          <w:p>
            <w:pPr>
              <w:pStyle w:val="182"/>
              <w:bidi w:val="0"/>
              <w:rPr>
                <w:color w:val="auto"/>
              </w:rPr>
            </w:pPr>
            <w:r>
              <w:rPr>
                <w:rFonts w:hint="eastAsia"/>
                <w:color w:val="auto"/>
              </w:rPr>
              <w:t>纺丝、卷绕车间废气</w:t>
            </w:r>
          </w:p>
        </w:tc>
        <w:tc>
          <w:tcPr>
            <w:tcW w:w="1932" w:type="pct"/>
            <w:vAlign w:val="center"/>
          </w:tcPr>
          <w:p>
            <w:pPr>
              <w:pStyle w:val="182"/>
              <w:bidi w:val="0"/>
              <w:rPr>
                <w:color w:val="auto"/>
              </w:rPr>
            </w:pPr>
            <w:r>
              <w:rPr>
                <w:rFonts w:hint="eastAsia"/>
                <w:color w:val="auto"/>
              </w:rPr>
              <w:t>收集后经水喷淋装置处理后经27m高排气筒9#排放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restart"/>
            <w:vAlign w:val="center"/>
          </w:tcPr>
          <w:p>
            <w:pPr>
              <w:pStyle w:val="182"/>
              <w:bidi w:val="0"/>
              <w:rPr>
                <w:color w:val="auto"/>
              </w:rPr>
            </w:pPr>
            <w:r>
              <w:rPr>
                <w:rFonts w:hint="eastAsia"/>
                <w:color w:val="auto"/>
              </w:rPr>
              <w:t>4</w:t>
            </w:r>
          </w:p>
        </w:tc>
        <w:tc>
          <w:tcPr>
            <w:tcW w:w="901" w:type="pct"/>
            <w:vMerge w:val="restart"/>
            <w:vAlign w:val="center"/>
          </w:tcPr>
          <w:p>
            <w:pPr>
              <w:pStyle w:val="182"/>
              <w:bidi w:val="0"/>
              <w:rPr>
                <w:color w:val="auto"/>
              </w:rPr>
            </w:pPr>
            <w:r>
              <w:rPr>
                <w:rFonts w:hint="eastAsia"/>
                <w:color w:val="auto"/>
              </w:rPr>
              <w:t>年产3×2万吨超细旦氨纶纤维项目一期工程</w:t>
            </w:r>
          </w:p>
        </w:tc>
        <w:tc>
          <w:tcPr>
            <w:tcW w:w="773" w:type="pct"/>
            <w:vMerge w:val="restart"/>
            <w:vAlign w:val="center"/>
          </w:tcPr>
          <w:p>
            <w:pPr>
              <w:pStyle w:val="182"/>
              <w:bidi w:val="0"/>
              <w:rPr>
                <w:color w:val="auto"/>
              </w:rPr>
            </w:pPr>
            <w:r>
              <w:rPr>
                <w:rFonts w:hint="eastAsia"/>
                <w:color w:val="auto"/>
              </w:rPr>
              <w:t>非甲烷总烃</w:t>
            </w:r>
            <w:r>
              <w:rPr>
                <w:rFonts w:hint="eastAsia"/>
                <w:color w:val="auto"/>
                <w:lang w:eastAsia="zh-CN"/>
              </w:rPr>
              <w:t>(</w:t>
            </w:r>
            <w:r>
              <w:rPr>
                <w:color w:val="auto"/>
              </w:rPr>
              <w:t>DMAC)</w:t>
            </w:r>
          </w:p>
        </w:tc>
        <w:tc>
          <w:tcPr>
            <w:tcW w:w="1005" w:type="pct"/>
            <w:vAlign w:val="center"/>
          </w:tcPr>
          <w:p>
            <w:pPr>
              <w:pStyle w:val="182"/>
              <w:bidi w:val="0"/>
              <w:rPr>
                <w:color w:val="auto"/>
              </w:rPr>
            </w:pPr>
            <w:r>
              <w:rPr>
                <w:rFonts w:hint="eastAsia"/>
                <w:color w:val="auto"/>
              </w:rPr>
              <w:t>精制工段</w:t>
            </w:r>
          </w:p>
        </w:tc>
        <w:tc>
          <w:tcPr>
            <w:tcW w:w="1932" w:type="pct"/>
            <w:vMerge w:val="restart"/>
            <w:vAlign w:val="center"/>
          </w:tcPr>
          <w:p>
            <w:pPr>
              <w:pStyle w:val="182"/>
              <w:bidi w:val="0"/>
              <w:rPr>
                <w:color w:val="auto"/>
              </w:rPr>
            </w:pPr>
            <w:r>
              <w:rPr>
                <w:rFonts w:hint="eastAsia"/>
                <w:color w:val="auto"/>
              </w:rPr>
              <w:t>经各自二级水喷淋+末端一级水喷淋处理后经50m高排气筒8#排放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Merge w:val="continue"/>
            <w:vAlign w:val="center"/>
          </w:tcPr>
          <w:p>
            <w:pPr>
              <w:pStyle w:val="182"/>
              <w:bidi w:val="0"/>
              <w:rPr>
                <w:color w:val="auto"/>
              </w:rPr>
            </w:pPr>
          </w:p>
        </w:tc>
        <w:tc>
          <w:tcPr>
            <w:tcW w:w="1005" w:type="pct"/>
            <w:vAlign w:val="center"/>
          </w:tcPr>
          <w:p>
            <w:pPr>
              <w:pStyle w:val="182"/>
              <w:bidi w:val="0"/>
              <w:rPr>
                <w:color w:val="auto"/>
              </w:rPr>
            </w:pPr>
            <w:r>
              <w:rPr>
                <w:rFonts w:hint="eastAsia"/>
                <w:color w:val="auto"/>
              </w:rPr>
              <w:t>纺丝工段</w:t>
            </w:r>
          </w:p>
        </w:tc>
        <w:tc>
          <w:tcPr>
            <w:tcW w:w="1932"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Merge w:val="continue"/>
            <w:vAlign w:val="center"/>
          </w:tcPr>
          <w:p>
            <w:pPr>
              <w:pStyle w:val="182"/>
              <w:bidi w:val="0"/>
              <w:rPr>
                <w:color w:val="auto"/>
              </w:rPr>
            </w:pPr>
          </w:p>
        </w:tc>
        <w:tc>
          <w:tcPr>
            <w:tcW w:w="1005" w:type="pct"/>
            <w:vAlign w:val="center"/>
          </w:tcPr>
          <w:p>
            <w:pPr>
              <w:pStyle w:val="182"/>
              <w:bidi w:val="0"/>
              <w:rPr>
                <w:color w:val="auto"/>
              </w:rPr>
            </w:pPr>
            <w:r>
              <w:rPr>
                <w:rFonts w:hint="eastAsia"/>
                <w:color w:val="auto"/>
              </w:rPr>
              <w:t>纺丝组件清洗工段</w:t>
            </w:r>
          </w:p>
        </w:tc>
        <w:tc>
          <w:tcPr>
            <w:tcW w:w="1932" w:type="pct"/>
            <w:vAlign w:val="center"/>
          </w:tcPr>
          <w:p>
            <w:pPr>
              <w:pStyle w:val="182"/>
              <w:bidi w:val="0"/>
              <w:rPr>
                <w:color w:val="auto"/>
              </w:rPr>
            </w:pPr>
            <w:r>
              <w:rPr>
                <w:rFonts w:hint="eastAsia"/>
                <w:color w:val="auto"/>
              </w:rPr>
              <w:t>清洗罐上方设抽风装置收集后经末端一级水喷淋处理后经50m高排气筒8#排放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Merge w:val="continue"/>
            <w:vAlign w:val="center"/>
          </w:tcPr>
          <w:p>
            <w:pPr>
              <w:pStyle w:val="182"/>
              <w:bidi w:val="0"/>
              <w:rPr>
                <w:color w:val="auto"/>
              </w:rPr>
            </w:pPr>
          </w:p>
        </w:tc>
        <w:tc>
          <w:tcPr>
            <w:tcW w:w="1005" w:type="pct"/>
            <w:vAlign w:val="center"/>
          </w:tcPr>
          <w:p>
            <w:pPr>
              <w:pStyle w:val="182"/>
              <w:bidi w:val="0"/>
              <w:rPr>
                <w:color w:val="auto"/>
              </w:rPr>
            </w:pPr>
            <w:r>
              <w:rPr>
                <w:rFonts w:hint="eastAsia"/>
                <w:color w:val="auto"/>
              </w:rPr>
              <w:t>纺丝、卷绕车间废气</w:t>
            </w:r>
          </w:p>
        </w:tc>
        <w:tc>
          <w:tcPr>
            <w:tcW w:w="1932" w:type="pct"/>
            <w:vAlign w:val="center"/>
          </w:tcPr>
          <w:p>
            <w:pPr>
              <w:pStyle w:val="182"/>
              <w:bidi w:val="0"/>
              <w:rPr>
                <w:color w:val="auto"/>
              </w:rPr>
            </w:pPr>
            <w:r>
              <w:rPr>
                <w:rFonts w:hint="eastAsia"/>
                <w:color w:val="auto"/>
              </w:rPr>
              <w:t>收集后经水喷淋装置处理后经27m高排气筒</w:t>
            </w:r>
            <w:r>
              <w:rPr>
                <w:color w:val="auto"/>
              </w:rPr>
              <w:t>10</w:t>
            </w:r>
            <w:r>
              <w:rPr>
                <w:rFonts w:hint="eastAsia"/>
                <w:color w:val="auto"/>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restart"/>
            <w:vAlign w:val="center"/>
          </w:tcPr>
          <w:p>
            <w:pPr>
              <w:pStyle w:val="182"/>
              <w:bidi w:val="0"/>
              <w:rPr>
                <w:color w:val="auto"/>
              </w:rPr>
            </w:pPr>
            <w:r>
              <w:rPr>
                <w:rFonts w:hint="eastAsia"/>
                <w:color w:val="auto"/>
              </w:rPr>
              <w:t>5</w:t>
            </w:r>
          </w:p>
        </w:tc>
        <w:tc>
          <w:tcPr>
            <w:tcW w:w="901" w:type="pct"/>
            <w:vMerge w:val="restart"/>
            <w:vAlign w:val="center"/>
          </w:tcPr>
          <w:p>
            <w:pPr>
              <w:pStyle w:val="182"/>
              <w:bidi w:val="0"/>
              <w:rPr>
                <w:color w:val="auto"/>
              </w:rPr>
            </w:pPr>
            <w:r>
              <w:rPr>
                <w:rFonts w:hint="eastAsia"/>
                <w:color w:val="auto"/>
              </w:rPr>
              <w:t>年产3×2万吨超细旦氨纶纤维项目二期三期工程（二期）</w:t>
            </w:r>
          </w:p>
        </w:tc>
        <w:tc>
          <w:tcPr>
            <w:tcW w:w="773" w:type="pct"/>
            <w:vMerge w:val="restart"/>
            <w:vAlign w:val="center"/>
          </w:tcPr>
          <w:p>
            <w:pPr>
              <w:pStyle w:val="182"/>
              <w:bidi w:val="0"/>
              <w:rPr>
                <w:color w:val="auto"/>
              </w:rPr>
            </w:pPr>
            <w:r>
              <w:rPr>
                <w:rFonts w:hint="eastAsia"/>
                <w:color w:val="auto"/>
              </w:rPr>
              <w:t>非甲烷总烃</w:t>
            </w:r>
            <w:r>
              <w:rPr>
                <w:rFonts w:hint="eastAsia"/>
                <w:color w:val="auto"/>
                <w:lang w:eastAsia="zh-CN"/>
              </w:rPr>
              <w:t>(</w:t>
            </w:r>
            <w:r>
              <w:rPr>
                <w:color w:val="auto"/>
              </w:rPr>
              <w:t>DMAC)</w:t>
            </w:r>
          </w:p>
        </w:tc>
        <w:tc>
          <w:tcPr>
            <w:tcW w:w="1005" w:type="pct"/>
            <w:vAlign w:val="center"/>
          </w:tcPr>
          <w:p>
            <w:pPr>
              <w:pStyle w:val="182"/>
              <w:bidi w:val="0"/>
              <w:rPr>
                <w:color w:val="auto"/>
              </w:rPr>
            </w:pPr>
            <w:r>
              <w:rPr>
                <w:rFonts w:hint="eastAsia"/>
                <w:color w:val="auto"/>
              </w:rPr>
              <w:t>精制工段</w:t>
            </w:r>
          </w:p>
        </w:tc>
        <w:tc>
          <w:tcPr>
            <w:tcW w:w="1932" w:type="pct"/>
            <w:vAlign w:val="center"/>
          </w:tcPr>
          <w:p>
            <w:pPr>
              <w:pStyle w:val="182"/>
              <w:bidi w:val="0"/>
              <w:rPr>
                <w:color w:val="auto"/>
              </w:rPr>
            </w:pPr>
            <w:r>
              <w:rPr>
                <w:rFonts w:hint="eastAsia"/>
                <w:color w:val="auto"/>
              </w:rPr>
              <w:t>经二级水喷淋+末端一级水喷淋处理后经50m高排气筒8#排放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Merge w:val="continue"/>
            <w:vAlign w:val="center"/>
          </w:tcPr>
          <w:p>
            <w:pPr>
              <w:pStyle w:val="182"/>
              <w:bidi w:val="0"/>
              <w:rPr>
                <w:color w:val="auto"/>
              </w:rPr>
            </w:pPr>
          </w:p>
        </w:tc>
        <w:tc>
          <w:tcPr>
            <w:tcW w:w="1005" w:type="pct"/>
            <w:vAlign w:val="center"/>
          </w:tcPr>
          <w:p>
            <w:pPr>
              <w:pStyle w:val="182"/>
              <w:bidi w:val="0"/>
              <w:rPr>
                <w:color w:val="auto"/>
              </w:rPr>
            </w:pPr>
            <w:r>
              <w:rPr>
                <w:rFonts w:hint="eastAsia"/>
                <w:color w:val="auto"/>
              </w:rPr>
              <w:t>纺丝工段</w:t>
            </w:r>
          </w:p>
        </w:tc>
        <w:tc>
          <w:tcPr>
            <w:tcW w:w="1932" w:type="pct"/>
            <w:vAlign w:val="center"/>
          </w:tcPr>
          <w:p>
            <w:pPr>
              <w:pStyle w:val="182"/>
              <w:bidi w:val="0"/>
              <w:rPr>
                <w:color w:val="auto"/>
              </w:rPr>
            </w:pPr>
            <w:r>
              <w:rPr>
                <w:rFonts w:hint="eastAsia"/>
                <w:color w:val="auto"/>
              </w:rPr>
              <w:t>经二级水喷淋（ABS系统）+双氧水喷淋+硫酸喷淋+水喷淋处理后，经30m高排气筒11#排放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Merge w:val="continue"/>
            <w:vAlign w:val="center"/>
          </w:tcPr>
          <w:p>
            <w:pPr>
              <w:pStyle w:val="182"/>
              <w:bidi w:val="0"/>
              <w:rPr>
                <w:color w:val="auto"/>
              </w:rPr>
            </w:pPr>
          </w:p>
        </w:tc>
        <w:tc>
          <w:tcPr>
            <w:tcW w:w="1005" w:type="pct"/>
            <w:vAlign w:val="center"/>
          </w:tcPr>
          <w:p>
            <w:pPr>
              <w:pStyle w:val="182"/>
              <w:bidi w:val="0"/>
              <w:rPr>
                <w:color w:val="auto"/>
              </w:rPr>
            </w:pPr>
            <w:r>
              <w:rPr>
                <w:rFonts w:hint="eastAsia"/>
                <w:color w:val="auto"/>
              </w:rPr>
              <w:t>纺丝组件清洗工段</w:t>
            </w:r>
          </w:p>
        </w:tc>
        <w:tc>
          <w:tcPr>
            <w:tcW w:w="1932" w:type="pct"/>
            <w:vAlign w:val="center"/>
          </w:tcPr>
          <w:p>
            <w:pPr>
              <w:pStyle w:val="182"/>
              <w:bidi w:val="0"/>
              <w:rPr>
                <w:color w:val="auto"/>
              </w:rPr>
            </w:pPr>
            <w:r>
              <w:rPr>
                <w:rFonts w:hint="eastAsia"/>
                <w:color w:val="auto"/>
              </w:rPr>
              <w:t>清洗罐上方设抽风装置收集后经双氧水喷淋+硫酸喷淋+水喷淋处理后，经30m高排气筒11#排放。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6" w:type="pct"/>
            <w:vMerge w:val="continue"/>
            <w:vAlign w:val="center"/>
          </w:tcPr>
          <w:p>
            <w:pPr>
              <w:pStyle w:val="182"/>
              <w:bidi w:val="0"/>
              <w:rPr>
                <w:color w:val="auto"/>
              </w:rPr>
            </w:pPr>
          </w:p>
        </w:tc>
        <w:tc>
          <w:tcPr>
            <w:tcW w:w="901" w:type="pct"/>
            <w:vMerge w:val="continue"/>
            <w:vAlign w:val="center"/>
          </w:tcPr>
          <w:p>
            <w:pPr>
              <w:pStyle w:val="182"/>
              <w:bidi w:val="0"/>
              <w:rPr>
                <w:color w:val="auto"/>
              </w:rPr>
            </w:pPr>
          </w:p>
        </w:tc>
        <w:tc>
          <w:tcPr>
            <w:tcW w:w="773" w:type="pct"/>
            <w:vMerge w:val="continue"/>
            <w:vAlign w:val="center"/>
          </w:tcPr>
          <w:p>
            <w:pPr>
              <w:pStyle w:val="182"/>
              <w:bidi w:val="0"/>
              <w:rPr>
                <w:color w:val="auto"/>
              </w:rPr>
            </w:pPr>
          </w:p>
        </w:tc>
        <w:tc>
          <w:tcPr>
            <w:tcW w:w="1005" w:type="pct"/>
            <w:vAlign w:val="center"/>
          </w:tcPr>
          <w:p>
            <w:pPr>
              <w:pStyle w:val="182"/>
              <w:bidi w:val="0"/>
              <w:rPr>
                <w:color w:val="auto"/>
              </w:rPr>
            </w:pPr>
            <w:r>
              <w:rPr>
                <w:rFonts w:hint="eastAsia"/>
                <w:color w:val="auto"/>
              </w:rPr>
              <w:t>纺丝、卷绕车间废气</w:t>
            </w:r>
          </w:p>
        </w:tc>
        <w:tc>
          <w:tcPr>
            <w:tcW w:w="1932" w:type="pct"/>
            <w:vAlign w:val="center"/>
          </w:tcPr>
          <w:p>
            <w:pPr>
              <w:pStyle w:val="182"/>
              <w:bidi w:val="0"/>
              <w:rPr>
                <w:color w:val="auto"/>
              </w:rPr>
            </w:pPr>
            <w:r>
              <w:rPr>
                <w:rFonts w:hint="eastAsia"/>
                <w:color w:val="auto"/>
              </w:rPr>
              <w:t>收集后经水喷淋装置处理后经27m高排气筒</w:t>
            </w:r>
            <w:r>
              <w:rPr>
                <w:color w:val="auto"/>
              </w:rPr>
              <w:t>12</w:t>
            </w:r>
            <w:r>
              <w:rPr>
                <w:rFonts w:hint="eastAsia"/>
                <w:color w:val="auto"/>
              </w:rPr>
              <w:t>#排放</w:t>
            </w:r>
          </w:p>
        </w:tc>
      </w:tr>
    </w:tbl>
    <w:p>
      <w:pPr>
        <w:bidi w:val="0"/>
        <w:rPr>
          <w:color w:val="auto"/>
        </w:rPr>
      </w:pPr>
      <w:r>
        <w:rPr>
          <w:rFonts w:hint="eastAsia"/>
          <w:color w:val="auto"/>
        </w:rPr>
        <w:t>河南中弘国泰检测技术有限公司于2</w:t>
      </w:r>
      <w:r>
        <w:rPr>
          <w:color w:val="auto"/>
        </w:rPr>
        <w:t>022</w:t>
      </w:r>
      <w:r>
        <w:rPr>
          <w:rFonts w:hint="eastAsia"/>
          <w:color w:val="auto"/>
        </w:rPr>
        <w:t>年</w:t>
      </w:r>
      <w:r>
        <w:rPr>
          <w:color w:val="auto"/>
        </w:rPr>
        <w:t>11</w:t>
      </w:r>
      <w:r>
        <w:rPr>
          <w:rFonts w:hint="eastAsia"/>
          <w:color w:val="auto"/>
        </w:rPr>
        <w:t>月2</w:t>
      </w:r>
      <w:r>
        <w:rPr>
          <w:color w:val="auto"/>
        </w:rPr>
        <w:t>8</w:t>
      </w:r>
      <w:r>
        <w:rPr>
          <w:rFonts w:hint="eastAsia"/>
          <w:color w:val="auto"/>
        </w:rPr>
        <w:t>日、2</w:t>
      </w:r>
      <w:r>
        <w:rPr>
          <w:color w:val="auto"/>
        </w:rPr>
        <w:t>9</w:t>
      </w:r>
      <w:r>
        <w:rPr>
          <w:rFonts w:hint="eastAsia"/>
          <w:color w:val="auto"/>
        </w:rPr>
        <w:t>日对厂区有组织废气进行了监测，结果如下表所示。</w:t>
      </w:r>
    </w:p>
    <w:p>
      <w:pPr>
        <w:pStyle w:val="181"/>
        <w:bidi w:val="0"/>
        <w:rPr>
          <w:color w:val="auto"/>
        </w:rPr>
      </w:pPr>
      <w:r>
        <w:rPr>
          <w:rFonts w:hint="eastAsia"/>
          <w:color w:val="auto"/>
        </w:rPr>
        <w:t>表3</w:t>
      </w:r>
      <w:r>
        <w:rPr>
          <w:color w:val="auto"/>
        </w:rPr>
        <w:t>.</w:t>
      </w:r>
      <w:r>
        <w:rPr>
          <w:rFonts w:hint="eastAsia"/>
          <w:color w:val="auto"/>
          <w:lang w:val="en-US" w:eastAsia="zh-CN"/>
        </w:rPr>
        <w:t>3</w:t>
      </w:r>
      <w:r>
        <w:rPr>
          <w:rFonts w:hint="eastAsia"/>
          <w:color w:val="auto"/>
        </w:rPr>
        <w:t>-</w:t>
      </w:r>
      <w:r>
        <w:rPr>
          <w:rFonts w:hint="eastAsia"/>
          <w:color w:val="auto"/>
          <w:lang w:val="en-US" w:eastAsia="zh-CN"/>
        </w:rPr>
        <w:t>11</w:t>
      </w:r>
      <w:r>
        <w:rPr>
          <w:color w:val="auto"/>
        </w:rPr>
        <w:t xml:space="preserve">  </w:t>
      </w:r>
      <w:r>
        <w:rPr>
          <w:rFonts w:hint="eastAsia"/>
          <w:color w:val="auto"/>
          <w:lang w:val="en-US" w:eastAsia="zh-CN"/>
        </w:rPr>
        <w:t xml:space="preserve">         </w:t>
      </w:r>
      <w:r>
        <w:rPr>
          <w:rFonts w:hint="eastAsia"/>
          <w:color w:val="auto"/>
        </w:rPr>
        <w:t>有组织废气检测结果一览表</w:t>
      </w:r>
    </w:p>
    <w:tbl>
      <w:tblPr>
        <w:tblStyle w:val="165"/>
        <w:tblW w:w="5006" w:type="pct"/>
        <w:jc w:val="center"/>
        <w:tblLayout w:type="autofit"/>
        <w:tblCellMar>
          <w:top w:w="0" w:type="dxa"/>
          <w:left w:w="0" w:type="dxa"/>
          <w:bottom w:w="0" w:type="dxa"/>
          <w:right w:w="0" w:type="dxa"/>
        </w:tblCellMar>
      </w:tblPr>
      <w:tblGrid>
        <w:gridCol w:w="1055"/>
        <w:gridCol w:w="966"/>
        <w:gridCol w:w="713"/>
        <w:gridCol w:w="943"/>
        <w:gridCol w:w="943"/>
        <w:gridCol w:w="948"/>
        <w:gridCol w:w="940"/>
        <w:gridCol w:w="936"/>
        <w:gridCol w:w="886"/>
      </w:tblGrid>
      <w:tr>
        <w:tblPrEx>
          <w:tblCellMar>
            <w:top w:w="0" w:type="dxa"/>
            <w:left w:w="0" w:type="dxa"/>
            <w:bottom w:w="0" w:type="dxa"/>
            <w:right w:w="0" w:type="dxa"/>
          </w:tblCellMar>
        </w:tblPrEx>
        <w:trPr>
          <w:trHeight w:val="340"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zh-CN"/>
              </w:rPr>
            </w:pPr>
            <w:bookmarkStart w:id="183" w:name="_Hlk120960070"/>
            <w:r>
              <w:rPr>
                <w:b/>
                <w:bCs/>
                <w:color w:val="auto"/>
                <w:lang w:eastAsia="zh-CN"/>
              </w:rPr>
              <w:t>2号烟囱排气筒出口DA002</w:t>
            </w:r>
          </w:p>
        </w:tc>
      </w:tr>
      <w:tr>
        <w:tblPrEx>
          <w:tblCellMar>
            <w:top w:w="0" w:type="dxa"/>
            <w:left w:w="0" w:type="dxa"/>
            <w:bottom w:w="0" w:type="dxa"/>
            <w:right w:w="0" w:type="dxa"/>
          </w:tblCellMar>
        </w:tblPrEx>
        <w:trPr>
          <w:trHeight w:val="340" w:hRule="atLeast"/>
          <w:jc w:val="center"/>
        </w:trPr>
        <w:tc>
          <w:tcPr>
            <w:tcW w:w="164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采样日期</w:t>
            </w:r>
          </w:p>
        </w:tc>
        <w:tc>
          <w:tcPr>
            <w:tcW w:w="170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2022.11.28</w:t>
            </w:r>
          </w:p>
        </w:tc>
        <w:tc>
          <w:tcPr>
            <w:tcW w:w="1657"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2022.11.29</w:t>
            </w:r>
          </w:p>
        </w:tc>
      </w:tr>
      <w:tr>
        <w:tblPrEx>
          <w:tblCellMar>
            <w:top w:w="0" w:type="dxa"/>
            <w:left w:w="0" w:type="dxa"/>
            <w:bottom w:w="0" w:type="dxa"/>
            <w:right w:w="0" w:type="dxa"/>
          </w:tblCellMar>
        </w:tblPrEx>
        <w:trPr>
          <w:trHeight w:val="340" w:hRule="atLeast"/>
          <w:jc w:val="center"/>
        </w:trPr>
        <w:tc>
          <w:tcPr>
            <w:tcW w:w="164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监测频次</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2</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3</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3</w:t>
            </w:r>
          </w:p>
        </w:tc>
      </w:tr>
      <w:tr>
        <w:tblPrEx>
          <w:tblCellMar>
            <w:top w:w="0" w:type="dxa"/>
            <w:left w:w="0" w:type="dxa"/>
            <w:bottom w:w="0" w:type="dxa"/>
            <w:right w:w="0" w:type="dxa"/>
          </w:tblCellMar>
        </w:tblPrEx>
        <w:trPr>
          <w:trHeight w:val="340" w:hRule="atLeast"/>
          <w:jc w:val="center"/>
        </w:trPr>
        <w:tc>
          <w:tcPr>
            <w:tcW w:w="164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标干流量</w:t>
            </w:r>
            <w:r>
              <w:rPr>
                <w:rFonts w:hint="eastAsia"/>
                <w:color w:val="auto"/>
                <w:lang w:eastAsia="zh-CN"/>
              </w:rPr>
              <w:t>(</w:t>
            </w:r>
            <w:r>
              <w:rPr>
                <w:color w:val="auto"/>
                <w:lang w:eastAsia="en-US"/>
              </w:rPr>
              <w:t>m</w:t>
            </w:r>
            <w:r>
              <w:rPr>
                <w:color w:val="auto"/>
                <w:vertAlign w:val="superscript"/>
                <w:lang w:eastAsia="en-US"/>
              </w:rPr>
              <w:t>3</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108066</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108234</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108461</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108375</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108182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108293</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含氧量</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8.85</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9.12</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9.38</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8.97</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8.92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9.06</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颗粒物实测值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4.6</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4.4</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4.8</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4.7</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4.3</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4.5</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颗粒物折算值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5.7</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5.6</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6.2</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5.9</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5.4</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5.7</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颗粒物排放速率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0.497</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0.476</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0.521</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0.509</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0.465</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0.487</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二氧化硫实测值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9</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6</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二氧化硫折算值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9</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13</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12</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14</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二氧化硫排放速率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0.756</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1.08</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0.976</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1.19</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0.865</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0.650</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氮氧化物实测值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16</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19</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17</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21</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氮氧化物折算值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24</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26</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23</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21</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27</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氮氧化物排放速率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1.73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2.06</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2.17</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1.95</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1.84</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2.27</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汞及其化合物实测值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汞及其化合物折算值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val="en-US" w:eastAsia="en-US"/>
              </w:rPr>
            </w:pPr>
            <w:r>
              <w:rPr>
                <w:color w:val="auto"/>
                <w:lang w:eastAsia="en-US"/>
              </w:rPr>
              <w:t>汞及其化合物排放速率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林格曼黑度*</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级</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r>
      <w:tr>
        <w:tblPrEx>
          <w:tblCellMar>
            <w:top w:w="0" w:type="dxa"/>
            <w:left w:w="0" w:type="dxa"/>
            <w:bottom w:w="0" w:type="dxa"/>
            <w:right w:w="0" w:type="dxa"/>
          </w:tblCellMar>
        </w:tblPrEx>
        <w:trPr>
          <w:trHeight w:val="340"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zh-CN"/>
              </w:rPr>
            </w:pPr>
            <w:r>
              <w:rPr>
                <w:b/>
                <w:bCs/>
                <w:color w:val="auto"/>
                <w:lang w:eastAsia="zh-CN"/>
              </w:rPr>
              <w:t>3号烟囱排气筒出口DA003</w:t>
            </w:r>
          </w:p>
        </w:tc>
      </w:tr>
      <w:tr>
        <w:tblPrEx>
          <w:tblCellMar>
            <w:top w:w="0" w:type="dxa"/>
            <w:left w:w="0" w:type="dxa"/>
            <w:bottom w:w="0" w:type="dxa"/>
            <w:right w:w="0" w:type="dxa"/>
          </w:tblCellMar>
        </w:tblPrEx>
        <w:trPr>
          <w:trHeight w:val="340" w:hRule="atLeast"/>
          <w:jc w:val="center"/>
        </w:trPr>
        <w:tc>
          <w:tcPr>
            <w:tcW w:w="164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采样日期</w:t>
            </w:r>
          </w:p>
        </w:tc>
        <w:tc>
          <w:tcPr>
            <w:tcW w:w="170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2022.11.28</w:t>
            </w:r>
          </w:p>
        </w:tc>
        <w:tc>
          <w:tcPr>
            <w:tcW w:w="1657"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2022.11.29</w:t>
            </w:r>
          </w:p>
        </w:tc>
      </w:tr>
      <w:tr>
        <w:tblPrEx>
          <w:tblCellMar>
            <w:top w:w="0" w:type="dxa"/>
            <w:left w:w="0" w:type="dxa"/>
            <w:bottom w:w="0" w:type="dxa"/>
            <w:right w:w="0" w:type="dxa"/>
          </w:tblCellMar>
        </w:tblPrEx>
        <w:trPr>
          <w:trHeight w:val="340" w:hRule="atLeast"/>
          <w:jc w:val="center"/>
        </w:trPr>
        <w:tc>
          <w:tcPr>
            <w:tcW w:w="164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监测频次</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w:t>
            </w:r>
          </w:p>
        </w:tc>
      </w:tr>
      <w:tr>
        <w:tblPrEx>
          <w:tblCellMar>
            <w:top w:w="0" w:type="dxa"/>
            <w:left w:w="0" w:type="dxa"/>
            <w:bottom w:w="0" w:type="dxa"/>
            <w:right w:w="0" w:type="dxa"/>
          </w:tblCellMar>
        </w:tblPrEx>
        <w:trPr>
          <w:trHeight w:val="340" w:hRule="atLeast"/>
          <w:jc w:val="center"/>
        </w:trPr>
        <w:tc>
          <w:tcPr>
            <w:tcW w:w="164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标干流量</w:t>
            </w:r>
            <w:r>
              <w:rPr>
                <w:rFonts w:hint="eastAsia"/>
                <w:color w:val="auto"/>
                <w:lang w:eastAsia="zh-CN"/>
              </w:rPr>
              <w:t>(</w:t>
            </w:r>
            <w:r>
              <w:rPr>
                <w:color w:val="auto"/>
                <w:lang w:eastAsia="en-US"/>
              </w:rPr>
              <w:t>m</w:t>
            </w:r>
            <w:r>
              <w:rPr>
                <w:color w:val="auto"/>
                <w:vertAlign w:val="superscript"/>
                <w:lang w:eastAsia="en-US"/>
              </w:rPr>
              <w:t>3</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187305</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187582</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187194</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187436</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187265</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187379</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含氧量</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5.63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5.75</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5.83</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6.07</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6.12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5.94</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颗粒物实测值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4.2</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3.9</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4.3</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4.4</w:t>
            </w:r>
          </w:p>
        </w:tc>
      </w:tr>
      <w:bookmarkEnd w:id="183"/>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颗粒物折算值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3.9</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4.3</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4.3</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4.4</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颗粒物排放速率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0.787</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0.732</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0.805</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0.768</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0.787</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0.824</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二氧化硫实测值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23</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22</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24</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二氧化硫折算值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23</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22</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24</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二氧化硫排放速率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3.93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4.31</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4.12</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3.75</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4.50</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氮氧化物实测值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42</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39</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37</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40</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38</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36</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氮氧化物折算值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39</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37</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40</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39</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36</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氮氧化物排放速率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7.87</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7.32</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6.93</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7.50</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7.12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6.75</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汞及其化合物实测值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汞及其化合物折算值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val="en-US" w:eastAsia="en-US"/>
              </w:rPr>
            </w:pPr>
            <w:r>
              <w:rPr>
                <w:color w:val="auto"/>
                <w:lang w:eastAsia="en-US"/>
              </w:rPr>
              <w:t>汞及其化合物排放速率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林格曼黑度*</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级</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r>
      <w:tr>
        <w:tblPrEx>
          <w:tblCellMar>
            <w:top w:w="0" w:type="dxa"/>
            <w:left w:w="0" w:type="dxa"/>
            <w:bottom w:w="0" w:type="dxa"/>
            <w:right w:w="0" w:type="dxa"/>
          </w:tblCellMar>
        </w:tblPrEx>
        <w:trPr>
          <w:trHeight w:val="340" w:hRule="atLeast"/>
          <w:jc w:val="center"/>
        </w:trPr>
        <w:tc>
          <w:tcPr>
            <w:tcW w:w="633"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挥发性有机物</w:t>
            </w:r>
          </w:p>
        </w:tc>
        <w:tc>
          <w:tcPr>
            <w:tcW w:w="1007"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排放浓度</w:t>
            </w:r>
            <w:r>
              <w:rPr>
                <w:rFonts w:hint="eastAsia"/>
                <w:color w:val="auto"/>
                <w:lang w:eastAsia="zh-CN"/>
              </w:rPr>
              <w:t>(</w:t>
            </w:r>
            <w:r>
              <w:rPr>
                <w:color w:val="auto"/>
                <w:lang w:eastAsia="en-US"/>
              </w:rPr>
              <w:t>mg/m</w:t>
            </w:r>
            <w:r>
              <w:rPr>
                <w:color w:val="auto"/>
                <w:vertAlign w:val="superscript"/>
                <w:lang w:eastAsia="en-US"/>
              </w:rPr>
              <w:t>3</w:t>
            </w: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7.56</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7.72</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7.34</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7.61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7.78</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7.49</w:t>
            </w:r>
          </w:p>
        </w:tc>
      </w:tr>
      <w:tr>
        <w:tblPrEx>
          <w:tblCellMar>
            <w:top w:w="0" w:type="dxa"/>
            <w:left w:w="0" w:type="dxa"/>
            <w:bottom w:w="0" w:type="dxa"/>
            <w:right w:w="0" w:type="dxa"/>
          </w:tblCellMar>
        </w:tblPrEx>
        <w:trPr>
          <w:trHeight w:val="340" w:hRule="atLeast"/>
          <w:jc w:val="center"/>
        </w:trPr>
        <w:tc>
          <w:tcPr>
            <w:tcW w:w="633"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1007"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排放速率</w:t>
            </w:r>
            <w:r>
              <w:rPr>
                <w:rFonts w:hint="eastAsia"/>
                <w:color w:val="auto"/>
                <w:lang w:eastAsia="zh-CN"/>
              </w:rPr>
              <w:t>(</w:t>
            </w:r>
            <w:r>
              <w:rPr>
                <w:color w:val="auto"/>
                <w:lang w:eastAsia="en-US"/>
              </w:rPr>
              <w:t>kg/h)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1.42</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1.45</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1.37</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1.43</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1.46</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1.40</w:t>
            </w:r>
          </w:p>
        </w:tc>
      </w:tr>
      <w:tr>
        <w:tblPrEx>
          <w:tblCellMar>
            <w:top w:w="0" w:type="dxa"/>
            <w:left w:w="0" w:type="dxa"/>
            <w:bottom w:w="0" w:type="dxa"/>
            <w:right w:w="0" w:type="dxa"/>
          </w:tblCellMar>
        </w:tblPrEx>
        <w:trPr>
          <w:trHeight w:val="340"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zh-CN"/>
              </w:rPr>
            </w:pPr>
            <w:r>
              <w:rPr>
                <w:b/>
                <w:bCs/>
                <w:color w:val="auto"/>
                <w:lang w:eastAsia="zh-CN"/>
              </w:rPr>
              <w:t>4号烟囱排气筒出口DA004</w:t>
            </w:r>
          </w:p>
        </w:tc>
      </w:tr>
      <w:tr>
        <w:tblPrEx>
          <w:tblCellMar>
            <w:top w:w="0" w:type="dxa"/>
            <w:left w:w="0" w:type="dxa"/>
            <w:bottom w:w="0" w:type="dxa"/>
            <w:right w:w="0" w:type="dxa"/>
          </w:tblCellMar>
        </w:tblPrEx>
        <w:trPr>
          <w:trHeight w:val="340" w:hRule="atLeast"/>
          <w:jc w:val="center"/>
        </w:trPr>
        <w:tc>
          <w:tcPr>
            <w:tcW w:w="164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采样日期</w:t>
            </w:r>
          </w:p>
        </w:tc>
        <w:tc>
          <w:tcPr>
            <w:tcW w:w="170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2022.11.28</w:t>
            </w:r>
          </w:p>
        </w:tc>
        <w:tc>
          <w:tcPr>
            <w:tcW w:w="1657"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2022.11.29</w:t>
            </w:r>
          </w:p>
        </w:tc>
      </w:tr>
      <w:tr>
        <w:tblPrEx>
          <w:tblCellMar>
            <w:top w:w="0" w:type="dxa"/>
            <w:left w:w="0" w:type="dxa"/>
            <w:bottom w:w="0" w:type="dxa"/>
            <w:right w:w="0" w:type="dxa"/>
          </w:tblCellMar>
        </w:tblPrEx>
        <w:trPr>
          <w:trHeight w:val="340" w:hRule="atLeast"/>
          <w:jc w:val="center"/>
        </w:trPr>
        <w:tc>
          <w:tcPr>
            <w:tcW w:w="164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监测频次</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w:t>
            </w:r>
          </w:p>
        </w:tc>
      </w:tr>
      <w:tr>
        <w:tblPrEx>
          <w:tblCellMar>
            <w:top w:w="0" w:type="dxa"/>
            <w:left w:w="0" w:type="dxa"/>
            <w:bottom w:w="0" w:type="dxa"/>
            <w:right w:w="0" w:type="dxa"/>
          </w:tblCellMar>
        </w:tblPrEx>
        <w:trPr>
          <w:trHeight w:val="340" w:hRule="atLeast"/>
          <w:jc w:val="center"/>
        </w:trPr>
        <w:tc>
          <w:tcPr>
            <w:tcW w:w="1641"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标干流量</w:t>
            </w:r>
            <w:r>
              <w:rPr>
                <w:rFonts w:hint="eastAsia"/>
                <w:color w:val="auto"/>
                <w:lang w:eastAsia="zh-CN"/>
              </w:rPr>
              <w:t>(</w:t>
            </w:r>
            <w:r>
              <w:rPr>
                <w:color w:val="auto"/>
                <w:lang w:eastAsia="en-US"/>
              </w:rPr>
              <w:t>m</w:t>
            </w:r>
            <w:r>
              <w:rPr>
                <w:color w:val="auto"/>
                <w:vertAlign w:val="superscript"/>
                <w:lang w:eastAsia="en-US"/>
              </w:rPr>
              <w:t>3</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188362</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188579</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188213</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188457</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188272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188319</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含氧量</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3.85</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4.13</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4.28</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3.97</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3.76</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4.05</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颗粒物实测值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5.5</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4.6</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4.3</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5.4</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颗粒物折算值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4.8</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3.7</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4.2</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4.5</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3.8</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4.8</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颗粒物排放速率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1.04</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0.773</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0.866</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0.961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0.810</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1.02</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二氧化硫实测值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22</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24</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21</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23</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22</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25</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二氧化硫折算值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19</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21</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19</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20</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19</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22</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二氧化硫排放速率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4.14</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4.53</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3.95</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4.33</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4.14</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4.71</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氮氧化物实测值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46</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48</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45</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47</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43</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44</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氮氧化物折算值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43</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41</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42</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38</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39</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氮氧化物排放速率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8.66</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9.05</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8.47</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8.86</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8.10</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8.29</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汞及其化合物实测值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ND</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汞及其化合物折算值</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mg/m</w:t>
            </w:r>
            <w:r>
              <w:rPr>
                <w:color w:val="auto"/>
                <w:vertAlign w:val="superscript"/>
                <w:lang w:eastAsia="en-US"/>
              </w:rPr>
              <w:t>3</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val="en-US" w:eastAsia="en-US"/>
              </w:rPr>
            </w:pPr>
            <w:r>
              <w:rPr>
                <w:color w:val="auto"/>
                <w:lang w:eastAsia="en-US"/>
              </w:rPr>
              <w:t>汞及其化合物排放速率</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rFonts w:hint="eastAsia"/>
                <w:color w:val="auto"/>
                <w:lang w:eastAsia="zh-CN"/>
              </w:rPr>
              <w:t>kg</w:t>
            </w:r>
            <w:r>
              <w:rPr>
                <w:color w:val="auto"/>
                <w:lang w:eastAsia="en-US"/>
              </w:rPr>
              <w:t>/h</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w:t>
            </w:r>
          </w:p>
        </w:tc>
      </w:tr>
      <w:tr>
        <w:tblPrEx>
          <w:tblCellMar>
            <w:top w:w="0" w:type="dxa"/>
            <w:left w:w="0" w:type="dxa"/>
            <w:bottom w:w="0" w:type="dxa"/>
            <w:right w:w="0" w:type="dxa"/>
          </w:tblCellMar>
        </w:tblPrEx>
        <w:trPr>
          <w:trHeight w:val="340" w:hRule="atLeast"/>
          <w:jc w:val="center"/>
        </w:trPr>
        <w:tc>
          <w:tcPr>
            <w:tcW w:w="121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林格曼黑度*</w:t>
            </w:r>
          </w:p>
        </w:tc>
        <w:tc>
          <w:tcPr>
            <w:tcW w:w="427"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级</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9"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62"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c>
          <w:tcPr>
            <w:tcW w:w="530"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w:t>
            </w:r>
          </w:p>
        </w:tc>
      </w:tr>
    </w:tbl>
    <w:p>
      <w:pPr>
        <w:pStyle w:val="181"/>
        <w:bidi w:val="0"/>
        <w:rPr>
          <w:color w:val="auto"/>
        </w:rPr>
      </w:pPr>
      <w:r>
        <w:rPr>
          <w:rFonts w:hint="eastAsia"/>
          <w:color w:val="auto"/>
        </w:rPr>
        <w:t>表3</w:t>
      </w:r>
      <w:r>
        <w:rPr>
          <w:color w:val="auto"/>
        </w:rPr>
        <w:t>.</w:t>
      </w:r>
      <w:r>
        <w:rPr>
          <w:rFonts w:hint="eastAsia"/>
          <w:color w:val="auto"/>
          <w:lang w:val="en-US" w:eastAsia="zh-CN"/>
        </w:rPr>
        <w:t>3</w:t>
      </w:r>
      <w:r>
        <w:rPr>
          <w:rFonts w:hint="eastAsia"/>
          <w:color w:val="auto"/>
        </w:rPr>
        <w:t>-</w:t>
      </w:r>
      <w:r>
        <w:rPr>
          <w:rFonts w:hint="eastAsia"/>
          <w:color w:val="auto"/>
          <w:lang w:val="en-US" w:eastAsia="zh-CN"/>
        </w:rPr>
        <w:t>12</w:t>
      </w:r>
      <w:r>
        <w:rPr>
          <w:color w:val="auto"/>
        </w:rPr>
        <w:t xml:space="preserve">  </w:t>
      </w:r>
      <w:r>
        <w:rPr>
          <w:rFonts w:hint="eastAsia"/>
          <w:color w:val="auto"/>
          <w:lang w:val="en-US" w:eastAsia="zh-CN"/>
        </w:rPr>
        <w:t xml:space="preserve">         </w:t>
      </w:r>
      <w:r>
        <w:rPr>
          <w:rFonts w:hint="eastAsia"/>
          <w:color w:val="auto"/>
        </w:rPr>
        <w:t>无组织废气检测结果一览表</w:t>
      </w:r>
    </w:p>
    <w:tbl>
      <w:tblPr>
        <w:tblStyle w:val="165"/>
        <w:tblW w:w="4997" w:type="pct"/>
        <w:jc w:val="center"/>
        <w:tblLayout w:type="autofit"/>
        <w:tblCellMar>
          <w:top w:w="0" w:type="dxa"/>
          <w:left w:w="0" w:type="dxa"/>
          <w:bottom w:w="0" w:type="dxa"/>
          <w:right w:w="0" w:type="dxa"/>
        </w:tblCellMar>
      </w:tblPr>
      <w:tblGrid>
        <w:gridCol w:w="1065"/>
        <w:gridCol w:w="979"/>
        <w:gridCol w:w="967"/>
        <w:gridCol w:w="887"/>
        <w:gridCol w:w="887"/>
        <w:gridCol w:w="889"/>
        <w:gridCol w:w="887"/>
        <w:gridCol w:w="859"/>
        <w:gridCol w:w="28"/>
        <w:gridCol w:w="837"/>
        <w:gridCol w:w="30"/>
      </w:tblGrid>
      <w:tr>
        <w:tblPrEx>
          <w:tblCellMar>
            <w:top w:w="0" w:type="dxa"/>
            <w:left w:w="0" w:type="dxa"/>
            <w:bottom w:w="0" w:type="dxa"/>
            <w:right w:w="0" w:type="dxa"/>
          </w:tblCellMar>
        </w:tblPrEx>
        <w:trPr>
          <w:jc w:val="center"/>
        </w:trPr>
        <w:tc>
          <w:tcPr>
            <w:tcW w:w="640"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采样日期</w:t>
            </w:r>
          </w:p>
        </w:tc>
        <w:tc>
          <w:tcPr>
            <w:tcW w:w="588"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监测点位</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采样时间</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颗粒物</w:t>
            </w:r>
            <w:r>
              <w:rPr>
                <w:rFonts w:hint="eastAsia"/>
                <w:b/>
                <w:bCs/>
                <w:color w:val="auto"/>
                <w:lang w:eastAsia="zh-CN"/>
              </w:rPr>
              <w:t>(</w:t>
            </w:r>
            <w:r>
              <w:rPr>
                <w:b/>
                <w:bCs/>
                <w:color w:val="auto"/>
                <w:lang w:eastAsia="en-US"/>
              </w:rPr>
              <w:t>mg/m</w:t>
            </w:r>
            <w:r>
              <w:rPr>
                <w:b/>
                <w:bCs/>
                <w:color w:val="auto"/>
                <w:vertAlign w:val="superscript"/>
                <w:lang w:eastAsia="en-US"/>
              </w:rPr>
              <w:t>3</w:t>
            </w:r>
            <w:r>
              <w:rPr>
                <w:b/>
                <w:bCs/>
                <w:color w:val="auto"/>
                <w:lang w:eastAsia="en-US"/>
              </w:rPr>
              <w:t>)</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非甲烷总烃</w:t>
            </w:r>
          </w:p>
          <w:p>
            <w:pPr>
              <w:pStyle w:val="182"/>
              <w:bidi w:val="0"/>
              <w:rPr>
                <w:b/>
                <w:bCs/>
                <w:color w:val="auto"/>
                <w:lang w:eastAsia="en-US"/>
              </w:rPr>
            </w:pPr>
            <w:r>
              <w:rPr>
                <w:b/>
                <w:bCs/>
                <w:color w:val="auto"/>
                <w:lang w:eastAsia="en-US"/>
              </w:rPr>
              <w:t>(mg/m</w:t>
            </w:r>
            <w:r>
              <w:rPr>
                <w:b/>
                <w:bCs/>
                <w:color w:val="auto"/>
                <w:vertAlign w:val="superscript"/>
                <w:lang w:eastAsia="en-US"/>
              </w:rPr>
              <w:t>3</w:t>
            </w:r>
            <w:r>
              <w:rPr>
                <w:b/>
                <w:bCs/>
                <w:color w:val="auto"/>
                <w:lang w:eastAsia="en-US"/>
              </w:rPr>
              <w:t>)</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臭气浓度</w:t>
            </w:r>
            <w:r>
              <w:rPr>
                <w:rFonts w:hint="eastAsia"/>
                <w:b/>
                <w:bCs/>
                <w:color w:val="auto"/>
                <w:lang w:eastAsia="zh-CN"/>
              </w:rPr>
              <w:t>（</w:t>
            </w:r>
            <w:r>
              <w:rPr>
                <w:b/>
                <w:bCs/>
                <w:color w:val="auto"/>
                <w:lang w:eastAsia="en-US"/>
              </w:rPr>
              <w:t>无量纲</w:t>
            </w:r>
            <w:r>
              <w:rPr>
                <w:rFonts w:hint="eastAsia"/>
                <w:b/>
                <w:bCs/>
                <w:color w:val="auto"/>
                <w:lang w:eastAsia="zh-CN"/>
              </w:rPr>
              <w:t>）</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硫化氢</w:t>
            </w:r>
            <w:r>
              <w:rPr>
                <w:rFonts w:hint="eastAsia"/>
                <w:b/>
                <w:bCs/>
                <w:color w:val="auto"/>
                <w:lang w:eastAsia="zh-CN"/>
              </w:rPr>
              <w:t>(</w:t>
            </w:r>
            <w:r>
              <w:rPr>
                <w:b/>
                <w:bCs/>
                <w:color w:val="auto"/>
                <w:lang w:eastAsia="en-US"/>
              </w:rPr>
              <w:t>mg/m</w:t>
            </w:r>
            <w:r>
              <w:rPr>
                <w:b/>
                <w:bCs/>
                <w:color w:val="auto"/>
                <w:vertAlign w:val="superscript"/>
                <w:lang w:eastAsia="en-US"/>
              </w:rPr>
              <w:t>3</w:t>
            </w:r>
            <w:r>
              <w:rPr>
                <w:b/>
                <w:bCs/>
                <w:color w:val="auto"/>
                <w:lang w:eastAsia="en-US"/>
              </w:rPr>
              <w:t>)</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二硫化碳</w:t>
            </w:r>
            <w:r>
              <w:rPr>
                <w:rFonts w:hint="eastAsia"/>
                <w:b/>
                <w:bCs/>
                <w:color w:val="auto"/>
                <w:lang w:eastAsia="zh-CN"/>
              </w:rPr>
              <w:t>(</w:t>
            </w:r>
            <w:r>
              <w:rPr>
                <w:b/>
                <w:bCs/>
                <w:color w:val="auto"/>
                <w:lang w:eastAsia="en-US"/>
              </w:rPr>
              <w:t>mg/m</w:t>
            </w:r>
            <w:r>
              <w:rPr>
                <w:b/>
                <w:bCs/>
                <w:color w:val="auto"/>
                <w:vertAlign w:val="superscript"/>
                <w:lang w:eastAsia="en-US"/>
              </w:rPr>
              <w:t>3</w:t>
            </w:r>
            <w:r>
              <w:rPr>
                <w:b/>
                <w:bCs/>
                <w:color w:val="auto"/>
                <w:lang w:eastAsia="en-US"/>
              </w:rPr>
              <w:t>)</w:t>
            </w:r>
          </w:p>
        </w:tc>
        <w:tc>
          <w:tcPr>
            <w:tcW w:w="538"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b/>
                <w:bCs/>
                <w:color w:val="auto"/>
                <w:lang w:eastAsia="en-US"/>
              </w:rPr>
            </w:pPr>
            <w:r>
              <w:rPr>
                <w:b/>
                <w:bCs/>
                <w:color w:val="auto"/>
                <w:lang w:eastAsia="en-US"/>
              </w:rPr>
              <w:t>氨</w:t>
            </w:r>
          </w:p>
          <w:p>
            <w:pPr>
              <w:pStyle w:val="182"/>
              <w:bidi w:val="0"/>
              <w:rPr>
                <w:b/>
                <w:bCs/>
                <w:color w:val="auto"/>
                <w:lang w:eastAsia="en-US"/>
              </w:rPr>
            </w:pPr>
            <w:r>
              <w:rPr>
                <w:b/>
                <w:bCs/>
                <w:color w:val="auto"/>
                <w:lang w:eastAsia="en-US"/>
              </w:rPr>
              <w:t>(mg/m</w:t>
            </w:r>
            <w:r>
              <w:rPr>
                <w:b/>
                <w:bCs/>
                <w:color w:val="auto"/>
                <w:vertAlign w:val="superscript"/>
                <w:lang w:eastAsia="en-US"/>
              </w:rPr>
              <w:t>3</w:t>
            </w:r>
            <w:r>
              <w:rPr>
                <w:b/>
                <w:bCs/>
                <w:color w:val="auto"/>
                <w:lang w:eastAsia="en-US"/>
              </w:rPr>
              <w:t>)</w:t>
            </w:r>
          </w:p>
        </w:tc>
      </w:tr>
      <w:tr>
        <w:tblPrEx>
          <w:tblCellMar>
            <w:top w:w="0" w:type="dxa"/>
            <w:left w:w="0" w:type="dxa"/>
            <w:bottom w:w="0" w:type="dxa"/>
            <w:right w:w="0" w:type="dxa"/>
          </w:tblCellMar>
        </w:tblPrEx>
        <w:trPr>
          <w:jc w:val="center"/>
        </w:trPr>
        <w:tc>
          <w:tcPr>
            <w:tcW w:w="640"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2022.11.28</w:t>
            </w:r>
          </w:p>
        </w:tc>
        <w:tc>
          <w:tcPr>
            <w:tcW w:w="588"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上风向1#</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第一次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0.178</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0.46</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0.003</w:t>
            </w:r>
          </w:p>
        </w:tc>
        <w:tc>
          <w:tcPr>
            <w:tcW w:w="516"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0.08</w:t>
            </w:r>
          </w:p>
        </w:tc>
        <w:tc>
          <w:tcPr>
            <w:tcW w:w="538" w:type="pct"/>
            <w:gridSpan w:val="3"/>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0.11</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第二次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0.184</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0.43</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0.003</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0.07</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0.13</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第三次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0.181</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0.59</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0.004</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0.09</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0.12</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第四次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0.192</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0.61</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0.002</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0.08</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0.10</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下风向2#</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第一次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0.267</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0.72</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0.006</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0.11</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0.17</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第二次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0.258</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0.83</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0.005</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0.13</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0.19</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第三次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0.243</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0.94</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0.006</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0.10</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0.20</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第四次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0.264</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1.04</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0.007</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0.12</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0.18</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下风向3#</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第一次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0.325</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0.68</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0.008</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0.14</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0.21</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第二次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0.287</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0.93</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0.006</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0.13</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0.17</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第三次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0.314</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1.07</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0.005</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0.15</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0.16</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第四次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0.305</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0.85</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0.007</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0.11</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0.20</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下风向4#</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第一次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0.271</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0.87</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0.005</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0.10</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0.18</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第二次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0.283</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1.09</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0.006</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0.13</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0.22</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第三次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0.392</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0.92</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0.006</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0.14</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0.19</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第四次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0.278</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0.87</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0.005</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0.12</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0.21</w:t>
            </w:r>
          </w:p>
        </w:tc>
      </w:tr>
      <w:tr>
        <w:tblPrEx>
          <w:tblCellMar>
            <w:top w:w="0" w:type="dxa"/>
            <w:left w:w="0" w:type="dxa"/>
            <w:bottom w:w="0" w:type="dxa"/>
            <w:right w:w="0" w:type="dxa"/>
          </w:tblCellMar>
        </w:tblPrEx>
        <w:trPr>
          <w:gridAfter w:val="1"/>
          <w:wAfter w:w="17" w:type="pct"/>
          <w:jc w:val="center"/>
        </w:trPr>
        <w:tc>
          <w:tcPr>
            <w:tcW w:w="640"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2022.11.29</w:t>
            </w:r>
          </w:p>
        </w:tc>
        <w:tc>
          <w:tcPr>
            <w:tcW w:w="588"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上风向1#</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第一次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0.186</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0.51</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0.004</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0.07</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0.13</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第二次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0.172</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0.48</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0.003</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0.09</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0.10</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第三次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0.194</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0.62</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0.002</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0.08</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0.11</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第四次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0.183</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0.57</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0.003</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0.06</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0.12</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下风向2#</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第一次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0.272</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0.78</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0.005</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0.13</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0.16</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第二次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0.259</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0.69</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0.007</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0.11</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0.18</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第三次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0.246</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0.84</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0.006</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0.10</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0.19</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第四次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0.268</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0.96</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0.005</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0.12</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0.20</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下风向3#</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第一次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0.317</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0.73</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0.006</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0.14</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0.17</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第二次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0.275</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0.88</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0.008</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0.11</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0.15</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第三次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0.298</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1.04</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0.005</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0.15</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0.21</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第四次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0.306</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0.79</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0.007</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0.13</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0.18</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restart"/>
            <w:tcBorders>
              <w:top w:val="single" w:color="000000" w:sz="4" w:space="0"/>
              <w:left w:val="single" w:color="000000" w:sz="4" w:space="0"/>
              <w:right w:val="single" w:color="000000" w:sz="4" w:space="0"/>
            </w:tcBorders>
            <w:vAlign w:val="center"/>
          </w:tcPr>
          <w:p>
            <w:pPr>
              <w:pStyle w:val="182"/>
              <w:bidi w:val="0"/>
              <w:rPr>
                <w:color w:val="auto"/>
                <w:lang w:eastAsia="en-US"/>
              </w:rPr>
            </w:pPr>
            <w:r>
              <w:rPr>
                <w:color w:val="auto"/>
                <w:lang w:eastAsia="en-US"/>
              </w:rPr>
              <w:t>下风向4#</w:t>
            </w: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第一次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0.274</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0.82</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0.005</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0.13</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0.16</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第二次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0.291</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0.97</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0.006</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0.12</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0.19</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第三次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0.385</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1.08</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0.005</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0.14</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0.20</w:t>
            </w:r>
          </w:p>
        </w:tc>
      </w:tr>
      <w:tr>
        <w:tblPrEx>
          <w:tblCellMar>
            <w:top w:w="0" w:type="dxa"/>
            <w:left w:w="0" w:type="dxa"/>
            <w:bottom w:w="0" w:type="dxa"/>
            <w:right w:w="0" w:type="dxa"/>
          </w:tblCellMar>
        </w:tblPrEx>
        <w:trPr>
          <w:gridAfter w:val="1"/>
          <w:wAfter w:w="17" w:type="pct"/>
          <w:jc w:val="center"/>
        </w:trPr>
        <w:tc>
          <w:tcPr>
            <w:tcW w:w="640"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8" w:type="pct"/>
            <w:vMerge w:val="continue"/>
            <w:tcBorders>
              <w:left w:val="single" w:color="000000" w:sz="4" w:space="0"/>
              <w:bottom w:val="single" w:color="000000" w:sz="4" w:space="0"/>
              <w:right w:val="single" w:color="000000" w:sz="4" w:space="0"/>
            </w:tcBorders>
            <w:vAlign w:val="center"/>
          </w:tcPr>
          <w:p>
            <w:pPr>
              <w:pStyle w:val="182"/>
              <w:bidi w:val="0"/>
              <w:rPr>
                <w:color w:val="auto"/>
                <w:lang w:eastAsia="en-US"/>
              </w:rPr>
            </w:pPr>
          </w:p>
        </w:tc>
        <w:tc>
          <w:tcPr>
            <w:tcW w:w="581"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第四次</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0.273</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0.93</w:t>
            </w:r>
          </w:p>
        </w:tc>
        <w:tc>
          <w:tcPr>
            <w:tcW w:w="534"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&lt;10</w:t>
            </w:r>
          </w:p>
        </w:tc>
        <w:tc>
          <w:tcPr>
            <w:tcW w:w="53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0.007</w:t>
            </w:r>
          </w:p>
        </w:tc>
        <w:tc>
          <w:tcPr>
            <w:tcW w:w="533" w:type="pct"/>
            <w:gridSpan w:val="2"/>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0.11</w:t>
            </w:r>
          </w:p>
        </w:tc>
        <w:tc>
          <w:tcPr>
            <w:tcW w:w="503" w:type="pc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lang w:eastAsia="en-US"/>
              </w:rPr>
            </w:pPr>
            <w:r>
              <w:rPr>
                <w:color w:val="auto"/>
                <w:lang w:eastAsia="en-US"/>
              </w:rPr>
              <w:t>0.18</w:t>
            </w:r>
          </w:p>
        </w:tc>
      </w:tr>
    </w:tbl>
    <w:p>
      <w:pPr>
        <w:pStyle w:val="181"/>
        <w:bidi w:val="0"/>
        <w:rPr>
          <w:rFonts w:hint="eastAsia"/>
          <w:color w:val="auto"/>
        </w:rPr>
      </w:pPr>
      <w:r>
        <w:rPr>
          <w:rFonts w:hint="eastAsia"/>
          <w:color w:val="auto"/>
        </w:rPr>
        <w:t>表3</w:t>
      </w:r>
      <w:r>
        <w:rPr>
          <w:color w:val="auto"/>
        </w:rPr>
        <w:t>.</w:t>
      </w:r>
      <w:r>
        <w:rPr>
          <w:rFonts w:hint="eastAsia"/>
          <w:color w:val="auto"/>
          <w:lang w:val="en-US" w:eastAsia="zh-CN"/>
        </w:rPr>
        <w:t>3</w:t>
      </w:r>
      <w:r>
        <w:rPr>
          <w:rFonts w:hint="eastAsia"/>
          <w:color w:val="auto"/>
        </w:rPr>
        <w:t>-</w:t>
      </w:r>
      <w:r>
        <w:rPr>
          <w:rFonts w:hint="eastAsia"/>
          <w:color w:val="auto"/>
          <w:lang w:val="en-US" w:eastAsia="zh-CN"/>
        </w:rPr>
        <w:t>13</w:t>
      </w:r>
      <w:r>
        <w:rPr>
          <w:color w:val="auto"/>
        </w:rPr>
        <w:t xml:space="preserve">  </w:t>
      </w:r>
      <w:r>
        <w:rPr>
          <w:rFonts w:hint="eastAsia"/>
          <w:color w:val="auto"/>
          <w:lang w:val="en-US" w:eastAsia="zh-CN"/>
        </w:rPr>
        <w:t xml:space="preserve">           废气排放达标分析</w:t>
      </w:r>
      <w:r>
        <w:rPr>
          <w:rFonts w:hint="eastAsia"/>
          <w:color w:val="auto"/>
        </w:rPr>
        <w:t>一览表</w:t>
      </w:r>
    </w:p>
    <w:tbl>
      <w:tblPr>
        <w:tblStyle w:val="165"/>
        <w:tblW w:w="5036"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796"/>
        <w:gridCol w:w="1199"/>
        <w:gridCol w:w="1875"/>
        <w:gridCol w:w="1702"/>
        <w:gridCol w:w="1290"/>
        <w:gridCol w:w="52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000" w:type="pct"/>
            <w:gridSpan w:val="6"/>
            <w:tcBorders>
              <w:tl2br w:val="nil"/>
              <w:tr2bl w:val="nil"/>
            </w:tcBorders>
            <w:vAlign w:val="center"/>
          </w:tcPr>
          <w:p>
            <w:pPr>
              <w:pStyle w:val="182"/>
              <w:bidi w:val="0"/>
              <w:rPr>
                <w:b/>
                <w:bCs/>
                <w:color w:val="auto"/>
                <w:lang w:eastAsia="zh-CN"/>
              </w:rPr>
            </w:pPr>
            <w:r>
              <w:rPr>
                <w:b/>
                <w:bCs/>
                <w:color w:val="auto"/>
                <w:lang w:eastAsia="zh-CN"/>
              </w:rPr>
              <w:t>2号烟囱排气筒出口DA002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071" w:type="pct"/>
            <w:tcBorders>
              <w:tl2br w:val="nil"/>
              <w:tr2bl w:val="nil"/>
            </w:tcBorders>
            <w:vAlign w:val="center"/>
          </w:tcPr>
          <w:p>
            <w:pPr>
              <w:pStyle w:val="182"/>
              <w:bidi w:val="0"/>
              <w:rPr>
                <w:b/>
                <w:bCs/>
                <w:color w:val="auto"/>
                <w:lang w:eastAsia="en-US"/>
              </w:rPr>
            </w:pPr>
            <w:r>
              <w:rPr>
                <w:b/>
                <w:bCs/>
                <w:color w:val="auto"/>
                <w:lang w:eastAsia="en-US"/>
              </w:rPr>
              <w:t>采样日期</w:t>
            </w:r>
          </w:p>
        </w:tc>
        <w:tc>
          <w:tcPr>
            <w:tcW w:w="3928" w:type="pct"/>
            <w:gridSpan w:val="5"/>
            <w:tcBorders>
              <w:tl2br w:val="nil"/>
              <w:tr2bl w:val="nil"/>
            </w:tcBorders>
            <w:vAlign w:val="center"/>
          </w:tcPr>
          <w:p>
            <w:pPr>
              <w:pStyle w:val="182"/>
              <w:bidi w:val="0"/>
              <w:rPr>
                <w:b/>
                <w:bCs/>
                <w:color w:val="auto"/>
                <w:lang w:eastAsia="en-US"/>
              </w:rPr>
            </w:pPr>
            <w:r>
              <w:rPr>
                <w:b/>
                <w:bCs/>
                <w:color w:val="auto"/>
                <w:lang w:eastAsia="en-US"/>
              </w:rPr>
              <w:t>2022.11.28</w:t>
            </w:r>
            <w:r>
              <w:rPr>
                <w:rFonts w:hint="eastAsia"/>
                <w:b/>
                <w:bCs/>
                <w:color w:val="auto"/>
                <w:lang w:val="en-US" w:eastAsia="zh-CN"/>
              </w:rPr>
              <w:t>~29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40" w:hRule="atLeast"/>
          <w:jc w:val="center"/>
        </w:trPr>
        <w:tc>
          <w:tcPr>
            <w:tcW w:w="1071" w:type="pct"/>
            <w:tcBorders>
              <w:tl2br w:val="nil"/>
              <w:tr2bl w:val="nil"/>
            </w:tcBorders>
            <w:vAlign w:val="center"/>
          </w:tcPr>
          <w:p>
            <w:pPr>
              <w:pStyle w:val="182"/>
              <w:bidi w:val="0"/>
              <w:rPr>
                <w:b/>
                <w:bCs/>
                <w:color w:val="auto"/>
                <w:lang w:eastAsia="en-US"/>
              </w:rPr>
            </w:pPr>
          </w:p>
        </w:tc>
        <w:tc>
          <w:tcPr>
            <w:tcW w:w="715" w:type="pct"/>
            <w:tcBorders>
              <w:tl2br w:val="nil"/>
              <w:tr2bl w:val="nil"/>
            </w:tcBorders>
            <w:vAlign w:val="center"/>
          </w:tcPr>
          <w:p>
            <w:pPr>
              <w:pStyle w:val="182"/>
              <w:bidi w:val="0"/>
              <w:rPr>
                <w:rFonts w:hint="default"/>
                <w:b/>
                <w:bCs/>
                <w:color w:val="auto"/>
                <w:lang w:val="en-US" w:eastAsia="zh-CN"/>
              </w:rPr>
            </w:pPr>
            <w:r>
              <w:rPr>
                <w:rFonts w:hint="eastAsia"/>
                <w:b/>
                <w:bCs/>
                <w:color w:val="auto"/>
                <w:lang w:eastAsia="zh-CN"/>
              </w:rPr>
              <w:t>排放浓度（</w:t>
            </w:r>
            <w:r>
              <w:rPr>
                <w:b/>
                <w:bCs/>
                <w:color w:val="auto"/>
                <w:lang w:eastAsia="zh-CN"/>
              </w:rPr>
              <w:t>mg/m</w:t>
            </w:r>
            <w:r>
              <w:rPr>
                <w:b/>
                <w:bCs/>
                <w:color w:val="auto"/>
                <w:vertAlign w:val="superscript"/>
                <w:lang w:eastAsia="zh-CN"/>
              </w:rPr>
              <w:t>3</w:t>
            </w:r>
            <w:r>
              <w:rPr>
                <w:rFonts w:hint="eastAsia"/>
                <w:b/>
                <w:bCs/>
                <w:color w:val="auto"/>
                <w:lang w:eastAsia="zh-CN"/>
              </w:rPr>
              <w:t>）</w:t>
            </w:r>
          </w:p>
        </w:tc>
        <w:tc>
          <w:tcPr>
            <w:tcW w:w="1118" w:type="pct"/>
            <w:tcBorders>
              <w:tl2br w:val="nil"/>
              <w:tr2bl w:val="nil"/>
            </w:tcBorders>
            <w:vAlign w:val="center"/>
          </w:tcPr>
          <w:p>
            <w:pPr>
              <w:pStyle w:val="182"/>
              <w:bidi w:val="0"/>
              <w:rPr>
                <w:b/>
                <w:bCs/>
                <w:color w:val="auto"/>
                <w:lang w:eastAsia="en-US"/>
              </w:rPr>
            </w:pPr>
            <w:r>
              <w:rPr>
                <w:rFonts w:hint="eastAsia"/>
                <w:b/>
                <w:bCs/>
                <w:color w:val="auto"/>
                <w:lang w:eastAsia="zh-CN"/>
              </w:rPr>
              <w:t>排放速率（kg</w:t>
            </w:r>
            <w:r>
              <w:rPr>
                <w:b/>
                <w:bCs/>
                <w:color w:val="auto"/>
                <w:lang w:eastAsia="zh-CN"/>
              </w:rPr>
              <w:t>/h</w:t>
            </w:r>
            <w:r>
              <w:rPr>
                <w:rFonts w:hint="eastAsia"/>
                <w:b/>
                <w:bCs/>
                <w:color w:val="auto"/>
                <w:lang w:eastAsia="zh-CN"/>
              </w:rPr>
              <w:t>）</w:t>
            </w:r>
          </w:p>
        </w:tc>
        <w:tc>
          <w:tcPr>
            <w:tcW w:w="1015" w:type="pct"/>
            <w:tcBorders>
              <w:tl2br w:val="nil"/>
              <w:tr2bl w:val="nil"/>
            </w:tcBorders>
            <w:vAlign w:val="center"/>
          </w:tcPr>
          <w:p>
            <w:pPr>
              <w:pStyle w:val="182"/>
              <w:bidi w:val="0"/>
              <w:rPr>
                <w:rFonts w:hint="eastAsia"/>
                <w:b/>
                <w:bCs/>
                <w:color w:val="auto"/>
                <w:lang w:val="en-US" w:eastAsia="en-US"/>
              </w:rPr>
            </w:pPr>
            <w:r>
              <w:rPr>
                <w:rFonts w:hint="eastAsia"/>
                <w:b/>
                <w:bCs/>
                <w:color w:val="auto"/>
                <w:lang w:val="en-US" w:eastAsia="zh-CN"/>
              </w:rPr>
              <w:t>许可排放浓度（</w:t>
            </w:r>
            <w:r>
              <w:rPr>
                <w:b/>
                <w:bCs/>
                <w:color w:val="auto"/>
                <w:lang w:eastAsia="en-US"/>
              </w:rPr>
              <w:t>mg/m</w:t>
            </w:r>
            <w:r>
              <w:rPr>
                <w:b/>
                <w:bCs/>
                <w:color w:val="auto"/>
                <w:vertAlign w:val="superscript"/>
                <w:lang w:eastAsia="en-US"/>
              </w:rPr>
              <w:t>3</w:t>
            </w:r>
            <w:r>
              <w:rPr>
                <w:rFonts w:hint="eastAsia"/>
                <w:b/>
                <w:bCs/>
                <w:color w:val="auto"/>
                <w:lang w:val="en-US" w:eastAsia="zh-CN"/>
              </w:rPr>
              <w:t>）</w:t>
            </w:r>
          </w:p>
        </w:tc>
        <w:tc>
          <w:tcPr>
            <w:tcW w:w="769" w:type="pct"/>
            <w:tcBorders>
              <w:tl2br w:val="nil"/>
              <w:tr2bl w:val="nil"/>
            </w:tcBorders>
            <w:vAlign w:val="center"/>
          </w:tcPr>
          <w:p>
            <w:pPr>
              <w:pStyle w:val="182"/>
              <w:bidi w:val="0"/>
              <w:rPr>
                <w:rFonts w:hint="default"/>
                <w:b/>
                <w:bCs/>
                <w:color w:val="auto"/>
                <w:lang w:val="en-US" w:eastAsia="zh-CN"/>
              </w:rPr>
            </w:pPr>
            <w:r>
              <w:rPr>
                <w:rFonts w:hint="eastAsia"/>
                <w:b/>
                <w:bCs/>
                <w:color w:val="auto"/>
                <w:lang w:val="en-US" w:eastAsia="zh-CN"/>
              </w:rPr>
              <w:t>许可排放速率</w:t>
            </w:r>
            <w:r>
              <w:rPr>
                <w:rFonts w:hint="eastAsia"/>
                <w:b/>
                <w:bCs/>
                <w:color w:val="auto"/>
                <w:lang w:eastAsia="zh-CN"/>
              </w:rPr>
              <w:t>（kg</w:t>
            </w:r>
            <w:r>
              <w:rPr>
                <w:b/>
                <w:bCs/>
                <w:color w:val="auto"/>
                <w:lang w:eastAsia="zh-CN"/>
              </w:rPr>
              <w:t>/h</w:t>
            </w:r>
            <w:r>
              <w:rPr>
                <w:rFonts w:hint="eastAsia"/>
                <w:b/>
                <w:bCs/>
                <w:color w:val="auto"/>
                <w:lang w:eastAsia="zh-CN"/>
              </w:rPr>
              <w:t>）</w:t>
            </w:r>
          </w:p>
        </w:tc>
        <w:tc>
          <w:tcPr>
            <w:tcW w:w="309" w:type="pct"/>
            <w:tcBorders>
              <w:tl2br w:val="nil"/>
              <w:tr2bl w:val="nil"/>
            </w:tcBorders>
            <w:vAlign w:val="center"/>
          </w:tcPr>
          <w:p>
            <w:pPr>
              <w:pStyle w:val="182"/>
              <w:bidi w:val="0"/>
              <w:rPr>
                <w:rFonts w:hint="default"/>
                <w:b/>
                <w:bCs/>
                <w:color w:val="auto"/>
                <w:lang w:val="en-US" w:eastAsia="zh-CN"/>
              </w:rPr>
            </w:pPr>
            <w:r>
              <w:rPr>
                <w:rFonts w:hint="eastAsia"/>
                <w:b/>
                <w:bCs/>
                <w:color w:val="auto"/>
                <w:lang w:val="en-US" w:eastAsia="zh-CN"/>
              </w:rPr>
              <w:t>达标情况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5"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颗粒物</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5.4~6.2</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0.465~0.521</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10</w:t>
            </w:r>
          </w:p>
        </w:tc>
        <w:tc>
          <w:tcPr>
            <w:tcW w:w="769"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二氧化硫</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8~14</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0.650~1.19</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35</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氮氧化物</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20~27</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1.73~2.27</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50</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汞及其化合物实测值</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ND</w:t>
            </w:r>
          </w:p>
        </w:tc>
        <w:tc>
          <w:tcPr>
            <w:tcW w:w="1118"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0.03</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林格曼黑度*</w:t>
            </w:r>
          </w:p>
        </w:tc>
        <w:tc>
          <w:tcPr>
            <w:tcW w:w="715" w:type="pct"/>
            <w:tcBorders>
              <w:tl2br w:val="nil"/>
              <w:tr2bl w:val="nil"/>
            </w:tcBorders>
            <w:vAlign w:val="center"/>
          </w:tcPr>
          <w:p>
            <w:pPr>
              <w:pStyle w:val="182"/>
              <w:bidi w:val="0"/>
              <w:rPr>
                <w:color w:val="auto"/>
                <w:lang w:eastAsia="en-US"/>
              </w:rPr>
            </w:pPr>
            <w:r>
              <w:rPr>
                <w:color w:val="auto"/>
                <w:lang w:eastAsia="en-US"/>
              </w:rPr>
              <w:t>&lt;1</w:t>
            </w:r>
          </w:p>
        </w:tc>
        <w:tc>
          <w:tcPr>
            <w:tcW w:w="1118" w:type="pct"/>
            <w:tcBorders>
              <w:tl2br w:val="nil"/>
              <w:tr2bl w:val="nil"/>
            </w:tcBorders>
            <w:vAlign w:val="center"/>
          </w:tcPr>
          <w:p>
            <w:pPr>
              <w:pStyle w:val="182"/>
              <w:bidi w:val="0"/>
              <w:rPr>
                <w:color w:val="auto"/>
                <w:lang w:eastAsia="en-US"/>
              </w:rPr>
            </w:pPr>
            <w:r>
              <w:rPr>
                <w:color w:val="auto"/>
                <w:lang w:eastAsia="en-US"/>
              </w:rPr>
              <w:t>&lt;1</w:t>
            </w:r>
          </w:p>
        </w:tc>
        <w:tc>
          <w:tcPr>
            <w:tcW w:w="1015"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1</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000" w:type="pct"/>
            <w:gridSpan w:val="6"/>
            <w:tcBorders>
              <w:tl2br w:val="nil"/>
              <w:tr2bl w:val="nil"/>
            </w:tcBorders>
            <w:vAlign w:val="center"/>
          </w:tcPr>
          <w:p>
            <w:pPr>
              <w:pStyle w:val="182"/>
              <w:bidi w:val="0"/>
              <w:rPr>
                <w:b/>
                <w:bCs/>
                <w:color w:val="auto"/>
                <w:lang w:eastAsia="zh-CN"/>
              </w:rPr>
            </w:pPr>
            <w:r>
              <w:rPr>
                <w:b/>
                <w:bCs/>
                <w:color w:val="auto"/>
                <w:lang w:eastAsia="zh-CN"/>
              </w:rPr>
              <w:t>3号烟囱排气筒出口DA003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jc w:val="center"/>
        </w:trPr>
        <w:tc>
          <w:tcPr>
            <w:tcW w:w="1071" w:type="pct"/>
            <w:tcBorders>
              <w:tl2br w:val="nil"/>
              <w:tr2bl w:val="nil"/>
            </w:tcBorders>
            <w:vAlign w:val="center"/>
          </w:tcPr>
          <w:p>
            <w:pPr>
              <w:pStyle w:val="182"/>
              <w:bidi w:val="0"/>
              <w:rPr>
                <w:b/>
                <w:bCs/>
                <w:color w:val="auto"/>
                <w:lang w:eastAsia="en-US"/>
              </w:rPr>
            </w:pPr>
            <w:r>
              <w:rPr>
                <w:b/>
                <w:bCs/>
                <w:color w:val="auto"/>
                <w:lang w:eastAsia="en-US"/>
              </w:rPr>
              <w:t>采样日期</w:t>
            </w:r>
          </w:p>
        </w:tc>
        <w:tc>
          <w:tcPr>
            <w:tcW w:w="3928" w:type="pct"/>
            <w:gridSpan w:val="5"/>
            <w:tcBorders>
              <w:tl2br w:val="nil"/>
              <w:tr2bl w:val="nil"/>
            </w:tcBorders>
            <w:vAlign w:val="center"/>
          </w:tcPr>
          <w:p>
            <w:pPr>
              <w:pStyle w:val="182"/>
              <w:bidi w:val="0"/>
              <w:rPr>
                <w:b/>
                <w:bCs/>
                <w:color w:val="auto"/>
                <w:lang w:eastAsia="en-US"/>
              </w:rPr>
            </w:pPr>
            <w:r>
              <w:rPr>
                <w:b/>
                <w:bCs/>
                <w:color w:val="auto"/>
                <w:lang w:eastAsia="en-US"/>
              </w:rPr>
              <w:t>2022.11.28</w:t>
            </w:r>
            <w:r>
              <w:rPr>
                <w:rFonts w:hint="eastAsia"/>
                <w:b/>
                <w:bCs/>
                <w:color w:val="auto"/>
                <w:lang w:val="en-US" w:eastAsia="zh-CN"/>
              </w:rPr>
              <w:t>~29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b/>
                <w:bCs/>
                <w:color w:val="auto"/>
                <w:lang w:eastAsia="en-US"/>
              </w:rPr>
            </w:pPr>
          </w:p>
        </w:tc>
        <w:tc>
          <w:tcPr>
            <w:tcW w:w="715" w:type="pct"/>
            <w:tcBorders>
              <w:tl2br w:val="nil"/>
              <w:tr2bl w:val="nil"/>
            </w:tcBorders>
            <w:vAlign w:val="center"/>
          </w:tcPr>
          <w:p>
            <w:pPr>
              <w:pStyle w:val="182"/>
              <w:bidi w:val="0"/>
              <w:rPr>
                <w:b/>
                <w:bCs/>
                <w:color w:val="auto"/>
                <w:lang w:eastAsia="en-US"/>
              </w:rPr>
            </w:pPr>
            <w:r>
              <w:rPr>
                <w:rFonts w:hint="eastAsia"/>
                <w:b/>
                <w:bCs/>
                <w:color w:val="auto"/>
                <w:lang w:eastAsia="zh-CN"/>
              </w:rPr>
              <w:t>排放浓度（</w:t>
            </w:r>
            <w:r>
              <w:rPr>
                <w:b/>
                <w:bCs/>
                <w:color w:val="auto"/>
                <w:lang w:eastAsia="zh-CN"/>
              </w:rPr>
              <w:t>mg/m</w:t>
            </w:r>
            <w:r>
              <w:rPr>
                <w:b/>
                <w:bCs/>
                <w:color w:val="auto"/>
                <w:vertAlign w:val="superscript"/>
                <w:lang w:eastAsia="zh-CN"/>
              </w:rPr>
              <w:t>3</w:t>
            </w:r>
            <w:r>
              <w:rPr>
                <w:rFonts w:hint="eastAsia"/>
                <w:b/>
                <w:bCs/>
                <w:color w:val="auto"/>
                <w:lang w:eastAsia="zh-CN"/>
              </w:rPr>
              <w:t>）</w:t>
            </w:r>
          </w:p>
        </w:tc>
        <w:tc>
          <w:tcPr>
            <w:tcW w:w="1118" w:type="pct"/>
            <w:tcBorders>
              <w:tl2br w:val="nil"/>
              <w:tr2bl w:val="nil"/>
            </w:tcBorders>
            <w:vAlign w:val="center"/>
          </w:tcPr>
          <w:p>
            <w:pPr>
              <w:pStyle w:val="182"/>
              <w:bidi w:val="0"/>
              <w:rPr>
                <w:b/>
                <w:bCs/>
                <w:color w:val="auto"/>
                <w:lang w:eastAsia="en-US"/>
              </w:rPr>
            </w:pPr>
            <w:r>
              <w:rPr>
                <w:rFonts w:hint="eastAsia"/>
                <w:b/>
                <w:bCs/>
                <w:color w:val="auto"/>
                <w:lang w:eastAsia="zh-CN"/>
              </w:rPr>
              <w:t>排放速率（kg</w:t>
            </w:r>
            <w:r>
              <w:rPr>
                <w:b/>
                <w:bCs/>
                <w:color w:val="auto"/>
                <w:lang w:eastAsia="zh-CN"/>
              </w:rPr>
              <w:t>/h</w:t>
            </w:r>
            <w:r>
              <w:rPr>
                <w:rFonts w:hint="eastAsia"/>
                <w:b/>
                <w:bCs/>
                <w:color w:val="auto"/>
                <w:lang w:eastAsia="zh-CN"/>
              </w:rPr>
              <w:t>）</w:t>
            </w:r>
          </w:p>
        </w:tc>
        <w:tc>
          <w:tcPr>
            <w:tcW w:w="1015" w:type="pct"/>
            <w:tcBorders>
              <w:tl2br w:val="nil"/>
              <w:tr2bl w:val="nil"/>
            </w:tcBorders>
            <w:vAlign w:val="center"/>
          </w:tcPr>
          <w:p>
            <w:pPr>
              <w:pStyle w:val="182"/>
              <w:bidi w:val="0"/>
              <w:rPr>
                <w:b/>
                <w:bCs/>
                <w:color w:val="auto"/>
                <w:lang w:eastAsia="en-US"/>
              </w:rPr>
            </w:pPr>
            <w:r>
              <w:rPr>
                <w:rFonts w:hint="eastAsia"/>
                <w:b/>
                <w:bCs/>
                <w:color w:val="auto"/>
                <w:lang w:val="en-US" w:eastAsia="zh-CN"/>
              </w:rPr>
              <w:t>许可排放浓度（</w:t>
            </w:r>
            <w:r>
              <w:rPr>
                <w:b/>
                <w:bCs/>
                <w:color w:val="auto"/>
                <w:lang w:eastAsia="en-US"/>
              </w:rPr>
              <w:t>mg/m</w:t>
            </w:r>
            <w:r>
              <w:rPr>
                <w:b/>
                <w:bCs/>
                <w:color w:val="auto"/>
                <w:vertAlign w:val="superscript"/>
                <w:lang w:eastAsia="en-US"/>
              </w:rPr>
              <w:t>3</w:t>
            </w:r>
            <w:r>
              <w:rPr>
                <w:rFonts w:hint="eastAsia"/>
                <w:b/>
                <w:bCs/>
                <w:color w:val="auto"/>
                <w:lang w:val="en-US" w:eastAsia="zh-CN"/>
              </w:rPr>
              <w:t>）</w:t>
            </w:r>
          </w:p>
        </w:tc>
        <w:tc>
          <w:tcPr>
            <w:tcW w:w="769" w:type="pct"/>
            <w:tcBorders>
              <w:tl2br w:val="nil"/>
              <w:tr2bl w:val="nil"/>
            </w:tcBorders>
            <w:vAlign w:val="center"/>
          </w:tcPr>
          <w:p>
            <w:pPr>
              <w:pStyle w:val="182"/>
              <w:bidi w:val="0"/>
              <w:rPr>
                <w:rFonts w:hint="eastAsia"/>
                <w:b/>
                <w:bCs/>
                <w:color w:val="auto"/>
                <w:lang w:eastAsia="zh-CN"/>
              </w:rPr>
            </w:pPr>
            <w:r>
              <w:rPr>
                <w:rFonts w:hint="eastAsia"/>
                <w:b/>
                <w:bCs/>
                <w:color w:val="auto"/>
                <w:lang w:val="en-US" w:eastAsia="zh-CN"/>
              </w:rPr>
              <w:t>许可排放速率</w:t>
            </w:r>
            <w:r>
              <w:rPr>
                <w:rFonts w:hint="eastAsia"/>
                <w:b/>
                <w:bCs/>
                <w:color w:val="auto"/>
                <w:lang w:eastAsia="zh-CN"/>
              </w:rPr>
              <w:t>（kg</w:t>
            </w:r>
            <w:r>
              <w:rPr>
                <w:b/>
                <w:bCs/>
                <w:color w:val="auto"/>
                <w:lang w:eastAsia="zh-CN"/>
              </w:rPr>
              <w:t>/h</w:t>
            </w:r>
            <w:r>
              <w:rPr>
                <w:rFonts w:hint="eastAsia"/>
                <w:b/>
                <w:bCs/>
                <w:color w:val="auto"/>
                <w:lang w:eastAsia="zh-CN"/>
              </w:rPr>
              <w:t>）</w:t>
            </w:r>
          </w:p>
        </w:tc>
        <w:tc>
          <w:tcPr>
            <w:tcW w:w="309" w:type="pct"/>
            <w:tcBorders>
              <w:tl2br w:val="nil"/>
              <w:tr2bl w:val="nil"/>
            </w:tcBorders>
            <w:vAlign w:val="center"/>
          </w:tcPr>
          <w:p>
            <w:pPr>
              <w:pStyle w:val="182"/>
              <w:bidi w:val="0"/>
              <w:rPr>
                <w:rFonts w:hint="eastAsia"/>
                <w:b/>
                <w:bCs/>
                <w:color w:val="auto"/>
                <w:lang w:val="en-US" w:eastAsia="zh-CN"/>
              </w:rPr>
            </w:pPr>
            <w:r>
              <w:rPr>
                <w:rFonts w:hint="eastAsia"/>
                <w:b/>
                <w:bCs/>
                <w:color w:val="auto"/>
                <w:lang w:val="en-US" w:eastAsia="zh-CN"/>
              </w:rPr>
              <w:t>达标情况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颗粒物</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3.9~4.4</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0.732~0.824</w:t>
            </w:r>
          </w:p>
        </w:tc>
        <w:tc>
          <w:tcPr>
            <w:tcW w:w="1015"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5（承诺）</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二氧化硫</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20~24</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3.75~4.50</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35</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氮氧化物</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36~41</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6.75~7.87</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50</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汞及其化合物实测值</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ND</w:t>
            </w:r>
          </w:p>
        </w:tc>
        <w:tc>
          <w:tcPr>
            <w:tcW w:w="1118"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0.03</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林格曼黑度*</w:t>
            </w:r>
          </w:p>
        </w:tc>
        <w:tc>
          <w:tcPr>
            <w:tcW w:w="715" w:type="pct"/>
            <w:tcBorders>
              <w:tl2br w:val="nil"/>
              <w:tr2bl w:val="nil"/>
            </w:tcBorders>
            <w:vAlign w:val="center"/>
          </w:tcPr>
          <w:p>
            <w:pPr>
              <w:pStyle w:val="182"/>
              <w:bidi w:val="0"/>
              <w:rPr>
                <w:color w:val="auto"/>
                <w:lang w:eastAsia="en-US"/>
              </w:rPr>
            </w:pPr>
            <w:r>
              <w:rPr>
                <w:color w:val="auto"/>
                <w:lang w:eastAsia="en-US"/>
              </w:rPr>
              <w:t>&lt;1级</w:t>
            </w:r>
          </w:p>
        </w:tc>
        <w:tc>
          <w:tcPr>
            <w:tcW w:w="1118"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1015"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1</w:t>
            </w:r>
            <w:r>
              <w:rPr>
                <w:color w:val="auto"/>
                <w:lang w:eastAsia="en-US"/>
              </w:rPr>
              <w:t>级</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挥发性有机物</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7.34~7.78</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1.37~1.46</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80</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000" w:type="pct"/>
            <w:gridSpan w:val="6"/>
            <w:tcBorders>
              <w:tl2br w:val="nil"/>
              <w:tr2bl w:val="nil"/>
            </w:tcBorders>
            <w:vAlign w:val="center"/>
          </w:tcPr>
          <w:p>
            <w:pPr>
              <w:pStyle w:val="182"/>
              <w:bidi w:val="0"/>
              <w:rPr>
                <w:b/>
                <w:bCs/>
                <w:color w:val="auto"/>
                <w:lang w:eastAsia="zh-CN"/>
              </w:rPr>
            </w:pPr>
            <w:r>
              <w:rPr>
                <w:b/>
                <w:bCs/>
                <w:color w:val="auto"/>
                <w:lang w:eastAsia="zh-CN"/>
              </w:rPr>
              <w:t>4号烟囱排气筒出口DA004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b/>
                <w:bCs/>
                <w:color w:val="auto"/>
                <w:lang w:eastAsia="en-US"/>
              </w:rPr>
            </w:pPr>
            <w:r>
              <w:rPr>
                <w:b/>
                <w:bCs/>
                <w:color w:val="auto"/>
                <w:lang w:eastAsia="en-US"/>
              </w:rPr>
              <w:t>采样日期</w:t>
            </w:r>
          </w:p>
        </w:tc>
        <w:tc>
          <w:tcPr>
            <w:tcW w:w="3928" w:type="pct"/>
            <w:gridSpan w:val="5"/>
            <w:tcBorders>
              <w:tl2br w:val="nil"/>
              <w:tr2bl w:val="nil"/>
            </w:tcBorders>
            <w:vAlign w:val="center"/>
          </w:tcPr>
          <w:p>
            <w:pPr>
              <w:pStyle w:val="182"/>
              <w:bidi w:val="0"/>
              <w:rPr>
                <w:b/>
                <w:bCs/>
                <w:color w:val="auto"/>
                <w:lang w:eastAsia="en-US"/>
              </w:rPr>
            </w:pPr>
            <w:r>
              <w:rPr>
                <w:b/>
                <w:bCs/>
                <w:color w:val="auto"/>
                <w:lang w:eastAsia="en-US"/>
              </w:rPr>
              <w:t>2022.11.28</w:t>
            </w:r>
            <w:r>
              <w:rPr>
                <w:rFonts w:hint="eastAsia"/>
                <w:b/>
                <w:bCs/>
                <w:color w:val="auto"/>
                <w:lang w:val="en-US" w:eastAsia="zh-CN"/>
              </w:rPr>
              <w:t>~29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b/>
                <w:bCs/>
                <w:color w:val="auto"/>
                <w:lang w:eastAsia="en-US"/>
              </w:rPr>
            </w:pPr>
          </w:p>
        </w:tc>
        <w:tc>
          <w:tcPr>
            <w:tcW w:w="715" w:type="pct"/>
            <w:tcBorders>
              <w:tl2br w:val="nil"/>
              <w:tr2bl w:val="nil"/>
            </w:tcBorders>
            <w:vAlign w:val="center"/>
          </w:tcPr>
          <w:p>
            <w:pPr>
              <w:pStyle w:val="182"/>
              <w:bidi w:val="0"/>
              <w:rPr>
                <w:rFonts w:hint="eastAsia"/>
                <w:b/>
                <w:bCs/>
                <w:color w:val="auto"/>
                <w:lang w:val="en-US" w:eastAsia="zh-CN"/>
              </w:rPr>
            </w:pPr>
            <w:r>
              <w:rPr>
                <w:rFonts w:hint="eastAsia"/>
                <w:b/>
                <w:bCs/>
                <w:color w:val="auto"/>
                <w:lang w:eastAsia="zh-CN"/>
              </w:rPr>
              <w:t>排放浓度（</w:t>
            </w:r>
            <w:r>
              <w:rPr>
                <w:b/>
                <w:bCs/>
                <w:color w:val="auto"/>
                <w:lang w:eastAsia="zh-CN"/>
              </w:rPr>
              <w:t>mg/m</w:t>
            </w:r>
            <w:r>
              <w:rPr>
                <w:b/>
                <w:bCs/>
                <w:color w:val="auto"/>
                <w:vertAlign w:val="superscript"/>
                <w:lang w:eastAsia="zh-CN"/>
              </w:rPr>
              <w:t>3</w:t>
            </w:r>
            <w:r>
              <w:rPr>
                <w:rFonts w:hint="eastAsia"/>
                <w:b/>
                <w:bCs/>
                <w:color w:val="auto"/>
                <w:lang w:eastAsia="zh-CN"/>
              </w:rPr>
              <w:t>）</w:t>
            </w:r>
          </w:p>
        </w:tc>
        <w:tc>
          <w:tcPr>
            <w:tcW w:w="1118" w:type="pct"/>
            <w:tcBorders>
              <w:tl2br w:val="nil"/>
              <w:tr2bl w:val="nil"/>
            </w:tcBorders>
            <w:vAlign w:val="center"/>
          </w:tcPr>
          <w:p>
            <w:pPr>
              <w:pStyle w:val="182"/>
              <w:bidi w:val="0"/>
              <w:rPr>
                <w:rFonts w:hint="eastAsia"/>
                <w:b/>
                <w:bCs/>
                <w:color w:val="auto"/>
                <w:lang w:val="en-US" w:eastAsia="zh-CN"/>
              </w:rPr>
            </w:pPr>
            <w:r>
              <w:rPr>
                <w:rFonts w:hint="eastAsia"/>
                <w:b/>
                <w:bCs/>
                <w:color w:val="auto"/>
                <w:lang w:eastAsia="zh-CN"/>
              </w:rPr>
              <w:t>排放速率（kg</w:t>
            </w:r>
            <w:r>
              <w:rPr>
                <w:b/>
                <w:bCs/>
                <w:color w:val="auto"/>
                <w:lang w:eastAsia="zh-CN"/>
              </w:rPr>
              <w:t>/h</w:t>
            </w:r>
            <w:r>
              <w:rPr>
                <w:rFonts w:hint="eastAsia"/>
                <w:b/>
                <w:bCs/>
                <w:color w:val="auto"/>
                <w:lang w:eastAsia="zh-CN"/>
              </w:rPr>
              <w:t>）</w:t>
            </w:r>
          </w:p>
        </w:tc>
        <w:tc>
          <w:tcPr>
            <w:tcW w:w="1015" w:type="pct"/>
            <w:tcBorders>
              <w:tl2br w:val="nil"/>
              <w:tr2bl w:val="nil"/>
            </w:tcBorders>
            <w:vAlign w:val="center"/>
          </w:tcPr>
          <w:p>
            <w:pPr>
              <w:pStyle w:val="182"/>
              <w:bidi w:val="0"/>
              <w:rPr>
                <w:b/>
                <w:bCs/>
                <w:color w:val="auto"/>
                <w:lang w:eastAsia="en-US"/>
              </w:rPr>
            </w:pPr>
            <w:r>
              <w:rPr>
                <w:rFonts w:hint="eastAsia"/>
                <w:b/>
                <w:bCs/>
                <w:color w:val="auto"/>
                <w:lang w:val="en-US" w:eastAsia="zh-CN"/>
              </w:rPr>
              <w:t>许可排放浓度（</w:t>
            </w:r>
            <w:r>
              <w:rPr>
                <w:b/>
                <w:bCs/>
                <w:color w:val="auto"/>
                <w:lang w:eastAsia="en-US"/>
              </w:rPr>
              <w:t>mg/m</w:t>
            </w:r>
            <w:r>
              <w:rPr>
                <w:b/>
                <w:bCs/>
                <w:color w:val="auto"/>
                <w:vertAlign w:val="superscript"/>
                <w:lang w:eastAsia="en-US"/>
              </w:rPr>
              <w:t>3</w:t>
            </w:r>
            <w:r>
              <w:rPr>
                <w:rFonts w:hint="eastAsia"/>
                <w:b/>
                <w:bCs/>
                <w:color w:val="auto"/>
                <w:lang w:val="en-US" w:eastAsia="zh-CN"/>
              </w:rPr>
              <w:t>）</w:t>
            </w:r>
          </w:p>
        </w:tc>
        <w:tc>
          <w:tcPr>
            <w:tcW w:w="769" w:type="pct"/>
            <w:tcBorders>
              <w:tl2br w:val="nil"/>
              <w:tr2bl w:val="nil"/>
            </w:tcBorders>
            <w:vAlign w:val="center"/>
          </w:tcPr>
          <w:p>
            <w:pPr>
              <w:pStyle w:val="182"/>
              <w:bidi w:val="0"/>
              <w:rPr>
                <w:rFonts w:hint="eastAsia"/>
                <w:b/>
                <w:bCs/>
                <w:color w:val="auto"/>
                <w:lang w:eastAsia="zh-CN"/>
              </w:rPr>
            </w:pPr>
            <w:r>
              <w:rPr>
                <w:rFonts w:hint="eastAsia"/>
                <w:b/>
                <w:bCs/>
                <w:color w:val="auto"/>
                <w:lang w:val="en-US" w:eastAsia="zh-CN"/>
              </w:rPr>
              <w:t>许可排放速率</w:t>
            </w:r>
            <w:r>
              <w:rPr>
                <w:rFonts w:hint="eastAsia"/>
                <w:b/>
                <w:bCs/>
                <w:color w:val="auto"/>
                <w:lang w:eastAsia="zh-CN"/>
              </w:rPr>
              <w:t>（kg</w:t>
            </w:r>
            <w:r>
              <w:rPr>
                <w:b/>
                <w:bCs/>
                <w:color w:val="auto"/>
                <w:lang w:eastAsia="zh-CN"/>
              </w:rPr>
              <w:t>/h</w:t>
            </w:r>
            <w:r>
              <w:rPr>
                <w:rFonts w:hint="eastAsia"/>
                <w:b/>
                <w:bCs/>
                <w:color w:val="auto"/>
                <w:lang w:eastAsia="zh-CN"/>
              </w:rPr>
              <w:t>）</w:t>
            </w:r>
          </w:p>
        </w:tc>
        <w:tc>
          <w:tcPr>
            <w:tcW w:w="309" w:type="pct"/>
            <w:tcBorders>
              <w:tl2br w:val="nil"/>
              <w:tr2bl w:val="nil"/>
            </w:tcBorders>
            <w:vAlign w:val="center"/>
          </w:tcPr>
          <w:p>
            <w:pPr>
              <w:pStyle w:val="182"/>
              <w:bidi w:val="0"/>
              <w:rPr>
                <w:rFonts w:hint="eastAsia"/>
                <w:b/>
                <w:bCs/>
                <w:color w:val="auto"/>
                <w:lang w:val="en-US" w:eastAsia="zh-CN"/>
              </w:rPr>
            </w:pPr>
            <w:r>
              <w:rPr>
                <w:rFonts w:hint="eastAsia"/>
                <w:b/>
                <w:bCs/>
                <w:color w:val="auto"/>
                <w:lang w:val="en-US" w:eastAsia="zh-CN"/>
              </w:rPr>
              <w:t>达标情况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颗粒物</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3.7~4.8</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0.773~1.04</w:t>
            </w:r>
          </w:p>
        </w:tc>
        <w:tc>
          <w:tcPr>
            <w:tcW w:w="1015"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5</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二氧化硫</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19~22</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3.95~4.71</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35</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氮氧化物</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38~43</w:t>
            </w:r>
          </w:p>
        </w:tc>
        <w:tc>
          <w:tcPr>
            <w:tcW w:w="1118"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8.10~9.05</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50</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汞及其化合物</w:t>
            </w:r>
          </w:p>
        </w:tc>
        <w:tc>
          <w:tcPr>
            <w:tcW w:w="7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ND</w:t>
            </w:r>
          </w:p>
        </w:tc>
        <w:tc>
          <w:tcPr>
            <w:tcW w:w="1118"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101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0.03</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71" w:type="pct"/>
            <w:tcBorders>
              <w:tl2br w:val="nil"/>
              <w:tr2bl w:val="nil"/>
            </w:tcBorders>
            <w:vAlign w:val="center"/>
          </w:tcPr>
          <w:p>
            <w:pPr>
              <w:pStyle w:val="182"/>
              <w:bidi w:val="0"/>
              <w:rPr>
                <w:color w:val="auto"/>
                <w:lang w:eastAsia="en-US"/>
              </w:rPr>
            </w:pPr>
            <w:r>
              <w:rPr>
                <w:color w:val="auto"/>
                <w:lang w:eastAsia="en-US"/>
              </w:rPr>
              <w:t>林格曼黑度*</w:t>
            </w:r>
          </w:p>
        </w:tc>
        <w:tc>
          <w:tcPr>
            <w:tcW w:w="715" w:type="pct"/>
            <w:tcBorders>
              <w:tl2br w:val="nil"/>
              <w:tr2bl w:val="nil"/>
            </w:tcBorders>
            <w:vAlign w:val="center"/>
          </w:tcPr>
          <w:p>
            <w:pPr>
              <w:pStyle w:val="182"/>
              <w:bidi w:val="0"/>
              <w:rPr>
                <w:color w:val="auto"/>
                <w:lang w:eastAsia="en-US"/>
              </w:rPr>
            </w:pPr>
            <w:r>
              <w:rPr>
                <w:color w:val="auto"/>
                <w:lang w:eastAsia="en-US"/>
              </w:rPr>
              <w:t>&lt;1</w:t>
            </w:r>
          </w:p>
        </w:tc>
        <w:tc>
          <w:tcPr>
            <w:tcW w:w="1118" w:type="pct"/>
            <w:tcBorders>
              <w:tl2br w:val="nil"/>
              <w:tr2bl w:val="nil"/>
            </w:tcBorders>
            <w:vAlign w:val="center"/>
          </w:tcPr>
          <w:p>
            <w:pPr>
              <w:pStyle w:val="182"/>
              <w:bidi w:val="0"/>
              <w:rPr>
                <w:color w:val="auto"/>
                <w:lang w:eastAsia="en-US"/>
              </w:rPr>
            </w:pPr>
          </w:p>
        </w:tc>
        <w:tc>
          <w:tcPr>
            <w:tcW w:w="1015"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1</w:t>
            </w:r>
          </w:p>
        </w:tc>
        <w:tc>
          <w:tcPr>
            <w:tcW w:w="769"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09" w:type="pct"/>
            <w:tcBorders>
              <w:tl2br w:val="nil"/>
              <w:tr2bl w:val="nil"/>
            </w:tcBorders>
            <w:vAlign w:val="center"/>
          </w:tcPr>
          <w:p>
            <w:pPr>
              <w:pStyle w:val="182"/>
              <w:bidi w:val="0"/>
              <w:rPr>
                <w:color w:val="auto"/>
                <w:lang w:val="en-US" w:eastAsia="en-US"/>
              </w:rPr>
            </w:pPr>
            <w:r>
              <w:rPr>
                <w:rFonts w:hint="eastAsia"/>
                <w:color w:val="auto"/>
                <w:lang w:val="en-US" w:eastAsia="zh-CN"/>
              </w:rPr>
              <w:t>达标</w:t>
            </w:r>
          </w:p>
        </w:tc>
      </w:tr>
    </w:tbl>
    <w:p>
      <w:pPr>
        <w:pStyle w:val="181"/>
        <w:bidi w:val="0"/>
        <w:rPr>
          <w:rFonts w:hint="eastAsia"/>
          <w:color w:val="auto"/>
        </w:rPr>
      </w:pPr>
      <w:r>
        <w:rPr>
          <w:rFonts w:hint="eastAsia"/>
          <w:color w:val="auto"/>
        </w:rPr>
        <w:t>表3</w:t>
      </w:r>
      <w:r>
        <w:rPr>
          <w:color w:val="auto"/>
        </w:rPr>
        <w:t>.</w:t>
      </w:r>
      <w:r>
        <w:rPr>
          <w:rFonts w:hint="eastAsia"/>
          <w:color w:val="auto"/>
          <w:lang w:val="en-US" w:eastAsia="zh-CN"/>
        </w:rPr>
        <w:t>3</w:t>
      </w:r>
      <w:r>
        <w:rPr>
          <w:rFonts w:hint="eastAsia"/>
          <w:color w:val="auto"/>
        </w:rPr>
        <w:t>-</w:t>
      </w:r>
      <w:r>
        <w:rPr>
          <w:rFonts w:hint="eastAsia"/>
          <w:color w:val="auto"/>
          <w:lang w:val="en-US" w:eastAsia="zh-CN"/>
        </w:rPr>
        <w:t>14</w:t>
      </w:r>
      <w:r>
        <w:rPr>
          <w:color w:val="auto"/>
        </w:rPr>
        <w:t xml:space="preserve">  </w:t>
      </w:r>
      <w:r>
        <w:rPr>
          <w:rFonts w:hint="eastAsia"/>
          <w:color w:val="auto"/>
          <w:lang w:val="en-US" w:eastAsia="zh-CN"/>
        </w:rPr>
        <w:t xml:space="preserve">         </w:t>
      </w:r>
      <w:r>
        <w:rPr>
          <w:rFonts w:hint="eastAsia"/>
          <w:color w:val="auto"/>
        </w:rPr>
        <w:t>无组织废气检测结果一览表</w:t>
      </w:r>
    </w:p>
    <w:tbl>
      <w:tblPr>
        <w:tblStyle w:val="165"/>
        <w:tblW w:w="5015"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355"/>
        <w:gridCol w:w="1039"/>
        <w:gridCol w:w="1138"/>
        <w:gridCol w:w="914"/>
        <w:gridCol w:w="934"/>
        <w:gridCol w:w="1138"/>
        <w:gridCol w:w="889"/>
        <w:gridCol w:w="28"/>
        <w:gridCol w:w="91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11" w:type="pct"/>
            <w:tcBorders>
              <w:tl2br w:val="nil"/>
              <w:tr2bl w:val="nil"/>
            </w:tcBorders>
            <w:vAlign w:val="center"/>
          </w:tcPr>
          <w:p>
            <w:pPr>
              <w:pStyle w:val="182"/>
              <w:bidi w:val="0"/>
              <w:rPr>
                <w:b/>
                <w:bCs/>
                <w:color w:val="auto"/>
                <w:lang w:eastAsia="en-US"/>
              </w:rPr>
            </w:pPr>
            <w:r>
              <w:rPr>
                <w:b/>
                <w:bCs/>
                <w:color w:val="auto"/>
                <w:lang w:eastAsia="en-US"/>
              </w:rPr>
              <w:t>采样日期</w:t>
            </w:r>
          </w:p>
        </w:tc>
        <w:tc>
          <w:tcPr>
            <w:tcW w:w="622" w:type="pct"/>
            <w:tcBorders>
              <w:tl2br w:val="nil"/>
              <w:tr2bl w:val="nil"/>
            </w:tcBorders>
            <w:vAlign w:val="center"/>
          </w:tcPr>
          <w:p>
            <w:pPr>
              <w:pStyle w:val="182"/>
              <w:bidi w:val="0"/>
              <w:rPr>
                <w:b/>
                <w:bCs/>
                <w:color w:val="auto"/>
                <w:lang w:eastAsia="en-US"/>
              </w:rPr>
            </w:pPr>
            <w:r>
              <w:rPr>
                <w:b/>
                <w:bCs/>
                <w:color w:val="auto"/>
                <w:lang w:eastAsia="en-US"/>
              </w:rPr>
              <w:t>监测点位</w:t>
            </w:r>
          </w:p>
        </w:tc>
        <w:tc>
          <w:tcPr>
            <w:tcW w:w="681" w:type="pct"/>
            <w:tcBorders>
              <w:tl2br w:val="nil"/>
              <w:tr2bl w:val="nil"/>
            </w:tcBorders>
            <w:vAlign w:val="center"/>
          </w:tcPr>
          <w:p>
            <w:pPr>
              <w:pStyle w:val="182"/>
              <w:bidi w:val="0"/>
              <w:rPr>
                <w:b/>
                <w:bCs/>
                <w:color w:val="auto"/>
                <w:lang w:eastAsia="en-US"/>
              </w:rPr>
            </w:pPr>
            <w:r>
              <w:rPr>
                <w:b/>
                <w:bCs/>
                <w:color w:val="auto"/>
                <w:lang w:eastAsia="en-US"/>
              </w:rPr>
              <w:t>颗粒物</w:t>
            </w:r>
            <w:r>
              <w:rPr>
                <w:rFonts w:hint="eastAsia"/>
                <w:b/>
                <w:bCs/>
                <w:color w:val="auto"/>
                <w:lang w:eastAsia="zh-CN"/>
              </w:rPr>
              <w:t>(</w:t>
            </w:r>
            <w:r>
              <w:rPr>
                <w:b/>
                <w:bCs/>
                <w:color w:val="auto"/>
                <w:lang w:eastAsia="en-US"/>
              </w:rPr>
              <w:t>mg/m</w:t>
            </w:r>
            <w:r>
              <w:rPr>
                <w:b/>
                <w:bCs/>
                <w:color w:val="auto"/>
                <w:vertAlign w:val="superscript"/>
                <w:lang w:eastAsia="en-US"/>
              </w:rPr>
              <w:t>3</w:t>
            </w:r>
            <w:r>
              <w:rPr>
                <w:b/>
                <w:bCs/>
                <w:color w:val="auto"/>
                <w:lang w:eastAsia="en-US"/>
              </w:rPr>
              <w:t>)</w:t>
            </w:r>
          </w:p>
        </w:tc>
        <w:tc>
          <w:tcPr>
            <w:tcW w:w="547" w:type="pct"/>
            <w:tcBorders>
              <w:tl2br w:val="nil"/>
              <w:tr2bl w:val="nil"/>
            </w:tcBorders>
            <w:vAlign w:val="center"/>
          </w:tcPr>
          <w:p>
            <w:pPr>
              <w:pStyle w:val="182"/>
              <w:bidi w:val="0"/>
              <w:rPr>
                <w:b/>
                <w:bCs/>
                <w:color w:val="auto"/>
                <w:lang w:eastAsia="en-US"/>
              </w:rPr>
            </w:pPr>
            <w:r>
              <w:rPr>
                <w:b/>
                <w:bCs/>
                <w:color w:val="auto"/>
                <w:lang w:eastAsia="en-US"/>
              </w:rPr>
              <w:t>非甲烷总烃</w:t>
            </w:r>
          </w:p>
          <w:p>
            <w:pPr>
              <w:pStyle w:val="182"/>
              <w:bidi w:val="0"/>
              <w:rPr>
                <w:b/>
                <w:bCs/>
                <w:color w:val="auto"/>
                <w:lang w:eastAsia="en-US"/>
              </w:rPr>
            </w:pPr>
            <w:r>
              <w:rPr>
                <w:b/>
                <w:bCs/>
                <w:color w:val="auto"/>
                <w:lang w:eastAsia="en-US"/>
              </w:rPr>
              <w:t>(mg/m</w:t>
            </w:r>
            <w:r>
              <w:rPr>
                <w:b/>
                <w:bCs/>
                <w:color w:val="auto"/>
                <w:vertAlign w:val="superscript"/>
                <w:lang w:eastAsia="en-US"/>
              </w:rPr>
              <w:t>3</w:t>
            </w:r>
            <w:r>
              <w:rPr>
                <w:b/>
                <w:bCs/>
                <w:color w:val="auto"/>
                <w:lang w:eastAsia="en-US"/>
              </w:rPr>
              <w:t>)</w:t>
            </w:r>
          </w:p>
        </w:tc>
        <w:tc>
          <w:tcPr>
            <w:tcW w:w="559" w:type="pct"/>
            <w:tcBorders>
              <w:tl2br w:val="nil"/>
              <w:tr2bl w:val="nil"/>
            </w:tcBorders>
            <w:vAlign w:val="center"/>
          </w:tcPr>
          <w:p>
            <w:pPr>
              <w:pStyle w:val="182"/>
              <w:bidi w:val="0"/>
              <w:rPr>
                <w:b/>
                <w:bCs/>
                <w:color w:val="auto"/>
                <w:lang w:eastAsia="en-US"/>
              </w:rPr>
            </w:pPr>
            <w:r>
              <w:rPr>
                <w:b/>
                <w:bCs/>
                <w:color w:val="auto"/>
                <w:lang w:eastAsia="en-US"/>
              </w:rPr>
              <w:t>臭气浓度</w:t>
            </w:r>
            <w:r>
              <w:rPr>
                <w:rFonts w:hint="eastAsia"/>
                <w:b/>
                <w:bCs/>
                <w:color w:val="auto"/>
                <w:lang w:eastAsia="zh-CN"/>
              </w:rPr>
              <w:t>（</w:t>
            </w:r>
            <w:r>
              <w:rPr>
                <w:b/>
                <w:bCs/>
                <w:color w:val="auto"/>
                <w:lang w:eastAsia="en-US"/>
              </w:rPr>
              <w:t>无量纲</w:t>
            </w:r>
            <w:r>
              <w:rPr>
                <w:rFonts w:hint="eastAsia"/>
                <w:b/>
                <w:bCs/>
                <w:color w:val="auto"/>
                <w:lang w:eastAsia="zh-CN"/>
              </w:rPr>
              <w:t>）</w:t>
            </w:r>
          </w:p>
        </w:tc>
        <w:tc>
          <w:tcPr>
            <w:tcW w:w="681" w:type="pct"/>
            <w:tcBorders>
              <w:tl2br w:val="nil"/>
              <w:tr2bl w:val="nil"/>
            </w:tcBorders>
            <w:vAlign w:val="center"/>
          </w:tcPr>
          <w:p>
            <w:pPr>
              <w:pStyle w:val="182"/>
              <w:bidi w:val="0"/>
              <w:rPr>
                <w:b/>
                <w:bCs/>
                <w:color w:val="auto"/>
                <w:lang w:eastAsia="en-US"/>
              </w:rPr>
            </w:pPr>
            <w:r>
              <w:rPr>
                <w:b/>
                <w:bCs/>
                <w:color w:val="auto"/>
                <w:lang w:eastAsia="en-US"/>
              </w:rPr>
              <w:t>硫化氢</w:t>
            </w:r>
            <w:r>
              <w:rPr>
                <w:rFonts w:hint="eastAsia"/>
                <w:b/>
                <w:bCs/>
                <w:color w:val="auto"/>
                <w:lang w:eastAsia="zh-CN"/>
              </w:rPr>
              <w:t>(</w:t>
            </w:r>
            <w:r>
              <w:rPr>
                <w:b/>
                <w:bCs/>
                <w:color w:val="auto"/>
                <w:lang w:eastAsia="en-US"/>
              </w:rPr>
              <w:t>mg/m</w:t>
            </w:r>
            <w:r>
              <w:rPr>
                <w:b/>
                <w:bCs/>
                <w:color w:val="auto"/>
                <w:vertAlign w:val="superscript"/>
                <w:lang w:eastAsia="en-US"/>
              </w:rPr>
              <w:t>3</w:t>
            </w:r>
            <w:r>
              <w:rPr>
                <w:b/>
                <w:bCs/>
                <w:color w:val="auto"/>
                <w:lang w:eastAsia="en-US"/>
              </w:rPr>
              <w:t>)</w:t>
            </w:r>
          </w:p>
        </w:tc>
        <w:tc>
          <w:tcPr>
            <w:tcW w:w="532" w:type="pct"/>
            <w:tcBorders>
              <w:tl2br w:val="nil"/>
              <w:tr2bl w:val="nil"/>
            </w:tcBorders>
            <w:vAlign w:val="center"/>
          </w:tcPr>
          <w:p>
            <w:pPr>
              <w:pStyle w:val="182"/>
              <w:bidi w:val="0"/>
              <w:rPr>
                <w:b/>
                <w:bCs/>
                <w:color w:val="auto"/>
                <w:lang w:eastAsia="en-US"/>
              </w:rPr>
            </w:pPr>
            <w:r>
              <w:rPr>
                <w:b/>
                <w:bCs/>
                <w:color w:val="auto"/>
                <w:lang w:eastAsia="en-US"/>
              </w:rPr>
              <w:t>二硫化碳</w:t>
            </w:r>
            <w:r>
              <w:rPr>
                <w:rFonts w:hint="eastAsia"/>
                <w:b/>
                <w:bCs/>
                <w:color w:val="auto"/>
                <w:lang w:eastAsia="zh-CN"/>
              </w:rPr>
              <w:t>(</w:t>
            </w:r>
            <w:r>
              <w:rPr>
                <w:b/>
                <w:bCs/>
                <w:color w:val="auto"/>
                <w:lang w:eastAsia="en-US"/>
              </w:rPr>
              <w:t>mg/m</w:t>
            </w:r>
            <w:r>
              <w:rPr>
                <w:b/>
                <w:bCs/>
                <w:color w:val="auto"/>
                <w:vertAlign w:val="superscript"/>
                <w:lang w:eastAsia="en-US"/>
              </w:rPr>
              <w:t>3</w:t>
            </w:r>
            <w:r>
              <w:rPr>
                <w:b/>
                <w:bCs/>
                <w:color w:val="auto"/>
                <w:lang w:eastAsia="en-US"/>
              </w:rPr>
              <w:t>)</w:t>
            </w:r>
          </w:p>
        </w:tc>
        <w:tc>
          <w:tcPr>
            <w:tcW w:w="565" w:type="pct"/>
            <w:gridSpan w:val="2"/>
            <w:tcBorders>
              <w:tl2br w:val="nil"/>
              <w:tr2bl w:val="nil"/>
            </w:tcBorders>
            <w:vAlign w:val="center"/>
          </w:tcPr>
          <w:p>
            <w:pPr>
              <w:pStyle w:val="182"/>
              <w:bidi w:val="0"/>
              <w:rPr>
                <w:b/>
                <w:bCs/>
                <w:color w:val="auto"/>
                <w:lang w:eastAsia="en-US"/>
              </w:rPr>
            </w:pPr>
            <w:r>
              <w:rPr>
                <w:b/>
                <w:bCs/>
                <w:color w:val="auto"/>
                <w:lang w:eastAsia="en-US"/>
              </w:rPr>
              <w:t>氨</w:t>
            </w:r>
          </w:p>
          <w:p>
            <w:pPr>
              <w:pStyle w:val="182"/>
              <w:bidi w:val="0"/>
              <w:rPr>
                <w:b/>
                <w:bCs/>
                <w:color w:val="auto"/>
                <w:lang w:eastAsia="en-US"/>
              </w:rPr>
            </w:pPr>
            <w:r>
              <w:rPr>
                <w:b/>
                <w:bCs/>
                <w:color w:val="auto"/>
                <w:lang w:eastAsia="en-US"/>
              </w:rPr>
              <w:t>(mg/m</w:t>
            </w:r>
            <w:r>
              <w:rPr>
                <w:b/>
                <w:bCs/>
                <w:color w:val="auto"/>
                <w:vertAlign w:val="superscript"/>
                <w:lang w:eastAsia="en-US"/>
              </w:rPr>
              <w:t>3</w:t>
            </w:r>
            <w:r>
              <w:rPr>
                <w:b/>
                <w:bCs/>
                <w:color w:val="auto"/>
                <w:lang w:eastAsia="en-US"/>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11" w:type="pct"/>
            <w:vMerge w:val="restart"/>
            <w:tcBorders>
              <w:tl2br w:val="nil"/>
              <w:tr2bl w:val="nil"/>
            </w:tcBorders>
            <w:vAlign w:val="center"/>
          </w:tcPr>
          <w:p>
            <w:pPr>
              <w:pStyle w:val="182"/>
              <w:bidi w:val="0"/>
              <w:rPr>
                <w:rFonts w:hint="default"/>
                <w:color w:val="auto"/>
                <w:lang w:val="en-US" w:eastAsia="zh-CN"/>
              </w:rPr>
            </w:pPr>
            <w:r>
              <w:rPr>
                <w:rFonts w:hint="eastAsia"/>
                <w:color w:val="auto"/>
                <w:lang w:val="en-US" w:eastAsia="zh-CN"/>
              </w:rPr>
              <w:t>2022.11.28~29</w:t>
            </w:r>
          </w:p>
        </w:tc>
        <w:tc>
          <w:tcPr>
            <w:tcW w:w="622"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上风向</w:t>
            </w:r>
          </w:p>
        </w:tc>
        <w:tc>
          <w:tcPr>
            <w:tcW w:w="681"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0.172~0.194</w:t>
            </w:r>
          </w:p>
        </w:tc>
        <w:tc>
          <w:tcPr>
            <w:tcW w:w="547"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0.43~0.62</w:t>
            </w:r>
          </w:p>
        </w:tc>
        <w:tc>
          <w:tcPr>
            <w:tcW w:w="559" w:type="pct"/>
            <w:tcBorders>
              <w:tl2br w:val="nil"/>
              <w:tr2bl w:val="nil"/>
            </w:tcBorders>
            <w:vAlign w:val="center"/>
          </w:tcPr>
          <w:p>
            <w:pPr>
              <w:pStyle w:val="182"/>
              <w:bidi w:val="0"/>
              <w:rPr>
                <w:color w:val="auto"/>
                <w:lang w:eastAsia="en-US"/>
              </w:rPr>
            </w:pPr>
            <w:r>
              <w:rPr>
                <w:color w:val="auto"/>
                <w:lang w:eastAsia="en-US"/>
              </w:rPr>
              <w:t>&lt;10</w:t>
            </w:r>
          </w:p>
        </w:tc>
        <w:tc>
          <w:tcPr>
            <w:tcW w:w="681"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0.002~0.004</w:t>
            </w:r>
          </w:p>
        </w:tc>
        <w:tc>
          <w:tcPr>
            <w:tcW w:w="549" w:type="pct"/>
            <w:gridSpan w:val="2"/>
            <w:tcBorders>
              <w:tl2br w:val="nil"/>
              <w:tr2bl w:val="nil"/>
            </w:tcBorders>
            <w:vAlign w:val="center"/>
          </w:tcPr>
          <w:p>
            <w:pPr>
              <w:pStyle w:val="182"/>
              <w:bidi w:val="0"/>
              <w:rPr>
                <w:rFonts w:hint="default"/>
                <w:color w:val="auto"/>
                <w:lang w:val="en-US" w:eastAsia="zh-CN"/>
              </w:rPr>
            </w:pPr>
            <w:r>
              <w:rPr>
                <w:rFonts w:hint="eastAsia"/>
                <w:color w:val="auto"/>
                <w:lang w:val="en-US" w:eastAsia="zh-CN"/>
              </w:rPr>
              <w:t>0.06~0.09</w:t>
            </w:r>
          </w:p>
        </w:tc>
        <w:tc>
          <w:tcPr>
            <w:tcW w:w="547"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0.10~0.13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11" w:type="pct"/>
            <w:vMerge w:val="continue"/>
            <w:tcBorders>
              <w:tl2br w:val="nil"/>
              <w:tr2bl w:val="nil"/>
            </w:tcBorders>
            <w:vAlign w:val="center"/>
          </w:tcPr>
          <w:p>
            <w:pPr>
              <w:pStyle w:val="182"/>
              <w:bidi w:val="0"/>
              <w:rPr>
                <w:color w:val="auto"/>
                <w:lang w:eastAsia="en-US"/>
              </w:rPr>
            </w:pPr>
          </w:p>
        </w:tc>
        <w:tc>
          <w:tcPr>
            <w:tcW w:w="622"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下风向</w:t>
            </w:r>
          </w:p>
        </w:tc>
        <w:tc>
          <w:tcPr>
            <w:tcW w:w="681"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0.243~0.392</w:t>
            </w:r>
          </w:p>
        </w:tc>
        <w:tc>
          <w:tcPr>
            <w:tcW w:w="547"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0.68~1.09</w:t>
            </w:r>
          </w:p>
        </w:tc>
        <w:tc>
          <w:tcPr>
            <w:tcW w:w="559" w:type="pct"/>
            <w:tcBorders>
              <w:tl2br w:val="nil"/>
              <w:tr2bl w:val="nil"/>
            </w:tcBorders>
            <w:vAlign w:val="center"/>
          </w:tcPr>
          <w:p>
            <w:pPr>
              <w:pStyle w:val="182"/>
              <w:bidi w:val="0"/>
              <w:rPr>
                <w:color w:val="auto"/>
                <w:lang w:eastAsia="en-US"/>
              </w:rPr>
            </w:pPr>
            <w:r>
              <w:rPr>
                <w:color w:val="auto"/>
                <w:lang w:eastAsia="en-US"/>
              </w:rPr>
              <w:t>&lt;10</w:t>
            </w:r>
          </w:p>
        </w:tc>
        <w:tc>
          <w:tcPr>
            <w:tcW w:w="681"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0.005~0.008</w:t>
            </w:r>
          </w:p>
        </w:tc>
        <w:tc>
          <w:tcPr>
            <w:tcW w:w="549" w:type="pct"/>
            <w:gridSpan w:val="2"/>
            <w:tcBorders>
              <w:tl2br w:val="nil"/>
              <w:tr2bl w:val="nil"/>
            </w:tcBorders>
            <w:vAlign w:val="center"/>
          </w:tcPr>
          <w:p>
            <w:pPr>
              <w:pStyle w:val="182"/>
              <w:bidi w:val="0"/>
              <w:rPr>
                <w:rFonts w:hint="default"/>
                <w:color w:val="auto"/>
                <w:lang w:val="en-US" w:eastAsia="zh-CN"/>
              </w:rPr>
            </w:pPr>
            <w:r>
              <w:rPr>
                <w:rFonts w:hint="eastAsia"/>
                <w:color w:val="auto"/>
                <w:lang w:val="en-US" w:eastAsia="zh-CN"/>
              </w:rPr>
              <w:t>0.10~0.15</w:t>
            </w:r>
          </w:p>
        </w:tc>
        <w:tc>
          <w:tcPr>
            <w:tcW w:w="547"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0.15~0.22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433" w:type="pct"/>
            <w:gridSpan w:val="2"/>
            <w:tcBorders>
              <w:tl2br w:val="nil"/>
              <w:tr2bl w:val="nil"/>
            </w:tcBorders>
            <w:vAlign w:val="center"/>
          </w:tcPr>
          <w:p>
            <w:pPr>
              <w:pStyle w:val="182"/>
              <w:bidi w:val="0"/>
              <w:rPr>
                <w:rFonts w:hint="eastAsia"/>
                <w:color w:val="auto"/>
                <w:lang w:val="en-US" w:eastAsia="zh-CN"/>
              </w:rPr>
            </w:pPr>
            <w:r>
              <w:rPr>
                <w:rFonts w:hint="eastAsia"/>
                <w:color w:val="auto"/>
                <w:lang w:val="en-US" w:eastAsia="zh-CN"/>
              </w:rPr>
              <w:t>排放标准</w:t>
            </w:r>
          </w:p>
        </w:tc>
        <w:tc>
          <w:tcPr>
            <w:tcW w:w="681"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1.0</w:t>
            </w:r>
          </w:p>
        </w:tc>
        <w:tc>
          <w:tcPr>
            <w:tcW w:w="547"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4.0</w:t>
            </w:r>
          </w:p>
        </w:tc>
        <w:tc>
          <w:tcPr>
            <w:tcW w:w="559" w:type="pct"/>
            <w:tcBorders>
              <w:tl2br w:val="nil"/>
              <w:tr2bl w:val="nil"/>
            </w:tcBorders>
            <w:vAlign w:val="center"/>
          </w:tcPr>
          <w:p>
            <w:pPr>
              <w:pStyle w:val="182"/>
              <w:bidi w:val="0"/>
              <w:rPr>
                <w:rFonts w:hint="default" w:eastAsia="宋体"/>
                <w:color w:val="auto"/>
                <w:lang w:val="en-US" w:eastAsia="zh-CN"/>
              </w:rPr>
            </w:pPr>
            <w:r>
              <w:rPr>
                <w:rFonts w:hint="eastAsia"/>
                <w:color w:val="auto"/>
                <w:lang w:val="en-US" w:eastAsia="zh-CN"/>
              </w:rPr>
              <w:t>20</w:t>
            </w:r>
          </w:p>
        </w:tc>
        <w:tc>
          <w:tcPr>
            <w:tcW w:w="681"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0.06</w:t>
            </w:r>
          </w:p>
        </w:tc>
        <w:tc>
          <w:tcPr>
            <w:tcW w:w="549" w:type="pct"/>
            <w:gridSpan w:val="2"/>
            <w:tcBorders>
              <w:tl2br w:val="nil"/>
              <w:tr2bl w:val="nil"/>
            </w:tcBorders>
            <w:vAlign w:val="center"/>
          </w:tcPr>
          <w:p>
            <w:pPr>
              <w:pStyle w:val="182"/>
              <w:bidi w:val="0"/>
              <w:rPr>
                <w:rFonts w:hint="default"/>
                <w:color w:val="auto"/>
                <w:lang w:val="en-US" w:eastAsia="zh-CN"/>
              </w:rPr>
            </w:pPr>
            <w:r>
              <w:rPr>
                <w:rFonts w:hint="eastAsia"/>
                <w:color w:val="auto"/>
                <w:lang w:val="en-US" w:eastAsia="zh-CN"/>
              </w:rPr>
              <w:t>3</w:t>
            </w:r>
          </w:p>
        </w:tc>
        <w:tc>
          <w:tcPr>
            <w:tcW w:w="547"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1.5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433" w:type="pct"/>
            <w:gridSpan w:val="2"/>
            <w:tcBorders>
              <w:tl2br w:val="nil"/>
              <w:tr2bl w:val="nil"/>
            </w:tcBorders>
            <w:vAlign w:val="center"/>
          </w:tcPr>
          <w:p>
            <w:pPr>
              <w:pStyle w:val="182"/>
              <w:bidi w:val="0"/>
              <w:rPr>
                <w:rFonts w:hint="eastAsia"/>
                <w:color w:val="auto"/>
                <w:lang w:val="en-US" w:eastAsia="zh-CN"/>
              </w:rPr>
            </w:pPr>
            <w:r>
              <w:rPr>
                <w:rFonts w:hint="eastAsia"/>
                <w:color w:val="auto"/>
                <w:lang w:val="en-US" w:eastAsia="zh-CN"/>
              </w:rPr>
              <w:t>达标情况</w:t>
            </w:r>
          </w:p>
        </w:tc>
        <w:tc>
          <w:tcPr>
            <w:tcW w:w="681"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达标</w:t>
            </w:r>
          </w:p>
        </w:tc>
        <w:tc>
          <w:tcPr>
            <w:tcW w:w="547"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达标</w:t>
            </w:r>
          </w:p>
        </w:tc>
        <w:tc>
          <w:tcPr>
            <w:tcW w:w="559" w:type="pct"/>
            <w:tcBorders>
              <w:tl2br w:val="nil"/>
              <w:tr2bl w:val="nil"/>
            </w:tcBorders>
            <w:vAlign w:val="center"/>
          </w:tcPr>
          <w:p>
            <w:pPr>
              <w:pStyle w:val="182"/>
              <w:bidi w:val="0"/>
              <w:rPr>
                <w:color w:val="auto"/>
                <w:lang w:eastAsia="en-US"/>
              </w:rPr>
            </w:pPr>
            <w:r>
              <w:rPr>
                <w:rFonts w:hint="eastAsia"/>
                <w:color w:val="auto"/>
                <w:lang w:val="en-US" w:eastAsia="zh-CN"/>
              </w:rPr>
              <w:t>达标</w:t>
            </w:r>
          </w:p>
        </w:tc>
        <w:tc>
          <w:tcPr>
            <w:tcW w:w="681"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达标</w:t>
            </w:r>
          </w:p>
        </w:tc>
        <w:tc>
          <w:tcPr>
            <w:tcW w:w="549" w:type="pct"/>
            <w:gridSpan w:val="2"/>
            <w:tcBorders>
              <w:tl2br w:val="nil"/>
              <w:tr2bl w:val="nil"/>
            </w:tcBorders>
            <w:vAlign w:val="center"/>
          </w:tcPr>
          <w:p>
            <w:pPr>
              <w:pStyle w:val="182"/>
              <w:bidi w:val="0"/>
              <w:rPr>
                <w:rFonts w:hint="eastAsia"/>
                <w:color w:val="auto"/>
                <w:lang w:val="en-US" w:eastAsia="zh-CN"/>
              </w:rPr>
            </w:pPr>
            <w:r>
              <w:rPr>
                <w:rFonts w:hint="eastAsia"/>
                <w:color w:val="auto"/>
                <w:lang w:val="en-US" w:eastAsia="zh-CN"/>
              </w:rPr>
              <w:t>达标</w:t>
            </w:r>
          </w:p>
        </w:tc>
        <w:tc>
          <w:tcPr>
            <w:tcW w:w="547"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达标</w:t>
            </w:r>
          </w:p>
        </w:tc>
      </w:tr>
    </w:tbl>
    <w:p>
      <w:pPr>
        <w:bidi w:val="0"/>
        <w:rPr>
          <w:rFonts w:hint="eastAsia"/>
          <w:color w:val="auto"/>
        </w:rPr>
      </w:pPr>
      <w:r>
        <w:rPr>
          <w:rFonts w:hint="eastAsia"/>
          <w:color w:val="auto"/>
        </w:rPr>
        <w:t>根据检测结果，现有工程废气排放满足相关排放标准。</w:t>
      </w:r>
    </w:p>
    <w:p>
      <w:pPr>
        <w:pStyle w:val="181"/>
        <w:rPr>
          <w:rFonts w:hint="eastAsia"/>
          <w:b/>
          <w:bCs/>
          <w:i w:val="0"/>
          <w:iCs w:val="0"/>
          <w:color w:val="auto"/>
          <w:u w:val="single"/>
        </w:rPr>
      </w:pPr>
      <w:r>
        <w:rPr>
          <w:rFonts w:hint="eastAsia"/>
          <w:b/>
          <w:bCs/>
          <w:i w:val="0"/>
          <w:iCs w:val="0"/>
          <w:color w:val="auto"/>
          <w:u w:val="single"/>
        </w:rPr>
        <w:t>表3</w:t>
      </w:r>
      <w:r>
        <w:rPr>
          <w:b/>
          <w:bCs/>
          <w:i w:val="0"/>
          <w:iCs w:val="0"/>
          <w:color w:val="auto"/>
          <w:u w:val="single"/>
        </w:rPr>
        <w:t>.</w:t>
      </w:r>
      <w:r>
        <w:rPr>
          <w:rFonts w:hint="eastAsia"/>
          <w:b/>
          <w:bCs/>
          <w:i w:val="0"/>
          <w:iCs w:val="0"/>
          <w:color w:val="auto"/>
          <w:u w:val="single"/>
          <w:lang w:val="en-US" w:eastAsia="zh-CN"/>
        </w:rPr>
        <w:t>3</w:t>
      </w:r>
      <w:r>
        <w:rPr>
          <w:rFonts w:hint="eastAsia"/>
          <w:b/>
          <w:bCs/>
          <w:i w:val="0"/>
          <w:iCs w:val="0"/>
          <w:color w:val="auto"/>
          <w:u w:val="single"/>
        </w:rPr>
        <w:t>-</w:t>
      </w:r>
      <w:r>
        <w:rPr>
          <w:rFonts w:hint="eastAsia"/>
          <w:b/>
          <w:bCs/>
          <w:i w:val="0"/>
          <w:iCs w:val="0"/>
          <w:color w:val="auto"/>
          <w:u w:val="single"/>
          <w:lang w:val="en-US" w:eastAsia="zh-CN"/>
        </w:rPr>
        <w:t>15</w:t>
      </w:r>
      <w:r>
        <w:rPr>
          <w:b/>
          <w:bCs/>
          <w:i w:val="0"/>
          <w:iCs w:val="0"/>
          <w:color w:val="auto"/>
          <w:u w:val="single"/>
        </w:rPr>
        <w:t xml:space="preserve">  </w:t>
      </w:r>
      <w:r>
        <w:rPr>
          <w:rFonts w:hint="eastAsia"/>
          <w:b/>
          <w:bCs/>
          <w:i w:val="0"/>
          <w:iCs w:val="0"/>
          <w:color w:val="auto"/>
          <w:u w:val="single"/>
          <w:lang w:val="en-US" w:eastAsia="zh-CN"/>
        </w:rPr>
        <w:t xml:space="preserve">         </w:t>
      </w:r>
      <w:r>
        <w:rPr>
          <w:rFonts w:hint="eastAsia"/>
          <w:b/>
          <w:bCs/>
          <w:i w:val="0"/>
          <w:iCs w:val="0"/>
          <w:color w:val="auto"/>
          <w:u w:val="single"/>
        </w:rPr>
        <w:t>有组织废气</w:t>
      </w:r>
      <w:r>
        <w:rPr>
          <w:rFonts w:hint="eastAsia"/>
          <w:b/>
          <w:bCs/>
          <w:i w:val="0"/>
          <w:iCs w:val="0"/>
          <w:color w:val="auto"/>
          <w:u w:val="single"/>
          <w:lang w:val="en-US" w:eastAsia="zh-CN"/>
        </w:rPr>
        <w:t>在线监测</w:t>
      </w:r>
      <w:r>
        <w:rPr>
          <w:rFonts w:hint="eastAsia"/>
          <w:b/>
          <w:bCs/>
          <w:i w:val="0"/>
          <w:iCs w:val="0"/>
          <w:color w:val="auto"/>
          <w:u w:val="single"/>
        </w:rPr>
        <w:t>结果一览表</w:t>
      </w:r>
    </w:p>
    <w:tbl>
      <w:tblPr>
        <w:tblStyle w:val="32"/>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36"/>
        <w:gridCol w:w="1425"/>
        <w:gridCol w:w="1649"/>
        <w:gridCol w:w="1649"/>
        <w:gridCol w:w="1427"/>
        <w:gridCol w:w="14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DA001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pStyle w:val="182"/>
              <w:rPr>
                <w:rFonts w:hint="eastAsia"/>
                <w:b/>
                <w:bCs/>
                <w:i w:val="0"/>
                <w:iCs w:val="0"/>
                <w:color w:val="auto"/>
                <w:u w:val="single"/>
              </w:rPr>
            </w:pPr>
            <w:r>
              <w:rPr>
                <w:rFonts w:hint="eastAsia"/>
                <w:b/>
                <w:bCs/>
                <w:i w:val="0"/>
                <w:iCs w:val="0"/>
                <w:color w:val="auto"/>
                <w:u w:val="single"/>
                <w:lang w:val="en-US" w:eastAsia="zh-CN"/>
              </w:rPr>
              <w:t>时间</w:t>
            </w:r>
          </w:p>
        </w:tc>
        <w:tc>
          <w:tcPr>
            <w:tcW w:w="83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pStyle w:val="182"/>
              <w:rPr>
                <w:rFonts w:hint="eastAsia"/>
                <w:b/>
                <w:bCs/>
                <w:i w:val="0"/>
                <w:iCs w:val="0"/>
                <w:color w:val="auto"/>
                <w:u w:val="single"/>
              </w:rPr>
            </w:pPr>
            <w:r>
              <w:rPr>
                <w:rFonts w:hint="eastAsia"/>
                <w:b/>
                <w:bCs/>
                <w:i w:val="0"/>
                <w:iCs w:val="0"/>
                <w:color w:val="auto"/>
                <w:u w:val="single"/>
                <w:lang w:val="en-US" w:eastAsia="zh-CN"/>
              </w:rPr>
              <w:t>颗粒物（t）</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二氧化硫（t）</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氮氧化物（t）</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逃逸氨（t）</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流量（m</w:t>
            </w:r>
            <w:r>
              <w:rPr>
                <w:rFonts w:hint="eastAsia"/>
                <w:b/>
                <w:bCs/>
                <w:i w:val="0"/>
                <w:iCs w:val="0"/>
                <w:color w:val="auto"/>
                <w:u w:val="single"/>
                <w:vertAlign w:val="superscript"/>
                <w:lang w:val="en-US" w:eastAsia="zh-CN"/>
              </w:rPr>
              <w:t>3</w:t>
            </w:r>
            <w:r>
              <w:rPr>
                <w:rFonts w:hint="eastAsia"/>
                <w:b/>
                <w:bCs/>
                <w:i w:val="0"/>
                <w:iCs w:val="0"/>
                <w:color w:val="auto"/>
                <w:u w:val="singl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pStyle w:val="182"/>
              <w:rPr>
                <w:rFonts w:hint="eastAsia"/>
                <w:b/>
                <w:bCs/>
                <w:i w:val="0"/>
                <w:iCs w:val="0"/>
                <w:color w:val="auto"/>
                <w:u w:val="single"/>
              </w:rPr>
            </w:pPr>
            <w:r>
              <w:rPr>
                <w:rFonts w:hint="eastAsia"/>
                <w:b/>
                <w:bCs/>
                <w:i w:val="0"/>
                <w:iCs w:val="0"/>
                <w:color w:val="auto"/>
                <w:u w:val="single"/>
                <w:lang w:val="en-US" w:eastAsia="zh-CN"/>
              </w:rPr>
              <w:t>1月</w:t>
            </w:r>
          </w:p>
        </w:tc>
        <w:tc>
          <w:tcPr>
            <w:tcW w:w="83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pStyle w:val="182"/>
              <w:rPr>
                <w:rFonts w:hint="eastAsia"/>
                <w:b/>
                <w:bCs/>
                <w:i w:val="0"/>
                <w:iCs w:val="0"/>
                <w:color w:val="auto"/>
                <w:u w:val="single"/>
              </w:rPr>
            </w:pPr>
            <w:r>
              <w:rPr>
                <w:rFonts w:hint="eastAsia"/>
                <w:b/>
                <w:bCs/>
                <w:i w:val="0"/>
                <w:iCs w:val="0"/>
                <w:color w:val="auto"/>
                <w:u w:val="single"/>
                <w:lang w:val="en-US" w:eastAsia="zh-CN"/>
              </w:rPr>
              <w:t>0.14</w:t>
            </w:r>
          </w:p>
        </w:tc>
        <w:tc>
          <w:tcPr>
            <w:tcW w:w="97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pStyle w:val="182"/>
              <w:rPr>
                <w:rFonts w:hint="eastAsia"/>
                <w:b/>
                <w:bCs/>
                <w:i w:val="0"/>
                <w:iCs w:val="0"/>
                <w:color w:val="auto"/>
                <w:u w:val="single"/>
              </w:rPr>
            </w:pPr>
            <w:r>
              <w:rPr>
                <w:rFonts w:hint="eastAsia"/>
                <w:b/>
                <w:bCs/>
                <w:i w:val="0"/>
                <w:iCs w:val="0"/>
                <w:color w:val="auto"/>
                <w:u w:val="single"/>
                <w:lang w:val="en-US" w:eastAsia="zh-CN"/>
              </w:rPr>
              <w:t>0.35</w:t>
            </w:r>
          </w:p>
        </w:tc>
        <w:tc>
          <w:tcPr>
            <w:tcW w:w="97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pStyle w:val="182"/>
              <w:rPr>
                <w:rFonts w:hint="eastAsia"/>
                <w:b/>
                <w:bCs/>
                <w:i w:val="0"/>
                <w:iCs w:val="0"/>
                <w:color w:val="auto"/>
                <w:u w:val="single"/>
              </w:rPr>
            </w:pPr>
            <w:r>
              <w:rPr>
                <w:rFonts w:hint="eastAsia"/>
                <w:b/>
                <w:bCs/>
                <w:i w:val="0"/>
                <w:iCs w:val="0"/>
                <w:color w:val="auto"/>
                <w:u w:val="single"/>
                <w:lang w:val="en-US" w:eastAsia="zh-CN"/>
              </w:rPr>
              <w:t>1.95</w:t>
            </w:r>
          </w:p>
        </w:tc>
        <w:tc>
          <w:tcPr>
            <w:tcW w:w="83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pStyle w:val="182"/>
              <w:rPr>
                <w:rFonts w:hint="eastAsia"/>
                <w:b/>
                <w:bCs/>
                <w:i w:val="0"/>
                <w:iCs w:val="0"/>
                <w:color w:val="auto"/>
                <w:u w:val="single"/>
              </w:rPr>
            </w:pPr>
            <w:r>
              <w:rPr>
                <w:rFonts w:hint="eastAsia"/>
                <w:b/>
                <w:bCs/>
                <w:i w:val="0"/>
                <w:iCs w:val="0"/>
                <w:color w:val="auto"/>
                <w:u w:val="single"/>
                <w:lang w:val="en-US" w:eastAsia="zh-CN"/>
              </w:rPr>
              <w:t>0.17</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9488.66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2月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0.22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0.69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2.04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0.09</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8436.41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3月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0.12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0.68</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1.59</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0.07</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6319.3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4月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0.16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1.47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2.64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0.04</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8694.73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5月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0.11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1.9</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6602.17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6月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0.11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0.88</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1.74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0.03</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6230.95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7月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0.66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1.34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0.06</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5638.98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8月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0.02</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1808.01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9月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0.12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1.46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2.76</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0.08</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10172.32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10月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0.31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1.23</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6307.35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11月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0.27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0.99</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0.12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5378.21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12月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0.33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1.26</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0.04</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6411.38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小计</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1.27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8.2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19.46</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0.83</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rPr>
            </w:pPr>
            <w:r>
              <w:rPr>
                <w:rFonts w:hint="eastAsia"/>
                <w:b/>
                <w:bCs/>
                <w:i w:val="0"/>
                <w:iCs w:val="0"/>
                <w:color w:val="auto"/>
                <w:u w:val="single"/>
                <w:lang w:val="en-US" w:eastAsia="zh-CN"/>
              </w:rPr>
              <w:t>81488.47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DA002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时间</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颗粒物（t）</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二氧化硫（t）</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氮氧化物（t）</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逃逸氨（t）</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流量（m</w:t>
            </w:r>
            <w:r>
              <w:rPr>
                <w:rFonts w:hint="eastAsia"/>
                <w:b/>
                <w:bCs/>
                <w:i w:val="0"/>
                <w:iCs w:val="0"/>
                <w:color w:val="auto"/>
                <w:u w:val="single"/>
                <w:vertAlign w:val="superscript"/>
                <w:lang w:val="en-US" w:eastAsia="zh-CN"/>
              </w:rPr>
              <w:t>3</w:t>
            </w:r>
            <w:r>
              <w:rPr>
                <w:rFonts w:hint="eastAsia"/>
                <w:b/>
                <w:bCs/>
                <w:i w:val="0"/>
                <w:iCs w:val="0"/>
                <w:color w:val="auto"/>
                <w:u w:val="singl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0.01</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404.7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0.05</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0.28</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2895.28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0.45</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5708.28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0.63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1.05</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0.03</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5250.01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91.22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6月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0.05</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0.38</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0.88</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3853.76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7月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0.04</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0.38</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0.69</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4932.3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8月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0.47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1.44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6805.46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9月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0.82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1.65</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7564.57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10月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11月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0.67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1.28</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0.04</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5698.77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12月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0.62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0.97</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0.09</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8272.05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小计</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0.71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4.34</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8.7</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0.24</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51476.4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DA003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ind w:firstLine="0" w:firstLineChars="0"/>
              <w:jc w:val="left"/>
              <w:textAlignment w:val="center"/>
              <w:rPr>
                <w:rFonts w:hint="eastAsia"/>
                <w:b/>
                <w:bCs/>
                <w:i w:val="0"/>
                <w:iCs w:val="0"/>
                <w:color w:val="auto"/>
                <w:u w:val="single"/>
                <w:lang w:val="en-US" w:eastAsia="zh-CN"/>
              </w:rPr>
            </w:pPr>
            <w:r>
              <w:rPr>
                <w:rFonts w:hint="eastAsia"/>
                <w:b/>
                <w:bCs/>
                <w:i w:val="0"/>
                <w:iCs w:val="0"/>
                <w:color w:val="auto"/>
                <w:u w:val="single"/>
                <w:lang w:val="en-US" w:eastAsia="zh-CN"/>
              </w:rPr>
              <w:t>时间</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ind w:firstLine="0" w:firstLineChars="0"/>
              <w:jc w:val="left"/>
              <w:textAlignment w:val="center"/>
              <w:rPr>
                <w:rFonts w:hint="eastAsia"/>
                <w:b/>
                <w:bCs/>
                <w:i w:val="0"/>
                <w:iCs w:val="0"/>
                <w:color w:val="auto"/>
                <w:u w:val="single"/>
                <w:lang w:val="en-US" w:eastAsia="zh-CN"/>
              </w:rPr>
            </w:pPr>
            <w:r>
              <w:rPr>
                <w:rFonts w:hint="eastAsia"/>
                <w:b/>
                <w:bCs/>
                <w:i w:val="0"/>
                <w:iCs w:val="0"/>
                <w:color w:val="auto"/>
                <w:u w:val="single"/>
                <w:lang w:val="en-US" w:eastAsia="zh-CN"/>
              </w:rPr>
              <w:t>颗粒物（t）</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ind w:firstLine="0" w:firstLineChars="0"/>
              <w:jc w:val="left"/>
              <w:textAlignment w:val="center"/>
              <w:rPr>
                <w:rFonts w:hint="eastAsia"/>
                <w:b/>
                <w:bCs/>
                <w:i w:val="0"/>
                <w:iCs w:val="0"/>
                <w:color w:val="auto"/>
                <w:u w:val="single"/>
                <w:lang w:val="en-US" w:eastAsia="zh-CN"/>
              </w:rPr>
            </w:pPr>
            <w:r>
              <w:rPr>
                <w:rFonts w:hint="eastAsia"/>
                <w:b/>
                <w:bCs/>
                <w:i w:val="0"/>
                <w:iCs w:val="0"/>
                <w:color w:val="auto"/>
                <w:u w:val="single"/>
                <w:lang w:val="en-US" w:eastAsia="zh-CN"/>
              </w:rPr>
              <w:t>二氧化硫（t）</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ind w:firstLine="0" w:firstLineChars="0"/>
              <w:jc w:val="left"/>
              <w:textAlignment w:val="center"/>
              <w:rPr>
                <w:rFonts w:hint="eastAsia"/>
                <w:b/>
                <w:bCs/>
                <w:i w:val="0"/>
                <w:iCs w:val="0"/>
                <w:color w:val="auto"/>
                <w:u w:val="single"/>
                <w:lang w:val="en-US" w:eastAsia="zh-CN"/>
              </w:rPr>
            </w:pPr>
            <w:r>
              <w:rPr>
                <w:rFonts w:hint="eastAsia"/>
                <w:b/>
                <w:bCs/>
                <w:i w:val="0"/>
                <w:iCs w:val="0"/>
                <w:color w:val="auto"/>
                <w:u w:val="single"/>
                <w:lang w:val="en-US" w:eastAsia="zh-CN"/>
              </w:rPr>
              <w:t>氮氧化物（t）</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ind w:firstLine="0" w:firstLineChars="0"/>
              <w:jc w:val="left"/>
              <w:textAlignment w:val="center"/>
              <w:rPr>
                <w:rFonts w:hint="eastAsia"/>
                <w:b/>
                <w:bCs/>
                <w:i w:val="0"/>
                <w:iCs w:val="0"/>
                <w:color w:val="auto"/>
                <w:u w:val="single"/>
                <w:lang w:val="en-US" w:eastAsia="zh-CN"/>
              </w:rPr>
            </w:pPr>
            <w:r>
              <w:rPr>
                <w:rFonts w:hint="eastAsia"/>
                <w:b/>
                <w:bCs/>
                <w:i w:val="0"/>
                <w:iCs w:val="0"/>
                <w:color w:val="auto"/>
                <w:u w:val="single"/>
                <w:lang w:val="en-US" w:eastAsia="zh-CN"/>
              </w:rPr>
              <w:t>逃逸氨（t）</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ind w:firstLine="0" w:firstLineChars="0"/>
              <w:jc w:val="left"/>
              <w:textAlignment w:val="center"/>
              <w:rPr>
                <w:rFonts w:hint="eastAsia"/>
                <w:b/>
                <w:bCs/>
                <w:i w:val="0"/>
                <w:iCs w:val="0"/>
                <w:color w:val="auto"/>
                <w:u w:val="single"/>
                <w:lang w:val="en-US" w:eastAsia="zh-CN"/>
              </w:rPr>
            </w:pPr>
            <w:r>
              <w:rPr>
                <w:rFonts w:hint="eastAsia"/>
                <w:b/>
                <w:bCs/>
                <w:i w:val="0"/>
                <w:iCs w:val="0"/>
                <w:color w:val="auto"/>
                <w:u w:val="single"/>
                <w:lang w:val="en-US" w:eastAsia="zh-CN"/>
              </w:rPr>
              <w:t>流量（m3）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0.35</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1.97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3.79</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13112.7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2.08</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3.23</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13017.65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3.06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4.7</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0.05</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13601.1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3.22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4.66</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0.04</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12360.37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0.38</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3.47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5.08</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0.07</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13477.2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6月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0.43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3.19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5.34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0.15</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14503.79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7月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0.43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3.4</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5.69</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0.17</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15465.57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8月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0.41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3.08</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5.48</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0.16</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15088.76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9月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1.56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2.44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8326.4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10月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2.97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4.69</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0.41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14414.48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11月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2.09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3.55</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0.34</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12107.81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12月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1.36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2.94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0.34</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11848.84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小计</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3.63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31.45</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51.59</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1.99</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157324.67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DA004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时间</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颗粒物（t）</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二氧化硫（t）</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氮氧化物（t）</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逃逸氨（t）</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ind w:firstLine="0" w:firstLineChars="0"/>
              <w:jc w:val="left"/>
              <w:rPr>
                <w:rFonts w:hint="eastAsia"/>
                <w:b/>
                <w:bCs/>
                <w:i w:val="0"/>
                <w:iCs w:val="0"/>
                <w:color w:val="auto"/>
                <w:u w:val="single"/>
                <w:lang w:val="en-US" w:eastAsia="zh-CN"/>
              </w:rPr>
            </w:pPr>
            <w:r>
              <w:rPr>
                <w:rFonts w:hint="eastAsia"/>
                <w:b/>
                <w:bCs/>
                <w:i w:val="0"/>
                <w:iCs w:val="0"/>
                <w:color w:val="auto"/>
                <w:u w:val="single"/>
                <w:lang w:val="en-US" w:eastAsia="zh-CN"/>
              </w:rPr>
              <w:t>流量（m</w:t>
            </w:r>
            <w:r>
              <w:rPr>
                <w:rFonts w:hint="eastAsia"/>
                <w:b/>
                <w:bCs/>
                <w:i w:val="0"/>
                <w:iCs w:val="0"/>
                <w:color w:val="auto"/>
                <w:u w:val="single"/>
                <w:vertAlign w:val="superscript"/>
                <w:lang w:val="en-US" w:eastAsia="zh-CN"/>
              </w:rPr>
              <w:t>3</w:t>
            </w:r>
            <w:r>
              <w:rPr>
                <w:rFonts w:hint="eastAsia"/>
                <w:b/>
                <w:bCs/>
                <w:i w:val="0"/>
                <w:iCs w:val="0"/>
                <w:color w:val="auto"/>
                <w:u w:val="singl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0.25</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1.51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4.34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0.07</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12613.16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0.85</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1.53</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0.04</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7504.72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2.87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4.97</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0.03</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12837.55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2.88</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0.09</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8037.16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0.15</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3.71</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5.72</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0.07</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14087.77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6月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2.98</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5.03</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12471.75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7月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0.14</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3.23</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5.78</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0.14</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13901.07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8月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2.76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5.9</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13725.12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9月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1.99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4.03</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11086.25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10月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2.75</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4.44</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0.22</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13600.48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11月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2.87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4.51</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14538.05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12月</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0.16</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2.17</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5.18</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0.21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16821.43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小计</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2.02</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29.39</w:t>
            </w:r>
          </w:p>
        </w:tc>
        <w:tc>
          <w:tcPr>
            <w:tcW w:w="9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54.31</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1.41</w:t>
            </w:r>
          </w:p>
        </w:tc>
        <w:tc>
          <w:tcPr>
            <w:tcW w:w="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151224.51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合计</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7.63</w:t>
            </w:r>
          </w:p>
        </w:tc>
        <w:tc>
          <w:tcPr>
            <w:tcW w:w="1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73.38</w:t>
            </w:r>
          </w:p>
        </w:tc>
        <w:tc>
          <w:tcPr>
            <w:tcW w:w="1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134.06</w:t>
            </w:r>
          </w:p>
        </w:tc>
        <w:tc>
          <w:tcPr>
            <w:tcW w:w="1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4.47</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441514.05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排污许可</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rPr>
              <w:t>21.202000</w:t>
            </w:r>
          </w:p>
        </w:tc>
        <w:tc>
          <w:tcPr>
            <w:tcW w:w="1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rPr>
              <w:t>114.790000</w:t>
            </w:r>
          </w:p>
        </w:tc>
        <w:tc>
          <w:tcPr>
            <w:tcW w:w="1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rPr>
              <w:t>157.601800</w:t>
            </w:r>
          </w:p>
        </w:tc>
        <w:tc>
          <w:tcPr>
            <w:tcW w:w="1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达标情况</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达标</w:t>
            </w:r>
          </w:p>
        </w:tc>
        <w:tc>
          <w:tcPr>
            <w:tcW w:w="1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达标</w:t>
            </w:r>
          </w:p>
        </w:tc>
        <w:tc>
          <w:tcPr>
            <w:tcW w:w="18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eastAsia"/>
                <w:b/>
                <w:bCs/>
                <w:i w:val="0"/>
                <w:iCs w:val="0"/>
                <w:color w:val="auto"/>
                <w:u w:val="single"/>
                <w:lang w:val="en-US" w:eastAsia="zh-CN"/>
              </w:rPr>
            </w:pPr>
            <w:r>
              <w:rPr>
                <w:rFonts w:hint="eastAsia"/>
                <w:b/>
                <w:bCs/>
                <w:i w:val="0"/>
                <w:iCs w:val="0"/>
                <w:color w:val="auto"/>
                <w:u w:val="single"/>
                <w:lang w:val="en-US" w:eastAsia="zh-CN"/>
              </w:rPr>
              <w:t>达标</w:t>
            </w:r>
          </w:p>
        </w:tc>
        <w:tc>
          <w:tcPr>
            <w:tcW w:w="1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rPr>
                <w:rFonts w:hint="default"/>
                <w:b/>
                <w:bCs/>
                <w:i w:val="0"/>
                <w:iCs w:val="0"/>
                <w:color w:val="auto"/>
                <w:u w:val="single"/>
                <w:lang w:val="en-US" w:eastAsia="zh-CN"/>
              </w:rPr>
            </w:pPr>
            <w:r>
              <w:rPr>
                <w:rFonts w:hint="eastAsia"/>
                <w:b/>
                <w:bCs/>
                <w:i w:val="0"/>
                <w:iCs w:val="0"/>
                <w:color w:val="auto"/>
                <w:u w:val="single"/>
                <w:lang w:val="en-US" w:eastAsia="zh-CN"/>
              </w:rPr>
              <w:t>/</w:t>
            </w:r>
          </w:p>
        </w:tc>
      </w:tr>
    </w:tbl>
    <w:p>
      <w:pPr>
        <w:bidi w:val="0"/>
        <w:rPr>
          <w:rFonts w:hint="default" w:eastAsia="宋体"/>
          <w:b/>
          <w:bCs/>
          <w:u w:val="single"/>
          <w:lang w:val="en-US" w:eastAsia="zh-CN"/>
        </w:rPr>
      </w:pPr>
      <w:r>
        <w:rPr>
          <w:rFonts w:hint="eastAsia"/>
          <w:b/>
          <w:bCs/>
          <w:u w:val="single"/>
        </w:rPr>
        <w:t>已建项目包括：年产5000吨差别化新型连续纺粘胶长丝工程、年产4万吨高品质差别化粘胶短纤维项目（拆除）、年产2×2万吨超柔软氨纶纤维项目、年产一万吨新型纤维素长丝项目、年产3×2万吨超细旦氨纶纤维项目一期和2×170t/h蒸汽锅炉工程。</w:t>
      </w:r>
      <w:r>
        <w:rPr>
          <w:rFonts w:hint="eastAsia"/>
          <w:b/>
          <w:bCs/>
          <w:u w:val="single"/>
          <w:lang w:val="en-US" w:eastAsia="zh-CN"/>
        </w:rPr>
        <w:t>根据企业2022年排污许可证执行报告，新厂区已建工程废气污染物排放见下表。</w:t>
      </w:r>
    </w:p>
    <w:p>
      <w:pPr>
        <w:pStyle w:val="181"/>
        <w:bidi w:val="0"/>
      </w:pPr>
      <w:r>
        <w:rPr>
          <w:rFonts w:hint="eastAsia"/>
          <w:lang w:val="en-US" w:eastAsia="zh-CN"/>
        </w:rPr>
        <w:t xml:space="preserve">表3.3-16     </w:t>
      </w:r>
      <w:r>
        <w:t>新厂区已建工程</w:t>
      </w:r>
      <w:r>
        <w:rPr>
          <w:rFonts w:hint="eastAsia"/>
          <w:lang w:val="en-US" w:eastAsia="zh-CN"/>
        </w:rPr>
        <w:t>废气</w:t>
      </w:r>
      <w:r>
        <w:t>污染物排放汇总</w:t>
      </w:r>
      <w:r>
        <w:rPr>
          <w:rFonts w:hint="eastAsia"/>
          <w:lang w:val="en-US" w:eastAsia="zh-CN"/>
        </w:rPr>
        <w:t xml:space="preserve">    </w:t>
      </w:r>
      <w:r>
        <w:t>单位：</w:t>
      </w:r>
    </w:p>
    <w:tbl>
      <w:tblPr>
        <w:tblStyle w:val="32"/>
        <w:tblW w:w="5017"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729"/>
        <w:gridCol w:w="2537"/>
        <w:gridCol w:w="1812"/>
        <w:gridCol w:w="1638"/>
        <w:gridCol w:w="163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70" w:hRule="atLeast"/>
          <w:jc w:val="center"/>
        </w:trPr>
        <w:tc>
          <w:tcPr>
            <w:tcW w:w="3039" w:type="pct"/>
            <w:gridSpan w:val="3"/>
            <w:tcBorders>
              <w:tl2br w:val="nil"/>
              <w:tr2bl w:val="nil"/>
            </w:tcBorders>
            <w:vAlign w:val="center"/>
          </w:tcPr>
          <w:p>
            <w:pPr>
              <w:pStyle w:val="182"/>
              <w:bidi w:val="0"/>
              <w:rPr>
                <w:b/>
                <w:bCs/>
                <w:color w:val="000000" w:themeColor="text1"/>
                <w:u w:val="single"/>
              </w:rPr>
            </w:pPr>
            <w:r>
              <w:rPr>
                <w:b/>
                <w:bCs/>
                <w:color w:val="000000" w:themeColor="text1"/>
                <w:u w:val="single"/>
              </w:rPr>
              <w:t>污染物</w:t>
            </w:r>
          </w:p>
        </w:tc>
        <w:tc>
          <w:tcPr>
            <w:tcW w:w="980" w:type="pct"/>
            <w:tcBorders>
              <w:tl2br w:val="nil"/>
              <w:tr2bl w:val="nil"/>
            </w:tcBorders>
            <w:vAlign w:val="center"/>
          </w:tcPr>
          <w:p>
            <w:pPr>
              <w:pStyle w:val="182"/>
              <w:bidi w:val="0"/>
              <w:rPr>
                <w:rFonts w:hint="eastAsia" w:eastAsia="宋体"/>
                <w:b/>
                <w:bCs/>
                <w:color w:val="000000" w:themeColor="text1"/>
                <w:u w:val="single"/>
                <w:lang w:val="en-US" w:eastAsia="zh-CN"/>
              </w:rPr>
            </w:pPr>
            <w:r>
              <w:rPr>
                <w:rFonts w:hint="eastAsia"/>
                <w:b/>
                <w:bCs/>
                <w:color w:val="000000" w:themeColor="text1"/>
                <w:u w:val="single"/>
                <w:lang w:val="en-US" w:eastAsia="zh-CN"/>
              </w:rPr>
              <w:t>单位</w:t>
            </w:r>
          </w:p>
        </w:tc>
        <w:tc>
          <w:tcPr>
            <w:tcW w:w="980" w:type="pct"/>
            <w:tcBorders>
              <w:tl2br w:val="nil"/>
              <w:tr2bl w:val="nil"/>
            </w:tcBorders>
            <w:vAlign w:val="center"/>
          </w:tcPr>
          <w:p>
            <w:pPr>
              <w:pStyle w:val="182"/>
              <w:bidi w:val="0"/>
              <w:rPr>
                <w:b/>
                <w:bCs/>
                <w:color w:val="000000" w:themeColor="text1"/>
                <w:u w:val="single"/>
              </w:rPr>
            </w:pPr>
            <w:r>
              <w:rPr>
                <w:rFonts w:hint="eastAsia"/>
                <w:b/>
                <w:bCs/>
                <w:color w:val="000000" w:themeColor="text1"/>
                <w:u w:val="single"/>
              </w:rPr>
              <w:t>已建项目2022年新厂区排放量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37" w:type="pct"/>
            <w:vMerge w:val="restart"/>
            <w:tcBorders>
              <w:tl2br w:val="nil"/>
              <w:tr2bl w:val="nil"/>
            </w:tcBorders>
            <w:vAlign w:val="center"/>
          </w:tcPr>
          <w:p>
            <w:pPr>
              <w:pStyle w:val="182"/>
              <w:bidi w:val="0"/>
              <w:rPr>
                <w:b/>
                <w:bCs/>
                <w:color w:val="000000" w:themeColor="text1"/>
                <w:u w:val="single"/>
              </w:rPr>
            </w:pPr>
            <w:r>
              <w:rPr>
                <w:b/>
                <w:bCs/>
                <w:color w:val="000000" w:themeColor="text1"/>
                <w:u w:val="single"/>
              </w:rPr>
              <w:t>废气</w:t>
            </w:r>
          </w:p>
        </w:tc>
        <w:tc>
          <w:tcPr>
            <w:tcW w:w="1518" w:type="pct"/>
            <w:vMerge w:val="restart"/>
            <w:tcBorders>
              <w:tl2br w:val="nil"/>
              <w:tr2bl w:val="nil"/>
            </w:tcBorders>
            <w:vAlign w:val="center"/>
          </w:tcPr>
          <w:p>
            <w:pPr>
              <w:pStyle w:val="182"/>
              <w:bidi w:val="0"/>
              <w:rPr>
                <w:rFonts w:hint="default" w:eastAsia="宋体"/>
                <w:b/>
                <w:bCs/>
                <w:color w:val="000000" w:themeColor="text1"/>
                <w:u w:val="single"/>
                <w:lang w:val="en-US" w:eastAsia="zh-CN"/>
              </w:rPr>
            </w:pPr>
            <w:r>
              <w:rPr>
                <w:rFonts w:hint="eastAsia"/>
                <w:b/>
                <w:bCs/>
                <w:color w:val="000000" w:themeColor="text1"/>
                <w:u w:val="single"/>
                <w:lang w:val="en-US" w:eastAsia="zh-CN"/>
              </w:rPr>
              <w:t>有组织废气</w:t>
            </w:r>
          </w:p>
        </w:tc>
        <w:tc>
          <w:tcPr>
            <w:tcW w:w="1084" w:type="pct"/>
            <w:tcBorders>
              <w:tl2br w:val="nil"/>
              <w:tr2bl w:val="nil"/>
            </w:tcBorders>
            <w:vAlign w:val="center"/>
          </w:tcPr>
          <w:p>
            <w:pPr>
              <w:pStyle w:val="182"/>
              <w:bidi w:val="0"/>
              <w:rPr>
                <w:b/>
                <w:bCs/>
                <w:color w:val="000000" w:themeColor="text1"/>
                <w:u w:val="single"/>
              </w:rPr>
            </w:pPr>
            <w:r>
              <w:rPr>
                <w:b/>
                <w:bCs/>
                <w:color w:val="000000" w:themeColor="text1"/>
                <w:u w:val="single"/>
              </w:rPr>
              <w:t>颗粒物</w:t>
            </w:r>
          </w:p>
        </w:tc>
        <w:tc>
          <w:tcPr>
            <w:tcW w:w="980" w:type="pct"/>
            <w:tcBorders>
              <w:tl2br w:val="nil"/>
              <w:tr2bl w:val="nil"/>
            </w:tcBorders>
            <w:vAlign w:val="center"/>
          </w:tcPr>
          <w:p>
            <w:pPr>
              <w:pStyle w:val="182"/>
              <w:bidi w:val="0"/>
              <w:rPr>
                <w:rFonts w:hint="eastAsia"/>
                <w:b/>
                <w:bCs/>
                <w:color w:val="000000" w:themeColor="text1"/>
                <w:u w:val="single"/>
                <w:lang w:val="en-US" w:eastAsia="zh-CN"/>
              </w:rPr>
            </w:pPr>
            <w:r>
              <w:t>t/a</w:t>
            </w:r>
          </w:p>
        </w:tc>
        <w:tc>
          <w:tcPr>
            <w:tcW w:w="980" w:type="pct"/>
            <w:tcBorders>
              <w:tl2br w:val="nil"/>
              <w:tr2bl w:val="nil"/>
            </w:tcBorders>
            <w:vAlign w:val="center"/>
          </w:tcPr>
          <w:p>
            <w:pPr>
              <w:pStyle w:val="182"/>
              <w:bidi w:val="0"/>
              <w:rPr>
                <w:rFonts w:hint="default" w:eastAsia="宋体"/>
                <w:b/>
                <w:bCs/>
                <w:color w:val="000000" w:themeColor="text1"/>
                <w:u w:val="single"/>
                <w:lang w:val="en-US" w:eastAsia="zh-CN"/>
              </w:rPr>
            </w:pPr>
            <w:r>
              <w:rPr>
                <w:rFonts w:hint="eastAsia"/>
                <w:b/>
                <w:bCs/>
                <w:color w:val="000000" w:themeColor="text1"/>
                <w:u w:val="single"/>
                <w:lang w:val="en-US" w:eastAsia="zh-CN"/>
              </w:rPr>
              <w:t>7.81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37" w:type="pct"/>
            <w:vMerge w:val="continue"/>
            <w:tcBorders>
              <w:tl2br w:val="nil"/>
              <w:tr2bl w:val="nil"/>
            </w:tcBorders>
            <w:vAlign w:val="center"/>
          </w:tcPr>
          <w:p>
            <w:pPr>
              <w:pStyle w:val="182"/>
              <w:bidi w:val="0"/>
              <w:rPr>
                <w:b/>
                <w:bCs/>
                <w:color w:val="000000" w:themeColor="text1"/>
                <w:u w:val="single"/>
              </w:rPr>
            </w:pPr>
          </w:p>
        </w:tc>
        <w:tc>
          <w:tcPr>
            <w:tcW w:w="1518" w:type="pct"/>
            <w:vMerge w:val="continue"/>
            <w:tcBorders>
              <w:tl2br w:val="nil"/>
              <w:tr2bl w:val="nil"/>
            </w:tcBorders>
            <w:vAlign w:val="center"/>
          </w:tcPr>
          <w:p>
            <w:pPr>
              <w:pStyle w:val="182"/>
              <w:bidi w:val="0"/>
              <w:rPr>
                <w:b/>
                <w:bCs/>
                <w:color w:val="000000" w:themeColor="text1"/>
                <w:u w:val="single"/>
              </w:rPr>
            </w:pPr>
          </w:p>
        </w:tc>
        <w:tc>
          <w:tcPr>
            <w:tcW w:w="1084" w:type="pct"/>
            <w:tcBorders>
              <w:tl2br w:val="nil"/>
              <w:tr2bl w:val="nil"/>
            </w:tcBorders>
            <w:vAlign w:val="center"/>
          </w:tcPr>
          <w:p>
            <w:pPr>
              <w:pStyle w:val="182"/>
              <w:bidi w:val="0"/>
              <w:rPr>
                <w:b/>
                <w:bCs/>
                <w:color w:val="000000" w:themeColor="text1"/>
                <w:u w:val="single"/>
              </w:rPr>
            </w:pPr>
            <w:r>
              <w:rPr>
                <w:b/>
                <w:bCs/>
                <w:color w:val="000000" w:themeColor="text1"/>
                <w:u w:val="single"/>
              </w:rPr>
              <w:t>SO</w:t>
            </w:r>
            <w:r>
              <w:rPr>
                <w:b/>
                <w:bCs/>
                <w:color w:val="000000" w:themeColor="text1"/>
                <w:u w:val="single"/>
                <w:vertAlign w:val="subscript"/>
              </w:rPr>
              <w:t>2</w:t>
            </w:r>
          </w:p>
        </w:tc>
        <w:tc>
          <w:tcPr>
            <w:tcW w:w="980" w:type="pct"/>
            <w:tcBorders>
              <w:tl2br w:val="nil"/>
              <w:tr2bl w:val="nil"/>
            </w:tcBorders>
            <w:vAlign w:val="center"/>
          </w:tcPr>
          <w:p>
            <w:pPr>
              <w:pStyle w:val="182"/>
              <w:bidi w:val="0"/>
              <w:rPr>
                <w:rFonts w:hint="eastAsia"/>
                <w:b/>
                <w:bCs/>
                <w:color w:val="000000" w:themeColor="text1"/>
                <w:u w:val="single"/>
              </w:rPr>
            </w:pPr>
            <w:r>
              <w:t>t/a</w:t>
            </w:r>
          </w:p>
        </w:tc>
        <w:tc>
          <w:tcPr>
            <w:tcW w:w="980" w:type="pct"/>
            <w:tcBorders>
              <w:tl2br w:val="nil"/>
              <w:tr2bl w:val="nil"/>
            </w:tcBorders>
            <w:vAlign w:val="center"/>
          </w:tcPr>
          <w:p>
            <w:pPr>
              <w:pStyle w:val="182"/>
              <w:bidi w:val="0"/>
              <w:rPr>
                <w:b/>
                <w:bCs/>
                <w:color w:val="000000" w:themeColor="text1"/>
                <w:u w:val="single"/>
              </w:rPr>
            </w:pPr>
            <w:r>
              <w:rPr>
                <w:rFonts w:hint="eastAsia"/>
                <w:b/>
                <w:bCs/>
                <w:color w:val="000000" w:themeColor="text1"/>
                <w:u w:val="single"/>
              </w:rPr>
              <w:t>73.38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37" w:type="pct"/>
            <w:vMerge w:val="continue"/>
            <w:tcBorders>
              <w:tl2br w:val="nil"/>
              <w:tr2bl w:val="nil"/>
            </w:tcBorders>
            <w:vAlign w:val="center"/>
          </w:tcPr>
          <w:p>
            <w:pPr>
              <w:pStyle w:val="182"/>
              <w:bidi w:val="0"/>
              <w:rPr>
                <w:b/>
                <w:bCs/>
                <w:color w:val="000000" w:themeColor="text1"/>
                <w:u w:val="single"/>
              </w:rPr>
            </w:pPr>
          </w:p>
        </w:tc>
        <w:tc>
          <w:tcPr>
            <w:tcW w:w="1518" w:type="pct"/>
            <w:vMerge w:val="continue"/>
            <w:tcBorders>
              <w:tl2br w:val="nil"/>
              <w:tr2bl w:val="nil"/>
            </w:tcBorders>
            <w:vAlign w:val="center"/>
          </w:tcPr>
          <w:p>
            <w:pPr>
              <w:pStyle w:val="182"/>
              <w:bidi w:val="0"/>
              <w:rPr>
                <w:b/>
                <w:bCs/>
                <w:color w:val="000000" w:themeColor="text1"/>
                <w:u w:val="single"/>
              </w:rPr>
            </w:pPr>
          </w:p>
        </w:tc>
        <w:tc>
          <w:tcPr>
            <w:tcW w:w="1084" w:type="pct"/>
            <w:tcBorders>
              <w:tl2br w:val="nil"/>
              <w:tr2bl w:val="nil"/>
            </w:tcBorders>
            <w:vAlign w:val="center"/>
          </w:tcPr>
          <w:p>
            <w:pPr>
              <w:pStyle w:val="182"/>
              <w:bidi w:val="0"/>
              <w:rPr>
                <w:b/>
                <w:bCs/>
                <w:color w:val="000000" w:themeColor="text1"/>
                <w:u w:val="single"/>
              </w:rPr>
            </w:pPr>
            <w:r>
              <w:rPr>
                <w:b/>
                <w:bCs/>
                <w:color w:val="000000" w:themeColor="text1"/>
                <w:u w:val="single"/>
              </w:rPr>
              <w:t>NOx</w:t>
            </w:r>
          </w:p>
        </w:tc>
        <w:tc>
          <w:tcPr>
            <w:tcW w:w="980" w:type="pct"/>
            <w:tcBorders>
              <w:tl2br w:val="nil"/>
              <w:tr2bl w:val="nil"/>
            </w:tcBorders>
            <w:vAlign w:val="center"/>
          </w:tcPr>
          <w:p>
            <w:pPr>
              <w:pStyle w:val="182"/>
              <w:bidi w:val="0"/>
              <w:rPr>
                <w:rFonts w:hint="eastAsia"/>
                <w:b/>
                <w:bCs/>
                <w:color w:val="000000" w:themeColor="text1"/>
                <w:u w:val="single"/>
              </w:rPr>
            </w:pPr>
            <w:r>
              <w:t>t/a</w:t>
            </w:r>
          </w:p>
        </w:tc>
        <w:tc>
          <w:tcPr>
            <w:tcW w:w="980" w:type="pct"/>
            <w:tcBorders>
              <w:tl2br w:val="nil"/>
              <w:tr2bl w:val="nil"/>
            </w:tcBorders>
            <w:vAlign w:val="center"/>
          </w:tcPr>
          <w:p>
            <w:pPr>
              <w:pStyle w:val="182"/>
              <w:bidi w:val="0"/>
              <w:rPr>
                <w:b/>
                <w:bCs/>
                <w:color w:val="000000" w:themeColor="text1"/>
                <w:u w:val="single"/>
              </w:rPr>
            </w:pPr>
            <w:r>
              <w:rPr>
                <w:rFonts w:hint="eastAsia"/>
                <w:b/>
                <w:bCs/>
                <w:color w:val="000000" w:themeColor="text1"/>
                <w:u w:val="single"/>
              </w:rPr>
              <w:t>134.06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37" w:type="pct"/>
            <w:vMerge w:val="continue"/>
            <w:tcBorders>
              <w:tl2br w:val="nil"/>
              <w:tr2bl w:val="nil"/>
            </w:tcBorders>
            <w:vAlign w:val="center"/>
          </w:tcPr>
          <w:p>
            <w:pPr>
              <w:pStyle w:val="182"/>
              <w:bidi w:val="0"/>
              <w:rPr>
                <w:b/>
                <w:bCs/>
                <w:color w:val="000000" w:themeColor="text1"/>
                <w:u w:val="single"/>
              </w:rPr>
            </w:pPr>
          </w:p>
        </w:tc>
        <w:tc>
          <w:tcPr>
            <w:tcW w:w="1518" w:type="pct"/>
            <w:vMerge w:val="continue"/>
            <w:tcBorders>
              <w:tl2br w:val="nil"/>
              <w:tr2bl w:val="nil"/>
            </w:tcBorders>
            <w:vAlign w:val="center"/>
          </w:tcPr>
          <w:p>
            <w:pPr>
              <w:pStyle w:val="182"/>
              <w:bidi w:val="0"/>
              <w:rPr>
                <w:b/>
                <w:bCs/>
                <w:color w:val="000000" w:themeColor="text1"/>
                <w:u w:val="single"/>
              </w:rPr>
            </w:pPr>
          </w:p>
        </w:tc>
        <w:tc>
          <w:tcPr>
            <w:tcW w:w="1084" w:type="pct"/>
            <w:tcBorders>
              <w:tl2br w:val="nil"/>
              <w:tr2bl w:val="nil"/>
            </w:tcBorders>
            <w:vAlign w:val="center"/>
          </w:tcPr>
          <w:p>
            <w:pPr>
              <w:pStyle w:val="182"/>
              <w:bidi w:val="0"/>
              <w:rPr>
                <w:b/>
                <w:bCs/>
                <w:color w:val="000000" w:themeColor="text1"/>
                <w:u w:val="single"/>
              </w:rPr>
            </w:pPr>
            <w:r>
              <w:rPr>
                <w:b/>
                <w:bCs/>
                <w:color w:val="000000" w:themeColor="text1"/>
                <w:u w:val="single"/>
              </w:rPr>
              <w:t>汞及其化合物</w:t>
            </w:r>
          </w:p>
        </w:tc>
        <w:tc>
          <w:tcPr>
            <w:tcW w:w="980" w:type="pct"/>
            <w:tcBorders>
              <w:tl2br w:val="nil"/>
              <w:tr2bl w:val="nil"/>
            </w:tcBorders>
            <w:vAlign w:val="center"/>
          </w:tcPr>
          <w:p>
            <w:pPr>
              <w:pStyle w:val="182"/>
              <w:bidi w:val="0"/>
              <w:jc w:val="center"/>
              <w:rPr>
                <w:rFonts w:hint="eastAsia"/>
                <w:b/>
                <w:bCs/>
                <w:color w:val="000000" w:themeColor="text1"/>
                <w:u w:val="single"/>
                <w:lang w:val="en-US" w:eastAsia="zh-CN"/>
              </w:rPr>
            </w:pPr>
            <w:r>
              <w:t>t/a</w:t>
            </w:r>
          </w:p>
        </w:tc>
        <w:tc>
          <w:tcPr>
            <w:tcW w:w="980" w:type="pct"/>
            <w:tcBorders>
              <w:tl2br w:val="nil"/>
              <w:tr2bl w:val="nil"/>
            </w:tcBorders>
            <w:vAlign w:val="center"/>
          </w:tcPr>
          <w:p>
            <w:pPr>
              <w:pStyle w:val="182"/>
              <w:bidi w:val="0"/>
              <w:jc w:val="center"/>
              <w:rPr>
                <w:rFonts w:hint="default" w:eastAsia="宋体"/>
                <w:b/>
                <w:bCs/>
                <w:color w:val="000000" w:themeColor="text1"/>
                <w:u w:val="single"/>
                <w:lang w:val="en-US" w:eastAsia="zh-CN"/>
              </w:rPr>
            </w:pPr>
            <w:r>
              <w:rPr>
                <w:rFonts w:hint="eastAsia"/>
                <w:b/>
                <w:bCs/>
                <w:color w:val="000000" w:themeColor="text1"/>
                <w:u w:val="singl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37" w:type="pct"/>
            <w:vMerge w:val="continue"/>
            <w:tcBorders>
              <w:tl2br w:val="nil"/>
              <w:tr2bl w:val="nil"/>
            </w:tcBorders>
            <w:vAlign w:val="center"/>
          </w:tcPr>
          <w:p>
            <w:pPr>
              <w:pStyle w:val="182"/>
              <w:bidi w:val="0"/>
              <w:rPr>
                <w:b/>
                <w:bCs/>
                <w:color w:val="000000" w:themeColor="text1"/>
                <w:u w:val="single"/>
              </w:rPr>
            </w:pPr>
          </w:p>
        </w:tc>
        <w:tc>
          <w:tcPr>
            <w:tcW w:w="1518" w:type="pct"/>
            <w:vMerge w:val="continue"/>
            <w:tcBorders>
              <w:tl2br w:val="nil"/>
              <w:tr2bl w:val="nil"/>
            </w:tcBorders>
            <w:vAlign w:val="center"/>
          </w:tcPr>
          <w:p>
            <w:pPr>
              <w:pStyle w:val="182"/>
              <w:bidi w:val="0"/>
              <w:rPr>
                <w:b/>
                <w:bCs/>
                <w:color w:val="000000" w:themeColor="text1"/>
                <w:u w:val="single"/>
              </w:rPr>
            </w:pPr>
          </w:p>
        </w:tc>
        <w:tc>
          <w:tcPr>
            <w:tcW w:w="1084" w:type="pct"/>
            <w:tcBorders>
              <w:tl2br w:val="nil"/>
              <w:tr2bl w:val="nil"/>
            </w:tcBorders>
            <w:vAlign w:val="center"/>
          </w:tcPr>
          <w:p>
            <w:pPr>
              <w:pStyle w:val="182"/>
              <w:bidi w:val="0"/>
              <w:rPr>
                <w:b/>
                <w:bCs/>
                <w:color w:val="000000" w:themeColor="text1"/>
                <w:u w:val="single"/>
              </w:rPr>
            </w:pPr>
            <w:r>
              <w:rPr>
                <w:b/>
                <w:bCs/>
                <w:color w:val="000000" w:themeColor="text1"/>
                <w:u w:val="single"/>
              </w:rPr>
              <w:t>氨</w:t>
            </w:r>
          </w:p>
        </w:tc>
        <w:tc>
          <w:tcPr>
            <w:tcW w:w="980" w:type="pct"/>
            <w:tcBorders>
              <w:tl2br w:val="nil"/>
              <w:tr2bl w:val="nil"/>
            </w:tcBorders>
            <w:vAlign w:val="center"/>
          </w:tcPr>
          <w:p>
            <w:pPr>
              <w:pStyle w:val="182"/>
              <w:bidi w:val="0"/>
              <w:rPr>
                <w:rFonts w:hint="eastAsia"/>
                <w:b/>
                <w:bCs/>
                <w:color w:val="000000" w:themeColor="text1"/>
                <w:u w:val="single"/>
                <w:lang w:val="en-US" w:eastAsia="zh-CN"/>
              </w:rPr>
            </w:pPr>
            <w:r>
              <w:t>t/a</w:t>
            </w:r>
          </w:p>
        </w:tc>
        <w:tc>
          <w:tcPr>
            <w:tcW w:w="980" w:type="pct"/>
            <w:tcBorders>
              <w:tl2br w:val="nil"/>
              <w:tr2bl w:val="nil"/>
            </w:tcBorders>
            <w:vAlign w:val="center"/>
          </w:tcPr>
          <w:p>
            <w:pPr>
              <w:pStyle w:val="182"/>
              <w:bidi w:val="0"/>
              <w:rPr>
                <w:rFonts w:hint="default"/>
                <w:b/>
                <w:bCs/>
                <w:color w:val="000000" w:themeColor="text1"/>
                <w:u w:val="single"/>
                <w:lang w:val="en-US" w:eastAsia="zh-CN"/>
              </w:rPr>
            </w:pPr>
            <w:r>
              <w:rPr>
                <w:rFonts w:hint="eastAsia"/>
                <w:b/>
                <w:bCs/>
                <w:color w:val="000000" w:themeColor="text1"/>
                <w:u w:val="single"/>
                <w:lang w:val="en-US" w:eastAsia="zh-CN"/>
              </w:rPr>
              <w:t>4.47</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37" w:type="pct"/>
            <w:vMerge w:val="continue"/>
            <w:tcBorders>
              <w:tl2br w:val="nil"/>
              <w:tr2bl w:val="nil"/>
            </w:tcBorders>
            <w:vAlign w:val="center"/>
          </w:tcPr>
          <w:p>
            <w:pPr>
              <w:pStyle w:val="182"/>
              <w:bidi w:val="0"/>
              <w:rPr>
                <w:b/>
                <w:bCs/>
                <w:color w:val="000000" w:themeColor="text1"/>
                <w:u w:val="single"/>
              </w:rPr>
            </w:pPr>
          </w:p>
        </w:tc>
        <w:tc>
          <w:tcPr>
            <w:tcW w:w="1518" w:type="pct"/>
            <w:vMerge w:val="continue"/>
            <w:tcBorders>
              <w:tl2br w:val="nil"/>
              <w:tr2bl w:val="nil"/>
            </w:tcBorders>
            <w:vAlign w:val="center"/>
          </w:tcPr>
          <w:p>
            <w:pPr>
              <w:pStyle w:val="182"/>
              <w:bidi w:val="0"/>
              <w:rPr>
                <w:rFonts w:hint="eastAsia"/>
                <w:b/>
                <w:bCs/>
                <w:color w:val="000000" w:themeColor="text1"/>
                <w:u w:val="single"/>
              </w:rPr>
            </w:pPr>
          </w:p>
        </w:tc>
        <w:tc>
          <w:tcPr>
            <w:tcW w:w="1084" w:type="pct"/>
            <w:tcBorders>
              <w:tl2br w:val="nil"/>
              <w:tr2bl w:val="nil"/>
            </w:tcBorders>
            <w:vAlign w:val="center"/>
          </w:tcPr>
          <w:p>
            <w:pPr>
              <w:pStyle w:val="182"/>
              <w:bidi w:val="0"/>
              <w:rPr>
                <w:b/>
                <w:bCs/>
                <w:color w:val="000000" w:themeColor="text1"/>
                <w:u w:val="single"/>
              </w:rPr>
            </w:pPr>
            <w:r>
              <w:rPr>
                <w:rFonts w:hint="eastAsia"/>
                <w:b/>
                <w:bCs/>
                <w:color w:val="000000" w:themeColor="text1"/>
                <w:u w:val="single"/>
              </w:rPr>
              <w:t>VOCs</w:t>
            </w:r>
          </w:p>
        </w:tc>
        <w:tc>
          <w:tcPr>
            <w:tcW w:w="980" w:type="pct"/>
            <w:tcBorders>
              <w:tl2br w:val="nil"/>
              <w:tr2bl w:val="nil"/>
            </w:tcBorders>
            <w:vAlign w:val="center"/>
          </w:tcPr>
          <w:p>
            <w:pPr>
              <w:pStyle w:val="182"/>
              <w:bidi w:val="0"/>
              <w:rPr>
                <w:rFonts w:hint="eastAsia"/>
                <w:b/>
                <w:bCs/>
                <w:color w:val="000000" w:themeColor="text1"/>
                <w:u w:val="single"/>
              </w:rPr>
            </w:pPr>
            <w:r>
              <w:t>t/a</w:t>
            </w:r>
          </w:p>
        </w:tc>
        <w:tc>
          <w:tcPr>
            <w:tcW w:w="980" w:type="pct"/>
            <w:tcBorders>
              <w:tl2br w:val="nil"/>
              <w:tr2bl w:val="nil"/>
            </w:tcBorders>
            <w:vAlign w:val="center"/>
          </w:tcPr>
          <w:p>
            <w:pPr>
              <w:pStyle w:val="182"/>
              <w:bidi w:val="0"/>
              <w:rPr>
                <w:b/>
                <w:bCs/>
                <w:color w:val="000000" w:themeColor="text1"/>
                <w:u w:val="single"/>
              </w:rPr>
            </w:pPr>
            <w:r>
              <w:rPr>
                <w:rFonts w:hint="eastAsia"/>
                <w:b/>
                <w:bCs/>
                <w:color w:val="000000" w:themeColor="text1"/>
                <w:u w:val="single"/>
              </w:rPr>
              <w:t>5.42</w:t>
            </w:r>
          </w:p>
        </w:tc>
      </w:tr>
    </w:tbl>
    <w:p>
      <w:pPr>
        <w:pStyle w:val="182"/>
        <w:rPr>
          <w:rFonts w:hint="eastAsia"/>
          <w:color w:val="auto"/>
        </w:rPr>
      </w:pPr>
    </w:p>
    <w:p>
      <w:pPr>
        <w:pStyle w:val="182"/>
        <w:rPr>
          <w:rFonts w:hint="eastAsia"/>
          <w:color w:val="auto"/>
        </w:rPr>
        <w:sectPr>
          <w:pgSz w:w="11910" w:h="16840"/>
          <w:pgMar w:top="1440" w:right="1800" w:bottom="1440" w:left="1800" w:header="877" w:footer="1196" w:gutter="0"/>
          <w:pgBorders>
            <w:top w:val="none" w:sz="0" w:space="0"/>
            <w:left w:val="none" w:sz="0" w:space="0"/>
            <w:bottom w:val="none" w:sz="0" w:space="0"/>
            <w:right w:val="none" w:sz="0" w:space="0"/>
          </w:pgBorders>
          <w:pgNumType w:fmt="decimal"/>
          <w:cols w:space="720" w:num="1"/>
        </w:sectPr>
      </w:pPr>
    </w:p>
    <w:p>
      <w:pPr>
        <w:pStyle w:val="10"/>
        <w:bidi w:val="0"/>
        <w:rPr>
          <w:color w:val="auto"/>
        </w:rPr>
      </w:pPr>
      <w:r>
        <w:rPr>
          <w:rFonts w:hint="eastAsia"/>
          <w:color w:val="auto"/>
        </w:rPr>
        <w:t>3</w:t>
      </w:r>
      <w:r>
        <w:rPr>
          <w:rFonts w:hint="eastAsia"/>
          <w:color w:val="auto"/>
          <w:lang w:val="en-US" w:eastAsia="zh-CN"/>
        </w:rPr>
        <w:t>.3</w:t>
      </w:r>
      <w:r>
        <w:rPr>
          <w:color w:val="auto"/>
        </w:rPr>
        <w:t>.6.3</w:t>
      </w:r>
      <w:r>
        <w:rPr>
          <w:rFonts w:hint="eastAsia"/>
          <w:color w:val="auto"/>
        </w:rPr>
        <w:t>固体废物</w:t>
      </w:r>
    </w:p>
    <w:p>
      <w:pPr>
        <w:bidi w:val="0"/>
        <w:rPr>
          <w:color w:val="auto"/>
        </w:rPr>
      </w:pPr>
      <w:r>
        <w:rPr>
          <w:rFonts w:hint="eastAsia"/>
          <w:color w:val="auto"/>
        </w:rPr>
        <w:t>厂区</w:t>
      </w:r>
      <w:r>
        <w:rPr>
          <w:rFonts w:hint="eastAsia"/>
          <w:color w:val="auto"/>
          <w:lang w:val="en-US" w:eastAsia="zh-CN"/>
        </w:rPr>
        <w:t>已建</w:t>
      </w:r>
      <w:r>
        <w:rPr>
          <w:rFonts w:hint="eastAsia"/>
          <w:color w:val="auto"/>
        </w:rPr>
        <w:t>工程固废产生及处理处置情况见表</w:t>
      </w:r>
      <w:r>
        <w:rPr>
          <w:color w:val="auto"/>
        </w:rPr>
        <w:t>3.</w:t>
      </w:r>
      <w:r>
        <w:rPr>
          <w:rFonts w:hint="eastAsia"/>
          <w:color w:val="auto"/>
          <w:lang w:val="en-US" w:eastAsia="zh-CN"/>
        </w:rPr>
        <w:t>3</w:t>
      </w:r>
      <w:r>
        <w:rPr>
          <w:rFonts w:hint="eastAsia"/>
          <w:color w:val="auto"/>
        </w:rPr>
        <w:t>-</w:t>
      </w:r>
      <w:r>
        <w:rPr>
          <w:color w:val="auto"/>
        </w:rPr>
        <w:t>1</w:t>
      </w:r>
      <w:r>
        <w:rPr>
          <w:rFonts w:hint="eastAsia"/>
          <w:color w:val="auto"/>
          <w:lang w:val="en-US" w:eastAsia="zh-CN"/>
        </w:rPr>
        <w:t>7</w:t>
      </w:r>
      <w:r>
        <w:rPr>
          <w:rFonts w:hint="eastAsia"/>
          <w:color w:val="auto"/>
        </w:rPr>
        <w:t>。</w:t>
      </w:r>
    </w:p>
    <w:p>
      <w:pPr>
        <w:pStyle w:val="181"/>
        <w:bidi w:val="0"/>
        <w:rPr>
          <w:rFonts w:hint="eastAsia"/>
          <w:color w:val="auto"/>
        </w:rPr>
      </w:pPr>
      <w:r>
        <w:rPr>
          <w:rFonts w:hint="eastAsia"/>
          <w:color w:val="auto"/>
        </w:rPr>
        <w:t>表3</w:t>
      </w:r>
      <w:r>
        <w:rPr>
          <w:color w:val="auto"/>
        </w:rPr>
        <w:t>.</w:t>
      </w:r>
      <w:r>
        <w:rPr>
          <w:rFonts w:hint="eastAsia"/>
          <w:color w:val="auto"/>
          <w:lang w:val="en-US" w:eastAsia="zh-CN"/>
        </w:rPr>
        <w:t>3</w:t>
      </w:r>
      <w:r>
        <w:rPr>
          <w:rFonts w:hint="eastAsia"/>
          <w:color w:val="auto"/>
        </w:rPr>
        <w:t>-</w:t>
      </w:r>
      <w:r>
        <w:rPr>
          <w:color w:val="auto"/>
        </w:rPr>
        <w:t>1</w:t>
      </w:r>
      <w:r>
        <w:rPr>
          <w:rFonts w:hint="eastAsia"/>
          <w:color w:val="auto"/>
          <w:lang w:val="en-US" w:eastAsia="zh-CN"/>
        </w:rPr>
        <w:t>7</w:t>
      </w:r>
      <w:r>
        <w:rPr>
          <w:color w:val="auto"/>
        </w:rPr>
        <w:t xml:space="preserve"> </w:t>
      </w:r>
      <w:r>
        <w:rPr>
          <w:rFonts w:hint="eastAsia"/>
          <w:color w:val="auto"/>
          <w:lang w:val="en-US" w:eastAsia="zh-CN"/>
        </w:rPr>
        <w:t xml:space="preserve">                     已建工程</w:t>
      </w:r>
      <w:r>
        <w:rPr>
          <w:rFonts w:hint="eastAsia"/>
          <w:color w:val="auto"/>
        </w:rPr>
        <w:t>全厂固废产生情况及处置措施一览表</w:t>
      </w:r>
    </w:p>
    <w:tbl>
      <w:tblPr>
        <w:tblStyle w:val="32"/>
        <w:tblW w:w="5009"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835"/>
        <w:gridCol w:w="1263"/>
        <w:gridCol w:w="1043"/>
        <w:gridCol w:w="997"/>
        <w:gridCol w:w="1157"/>
        <w:gridCol w:w="774"/>
        <w:gridCol w:w="710"/>
        <w:gridCol w:w="1067"/>
        <w:gridCol w:w="952"/>
        <w:gridCol w:w="633"/>
        <w:gridCol w:w="660"/>
        <w:gridCol w:w="218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1" w:hRule="atLeast"/>
          <w:jc w:val="center"/>
        </w:trPr>
        <w:tc>
          <w:tcPr>
            <w:tcW w:w="690" w:type="pct"/>
            <w:tcBorders>
              <w:tl2br w:val="nil"/>
              <w:tr2bl w:val="nil"/>
            </w:tcBorders>
            <w:vAlign w:val="center"/>
          </w:tcPr>
          <w:p>
            <w:pPr>
              <w:pStyle w:val="182"/>
              <w:bidi w:val="0"/>
              <w:rPr>
                <w:b/>
                <w:bCs/>
                <w:color w:val="auto"/>
              </w:rPr>
            </w:pPr>
            <w:r>
              <w:rPr>
                <w:b/>
                <w:bCs/>
                <w:color w:val="auto"/>
              </w:rPr>
              <w:t>产生工序及装置</w:t>
            </w:r>
          </w:p>
        </w:tc>
        <w:tc>
          <w:tcPr>
            <w:tcW w:w="475" w:type="pct"/>
            <w:tcBorders>
              <w:tl2br w:val="nil"/>
              <w:tr2bl w:val="nil"/>
            </w:tcBorders>
            <w:vAlign w:val="center"/>
          </w:tcPr>
          <w:p>
            <w:pPr>
              <w:pStyle w:val="182"/>
              <w:bidi w:val="0"/>
              <w:rPr>
                <w:b/>
                <w:bCs/>
                <w:color w:val="auto"/>
              </w:rPr>
            </w:pPr>
            <w:r>
              <w:rPr>
                <w:b/>
                <w:bCs/>
                <w:color w:val="auto"/>
              </w:rPr>
              <w:t>污染物名称</w:t>
            </w:r>
          </w:p>
        </w:tc>
        <w:tc>
          <w:tcPr>
            <w:tcW w:w="392" w:type="pct"/>
            <w:tcBorders>
              <w:tl2br w:val="nil"/>
              <w:tr2bl w:val="nil"/>
            </w:tcBorders>
            <w:vAlign w:val="center"/>
          </w:tcPr>
          <w:p>
            <w:pPr>
              <w:pStyle w:val="182"/>
              <w:bidi w:val="0"/>
              <w:rPr>
                <w:b/>
                <w:bCs/>
                <w:color w:val="auto"/>
              </w:rPr>
            </w:pPr>
            <w:r>
              <w:rPr>
                <w:b/>
                <w:bCs/>
                <w:color w:val="auto"/>
              </w:rPr>
              <w:t>危险废物类别</w:t>
            </w:r>
          </w:p>
        </w:tc>
        <w:tc>
          <w:tcPr>
            <w:tcW w:w="375" w:type="pct"/>
            <w:tcBorders>
              <w:tl2br w:val="nil"/>
              <w:tr2bl w:val="nil"/>
            </w:tcBorders>
            <w:vAlign w:val="center"/>
          </w:tcPr>
          <w:p>
            <w:pPr>
              <w:pStyle w:val="182"/>
              <w:bidi w:val="0"/>
              <w:rPr>
                <w:b/>
                <w:bCs/>
                <w:color w:val="auto"/>
              </w:rPr>
            </w:pPr>
            <w:r>
              <w:rPr>
                <w:b/>
                <w:bCs/>
                <w:color w:val="auto"/>
              </w:rPr>
              <w:t>危险废物代码</w:t>
            </w:r>
          </w:p>
        </w:tc>
        <w:tc>
          <w:tcPr>
            <w:tcW w:w="435" w:type="pct"/>
            <w:tcBorders>
              <w:tl2br w:val="nil"/>
              <w:tr2bl w:val="nil"/>
            </w:tcBorders>
            <w:vAlign w:val="center"/>
          </w:tcPr>
          <w:p>
            <w:pPr>
              <w:pStyle w:val="182"/>
              <w:bidi w:val="0"/>
              <w:rPr>
                <w:b/>
                <w:bCs/>
                <w:color w:val="auto"/>
              </w:rPr>
            </w:pPr>
            <w:r>
              <w:rPr>
                <w:b/>
                <w:bCs/>
                <w:color w:val="auto"/>
              </w:rPr>
              <w:t>产生量</w:t>
            </w:r>
          </w:p>
          <w:p>
            <w:pPr>
              <w:pStyle w:val="182"/>
              <w:bidi w:val="0"/>
              <w:rPr>
                <w:b/>
                <w:bCs/>
                <w:color w:val="auto"/>
              </w:rPr>
            </w:pPr>
            <w:r>
              <w:rPr>
                <w:b/>
                <w:bCs/>
                <w:color w:val="auto"/>
              </w:rPr>
              <w:t>（t/a）</w:t>
            </w:r>
          </w:p>
        </w:tc>
        <w:tc>
          <w:tcPr>
            <w:tcW w:w="291" w:type="pct"/>
            <w:tcBorders>
              <w:tl2br w:val="nil"/>
              <w:tr2bl w:val="nil"/>
            </w:tcBorders>
            <w:vAlign w:val="center"/>
          </w:tcPr>
          <w:p>
            <w:pPr>
              <w:pStyle w:val="182"/>
              <w:bidi w:val="0"/>
              <w:rPr>
                <w:b/>
                <w:bCs/>
                <w:color w:val="auto"/>
              </w:rPr>
            </w:pPr>
            <w:r>
              <w:rPr>
                <w:b/>
                <w:bCs/>
                <w:color w:val="auto"/>
              </w:rPr>
              <w:t>固废性质</w:t>
            </w:r>
          </w:p>
        </w:tc>
        <w:tc>
          <w:tcPr>
            <w:tcW w:w="267" w:type="pct"/>
            <w:tcBorders>
              <w:tl2br w:val="nil"/>
              <w:tr2bl w:val="nil"/>
            </w:tcBorders>
            <w:vAlign w:val="center"/>
          </w:tcPr>
          <w:p>
            <w:pPr>
              <w:pStyle w:val="182"/>
              <w:bidi w:val="0"/>
              <w:rPr>
                <w:b/>
                <w:bCs/>
                <w:color w:val="auto"/>
              </w:rPr>
            </w:pPr>
            <w:r>
              <w:rPr>
                <w:b/>
                <w:bCs/>
                <w:color w:val="auto"/>
              </w:rPr>
              <w:t>形态</w:t>
            </w:r>
          </w:p>
        </w:tc>
        <w:tc>
          <w:tcPr>
            <w:tcW w:w="401" w:type="pct"/>
            <w:tcBorders>
              <w:tl2br w:val="nil"/>
              <w:tr2bl w:val="nil"/>
            </w:tcBorders>
            <w:vAlign w:val="center"/>
          </w:tcPr>
          <w:p>
            <w:pPr>
              <w:pStyle w:val="182"/>
              <w:bidi w:val="0"/>
              <w:rPr>
                <w:b/>
                <w:bCs/>
                <w:color w:val="auto"/>
              </w:rPr>
            </w:pPr>
            <w:r>
              <w:rPr>
                <w:b/>
                <w:bCs/>
                <w:color w:val="auto"/>
              </w:rPr>
              <w:t>主要成分</w:t>
            </w:r>
          </w:p>
        </w:tc>
        <w:tc>
          <w:tcPr>
            <w:tcW w:w="358" w:type="pct"/>
            <w:tcBorders>
              <w:tl2br w:val="nil"/>
              <w:tr2bl w:val="nil"/>
            </w:tcBorders>
            <w:vAlign w:val="center"/>
          </w:tcPr>
          <w:p>
            <w:pPr>
              <w:pStyle w:val="182"/>
              <w:bidi w:val="0"/>
              <w:rPr>
                <w:b/>
                <w:bCs/>
                <w:color w:val="auto"/>
              </w:rPr>
            </w:pPr>
            <w:r>
              <w:rPr>
                <w:b/>
                <w:bCs/>
                <w:color w:val="auto"/>
              </w:rPr>
              <w:t>有害成分</w:t>
            </w:r>
          </w:p>
        </w:tc>
        <w:tc>
          <w:tcPr>
            <w:tcW w:w="238" w:type="pct"/>
            <w:tcBorders>
              <w:tl2br w:val="nil"/>
              <w:tr2bl w:val="nil"/>
            </w:tcBorders>
            <w:vAlign w:val="center"/>
          </w:tcPr>
          <w:p>
            <w:pPr>
              <w:pStyle w:val="182"/>
              <w:bidi w:val="0"/>
              <w:rPr>
                <w:b/>
                <w:bCs/>
                <w:color w:val="auto"/>
              </w:rPr>
            </w:pPr>
            <w:r>
              <w:rPr>
                <w:b/>
                <w:bCs/>
                <w:color w:val="auto"/>
              </w:rPr>
              <w:t>产废周期</w:t>
            </w:r>
          </w:p>
        </w:tc>
        <w:tc>
          <w:tcPr>
            <w:tcW w:w="248" w:type="pct"/>
            <w:tcBorders>
              <w:tl2br w:val="nil"/>
              <w:tr2bl w:val="nil"/>
            </w:tcBorders>
            <w:vAlign w:val="center"/>
          </w:tcPr>
          <w:p>
            <w:pPr>
              <w:pStyle w:val="182"/>
              <w:bidi w:val="0"/>
              <w:rPr>
                <w:b/>
                <w:bCs/>
                <w:color w:val="auto"/>
              </w:rPr>
            </w:pPr>
            <w:r>
              <w:rPr>
                <w:b/>
                <w:bCs/>
                <w:color w:val="auto"/>
              </w:rPr>
              <w:t>危险特性</w:t>
            </w:r>
          </w:p>
        </w:tc>
        <w:tc>
          <w:tcPr>
            <w:tcW w:w="823" w:type="pct"/>
            <w:tcBorders>
              <w:tl2br w:val="nil"/>
              <w:tr2bl w:val="nil"/>
            </w:tcBorders>
            <w:vAlign w:val="center"/>
          </w:tcPr>
          <w:p>
            <w:pPr>
              <w:pStyle w:val="182"/>
              <w:bidi w:val="0"/>
              <w:rPr>
                <w:b/>
                <w:bCs/>
                <w:color w:val="auto"/>
              </w:rPr>
            </w:pPr>
            <w:r>
              <w:rPr>
                <w:b/>
                <w:bCs/>
                <w:color w:val="auto"/>
              </w:rPr>
              <w:t>污染防治措施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49" w:hRule="atLeast"/>
          <w:jc w:val="center"/>
        </w:trPr>
        <w:tc>
          <w:tcPr>
            <w:tcW w:w="690" w:type="pct"/>
            <w:tcBorders>
              <w:tl2br w:val="nil"/>
              <w:tr2bl w:val="nil"/>
            </w:tcBorders>
            <w:vAlign w:val="center"/>
          </w:tcPr>
          <w:p>
            <w:pPr>
              <w:pStyle w:val="182"/>
              <w:bidi w:val="0"/>
              <w:rPr>
                <w:color w:val="auto"/>
              </w:rPr>
            </w:pPr>
            <w:r>
              <w:rPr>
                <w:color w:val="auto"/>
              </w:rPr>
              <w:t>精制系统DMAC回收装置</w:t>
            </w:r>
          </w:p>
        </w:tc>
        <w:tc>
          <w:tcPr>
            <w:tcW w:w="475" w:type="pct"/>
            <w:tcBorders>
              <w:tl2br w:val="nil"/>
              <w:tr2bl w:val="nil"/>
            </w:tcBorders>
            <w:vAlign w:val="center"/>
          </w:tcPr>
          <w:p>
            <w:pPr>
              <w:pStyle w:val="182"/>
              <w:bidi w:val="0"/>
              <w:rPr>
                <w:color w:val="auto"/>
              </w:rPr>
            </w:pPr>
            <w:r>
              <w:rPr>
                <w:color w:val="auto"/>
              </w:rPr>
              <w:t>蒸馏残渣</w:t>
            </w:r>
          </w:p>
        </w:tc>
        <w:tc>
          <w:tcPr>
            <w:tcW w:w="392" w:type="pct"/>
            <w:tcBorders>
              <w:tl2br w:val="nil"/>
              <w:tr2bl w:val="nil"/>
            </w:tcBorders>
            <w:vAlign w:val="center"/>
          </w:tcPr>
          <w:p>
            <w:pPr>
              <w:pStyle w:val="182"/>
              <w:bidi w:val="0"/>
              <w:rPr>
                <w:b/>
                <w:bCs/>
                <w:color w:val="auto"/>
              </w:rPr>
            </w:pPr>
            <w:r>
              <w:rPr>
                <w:b/>
                <w:bCs/>
                <w:color w:val="auto"/>
              </w:rPr>
              <w:t>HW11精</w:t>
            </w:r>
          </w:p>
          <w:p>
            <w:pPr>
              <w:pStyle w:val="182"/>
              <w:bidi w:val="0"/>
              <w:rPr>
                <w:b/>
                <w:bCs/>
                <w:color w:val="auto"/>
              </w:rPr>
            </w:pPr>
            <w:r>
              <w:rPr>
                <w:b/>
                <w:bCs/>
                <w:color w:val="auto"/>
              </w:rPr>
              <w:t>（蒸）馏残渣</w:t>
            </w:r>
          </w:p>
        </w:tc>
        <w:tc>
          <w:tcPr>
            <w:tcW w:w="375" w:type="pct"/>
            <w:tcBorders>
              <w:tl2br w:val="nil"/>
              <w:tr2bl w:val="nil"/>
            </w:tcBorders>
            <w:vAlign w:val="center"/>
          </w:tcPr>
          <w:p>
            <w:pPr>
              <w:pStyle w:val="182"/>
              <w:bidi w:val="0"/>
              <w:rPr>
                <w:rFonts w:hint="default" w:eastAsia="宋体"/>
                <w:color w:val="auto"/>
                <w:lang w:val="en-US" w:eastAsia="zh-CN"/>
              </w:rPr>
            </w:pPr>
            <w:r>
              <w:rPr>
                <w:color w:val="auto"/>
              </w:rPr>
              <w:t>900-</w:t>
            </w:r>
            <w:r>
              <w:rPr>
                <w:rFonts w:hint="eastAsia"/>
                <w:color w:val="auto"/>
                <w:lang w:val="en-US" w:eastAsia="zh-CN"/>
              </w:rPr>
              <w:t>404</w:t>
            </w:r>
            <w:r>
              <w:rPr>
                <w:color w:val="auto"/>
              </w:rPr>
              <w:t>-</w:t>
            </w:r>
            <w:r>
              <w:rPr>
                <w:rFonts w:hint="eastAsia"/>
                <w:color w:val="auto"/>
                <w:lang w:val="en-US" w:eastAsia="zh-CN"/>
              </w:rPr>
              <w:t>06</w:t>
            </w:r>
          </w:p>
        </w:tc>
        <w:tc>
          <w:tcPr>
            <w:tcW w:w="435" w:type="pct"/>
            <w:tcBorders>
              <w:tl2br w:val="nil"/>
              <w:tr2bl w:val="nil"/>
            </w:tcBorders>
            <w:vAlign w:val="center"/>
          </w:tcPr>
          <w:p>
            <w:pPr>
              <w:pStyle w:val="182"/>
              <w:bidi w:val="0"/>
              <w:rPr>
                <w:color w:val="auto"/>
              </w:rPr>
            </w:pPr>
            <w:r>
              <w:rPr>
                <w:color w:val="auto"/>
              </w:rPr>
              <w:t>1427.6</w:t>
            </w:r>
          </w:p>
        </w:tc>
        <w:tc>
          <w:tcPr>
            <w:tcW w:w="291" w:type="pct"/>
            <w:tcBorders>
              <w:tl2br w:val="nil"/>
              <w:tr2bl w:val="nil"/>
            </w:tcBorders>
            <w:vAlign w:val="center"/>
          </w:tcPr>
          <w:p>
            <w:pPr>
              <w:pStyle w:val="182"/>
              <w:bidi w:val="0"/>
              <w:rPr>
                <w:color w:val="auto"/>
              </w:rPr>
            </w:pPr>
            <w:r>
              <w:rPr>
                <w:color w:val="auto"/>
              </w:rPr>
              <w:t>危险废物</w:t>
            </w:r>
          </w:p>
        </w:tc>
        <w:tc>
          <w:tcPr>
            <w:tcW w:w="267" w:type="pct"/>
            <w:tcBorders>
              <w:tl2br w:val="nil"/>
              <w:tr2bl w:val="nil"/>
            </w:tcBorders>
            <w:vAlign w:val="center"/>
          </w:tcPr>
          <w:p>
            <w:pPr>
              <w:pStyle w:val="182"/>
              <w:bidi w:val="0"/>
              <w:rPr>
                <w:color w:val="auto"/>
              </w:rPr>
            </w:pPr>
            <w:r>
              <w:rPr>
                <w:color w:val="auto"/>
              </w:rPr>
              <w:t>液态</w:t>
            </w:r>
          </w:p>
        </w:tc>
        <w:tc>
          <w:tcPr>
            <w:tcW w:w="401" w:type="pct"/>
            <w:tcBorders>
              <w:tl2br w:val="nil"/>
              <w:tr2bl w:val="nil"/>
            </w:tcBorders>
            <w:vAlign w:val="center"/>
          </w:tcPr>
          <w:p>
            <w:pPr>
              <w:pStyle w:val="182"/>
              <w:bidi w:val="0"/>
              <w:rPr>
                <w:color w:val="auto"/>
              </w:rPr>
            </w:pPr>
            <w:r>
              <w:rPr>
                <w:color w:val="auto"/>
              </w:rPr>
              <w:t>DMAC等</w:t>
            </w:r>
          </w:p>
        </w:tc>
        <w:tc>
          <w:tcPr>
            <w:tcW w:w="358" w:type="pct"/>
            <w:tcBorders>
              <w:tl2br w:val="nil"/>
              <w:tr2bl w:val="nil"/>
            </w:tcBorders>
            <w:vAlign w:val="center"/>
          </w:tcPr>
          <w:p>
            <w:pPr>
              <w:pStyle w:val="182"/>
              <w:bidi w:val="0"/>
              <w:rPr>
                <w:color w:val="auto"/>
              </w:rPr>
            </w:pPr>
            <w:r>
              <w:rPr>
                <w:color w:val="auto"/>
              </w:rPr>
              <w:t>DMAC等</w:t>
            </w:r>
          </w:p>
        </w:tc>
        <w:tc>
          <w:tcPr>
            <w:tcW w:w="238" w:type="pct"/>
            <w:tcBorders>
              <w:tl2br w:val="nil"/>
              <w:tr2bl w:val="nil"/>
            </w:tcBorders>
            <w:vAlign w:val="center"/>
          </w:tcPr>
          <w:p>
            <w:pPr>
              <w:pStyle w:val="182"/>
              <w:bidi w:val="0"/>
              <w:rPr>
                <w:color w:val="auto"/>
              </w:rPr>
            </w:pPr>
            <w:r>
              <w:rPr>
                <w:color w:val="auto"/>
              </w:rPr>
              <w:t>1d</w:t>
            </w:r>
          </w:p>
        </w:tc>
        <w:tc>
          <w:tcPr>
            <w:tcW w:w="248" w:type="pct"/>
            <w:tcBorders>
              <w:tl2br w:val="nil"/>
              <w:tr2bl w:val="nil"/>
            </w:tcBorders>
            <w:vAlign w:val="center"/>
          </w:tcPr>
          <w:p>
            <w:pPr>
              <w:pStyle w:val="182"/>
              <w:bidi w:val="0"/>
              <w:rPr>
                <w:color w:val="auto"/>
              </w:rPr>
            </w:pPr>
            <w:r>
              <w:rPr>
                <w:color w:val="auto"/>
              </w:rPr>
              <w:t>T</w:t>
            </w:r>
          </w:p>
        </w:tc>
        <w:tc>
          <w:tcPr>
            <w:tcW w:w="823" w:type="pct"/>
            <w:tcBorders>
              <w:tl2br w:val="nil"/>
              <w:tr2bl w:val="nil"/>
            </w:tcBorders>
            <w:vAlign w:val="center"/>
          </w:tcPr>
          <w:p>
            <w:pPr>
              <w:pStyle w:val="182"/>
              <w:bidi w:val="0"/>
              <w:rPr>
                <w:b/>
                <w:bCs/>
                <w:color w:val="auto"/>
                <w:u w:val="single"/>
              </w:rPr>
            </w:pPr>
            <w:r>
              <w:rPr>
                <w:b/>
                <w:bCs/>
                <w:color w:val="auto"/>
                <w:u w:val="single"/>
              </w:rPr>
              <w:t>危废暂存间贮存，</w:t>
            </w:r>
            <w:r>
              <w:rPr>
                <w:rFonts w:hint="eastAsia"/>
                <w:b/>
                <w:bCs/>
                <w:color w:val="auto"/>
                <w:u w:val="single"/>
              </w:rPr>
              <w:t>定期交由安阳中丹环保科技有限公司处置，协议详见附件11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3" w:hRule="atLeast"/>
          <w:jc w:val="center"/>
        </w:trPr>
        <w:tc>
          <w:tcPr>
            <w:tcW w:w="690" w:type="pct"/>
            <w:tcBorders>
              <w:tl2br w:val="nil"/>
              <w:tr2bl w:val="nil"/>
            </w:tcBorders>
            <w:vAlign w:val="center"/>
          </w:tcPr>
          <w:p>
            <w:pPr>
              <w:pStyle w:val="182"/>
              <w:bidi w:val="0"/>
              <w:rPr>
                <w:color w:val="auto"/>
              </w:rPr>
            </w:pPr>
            <w:r>
              <w:rPr>
                <w:color w:val="auto"/>
              </w:rPr>
              <w:t>废气处理</w:t>
            </w:r>
          </w:p>
        </w:tc>
        <w:tc>
          <w:tcPr>
            <w:tcW w:w="475" w:type="pct"/>
            <w:tcBorders>
              <w:tl2br w:val="nil"/>
              <w:tr2bl w:val="nil"/>
            </w:tcBorders>
            <w:vAlign w:val="center"/>
          </w:tcPr>
          <w:p>
            <w:pPr>
              <w:pStyle w:val="182"/>
              <w:bidi w:val="0"/>
              <w:rPr>
                <w:color w:val="auto"/>
              </w:rPr>
            </w:pPr>
            <w:r>
              <w:rPr>
                <w:color w:val="auto"/>
              </w:rPr>
              <w:t>废活性炭</w:t>
            </w:r>
          </w:p>
        </w:tc>
        <w:tc>
          <w:tcPr>
            <w:tcW w:w="392" w:type="pct"/>
            <w:tcBorders>
              <w:tl2br w:val="nil"/>
              <w:tr2bl w:val="nil"/>
            </w:tcBorders>
            <w:vAlign w:val="center"/>
          </w:tcPr>
          <w:p>
            <w:pPr>
              <w:pStyle w:val="182"/>
              <w:bidi w:val="0"/>
              <w:rPr>
                <w:b/>
                <w:bCs/>
                <w:color w:val="auto"/>
              </w:rPr>
            </w:pPr>
            <w:r>
              <w:rPr>
                <w:b/>
                <w:bCs/>
                <w:color w:val="auto"/>
              </w:rPr>
              <w:t>HW49</w:t>
            </w:r>
          </w:p>
          <w:p>
            <w:pPr>
              <w:pStyle w:val="182"/>
              <w:bidi w:val="0"/>
              <w:rPr>
                <w:b/>
                <w:bCs/>
                <w:color w:val="auto"/>
              </w:rPr>
            </w:pPr>
            <w:r>
              <w:rPr>
                <w:b/>
                <w:bCs/>
                <w:color w:val="auto"/>
              </w:rPr>
              <w:t>其他废物</w:t>
            </w:r>
          </w:p>
        </w:tc>
        <w:tc>
          <w:tcPr>
            <w:tcW w:w="375" w:type="pct"/>
            <w:tcBorders>
              <w:tl2br w:val="nil"/>
              <w:tr2bl w:val="nil"/>
            </w:tcBorders>
            <w:vAlign w:val="center"/>
          </w:tcPr>
          <w:p>
            <w:pPr>
              <w:pStyle w:val="182"/>
              <w:bidi w:val="0"/>
              <w:rPr>
                <w:color w:val="auto"/>
              </w:rPr>
            </w:pPr>
            <w:r>
              <w:rPr>
                <w:color w:val="auto"/>
              </w:rPr>
              <w:t>900-041-49</w:t>
            </w:r>
          </w:p>
        </w:tc>
        <w:tc>
          <w:tcPr>
            <w:tcW w:w="435" w:type="pct"/>
            <w:tcBorders>
              <w:tl2br w:val="nil"/>
              <w:tr2bl w:val="nil"/>
            </w:tcBorders>
            <w:vAlign w:val="center"/>
          </w:tcPr>
          <w:p>
            <w:pPr>
              <w:pStyle w:val="182"/>
              <w:bidi w:val="0"/>
              <w:rPr>
                <w:color w:val="auto"/>
              </w:rPr>
            </w:pPr>
            <w:r>
              <w:rPr>
                <w:color w:val="auto"/>
              </w:rPr>
              <w:t>30</w:t>
            </w:r>
          </w:p>
        </w:tc>
        <w:tc>
          <w:tcPr>
            <w:tcW w:w="291" w:type="pct"/>
            <w:tcBorders>
              <w:tl2br w:val="nil"/>
              <w:tr2bl w:val="nil"/>
            </w:tcBorders>
            <w:vAlign w:val="center"/>
          </w:tcPr>
          <w:p>
            <w:pPr>
              <w:pStyle w:val="182"/>
              <w:bidi w:val="0"/>
              <w:rPr>
                <w:color w:val="auto"/>
              </w:rPr>
            </w:pPr>
            <w:r>
              <w:rPr>
                <w:color w:val="auto"/>
              </w:rPr>
              <w:t>危险废物</w:t>
            </w:r>
          </w:p>
        </w:tc>
        <w:tc>
          <w:tcPr>
            <w:tcW w:w="267" w:type="pct"/>
            <w:tcBorders>
              <w:tl2br w:val="nil"/>
              <w:tr2bl w:val="nil"/>
            </w:tcBorders>
            <w:vAlign w:val="center"/>
          </w:tcPr>
          <w:p>
            <w:pPr>
              <w:pStyle w:val="182"/>
              <w:bidi w:val="0"/>
              <w:rPr>
                <w:color w:val="auto"/>
              </w:rPr>
            </w:pPr>
            <w:r>
              <w:rPr>
                <w:color w:val="auto"/>
              </w:rPr>
              <w:t>固态</w:t>
            </w:r>
          </w:p>
        </w:tc>
        <w:tc>
          <w:tcPr>
            <w:tcW w:w="401" w:type="pct"/>
            <w:tcBorders>
              <w:tl2br w:val="nil"/>
              <w:tr2bl w:val="nil"/>
            </w:tcBorders>
            <w:vAlign w:val="center"/>
          </w:tcPr>
          <w:p>
            <w:pPr>
              <w:pStyle w:val="182"/>
              <w:bidi w:val="0"/>
              <w:rPr>
                <w:color w:val="auto"/>
              </w:rPr>
            </w:pPr>
            <w:r>
              <w:rPr>
                <w:color w:val="auto"/>
              </w:rPr>
              <w:t>活性炭、有机物等</w:t>
            </w:r>
          </w:p>
        </w:tc>
        <w:tc>
          <w:tcPr>
            <w:tcW w:w="358" w:type="pct"/>
            <w:tcBorders>
              <w:tl2br w:val="nil"/>
              <w:tr2bl w:val="nil"/>
            </w:tcBorders>
            <w:vAlign w:val="center"/>
          </w:tcPr>
          <w:p>
            <w:pPr>
              <w:pStyle w:val="182"/>
              <w:bidi w:val="0"/>
              <w:rPr>
                <w:color w:val="auto"/>
              </w:rPr>
            </w:pPr>
            <w:r>
              <w:rPr>
                <w:color w:val="auto"/>
              </w:rPr>
              <w:t>活性炭、有机物等</w:t>
            </w:r>
          </w:p>
        </w:tc>
        <w:tc>
          <w:tcPr>
            <w:tcW w:w="238" w:type="pct"/>
            <w:tcBorders>
              <w:tl2br w:val="nil"/>
              <w:tr2bl w:val="nil"/>
            </w:tcBorders>
            <w:vAlign w:val="center"/>
          </w:tcPr>
          <w:p>
            <w:pPr>
              <w:pStyle w:val="182"/>
              <w:bidi w:val="0"/>
              <w:rPr>
                <w:color w:val="auto"/>
              </w:rPr>
            </w:pPr>
            <w:r>
              <w:rPr>
                <w:color w:val="auto"/>
              </w:rPr>
              <w:t>1a</w:t>
            </w:r>
          </w:p>
        </w:tc>
        <w:tc>
          <w:tcPr>
            <w:tcW w:w="248" w:type="pct"/>
            <w:tcBorders>
              <w:tl2br w:val="nil"/>
              <w:tr2bl w:val="nil"/>
            </w:tcBorders>
            <w:vAlign w:val="center"/>
          </w:tcPr>
          <w:p>
            <w:pPr>
              <w:pStyle w:val="182"/>
              <w:bidi w:val="0"/>
              <w:rPr>
                <w:color w:val="auto"/>
              </w:rPr>
            </w:pPr>
            <w:r>
              <w:rPr>
                <w:color w:val="auto"/>
              </w:rPr>
              <w:t>T</w:t>
            </w:r>
          </w:p>
        </w:tc>
        <w:tc>
          <w:tcPr>
            <w:tcW w:w="823" w:type="pct"/>
            <w:tcBorders>
              <w:tl2br w:val="nil"/>
              <w:tr2bl w:val="nil"/>
            </w:tcBorders>
            <w:vAlign w:val="center"/>
          </w:tcPr>
          <w:p>
            <w:pPr>
              <w:pStyle w:val="182"/>
              <w:bidi w:val="0"/>
              <w:rPr>
                <w:b/>
                <w:bCs/>
                <w:color w:val="auto"/>
                <w:u w:val="single"/>
              </w:rPr>
            </w:pPr>
            <w:r>
              <w:rPr>
                <w:b/>
                <w:bCs/>
                <w:color w:val="auto"/>
                <w:u w:val="single"/>
              </w:rPr>
              <w:t>危废暂存间贮存，</w:t>
            </w:r>
            <w:r>
              <w:rPr>
                <w:rFonts w:hint="eastAsia"/>
                <w:b/>
                <w:bCs/>
                <w:color w:val="auto"/>
                <w:u w:val="single"/>
              </w:rPr>
              <w:t>定期交由安阳中丹环保科技有限公司处置，协议详见附件11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2" w:hRule="atLeast"/>
          <w:jc w:val="center"/>
        </w:trPr>
        <w:tc>
          <w:tcPr>
            <w:tcW w:w="690" w:type="pct"/>
            <w:tcBorders>
              <w:tl2br w:val="nil"/>
              <w:tr2bl w:val="nil"/>
            </w:tcBorders>
            <w:vAlign w:val="center"/>
          </w:tcPr>
          <w:p>
            <w:pPr>
              <w:pStyle w:val="182"/>
              <w:bidi w:val="0"/>
              <w:rPr>
                <w:color w:val="auto"/>
              </w:rPr>
            </w:pPr>
            <w:r>
              <w:rPr>
                <w:color w:val="auto"/>
              </w:rPr>
              <w:t>锅炉废气治理措施</w:t>
            </w:r>
          </w:p>
        </w:tc>
        <w:tc>
          <w:tcPr>
            <w:tcW w:w="475" w:type="pct"/>
            <w:tcBorders>
              <w:tl2br w:val="nil"/>
              <w:tr2bl w:val="nil"/>
            </w:tcBorders>
            <w:vAlign w:val="center"/>
          </w:tcPr>
          <w:p>
            <w:pPr>
              <w:pStyle w:val="182"/>
              <w:bidi w:val="0"/>
              <w:rPr>
                <w:color w:val="auto"/>
              </w:rPr>
            </w:pPr>
            <w:r>
              <w:rPr>
                <w:color w:val="auto"/>
              </w:rPr>
              <w:t>脱硝废催化剂</w:t>
            </w:r>
          </w:p>
        </w:tc>
        <w:tc>
          <w:tcPr>
            <w:tcW w:w="392" w:type="pct"/>
            <w:tcBorders>
              <w:tl2br w:val="nil"/>
              <w:tr2bl w:val="nil"/>
            </w:tcBorders>
            <w:vAlign w:val="center"/>
          </w:tcPr>
          <w:p>
            <w:pPr>
              <w:pStyle w:val="182"/>
              <w:bidi w:val="0"/>
              <w:rPr>
                <w:b/>
                <w:bCs/>
                <w:color w:val="auto"/>
              </w:rPr>
            </w:pPr>
            <w:r>
              <w:rPr>
                <w:b/>
                <w:bCs/>
                <w:color w:val="auto"/>
              </w:rPr>
              <w:t>HW50</w:t>
            </w:r>
          </w:p>
          <w:p>
            <w:pPr>
              <w:pStyle w:val="182"/>
              <w:bidi w:val="0"/>
              <w:rPr>
                <w:b/>
                <w:bCs/>
                <w:color w:val="auto"/>
              </w:rPr>
            </w:pPr>
            <w:r>
              <w:rPr>
                <w:b/>
                <w:bCs/>
                <w:color w:val="auto"/>
              </w:rPr>
              <w:t>废催化剂</w:t>
            </w:r>
          </w:p>
        </w:tc>
        <w:tc>
          <w:tcPr>
            <w:tcW w:w="375" w:type="pct"/>
            <w:tcBorders>
              <w:tl2br w:val="nil"/>
              <w:tr2bl w:val="nil"/>
            </w:tcBorders>
            <w:vAlign w:val="center"/>
          </w:tcPr>
          <w:p>
            <w:pPr>
              <w:pStyle w:val="182"/>
              <w:bidi w:val="0"/>
              <w:rPr>
                <w:color w:val="auto"/>
              </w:rPr>
            </w:pPr>
            <w:r>
              <w:rPr>
                <w:color w:val="auto"/>
              </w:rPr>
              <w:t>772-007-50</w:t>
            </w:r>
          </w:p>
        </w:tc>
        <w:tc>
          <w:tcPr>
            <w:tcW w:w="435" w:type="pct"/>
            <w:tcBorders>
              <w:tl2br w:val="nil"/>
              <w:tr2bl w:val="nil"/>
            </w:tcBorders>
            <w:vAlign w:val="center"/>
          </w:tcPr>
          <w:p>
            <w:pPr>
              <w:pStyle w:val="182"/>
              <w:bidi w:val="0"/>
              <w:rPr>
                <w:color w:val="auto"/>
              </w:rPr>
            </w:pPr>
            <w:r>
              <w:rPr>
                <w:color w:val="auto"/>
              </w:rPr>
              <w:t>20.16</w:t>
            </w:r>
          </w:p>
          <w:p>
            <w:pPr>
              <w:pStyle w:val="182"/>
              <w:bidi w:val="0"/>
              <w:rPr>
                <w:color w:val="auto"/>
              </w:rPr>
            </w:pPr>
            <w:r>
              <w:rPr>
                <w:color w:val="auto"/>
              </w:rPr>
              <w:t>每次</w:t>
            </w:r>
          </w:p>
        </w:tc>
        <w:tc>
          <w:tcPr>
            <w:tcW w:w="291" w:type="pct"/>
            <w:tcBorders>
              <w:tl2br w:val="nil"/>
              <w:tr2bl w:val="nil"/>
            </w:tcBorders>
            <w:vAlign w:val="center"/>
          </w:tcPr>
          <w:p>
            <w:pPr>
              <w:pStyle w:val="182"/>
              <w:bidi w:val="0"/>
              <w:rPr>
                <w:color w:val="auto"/>
              </w:rPr>
            </w:pPr>
            <w:r>
              <w:rPr>
                <w:color w:val="auto"/>
              </w:rPr>
              <w:t>危险废物</w:t>
            </w:r>
          </w:p>
        </w:tc>
        <w:tc>
          <w:tcPr>
            <w:tcW w:w="267" w:type="pct"/>
            <w:tcBorders>
              <w:tl2br w:val="nil"/>
              <w:tr2bl w:val="nil"/>
            </w:tcBorders>
            <w:vAlign w:val="center"/>
          </w:tcPr>
          <w:p>
            <w:pPr>
              <w:pStyle w:val="182"/>
              <w:bidi w:val="0"/>
              <w:rPr>
                <w:color w:val="auto"/>
              </w:rPr>
            </w:pPr>
            <w:r>
              <w:rPr>
                <w:color w:val="auto"/>
              </w:rPr>
              <w:t>固态</w:t>
            </w:r>
          </w:p>
        </w:tc>
        <w:tc>
          <w:tcPr>
            <w:tcW w:w="401" w:type="pct"/>
            <w:tcBorders>
              <w:tl2br w:val="nil"/>
              <w:tr2bl w:val="nil"/>
            </w:tcBorders>
            <w:vAlign w:val="center"/>
          </w:tcPr>
          <w:p>
            <w:pPr>
              <w:pStyle w:val="182"/>
              <w:bidi w:val="0"/>
              <w:rPr>
                <w:color w:val="auto"/>
              </w:rPr>
            </w:pPr>
            <w:r>
              <w:rPr>
                <w:color w:val="auto"/>
              </w:rPr>
              <w:t>废钒钛系催化剂</w:t>
            </w:r>
          </w:p>
        </w:tc>
        <w:tc>
          <w:tcPr>
            <w:tcW w:w="358" w:type="pct"/>
            <w:tcBorders>
              <w:tl2br w:val="nil"/>
              <w:tr2bl w:val="nil"/>
            </w:tcBorders>
            <w:vAlign w:val="center"/>
          </w:tcPr>
          <w:p>
            <w:pPr>
              <w:pStyle w:val="182"/>
              <w:bidi w:val="0"/>
              <w:rPr>
                <w:color w:val="auto"/>
              </w:rPr>
            </w:pPr>
            <w:r>
              <w:rPr>
                <w:color w:val="auto"/>
              </w:rPr>
              <w:t>废钒钛系催化剂</w:t>
            </w:r>
          </w:p>
        </w:tc>
        <w:tc>
          <w:tcPr>
            <w:tcW w:w="238" w:type="pct"/>
            <w:tcBorders>
              <w:tl2br w:val="nil"/>
              <w:tr2bl w:val="nil"/>
            </w:tcBorders>
            <w:vAlign w:val="center"/>
          </w:tcPr>
          <w:p>
            <w:pPr>
              <w:pStyle w:val="182"/>
              <w:bidi w:val="0"/>
              <w:rPr>
                <w:color w:val="auto"/>
              </w:rPr>
            </w:pPr>
            <w:r>
              <w:rPr>
                <w:color w:val="auto"/>
              </w:rPr>
              <w:t>2a</w:t>
            </w:r>
          </w:p>
        </w:tc>
        <w:tc>
          <w:tcPr>
            <w:tcW w:w="248" w:type="pct"/>
            <w:tcBorders>
              <w:tl2br w:val="nil"/>
              <w:tr2bl w:val="nil"/>
            </w:tcBorders>
            <w:vAlign w:val="center"/>
          </w:tcPr>
          <w:p>
            <w:pPr>
              <w:pStyle w:val="182"/>
              <w:bidi w:val="0"/>
              <w:rPr>
                <w:color w:val="auto"/>
              </w:rPr>
            </w:pPr>
            <w:r>
              <w:rPr>
                <w:color w:val="auto"/>
              </w:rPr>
              <w:t>T</w:t>
            </w:r>
          </w:p>
        </w:tc>
        <w:tc>
          <w:tcPr>
            <w:tcW w:w="823" w:type="pct"/>
            <w:tcBorders>
              <w:tl2br w:val="nil"/>
              <w:tr2bl w:val="nil"/>
            </w:tcBorders>
            <w:vAlign w:val="center"/>
          </w:tcPr>
          <w:p>
            <w:pPr>
              <w:pStyle w:val="182"/>
              <w:bidi w:val="0"/>
              <w:rPr>
                <w:rFonts w:hint="default" w:eastAsia="宋体"/>
                <w:b/>
                <w:bCs/>
                <w:color w:val="auto"/>
                <w:u w:val="single"/>
                <w:lang w:val="en-US" w:eastAsia="zh-CN"/>
              </w:rPr>
            </w:pPr>
            <w:r>
              <w:rPr>
                <w:b/>
                <w:bCs/>
                <w:color w:val="auto"/>
                <w:u w:val="single"/>
              </w:rPr>
              <w:t>危废暂存间贮存，定期交由</w:t>
            </w:r>
            <w:r>
              <w:rPr>
                <w:rFonts w:hint="eastAsia"/>
                <w:b/>
                <w:bCs/>
                <w:color w:val="auto"/>
                <w:u w:val="single"/>
                <w:lang w:val="en-US" w:eastAsia="zh-CN"/>
              </w:rPr>
              <w:t>河南省格林沃特环保科技有限公司</w:t>
            </w:r>
            <w:r>
              <w:rPr>
                <w:rFonts w:hint="eastAsia"/>
                <w:b/>
                <w:bCs/>
                <w:color w:val="auto"/>
                <w:u w:val="single"/>
              </w:rPr>
              <w:t>处置，协议详见附件11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8" w:hRule="atLeast"/>
          <w:jc w:val="center"/>
        </w:trPr>
        <w:tc>
          <w:tcPr>
            <w:tcW w:w="690" w:type="pct"/>
            <w:tcBorders>
              <w:tl2br w:val="nil"/>
              <w:tr2bl w:val="nil"/>
            </w:tcBorders>
            <w:vAlign w:val="center"/>
          </w:tcPr>
          <w:p>
            <w:pPr>
              <w:pStyle w:val="182"/>
              <w:bidi w:val="0"/>
              <w:rPr>
                <w:color w:val="auto"/>
              </w:rPr>
            </w:pPr>
            <w:r>
              <w:rPr>
                <w:color w:val="auto"/>
              </w:rPr>
              <w:t>污水处理</w:t>
            </w:r>
          </w:p>
        </w:tc>
        <w:tc>
          <w:tcPr>
            <w:tcW w:w="475" w:type="pct"/>
            <w:tcBorders>
              <w:tl2br w:val="nil"/>
              <w:tr2bl w:val="nil"/>
            </w:tcBorders>
            <w:vAlign w:val="center"/>
          </w:tcPr>
          <w:p>
            <w:pPr>
              <w:pStyle w:val="182"/>
              <w:bidi w:val="0"/>
              <w:rPr>
                <w:color w:val="auto"/>
              </w:rPr>
            </w:pPr>
            <w:r>
              <w:rPr>
                <w:color w:val="auto"/>
              </w:rPr>
              <w:t>污水站污泥</w:t>
            </w:r>
          </w:p>
        </w:tc>
        <w:tc>
          <w:tcPr>
            <w:tcW w:w="392" w:type="pct"/>
            <w:tcBorders>
              <w:tl2br w:val="nil"/>
              <w:tr2bl w:val="nil"/>
            </w:tcBorders>
            <w:vAlign w:val="center"/>
          </w:tcPr>
          <w:p>
            <w:pPr>
              <w:pStyle w:val="182"/>
              <w:bidi w:val="0"/>
              <w:rPr>
                <w:color w:val="auto"/>
              </w:rPr>
            </w:pPr>
            <w:r>
              <w:rPr>
                <w:color w:val="auto"/>
              </w:rPr>
              <w:t>/</w:t>
            </w:r>
          </w:p>
        </w:tc>
        <w:tc>
          <w:tcPr>
            <w:tcW w:w="375" w:type="pct"/>
            <w:tcBorders>
              <w:tl2br w:val="nil"/>
              <w:tr2bl w:val="nil"/>
            </w:tcBorders>
            <w:vAlign w:val="center"/>
          </w:tcPr>
          <w:p>
            <w:pPr>
              <w:pStyle w:val="182"/>
              <w:bidi w:val="0"/>
              <w:rPr>
                <w:color w:val="auto"/>
              </w:rPr>
            </w:pPr>
            <w:r>
              <w:rPr>
                <w:color w:val="auto"/>
              </w:rPr>
              <w:t>/</w:t>
            </w:r>
          </w:p>
        </w:tc>
        <w:tc>
          <w:tcPr>
            <w:tcW w:w="435" w:type="pct"/>
            <w:tcBorders>
              <w:tl2br w:val="nil"/>
              <w:tr2bl w:val="nil"/>
            </w:tcBorders>
            <w:vAlign w:val="center"/>
          </w:tcPr>
          <w:p>
            <w:pPr>
              <w:pStyle w:val="182"/>
              <w:bidi w:val="0"/>
              <w:rPr>
                <w:color w:val="auto"/>
              </w:rPr>
            </w:pPr>
            <w:r>
              <w:rPr>
                <w:color w:val="auto"/>
              </w:rPr>
              <w:t>4590</w:t>
            </w:r>
          </w:p>
        </w:tc>
        <w:tc>
          <w:tcPr>
            <w:tcW w:w="291" w:type="pct"/>
            <w:tcBorders>
              <w:tl2br w:val="nil"/>
              <w:tr2bl w:val="nil"/>
            </w:tcBorders>
            <w:vAlign w:val="center"/>
          </w:tcPr>
          <w:p>
            <w:pPr>
              <w:pStyle w:val="182"/>
              <w:bidi w:val="0"/>
              <w:rPr>
                <w:color w:val="auto"/>
              </w:rPr>
            </w:pPr>
            <w:r>
              <w:rPr>
                <w:color w:val="auto"/>
              </w:rPr>
              <w:t>一般固废</w:t>
            </w:r>
          </w:p>
        </w:tc>
        <w:tc>
          <w:tcPr>
            <w:tcW w:w="267" w:type="pct"/>
            <w:tcBorders>
              <w:tl2br w:val="nil"/>
              <w:tr2bl w:val="nil"/>
            </w:tcBorders>
            <w:vAlign w:val="center"/>
          </w:tcPr>
          <w:p>
            <w:pPr>
              <w:pStyle w:val="182"/>
              <w:bidi w:val="0"/>
              <w:rPr>
                <w:color w:val="auto"/>
              </w:rPr>
            </w:pPr>
            <w:r>
              <w:rPr>
                <w:color w:val="auto"/>
              </w:rPr>
              <w:t>固态</w:t>
            </w:r>
          </w:p>
        </w:tc>
        <w:tc>
          <w:tcPr>
            <w:tcW w:w="401" w:type="pct"/>
            <w:tcBorders>
              <w:tl2br w:val="nil"/>
              <w:tr2bl w:val="nil"/>
            </w:tcBorders>
            <w:vAlign w:val="center"/>
          </w:tcPr>
          <w:p>
            <w:pPr>
              <w:pStyle w:val="182"/>
              <w:bidi w:val="0"/>
              <w:rPr>
                <w:color w:val="auto"/>
              </w:rPr>
            </w:pPr>
            <w:r>
              <w:rPr>
                <w:color w:val="auto"/>
              </w:rPr>
              <w:t>污泥</w:t>
            </w:r>
          </w:p>
        </w:tc>
        <w:tc>
          <w:tcPr>
            <w:tcW w:w="358" w:type="pct"/>
            <w:tcBorders>
              <w:tl2br w:val="nil"/>
              <w:tr2bl w:val="nil"/>
            </w:tcBorders>
            <w:vAlign w:val="center"/>
          </w:tcPr>
          <w:p>
            <w:pPr>
              <w:pStyle w:val="182"/>
              <w:bidi w:val="0"/>
              <w:rPr>
                <w:color w:val="auto"/>
              </w:rPr>
            </w:pPr>
            <w:r>
              <w:rPr>
                <w:color w:val="auto"/>
              </w:rPr>
              <w:t>/</w:t>
            </w:r>
          </w:p>
        </w:tc>
        <w:tc>
          <w:tcPr>
            <w:tcW w:w="238" w:type="pct"/>
            <w:tcBorders>
              <w:tl2br w:val="nil"/>
              <w:tr2bl w:val="nil"/>
            </w:tcBorders>
            <w:vAlign w:val="center"/>
          </w:tcPr>
          <w:p>
            <w:pPr>
              <w:pStyle w:val="182"/>
              <w:bidi w:val="0"/>
              <w:rPr>
                <w:color w:val="auto"/>
              </w:rPr>
            </w:pPr>
            <w:r>
              <w:rPr>
                <w:color w:val="auto"/>
              </w:rPr>
              <w:t>7d</w:t>
            </w:r>
          </w:p>
        </w:tc>
        <w:tc>
          <w:tcPr>
            <w:tcW w:w="248" w:type="pct"/>
            <w:tcBorders>
              <w:tl2br w:val="nil"/>
              <w:tr2bl w:val="nil"/>
            </w:tcBorders>
            <w:vAlign w:val="center"/>
          </w:tcPr>
          <w:p>
            <w:pPr>
              <w:pStyle w:val="182"/>
              <w:bidi w:val="0"/>
              <w:rPr>
                <w:color w:val="auto"/>
              </w:rPr>
            </w:pPr>
            <w:r>
              <w:rPr>
                <w:color w:val="auto"/>
              </w:rPr>
              <w:t>/</w:t>
            </w:r>
          </w:p>
        </w:tc>
        <w:tc>
          <w:tcPr>
            <w:tcW w:w="823" w:type="pct"/>
            <w:tcBorders>
              <w:tl2br w:val="nil"/>
              <w:tr2bl w:val="nil"/>
            </w:tcBorders>
            <w:vAlign w:val="center"/>
          </w:tcPr>
          <w:p>
            <w:pPr>
              <w:pStyle w:val="182"/>
              <w:bidi w:val="0"/>
              <w:rPr>
                <w:rFonts w:hint="default" w:eastAsia="宋体"/>
                <w:b/>
                <w:bCs/>
                <w:color w:val="auto"/>
                <w:u w:val="single"/>
                <w:lang w:val="en-US" w:eastAsia="zh-CN"/>
              </w:rPr>
            </w:pPr>
            <w:r>
              <w:rPr>
                <w:b/>
                <w:bCs/>
                <w:color w:val="auto"/>
                <w:u w:val="single"/>
              </w:rPr>
              <w:t>一般固废暂存间暂存后，送垃圾填埋场</w:t>
            </w:r>
            <w:r>
              <w:rPr>
                <w:rFonts w:hint="eastAsia"/>
                <w:b/>
                <w:bCs/>
                <w:color w:val="auto"/>
                <w:u w:val="single"/>
                <w:lang w:eastAsia="zh-CN"/>
              </w:rPr>
              <w:t>，</w:t>
            </w:r>
            <w:r>
              <w:rPr>
                <w:rFonts w:hint="eastAsia"/>
                <w:b/>
                <w:bCs/>
                <w:color w:val="auto"/>
                <w:u w:val="single"/>
                <w:lang w:val="en-US" w:eastAsia="zh-CN"/>
              </w:rPr>
              <w:t>处置协议详见附件12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8" w:hRule="atLeast"/>
          <w:jc w:val="center"/>
        </w:trPr>
        <w:tc>
          <w:tcPr>
            <w:tcW w:w="690" w:type="pct"/>
            <w:tcBorders>
              <w:tl2br w:val="nil"/>
              <w:tr2bl w:val="nil"/>
            </w:tcBorders>
            <w:vAlign w:val="center"/>
          </w:tcPr>
          <w:p>
            <w:pPr>
              <w:pStyle w:val="182"/>
              <w:bidi w:val="0"/>
              <w:rPr>
                <w:color w:val="auto"/>
              </w:rPr>
            </w:pPr>
            <w:r>
              <w:rPr>
                <w:color w:val="auto"/>
              </w:rPr>
              <w:t>锅炉</w:t>
            </w:r>
          </w:p>
        </w:tc>
        <w:tc>
          <w:tcPr>
            <w:tcW w:w="475" w:type="pct"/>
            <w:tcBorders>
              <w:tl2br w:val="nil"/>
              <w:tr2bl w:val="nil"/>
            </w:tcBorders>
            <w:vAlign w:val="center"/>
          </w:tcPr>
          <w:p>
            <w:pPr>
              <w:pStyle w:val="182"/>
              <w:bidi w:val="0"/>
              <w:rPr>
                <w:color w:val="auto"/>
              </w:rPr>
            </w:pPr>
            <w:r>
              <w:rPr>
                <w:color w:val="auto"/>
              </w:rPr>
              <w:t>灰渣</w:t>
            </w:r>
          </w:p>
        </w:tc>
        <w:tc>
          <w:tcPr>
            <w:tcW w:w="392" w:type="pct"/>
            <w:tcBorders>
              <w:tl2br w:val="nil"/>
              <w:tr2bl w:val="nil"/>
            </w:tcBorders>
            <w:vAlign w:val="center"/>
          </w:tcPr>
          <w:p>
            <w:pPr>
              <w:pStyle w:val="182"/>
              <w:bidi w:val="0"/>
              <w:rPr>
                <w:color w:val="auto"/>
              </w:rPr>
            </w:pPr>
            <w:r>
              <w:rPr>
                <w:color w:val="auto"/>
              </w:rPr>
              <w:t>/</w:t>
            </w:r>
          </w:p>
        </w:tc>
        <w:tc>
          <w:tcPr>
            <w:tcW w:w="375" w:type="pct"/>
            <w:tcBorders>
              <w:tl2br w:val="nil"/>
              <w:tr2bl w:val="nil"/>
            </w:tcBorders>
            <w:vAlign w:val="center"/>
          </w:tcPr>
          <w:p>
            <w:pPr>
              <w:pStyle w:val="182"/>
              <w:bidi w:val="0"/>
              <w:rPr>
                <w:color w:val="auto"/>
              </w:rPr>
            </w:pPr>
            <w:r>
              <w:rPr>
                <w:color w:val="auto"/>
              </w:rPr>
              <w:t>/</w:t>
            </w:r>
          </w:p>
        </w:tc>
        <w:tc>
          <w:tcPr>
            <w:tcW w:w="435" w:type="pct"/>
            <w:tcBorders>
              <w:tl2br w:val="nil"/>
              <w:tr2bl w:val="nil"/>
            </w:tcBorders>
            <w:vAlign w:val="center"/>
          </w:tcPr>
          <w:p>
            <w:pPr>
              <w:pStyle w:val="182"/>
              <w:bidi w:val="0"/>
              <w:rPr>
                <w:color w:val="auto"/>
              </w:rPr>
            </w:pPr>
            <w:r>
              <w:rPr>
                <w:color w:val="auto"/>
              </w:rPr>
              <w:t>28890</w:t>
            </w:r>
          </w:p>
        </w:tc>
        <w:tc>
          <w:tcPr>
            <w:tcW w:w="291" w:type="pct"/>
            <w:tcBorders>
              <w:tl2br w:val="nil"/>
              <w:tr2bl w:val="nil"/>
            </w:tcBorders>
            <w:vAlign w:val="center"/>
          </w:tcPr>
          <w:p>
            <w:pPr>
              <w:pStyle w:val="182"/>
              <w:bidi w:val="0"/>
              <w:rPr>
                <w:color w:val="auto"/>
              </w:rPr>
            </w:pPr>
            <w:r>
              <w:rPr>
                <w:color w:val="auto"/>
              </w:rPr>
              <w:t>一般固废</w:t>
            </w:r>
          </w:p>
        </w:tc>
        <w:tc>
          <w:tcPr>
            <w:tcW w:w="267" w:type="pct"/>
            <w:tcBorders>
              <w:tl2br w:val="nil"/>
              <w:tr2bl w:val="nil"/>
            </w:tcBorders>
            <w:vAlign w:val="center"/>
          </w:tcPr>
          <w:p>
            <w:pPr>
              <w:pStyle w:val="182"/>
              <w:bidi w:val="0"/>
              <w:rPr>
                <w:color w:val="auto"/>
              </w:rPr>
            </w:pPr>
            <w:r>
              <w:rPr>
                <w:color w:val="auto"/>
              </w:rPr>
              <w:t>固态</w:t>
            </w:r>
          </w:p>
        </w:tc>
        <w:tc>
          <w:tcPr>
            <w:tcW w:w="401" w:type="pct"/>
            <w:tcBorders>
              <w:tl2br w:val="nil"/>
              <w:tr2bl w:val="nil"/>
            </w:tcBorders>
            <w:vAlign w:val="center"/>
          </w:tcPr>
          <w:p>
            <w:pPr>
              <w:pStyle w:val="182"/>
              <w:bidi w:val="0"/>
              <w:rPr>
                <w:color w:val="auto"/>
              </w:rPr>
            </w:pPr>
            <w:r>
              <w:rPr>
                <w:color w:val="auto"/>
              </w:rPr>
              <w:t>灰渣</w:t>
            </w:r>
          </w:p>
        </w:tc>
        <w:tc>
          <w:tcPr>
            <w:tcW w:w="358" w:type="pct"/>
            <w:tcBorders>
              <w:tl2br w:val="nil"/>
              <w:tr2bl w:val="nil"/>
            </w:tcBorders>
            <w:vAlign w:val="center"/>
          </w:tcPr>
          <w:p>
            <w:pPr>
              <w:pStyle w:val="182"/>
              <w:bidi w:val="0"/>
              <w:rPr>
                <w:color w:val="auto"/>
              </w:rPr>
            </w:pPr>
            <w:r>
              <w:rPr>
                <w:color w:val="auto"/>
              </w:rPr>
              <w:t>/</w:t>
            </w:r>
          </w:p>
        </w:tc>
        <w:tc>
          <w:tcPr>
            <w:tcW w:w="238" w:type="pct"/>
            <w:tcBorders>
              <w:tl2br w:val="nil"/>
              <w:tr2bl w:val="nil"/>
            </w:tcBorders>
            <w:vAlign w:val="center"/>
          </w:tcPr>
          <w:p>
            <w:pPr>
              <w:pStyle w:val="182"/>
              <w:bidi w:val="0"/>
              <w:rPr>
                <w:color w:val="auto"/>
              </w:rPr>
            </w:pPr>
            <w:r>
              <w:rPr>
                <w:color w:val="auto"/>
              </w:rPr>
              <w:t>1d</w:t>
            </w:r>
          </w:p>
        </w:tc>
        <w:tc>
          <w:tcPr>
            <w:tcW w:w="248" w:type="pct"/>
            <w:tcBorders>
              <w:tl2br w:val="nil"/>
              <w:tr2bl w:val="nil"/>
            </w:tcBorders>
            <w:vAlign w:val="center"/>
          </w:tcPr>
          <w:p>
            <w:pPr>
              <w:pStyle w:val="182"/>
              <w:bidi w:val="0"/>
              <w:rPr>
                <w:color w:val="auto"/>
              </w:rPr>
            </w:pPr>
            <w:r>
              <w:rPr>
                <w:color w:val="auto"/>
              </w:rPr>
              <w:t>/</w:t>
            </w:r>
          </w:p>
        </w:tc>
        <w:tc>
          <w:tcPr>
            <w:tcW w:w="823" w:type="pct"/>
            <w:tcBorders>
              <w:tl2br w:val="nil"/>
              <w:tr2bl w:val="nil"/>
            </w:tcBorders>
            <w:vAlign w:val="center"/>
          </w:tcPr>
          <w:p>
            <w:pPr>
              <w:pStyle w:val="182"/>
              <w:bidi w:val="0"/>
              <w:rPr>
                <w:color w:val="auto"/>
              </w:rPr>
            </w:pPr>
            <w:r>
              <w:rPr>
                <w:color w:val="auto"/>
              </w:rPr>
              <w:t>作为建材出售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0" w:hRule="atLeast"/>
          <w:jc w:val="center"/>
        </w:trPr>
        <w:tc>
          <w:tcPr>
            <w:tcW w:w="690" w:type="pct"/>
            <w:tcBorders>
              <w:tl2br w:val="nil"/>
              <w:tr2bl w:val="nil"/>
            </w:tcBorders>
            <w:vAlign w:val="center"/>
          </w:tcPr>
          <w:p>
            <w:pPr>
              <w:pStyle w:val="182"/>
              <w:bidi w:val="0"/>
              <w:rPr>
                <w:color w:val="auto"/>
              </w:rPr>
            </w:pPr>
            <w:r>
              <w:rPr>
                <w:color w:val="auto"/>
              </w:rPr>
              <w:t>制氮系统</w:t>
            </w:r>
          </w:p>
        </w:tc>
        <w:tc>
          <w:tcPr>
            <w:tcW w:w="475" w:type="pct"/>
            <w:tcBorders>
              <w:tl2br w:val="nil"/>
              <w:tr2bl w:val="nil"/>
            </w:tcBorders>
            <w:vAlign w:val="center"/>
          </w:tcPr>
          <w:p>
            <w:pPr>
              <w:pStyle w:val="182"/>
              <w:bidi w:val="0"/>
              <w:rPr>
                <w:color w:val="auto"/>
              </w:rPr>
            </w:pPr>
            <w:r>
              <w:rPr>
                <w:color w:val="auto"/>
              </w:rPr>
              <w:t>废分子筛</w:t>
            </w:r>
          </w:p>
        </w:tc>
        <w:tc>
          <w:tcPr>
            <w:tcW w:w="392" w:type="pct"/>
            <w:tcBorders>
              <w:tl2br w:val="nil"/>
              <w:tr2bl w:val="nil"/>
            </w:tcBorders>
            <w:vAlign w:val="center"/>
          </w:tcPr>
          <w:p>
            <w:pPr>
              <w:pStyle w:val="182"/>
              <w:bidi w:val="0"/>
              <w:rPr>
                <w:color w:val="auto"/>
              </w:rPr>
            </w:pPr>
            <w:r>
              <w:rPr>
                <w:color w:val="auto"/>
              </w:rPr>
              <w:t>/</w:t>
            </w:r>
          </w:p>
        </w:tc>
        <w:tc>
          <w:tcPr>
            <w:tcW w:w="375" w:type="pct"/>
            <w:tcBorders>
              <w:tl2br w:val="nil"/>
              <w:tr2bl w:val="nil"/>
            </w:tcBorders>
            <w:vAlign w:val="center"/>
          </w:tcPr>
          <w:p>
            <w:pPr>
              <w:pStyle w:val="182"/>
              <w:bidi w:val="0"/>
              <w:rPr>
                <w:color w:val="auto"/>
              </w:rPr>
            </w:pPr>
            <w:r>
              <w:rPr>
                <w:color w:val="auto"/>
              </w:rPr>
              <w:t>/</w:t>
            </w:r>
          </w:p>
        </w:tc>
        <w:tc>
          <w:tcPr>
            <w:tcW w:w="435" w:type="pct"/>
            <w:tcBorders>
              <w:tl2br w:val="nil"/>
              <w:tr2bl w:val="nil"/>
            </w:tcBorders>
            <w:vAlign w:val="center"/>
          </w:tcPr>
          <w:p>
            <w:pPr>
              <w:pStyle w:val="182"/>
              <w:bidi w:val="0"/>
              <w:rPr>
                <w:color w:val="auto"/>
              </w:rPr>
            </w:pPr>
            <w:r>
              <w:rPr>
                <w:color w:val="auto"/>
              </w:rPr>
              <w:t>2t每次约5年更换一次</w:t>
            </w:r>
          </w:p>
        </w:tc>
        <w:tc>
          <w:tcPr>
            <w:tcW w:w="291" w:type="pct"/>
            <w:tcBorders>
              <w:tl2br w:val="nil"/>
              <w:tr2bl w:val="nil"/>
            </w:tcBorders>
            <w:vAlign w:val="center"/>
          </w:tcPr>
          <w:p>
            <w:pPr>
              <w:pStyle w:val="182"/>
              <w:bidi w:val="0"/>
              <w:rPr>
                <w:color w:val="auto"/>
              </w:rPr>
            </w:pPr>
            <w:r>
              <w:rPr>
                <w:color w:val="auto"/>
              </w:rPr>
              <w:t>一般固废</w:t>
            </w:r>
          </w:p>
        </w:tc>
        <w:tc>
          <w:tcPr>
            <w:tcW w:w="267" w:type="pct"/>
            <w:tcBorders>
              <w:tl2br w:val="nil"/>
              <w:tr2bl w:val="nil"/>
            </w:tcBorders>
            <w:vAlign w:val="center"/>
          </w:tcPr>
          <w:p>
            <w:pPr>
              <w:pStyle w:val="182"/>
              <w:bidi w:val="0"/>
              <w:rPr>
                <w:color w:val="auto"/>
              </w:rPr>
            </w:pPr>
            <w:r>
              <w:rPr>
                <w:color w:val="auto"/>
              </w:rPr>
              <w:t>固态</w:t>
            </w:r>
          </w:p>
        </w:tc>
        <w:tc>
          <w:tcPr>
            <w:tcW w:w="401" w:type="pct"/>
            <w:tcBorders>
              <w:tl2br w:val="nil"/>
              <w:tr2bl w:val="nil"/>
            </w:tcBorders>
            <w:vAlign w:val="center"/>
          </w:tcPr>
          <w:p>
            <w:pPr>
              <w:pStyle w:val="182"/>
              <w:bidi w:val="0"/>
              <w:rPr>
                <w:color w:val="auto"/>
              </w:rPr>
            </w:pPr>
            <w:r>
              <w:rPr>
                <w:color w:val="auto"/>
              </w:rPr>
              <w:t>/</w:t>
            </w:r>
          </w:p>
        </w:tc>
        <w:tc>
          <w:tcPr>
            <w:tcW w:w="358" w:type="pct"/>
            <w:tcBorders>
              <w:tl2br w:val="nil"/>
              <w:tr2bl w:val="nil"/>
            </w:tcBorders>
            <w:vAlign w:val="center"/>
          </w:tcPr>
          <w:p>
            <w:pPr>
              <w:pStyle w:val="182"/>
              <w:bidi w:val="0"/>
              <w:rPr>
                <w:color w:val="auto"/>
              </w:rPr>
            </w:pPr>
            <w:r>
              <w:rPr>
                <w:color w:val="auto"/>
              </w:rPr>
              <w:t>/</w:t>
            </w:r>
          </w:p>
        </w:tc>
        <w:tc>
          <w:tcPr>
            <w:tcW w:w="238" w:type="pct"/>
            <w:tcBorders>
              <w:tl2br w:val="nil"/>
              <w:tr2bl w:val="nil"/>
            </w:tcBorders>
            <w:vAlign w:val="center"/>
          </w:tcPr>
          <w:p>
            <w:pPr>
              <w:pStyle w:val="182"/>
              <w:bidi w:val="0"/>
              <w:rPr>
                <w:color w:val="auto"/>
              </w:rPr>
            </w:pPr>
            <w:r>
              <w:rPr>
                <w:color w:val="auto"/>
              </w:rPr>
              <w:t>/</w:t>
            </w:r>
          </w:p>
        </w:tc>
        <w:tc>
          <w:tcPr>
            <w:tcW w:w="248" w:type="pct"/>
            <w:tcBorders>
              <w:tl2br w:val="nil"/>
              <w:tr2bl w:val="nil"/>
            </w:tcBorders>
            <w:vAlign w:val="center"/>
          </w:tcPr>
          <w:p>
            <w:pPr>
              <w:pStyle w:val="182"/>
              <w:bidi w:val="0"/>
              <w:rPr>
                <w:color w:val="auto"/>
              </w:rPr>
            </w:pPr>
            <w:r>
              <w:rPr>
                <w:color w:val="auto"/>
              </w:rPr>
              <w:t>/</w:t>
            </w:r>
          </w:p>
        </w:tc>
        <w:tc>
          <w:tcPr>
            <w:tcW w:w="823" w:type="pct"/>
            <w:tcBorders>
              <w:tl2br w:val="nil"/>
              <w:tr2bl w:val="nil"/>
            </w:tcBorders>
            <w:vAlign w:val="center"/>
          </w:tcPr>
          <w:p>
            <w:pPr>
              <w:pStyle w:val="182"/>
              <w:bidi w:val="0"/>
              <w:rPr>
                <w:color w:val="auto"/>
              </w:rPr>
            </w:pPr>
            <w:r>
              <w:rPr>
                <w:color w:val="auto"/>
              </w:rPr>
              <w:t>由生产厂家回收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7" w:hRule="atLeast"/>
          <w:jc w:val="center"/>
        </w:trPr>
        <w:tc>
          <w:tcPr>
            <w:tcW w:w="690" w:type="pct"/>
            <w:tcBorders>
              <w:tl2br w:val="nil"/>
              <w:tr2bl w:val="nil"/>
            </w:tcBorders>
            <w:vAlign w:val="center"/>
          </w:tcPr>
          <w:p>
            <w:pPr>
              <w:pStyle w:val="182"/>
              <w:bidi w:val="0"/>
              <w:rPr>
                <w:color w:val="auto"/>
              </w:rPr>
            </w:pPr>
            <w:r>
              <w:rPr>
                <w:color w:val="auto"/>
              </w:rPr>
              <w:t>长丝生产</w:t>
            </w:r>
          </w:p>
        </w:tc>
        <w:tc>
          <w:tcPr>
            <w:tcW w:w="475" w:type="pct"/>
            <w:tcBorders>
              <w:tl2br w:val="nil"/>
              <w:tr2bl w:val="nil"/>
            </w:tcBorders>
            <w:vAlign w:val="center"/>
          </w:tcPr>
          <w:p>
            <w:pPr>
              <w:pStyle w:val="182"/>
              <w:bidi w:val="0"/>
              <w:rPr>
                <w:color w:val="auto"/>
              </w:rPr>
            </w:pPr>
            <w:r>
              <w:rPr>
                <w:color w:val="auto"/>
              </w:rPr>
              <w:t>废丝</w:t>
            </w:r>
          </w:p>
        </w:tc>
        <w:tc>
          <w:tcPr>
            <w:tcW w:w="392" w:type="pct"/>
            <w:tcBorders>
              <w:tl2br w:val="nil"/>
              <w:tr2bl w:val="nil"/>
            </w:tcBorders>
            <w:vAlign w:val="center"/>
          </w:tcPr>
          <w:p>
            <w:pPr>
              <w:pStyle w:val="182"/>
              <w:bidi w:val="0"/>
              <w:rPr>
                <w:color w:val="auto"/>
              </w:rPr>
            </w:pPr>
            <w:r>
              <w:rPr>
                <w:color w:val="auto"/>
              </w:rPr>
              <w:t>/</w:t>
            </w:r>
          </w:p>
        </w:tc>
        <w:tc>
          <w:tcPr>
            <w:tcW w:w="375" w:type="pct"/>
            <w:tcBorders>
              <w:tl2br w:val="nil"/>
              <w:tr2bl w:val="nil"/>
            </w:tcBorders>
            <w:vAlign w:val="center"/>
          </w:tcPr>
          <w:p>
            <w:pPr>
              <w:pStyle w:val="182"/>
              <w:bidi w:val="0"/>
              <w:rPr>
                <w:color w:val="auto"/>
              </w:rPr>
            </w:pPr>
            <w:r>
              <w:rPr>
                <w:color w:val="auto"/>
              </w:rPr>
              <w:t>/</w:t>
            </w:r>
          </w:p>
        </w:tc>
        <w:tc>
          <w:tcPr>
            <w:tcW w:w="435" w:type="pct"/>
            <w:tcBorders>
              <w:tl2br w:val="nil"/>
              <w:tr2bl w:val="nil"/>
            </w:tcBorders>
            <w:vAlign w:val="center"/>
          </w:tcPr>
          <w:p>
            <w:pPr>
              <w:pStyle w:val="182"/>
              <w:bidi w:val="0"/>
              <w:rPr>
                <w:color w:val="auto"/>
              </w:rPr>
            </w:pPr>
            <w:r>
              <w:rPr>
                <w:color w:val="auto"/>
              </w:rPr>
              <w:t>970</w:t>
            </w:r>
          </w:p>
        </w:tc>
        <w:tc>
          <w:tcPr>
            <w:tcW w:w="291" w:type="pct"/>
            <w:tcBorders>
              <w:tl2br w:val="nil"/>
              <w:tr2bl w:val="nil"/>
            </w:tcBorders>
            <w:vAlign w:val="center"/>
          </w:tcPr>
          <w:p>
            <w:pPr>
              <w:pStyle w:val="182"/>
              <w:bidi w:val="0"/>
              <w:rPr>
                <w:color w:val="auto"/>
              </w:rPr>
            </w:pPr>
            <w:r>
              <w:rPr>
                <w:color w:val="auto"/>
              </w:rPr>
              <w:t>一般固废</w:t>
            </w:r>
          </w:p>
        </w:tc>
        <w:tc>
          <w:tcPr>
            <w:tcW w:w="267" w:type="pct"/>
            <w:tcBorders>
              <w:tl2br w:val="nil"/>
              <w:tr2bl w:val="nil"/>
            </w:tcBorders>
            <w:vAlign w:val="center"/>
          </w:tcPr>
          <w:p>
            <w:pPr>
              <w:pStyle w:val="182"/>
              <w:bidi w:val="0"/>
              <w:rPr>
                <w:color w:val="auto"/>
              </w:rPr>
            </w:pPr>
            <w:r>
              <w:rPr>
                <w:color w:val="auto"/>
              </w:rPr>
              <w:t>固态</w:t>
            </w:r>
          </w:p>
        </w:tc>
        <w:tc>
          <w:tcPr>
            <w:tcW w:w="401" w:type="pct"/>
            <w:tcBorders>
              <w:tl2br w:val="nil"/>
              <w:tr2bl w:val="nil"/>
            </w:tcBorders>
            <w:vAlign w:val="center"/>
          </w:tcPr>
          <w:p>
            <w:pPr>
              <w:pStyle w:val="182"/>
              <w:bidi w:val="0"/>
              <w:rPr>
                <w:color w:val="auto"/>
              </w:rPr>
            </w:pPr>
            <w:r>
              <w:rPr>
                <w:color w:val="auto"/>
              </w:rPr>
              <w:t>/</w:t>
            </w:r>
          </w:p>
        </w:tc>
        <w:tc>
          <w:tcPr>
            <w:tcW w:w="358" w:type="pct"/>
            <w:tcBorders>
              <w:tl2br w:val="nil"/>
              <w:tr2bl w:val="nil"/>
            </w:tcBorders>
            <w:vAlign w:val="center"/>
          </w:tcPr>
          <w:p>
            <w:pPr>
              <w:pStyle w:val="182"/>
              <w:bidi w:val="0"/>
              <w:rPr>
                <w:color w:val="auto"/>
              </w:rPr>
            </w:pPr>
            <w:r>
              <w:rPr>
                <w:color w:val="auto"/>
              </w:rPr>
              <w:t>/</w:t>
            </w:r>
          </w:p>
        </w:tc>
        <w:tc>
          <w:tcPr>
            <w:tcW w:w="238" w:type="pct"/>
            <w:tcBorders>
              <w:tl2br w:val="nil"/>
              <w:tr2bl w:val="nil"/>
            </w:tcBorders>
            <w:vAlign w:val="center"/>
          </w:tcPr>
          <w:p>
            <w:pPr>
              <w:pStyle w:val="182"/>
              <w:bidi w:val="0"/>
              <w:rPr>
                <w:color w:val="auto"/>
              </w:rPr>
            </w:pPr>
            <w:r>
              <w:rPr>
                <w:color w:val="auto"/>
              </w:rPr>
              <w:t>/</w:t>
            </w:r>
          </w:p>
        </w:tc>
        <w:tc>
          <w:tcPr>
            <w:tcW w:w="248" w:type="pct"/>
            <w:tcBorders>
              <w:tl2br w:val="nil"/>
              <w:tr2bl w:val="nil"/>
            </w:tcBorders>
            <w:vAlign w:val="center"/>
          </w:tcPr>
          <w:p>
            <w:pPr>
              <w:pStyle w:val="182"/>
              <w:bidi w:val="0"/>
              <w:rPr>
                <w:color w:val="auto"/>
              </w:rPr>
            </w:pPr>
            <w:r>
              <w:rPr>
                <w:color w:val="auto"/>
              </w:rPr>
              <w:t>/</w:t>
            </w:r>
          </w:p>
        </w:tc>
        <w:tc>
          <w:tcPr>
            <w:tcW w:w="823" w:type="pct"/>
            <w:tcBorders>
              <w:tl2br w:val="nil"/>
              <w:tr2bl w:val="nil"/>
            </w:tcBorders>
            <w:vAlign w:val="center"/>
          </w:tcPr>
          <w:p>
            <w:pPr>
              <w:pStyle w:val="182"/>
              <w:bidi w:val="0"/>
              <w:rPr>
                <w:color w:val="auto"/>
              </w:rPr>
            </w:pPr>
            <w:r>
              <w:rPr>
                <w:color w:val="auto"/>
              </w:rPr>
              <w:t>直接出售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2" w:hRule="atLeast"/>
          <w:jc w:val="center"/>
        </w:trPr>
        <w:tc>
          <w:tcPr>
            <w:tcW w:w="690" w:type="pct"/>
            <w:tcBorders>
              <w:tl2br w:val="nil"/>
              <w:tr2bl w:val="nil"/>
            </w:tcBorders>
            <w:vAlign w:val="center"/>
          </w:tcPr>
          <w:p>
            <w:pPr>
              <w:pStyle w:val="182"/>
              <w:bidi w:val="0"/>
              <w:rPr>
                <w:color w:val="auto"/>
              </w:rPr>
            </w:pPr>
            <w:r>
              <w:rPr>
                <w:color w:val="auto"/>
              </w:rPr>
              <w:t>氨纶生产</w:t>
            </w:r>
          </w:p>
        </w:tc>
        <w:tc>
          <w:tcPr>
            <w:tcW w:w="475" w:type="pct"/>
            <w:tcBorders>
              <w:tl2br w:val="nil"/>
              <w:tr2bl w:val="nil"/>
            </w:tcBorders>
            <w:vAlign w:val="center"/>
          </w:tcPr>
          <w:p>
            <w:pPr>
              <w:pStyle w:val="182"/>
              <w:bidi w:val="0"/>
              <w:rPr>
                <w:color w:val="auto"/>
              </w:rPr>
            </w:pPr>
            <w:r>
              <w:rPr>
                <w:color w:val="auto"/>
              </w:rPr>
              <w:t>废丝</w:t>
            </w:r>
          </w:p>
        </w:tc>
        <w:tc>
          <w:tcPr>
            <w:tcW w:w="392" w:type="pct"/>
            <w:tcBorders>
              <w:tl2br w:val="nil"/>
              <w:tr2bl w:val="nil"/>
            </w:tcBorders>
            <w:vAlign w:val="center"/>
          </w:tcPr>
          <w:p>
            <w:pPr>
              <w:pStyle w:val="182"/>
              <w:bidi w:val="0"/>
              <w:rPr>
                <w:color w:val="auto"/>
              </w:rPr>
            </w:pPr>
            <w:r>
              <w:rPr>
                <w:color w:val="auto"/>
              </w:rPr>
              <w:t>/</w:t>
            </w:r>
          </w:p>
        </w:tc>
        <w:tc>
          <w:tcPr>
            <w:tcW w:w="375" w:type="pct"/>
            <w:tcBorders>
              <w:tl2br w:val="nil"/>
              <w:tr2bl w:val="nil"/>
            </w:tcBorders>
            <w:vAlign w:val="center"/>
          </w:tcPr>
          <w:p>
            <w:pPr>
              <w:pStyle w:val="182"/>
              <w:bidi w:val="0"/>
              <w:rPr>
                <w:color w:val="auto"/>
              </w:rPr>
            </w:pPr>
            <w:r>
              <w:rPr>
                <w:color w:val="auto"/>
              </w:rPr>
              <w:t>/</w:t>
            </w:r>
          </w:p>
        </w:tc>
        <w:tc>
          <w:tcPr>
            <w:tcW w:w="435" w:type="pct"/>
            <w:tcBorders>
              <w:tl2br w:val="nil"/>
              <w:tr2bl w:val="nil"/>
            </w:tcBorders>
            <w:vAlign w:val="center"/>
          </w:tcPr>
          <w:p>
            <w:pPr>
              <w:pStyle w:val="182"/>
              <w:bidi w:val="0"/>
              <w:rPr>
                <w:color w:val="auto"/>
              </w:rPr>
            </w:pPr>
            <w:r>
              <w:rPr>
                <w:color w:val="auto"/>
              </w:rPr>
              <w:t>800</w:t>
            </w:r>
          </w:p>
        </w:tc>
        <w:tc>
          <w:tcPr>
            <w:tcW w:w="291" w:type="pct"/>
            <w:tcBorders>
              <w:tl2br w:val="nil"/>
              <w:tr2bl w:val="nil"/>
            </w:tcBorders>
            <w:vAlign w:val="center"/>
          </w:tcPr>
          <w:p>
            <w:pPr>
              <w:pStyle w:val="182"/>
              <w:bidi w:val="0"/>
              <w:rPr>
                <w:color w:val="auto"/>
              </w:rPr>
            </w:pPr>
            <w:r>
              <w:rPr>
                <w:color w:val="auto"/>
              </w:rPr>
              <w:t>一般固废</w:t>
            </w:r>
          </w:p>
        </w:tc>
        <w:tc>
          <w:tcPr>
            <w:tcW w:w="267" w:type="pct"/>
            <w:tcBorders>
              <w:tl2br w:val="nil"/>
              <w:tr2bl w:val="nil"/>
            </w:tcBorders>
            <w:vAlign w:val="center"/>
          </w:tcPr>
          <w:p>
            <w:pPr>
              <w:pStyle w:val="182"/>
              <w:bidi w:val="0"/>
              <w:rPr>
                <w:color w:val="auto"/>
              </w:rPr>
            </w:pPr>
            <w:r>
              <w:rPr>
                <w:color w:val="auto"/>
              </w:rPr>
              <w:t>固态</w:t>
            </w:r>
          </w:p>
        </w:tc>
        <w:tc>
          <w:tcPr>
            <w:tcW w:w="401" w:type="pct"/>
            <w:tcBorders>
              <w:tl2br w:val="nil"/>
              <w:tr2bl w:val="nil"/>
            </w:tcBorders>
            <w:vAlign w:val="center"/>
          </w:tcPr>
          <w:p>
            <w:pPr>
              <w:pStyle w:val="182"/>
              <w:bidi w:val="0"/>
              <w:rPr>
                <w:color w:val="auto"/>
              </w:rPr>
            </w:pPr>
            <w:r>
              <w:rPr>
                <w:color w:val="auto"/>
              </w:rPr>
              <w:t>/</w:t>
            </w:r>
          </w:p>
        </w:tc>
        <w:tc>
          <w:tcPr>
            <w:tcW w:w="358" w:type="pct"/>
            <w:tcBorders>
              <w:tl2br w:val="nil"/>
              <w:tr2bl w:val="nil"/>
            </w:tcBorders>
            <w:vAlign w:val="center"/>
          </w:tcPr>
          <w:p>
            <w:pPr>
              <w:pStyle w:val="182"/>
              <w:bidi w:val="0"/>
              <w:rPr>
                <w:color w:val="auto"/>
              </w:rPr>
            </w:pPr>
            <w:r>
              <w:rPr>
                <w:color w:val="auto"/>
              </w:rPr>
              <w:t>/</w:t>
            </w:r>
          </w:p>
        </w:tc>
        <w:tc>
          <w:tcPr>
            <w:tcW w:w="238" w:type="pct"/>
            <w:tcBorders>
              <w:tl2br w:val="nil"/>
              <w:tr2bl w:val="nil"/>
            </w:tcBorders>
            <w:vAlign w:val="center"/>
          </w:tcPr>
          <w:p>
            <w:pPr>
              <w:pStyle w:val="182"/>
              <w:bidi w:val="0"/>
              <w:rPr>
                <w:color w:val="auto"/>
              </w:rPr>
            </w:pPr>
            <w:r>
              <w:rPr>
                <w:color w:val="auto"/>
              </w:rPr>
              <w:t>/</w:t>
            </w:r>
          </w:p>
        </w:tc>
        <w:tc>
          <w:tcPr>
            <w:tcW w:w="248" w:type="pct"/>
            <w:tcBorders>
              <w:tl2br w:val="nil"/>
              <w:tr2bl w:val="nil"/>
            </w:tcBorders>
            <w:vAlign w:val="center"/>
          </w:tcPr>
          <w:p>
            <w:pPr>
              <w:pStyle w:val="182"/>
              <w:bidi w:val="0"/>
              <w:rPr>
                <w:color w:val="auto"/>
              </w:rPr>
            </w:pPr>
            <w:r>
              <w:rPr>
                <w:color w:val="auto"/>
              </w:rPr>
              <w:t>/</w:t>
            </w:r>
          </w:p>
        </w:tc>
        <w:tc>
          <w:tcPr>
            <w:tcW w:w="823" w:type="pct"/>
            <w:tcBorders>
              <w:tl2br w:val="nil"/>
              <w:tr2bl w:val="nil"/>
            </w:tcBorders>
            <w:vAlign w:val="center"/>
          </w:tcPr>
          <w:p>
            <w:pPr>
              <w:pStyle w:val="182"/>
              <w:bidi w:val="0"/>
              <w:rPr>
                <w:color w:val="auto"/>
              </w:rPr>
            </w:pPr>
            <w:r>
              <w:rPr>
                <w:color w:val="auto"/>
              </w:rPr>
              <w:t>作为原料生产再生氨纶</w:t>
            </w:r>
          </w:p>
        </w:tc>
      </w:tr>
    </w:tbl>
    <w:p>
      <w:pPr>
        <w:rPr>
          <w:color w:val="auto"/>
        </w:rPr>
      </w:pPr>
    </w:p>
    <w:p>
      <w:pPr>
        <w:rPr>
          <w:color w:val="auto"/>
        </w:rPr>
        <w:sectPr>
          <w:pgSz w:w="16840" w:h="11910" w:orient="landscape"/>
          <w:pgMar w:top="1440" w:right="1800" w:bottom="1440" w:left="1800" w:header="877" w:footer="1196" w:gutter="0"/>
          <w:pgBorders>
            <w:top w:val="none" w:sz="0" w:space="0"/>
            <w:left w:val="none" w:sz="0" w:space="0"/>
            <w:bottom w:val="none" w:sz="0" w:space="0"/>
            <w:right w:val="none" w:sz="0" w:space="0"/>
          </w:pgBorders>
          <w:pgNumType w:fmt="decimal"/>
          <w:cols w:space="720" w:num="1"/>
        </w:sectPr>
      </w:pPr>
    </w:p>
    <w:p>
      <w:pPr>
        <w:bidi w:val="0"/>
        <w:rPr>
          <w:rFonts w:hint="default"/>
          <w:b/>
          <w:bCs/>
          <w:u w:val="single"/>
          <w:lang w:val="en-US" w:eastAsia="zh-CN"/>
        </w:rPr>
      </w:pPr>
      <w:r>
        <w:rPr>
          <w:rFonts w:hint="eastAsia"/>
          <w:b/>
          <w:bCs/>
          <w:u w:val="single"/>
        </w:rPr>
        <w:t>工程营运期间产生的固废包括一般固废和危险废物两大类，其中一般固废包括污水站污泥</w:t>
      </w:r>
      <w:r>
        <w:rPr>
          <w:rFonts w:hint="eastAsia"/>
          <w:b/>
          <w:bCs/>
          <w:u w:val="single"/>
          <w:lang w:eastAsia="zh-CN"/>
        </w:rPr>
        <w:t>、</w:t>
      </w:r>
      <w:r>
        <w:rPr>
          <w:rFonts w:hint="eastAsia"/>
          <w:b/>
          <w:bCs/>
          <w:u w:val="single"/>
        </w:rPr>
        <w:t>灰渣</w:t>
      </w:r>
      <w:r>
        <w:rPr>
          <w:rFonts w:hint="eastAsia"/>
          <w:b/>
          <w:bCs/>
          <w:u w:val="single"/>
          <w:lang w:eastAsia="zh-CN"/>
        </w:rPr>
        <w:t>、</w:t>
      </w:r>
      <w:r>
        <w:rPr>
          <w:rFonts w:hint="eastAsia"/>
          <w:b/>
          <w:bCs/>
          <w:u w:val="single"/>
        </w:rPr>
        <w:t>废分子筛</w:t>
      </w:r>
      <w:r>
        <w:rPr>
          <w:rFonts w:hint="eastAsia"/>
          <w:b/>
          <w:bCs/>
          <w:u w:val="single"/>
          <w:lang w:eastAsia="zh-CN"/>
        </w:rPr>
        <w:t>、</w:t>
      </w:r>
      <w:r>
        <w:rPr>
          <w:rFonts w:hint="eastAsia"/>
          <w:b/>
          <w:bCs/>
          <w:u w:val="single"/>
        </w:rPr>
        <w:t>废丝</w:t>
      </w:r>
      <w:r>
        <w:rPr>
          <w:rFonts w:hint="eastAsia"/>
          <w:b/>
          <w:bCs/>
          <w:u w:val="single"/>
          <w:lang w:eastAsia="zh-CN"/>
        </w:rPr>
        <w:t>、</w:t>
      </w:r>
      <w:r>
        <w:rPr>
          <w:rFonts w:hint="eastAsia"/>
          <w:b/>
          <w:bCs/>
          <w:u w:val="single"/>
        </w:rPr>
        <w:t>废丝</w:t>
      </w:r>
      <w:r>
        <w:rPr>
          <w:rFonts w:hint="eastAsia"/>
          <w:b/>
          <w:bCs/>
          <w:u w:val="single"/>
          <w:lang w:eastAsia="zh-CN"/>
        </w:rPr>
        <w:t>，</w:t>
      </w:r>
      <w:r>
        <w:rPr>
          <w:b/>
          <w:bCs/>
          <w:u w:val="single"/>
        </w:rPr>
        <w:t>氨纶生产</w:t>
      </w:r>
      <w:r>
        <w:rPr>
          <w:rFonts w:hint="eastAsia"/>
          <w:b/>
          <w:bCs/>
          <w:u w:val="single"/>
          <w:lang w:val="en-US" w:eastAsia="zh-CN"/>
        </w:rPr>
        <w:t>废丝作为原料生产再生氨纶，</w:t>
      </w:r>
      <w:r>
        <w:rPr>
          <w:b/>
          <w:bCs/>
          <w:u w:val="single"/>
        </w:rPr>
        <w:t>长丝生产</w:t>
      </w:r>
      <w:r>
        <w:rPr>
          <w:rFonts w:hint="eastAsia"/>
          <w:b/>
          <w:bCs/>
          <w:u w:val="single"/>
          <w:lang w:val="en-US" w:eastAsia="zh-CN"/>
        </w:rPr>
        <w:t>废丝直接出售，</w:t>
      </w:r>
      <w:r>
        <w:rPr>
          <w:rFonts w:hint="eastAsia"/>
          <w:b/>
          <w:bCs/>
          <w:u w:val="single"/>
        </w:rPr>
        <w:t>废分子筛</w:t>
      </w:r>
      <w:r>
        <w:rPr>
          <w:b/>
          <w:bCs/>
          <w:u w:val="single"/>
        </w:rPr>
        <w:t>由生产厂家回收</w:t>
      </w:r>
      <w:r>
        <w:rPr>
          <w:rFonts w:hint="eastAsia"/>
          <w:b/>
          <w:bCs/>
          <w:u w:val="single"/>
          <w:lang w:eastAsia="zh-CN"/>
        </w:rPr>
        <w:t>，</w:t>
      </w:r>
      <w:r>
        <w:rPr>
          <w:b/>
          <w:bCs/>
          <w:u w:val="single"/>
        </w:rPr>
        <w:t>灰渣作为建材出售</w:t>
      </w:r>
      <w:r>
        <w:rPr>
          <w:rFonts w:hint="eastAsia"/>
          <w:b/>
          <w:bCs/>
          <w:u w:val="single"/>
          <w:lang w:eastAsia="zh-CN"/>
        </w:rPr>
        <w:t>，</w:t>
      </w:r>
      <w:r>
        <w:rPr>
          <w:rFonts w:hint="eastAsia"/>
          <w:b/>
          <w:bCs/>
          <w:u w:val="single"/>
        </w:rPr>
        <w:t>污水站污泥送垃圾填埋场，处置协议详见附件12</w:t>
      </w:r>
      <w:r>
        <w:rPr>
          <w:rFonts w:hint="eastAsia"/>
          <w:b/>
          <w:bCs/>
          <w:u w:val="single"/>
          <w:lang w:eastAsia="zh-CN"/>
        </w:rPr>
        <w:t>。</w:t>
      </w:r>
      <w:r>
        <w:rPr>
          <w:rFonts w:hint="eastAsia"/>
          <w:b/>
          <w:bCs/>
          <w:u w:val="single"/>
          <w:lang w:val="en-US" w:eastAsia="zh-CN"/>
        </w:rPr>
        <w:t>危险废物包括：蒸馏残渣、废活性炭、脱硝废催化剂，危废暂存间贮存，蒸馏残渣、废活性炭定期交由安阳中丹环保科技有限公司处置，协议详见附件11，脱硝废催化剂定期交由河南省格林沃特环保科技有限公司处置，协议详见附件11。</w:t>
      </w:r>
    </w:p>
    <w:p>
      <w:pPr>
        <w:bidi w:val="0"/>
        <w:rPr>
          <w:rFonts w:hint="eastAsia"/>
          <w:b/>
          <w:bCs/>
          <w:u w:val="single"/>
        </w:rPr>
      </w:pPr>
      <w:r>
        <w:rPr>
          <w:rFonts w:hint="eastAsia"/>
          <w:b/>
          <w:bCs/>
          <w:u w:val="single"/>
        </w:rPr>
        <w:t>危险废物</w:t>
      </w:r>
      <w:r>
        <w:rPr>
          <w:rFonts w:hint="eastAsia"/>
          <w:b/>
          <w:bCs/>
          <w:u w:val="single"/>
          <w:lang w:eastAsia="zh-CN"/>
        </w:rPr>
        <w:t>：</w:t>
      </w:r>
      <w:r>
        <w:rPr>
          <w:rFonts w:hint="eastAsia"/>
          <w:b/>
          <w:bCs/>
          <w:u w:val="single"/>
        </w:rPr>
        <w:t>项目厂区东南紧邻氨纶车间建设有1座75m</w:t>
      </w:r>
      <w:r>
        <w:rPr>
          <w:rFonts w:hint="eastAsia"/>
          <w:b/>
          <w:bCs/>
          <w:u w:val="single"/>
          <w:vertAlign w:val="superscript"/>
          <w:lang w:val="en-US" w:eastAsia="zh-CN"/>
        </w:rPr>
        <w:t>2</w:t>
      </w:r>
      <w:r>
        <w:rPr>
          <w:rFonts w:hint="eastAsia"/>
          <w:b/>
          <w:bCs/>
          <w:u w:val="single"/>
        </w:rPr>
        <w:t>的危险废物暂存间</w:t>
      </w:r>
    </w:p>
    <w:p>
      <w:pPr>
        <w:bidi w:val="0"/>
        <w:rPr>
          <w:rFonts w:hint="eastAsia"/>
          <w:b/>
          <w:bCs/>
          <w:u w:val="single"/>
          <w:lang w:eastAsia="zh-CN"/>
        </w:rPr>
      </w:pPr>
      <w:r>
        <w:rPr>
          <w:rFonts w:hint="eastAsia"/>
          <w:b/>
          <w:bCs/>
          <w:u w:val="single"/>
        </w:rPr>
        <w:t>一般固废</w:t>
      </w:r>
      <w:r>
        <w:rPr>
          <w:rFonts w:hint="eastAsia"/>
          <w:b/>
          <w:bCs/>
          <w:u w:val="single"/>
          <w:lang w:eastAsia="zh-CN"/>
        </w:rPr>
        <w:t>：</w:t>
      </w:r>
      <w:r>
        <w:rPr>
          <w:rFonts w:hint="eastAsia"/>
          <w:b/>
          <w:bCs/>
          <w:u w:val="single"/>
        </w:rPr>
        <w:t>项目厂区设置有1座36m</w:t>
      </w:r>
      <w:r>
        <w:rPr>
          <w:rFonts w:hint="eastAsia"/>
          <w:b/>
          <w:bCs/>
          <w:u w:val="single"/>
          <w:vertAlign w:val="superscript"/>
          <w:lang w:val="en-US" w:eastAsia="zh-CN"/>
        </w:rPr>
        <w:t>2</w:t>
      </w:r>
      <w:r>
        <w:rPr>
          <w:rFonts w:hint="eastAsia"/>
          <w:b/>
          <w:bCs/>
          <w:u w:val="single"/>
        </w:rPr>
        <w:t>的一般固废暂存间</w:t>
      </w:r>
      <w:r>
        <w:rPr>
          <w:rFonts w:hint="eastAsia"/>
          <w:b/>
          <w:bCs/>
          <w:u w:val="single"/>
          <w:lang w:eastAsia="zh-CN"/>
        </w:rPr>
        <w:t>。</w:t>
      </w:r>
    </w:p>
    <w:p>
      <w:pPr>
        <w:pStyle w:val="10"/>
        <w:bidi w:val="0"/>
        <w:rPr>
          <w:color w:val="auto"/>
        </w:rPr>
      </w:pPr>
      <w:r>
        <w:rPr>
          <w:color w:val="auto"/>
        </w:rPr>
        <w:t>3.</w:t>
      </w:r>
      <w:r>
        <w:rPr>
          <w:rFonts w:hint="eastAsia"/>
          <w:color w:val="auto"/>
          <w:lang w:val="en-US" w:eastAsia="zh-CN"/>
        </w:rPr>
        <w:t>3</w:t>
      </w:r>
      <w:r>
        <w:rPr>
          <w:color w:val="auto"/>
        </w:rPr>
        <w:t>.6.4</w:t>
      </w:r>
      <w:r>
        <w:rPr>
          <w:rFonts w:hint="eastAsia"/>
          <w:color w:val="auto"/>
        </w:rPr>
        <w:t>噪声</w:t>
      </w:r>
    </w:p>
    <w:p>
      <w:pPr>
        <w:bidi w:val="0"/>
        <w:rPr>
          <w:color w:val="auto"/>
        </w:rPr>
      </w:pPr>
      <w:r>
        <w:rPr>
          <w:rFonts w:hint="eastAsia"/>
          <w:color w:val="auto"/>
        </w:rPr>
        <w:t>现有工程噪声源主要为纺丝机、真空泵等，噪声源强为80-9</w:t>
      </w:r>
      <w:r>
        <w:rPr>
          <w:rFonts w:hint="eastAsia"/>
          <w:color w:val="auto"/>
          <w:lang w:val="en-US" w:eastAsia="zh-CN"/>
        </w:rPr>
        <w:t>5</w:t>
      </w:r>
      <w:r>
        <w:rPr>
          <w:rFonts w:hint="eastAsia"/>
          <w:color w:val="auto"/>
        </w:rPr>
        <w:t>dB(A)。为了减轻噪声污染，现有工程采取选用低噪声设备，并采取厂房隔声、吸声、消声、基础减震等措施。</w:t>
      </w:r>
    </w:p>
    <w:p>
      <w:pPr>
        <w:bidi w:val="0"/>
        <w:rPr>
          <w:b/>
          <w:bCs/>
          <w:color w:val="auto"/>
        </w:rPr>
      </w:pPr>
      <w:r>
        <w:rPr>
          <w:rFonts w:hint="eastAsia"/>
          <w:color w:val="auto"/>
        </w:rPr>
        <w:t>企业委托河南中弘国泰检测技术有限公司对厂界四周的噪声现状进行了监测，监测时间为202</w:t>
      </w:r>
      <w:r>
        <w:rPr>
          <w:color w:val="auto"/>
        </w:rPr>
        <w:t>2</w:t>
      </w:r>
      <w:r>
        <w:rPr>
          <w:rFonts w:hint="eastAsia"/>
          <w:color w:val="auto"/>
        </w:rPr>
        <w:t>年</w:t>
      </w:r>
      <w:r>
        <w:rPr>
          <w:color w:val="auto"/>
        </w:rPr>
        <w:t>11</w:t>
      </w:r>
      <w:r>
        <w:rPr>
          <w:rFonts w:hint="eastAsia"/>
          <w:color w:val="auto"/>
        </w:rPr>
        <w:t>月</w:t>
      </w:r>
      <w:r>
        <w:rPr>
          <w:color w:val="auto"/>
        </w:rPr>
        <w:t>28</w:t>
      </w:r>
      <w:r>
        <w:rPr>
          <w:rFonts w:hint="eastAsia"/>
          <w:color w:val="auto"/>
        </w:rPr>
        <w:t>日</w:t>
      </w:r>
      <w:r>
        <w:rPr>
          <w:rFonts w:hint="eastAsia"/>
          <w:color w:val="auto"/>
          <w:lang w:eastAsia="zh-CN"/>
        </w:rPr>
        <w:t>～</w:t>
      </w:r>
      <w:r>
        <w:rPr>
          <w:color w:val="auto"/>
        </w:rPr>
        <w:t>29</w:t>
      </w:r>
      <w:r>
        <w:rPr>
          <w:rFonts w:hint="eastAsia"/>
          <w:color w:val="auto"/>
        </w:rPr>
        <w:t>日，监测期间，现有工程正常运行。本次评价引用此监测数据说明现有工程各厂界噪声排放情况，详见表</w:t>
      </w:r>
      <w:r>
        <w:rPr>
          <w:color w:val="auto"/>
        </w:rPr>
        <w:t>3.</w:t>
      </w:r>
      <w:r>
        <w:rPr>
          <w:rFonts w:hint="eastAsia"/>
          <w:color w:val="auto"/>
          <w:lang w:val="en-US" w:eastAsia="zh-CN"/>
        </w:rPr>
        <w:t>3</w:t>
      </w:r>
      <w:r>
        <w:rPr>
          <w:rFonts w:hint="eastAsia"/>
          <w:color w:val="auto"/>
        </w:rPr>
        <w:t>-1</w:t>
      </w:r>
      <w:r>
        <w:rPr>
          <w:rFonts w:hint="eastAsia"/>
          <w:color w:val="auto"/>
          <w:lang w:val="en-US" w:eastAsia="zh-CN"/>
        </w:rPr>
        <w:t>8</w:t>
      </w:r>
      <w:r>
        <w:rPr>
          <w:rFonts w:hint="eastAsia"/>
          <w:color w:val="auto"/>
        </w:rPr>
        <w:t>。</w:t>
      </w:r>
    </w:p>
    <w:p>
      <w:pPr>
        <w:pStyle w:val="181"/>
        <w:bidi w:val="0"/>
        <w:rPr>
          <w:color w:val="auto"/>
        </w:rPr>
      </w:pPr>
      <w:r>
        <w:rPr>
          <w:rFonts w:hint="eastAsia"/>
          <w:color w:val="auto"/>
        </w:rPr>
        <w:t>表3</w:t>
      </w:r>
      <w:r>
        <w:rPr>
          <w:color w:val="auto"/>
        </w:rPr>
        <w:t>.</w:t>
      </w:r>
      <w:r>
        <w:rPr>
          <w:rFonts w:hint="eastAsia"/>
          <w:color w:val="auto"/>
          <w:lang w:val="en-US" w:eastAsia="zh-CN"/>
        </w:rPr>
        <w:t>3</w:t>
      </w:r>
      <w:r>
        <w:rPr>
          <w:rFonts w:hint="eastAsia"/>
          <w:color w:val="auto"/>
        </w:rPr>
        <w:t>-</w:t>
      </w:r>
      <w:r>
        <w:rPr>
          <w:color w:val="auto"/>
        </w:rPr>
        <w:t>1</w:t>
      </w:r>
      <w:r>
        <w:rPr>
          <w:rFonts w:hint="eastAsia"/>
          <w:color w:val="auto"/>
          <w:lang w:val="en-US" w:eastAsia="zh-CN"/>
        </w:rPr>
        <w:t xml:space="preserve">8             </w:t>
      </w:r>
      <w:r>
        <w:rPr>
          <w:rFonts w:hint="eastAsia"/>
          <w:color w:val="auto"/>
        </w:rPr>
        <w:t>厂界噪声监测结果</w:t>
      </w:r>
    </w:p>
    <w:tbl>
      <w:tblPr>
        <w:tblStyle w:val="32"/>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379"/>
        <w:gridCol w:w="1988"/>
        <w:gridCol w:w="2491"/>
        <w:gridCol w:w="26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restart"/>
            <w:tcBorders>
              <w:tl2br w:val="nil"/>
              <w:tr2bl w:val="nil"/>
            </w:tcBorders>
            <w:vAlign w:val="center"/>
          </w:tcPr>
          <w:p>
            <w:pPr>
              <w:pStyle w:val="182"/>
              <w:bidi w:val="0"/>
              <w:rPr>
                <w:color w:val="auto"/>
              </w:rPr>
            </w:pPr>
            <w:r>
              <w:rPr>
                <w:color w:val="auto"/>
              </w:rPr>
              <w:t>采样时间</w:t>
            </w:r>
          </w:p>
        </w:tc>
        <w:tc>
          <w:tcPr>
            <w:tcW w:w="1165" w:type="pct"/>
            <w:vMerge w:val="restart"/>
            <w:tcBorders>
              <w:tl2br w:val="nil"/>
              <w:tr2bl w:val="nil"/>
            </w:tcBorders>
            <w:vAlign w:val="center"/>
          </w:tcPr>
          <w:p>
            <w:pPr>
              <w:pStyle w:val="182"/>
              <w:bidi w:val="0"/>
              <w:rPr>
                <w:color w:val="auto"/>
              </w:rPr>
            </w:pPr>
            <w:r>
              <w:rPr>
                <w:color w:val="auto"/>
              </w:rPr>
              <w:t>采样点位</w:t>
            </w:r>
          </w:p>
        </w:tc>
        <w:tc>
          <w:tcPr>
            <w:tcW w:w="3024" w:type="pct"/>
            <w:gridSpan w:val="2"/>
            <w:tcBorders>
              <w:tl2br w:val="nil"/>
              <w:tr2bl w:val="nil"/>
            </w:tcBorders>
            <w:vAlign w:val="center"/>
          </w:tcPr>
          <w:p>
            <w:pPr>
              <w:pStyle w:val="182"/>
              <w:bidi w:val="0"/>
              <w:rPr>
                <w:color w:val="auto"/>
              </w:rPr>
            </w:pPr>
            <w:r>
              <w:rPr>
                <w:color w:val="auto"/>
              </w:rPr>
              <w:t>监测结果Leq [dB（A）]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continue"/>
            <w:tcBorders>
              <w:tl2br w:val="nil"/>
              <w:tr2bl w:val="nil"/>
            </w:tcBorders>
            <w:vAlign w:val="center"/>
          </w:tcPr>
          <w:p>
            <w:pPr>
              <w:pStyle w:val="182"/>
              <w:bidi w:val="0"/>
              <w:rPr>
                <w:color w:val="auto"/>
              </w:rPr>
            </w:pPr>
          </w:p>
        </w:tc>
        <w:tc>
          <w:tcPr>
            <w:tcW w:w="1165" w:type="pct"/>
            <w:vMerge w:val="continue"/>
            <w:tcBorders>
              <w:tl2br w:val="nil"/>
              <w:tr2bl w:val="nil"/>
            </w:tcBorders>
            <w:vAlign w:val="center"/>
          </w:tcPr>
          <w:p>
            <w:pPr>
              <w:pStyle w:val="182"/>
              <w:bidi w:val="0"/>
              <w:rPr>
                <w:color w:val="auto"/>
              </w:rPr>
            </w:pPr>
          </w:p>
        </w:tc>
        <w:tc>
          <w:tcPr>
            <w:tcW w:w="1461" w:type="pct"/>
            <w:tcBorders>
              <w:tl2br w:val="nil"/>
              <w:tr2bl w:val="nil"/>
            </w:tcBorders>
            <w:vAlign w:val="center"/>
          </w:tcPr>
          <w:p>
            <w:pPr>
              <w:pStyle w:val="182"/>
              <w:bidi w:val="0"/>
              <w:rPr>
                <w:color w:val="auto"/>
              </w:rPr>
            </w:pPr>
            <w:r>
              <w:rPr>
                <w:color w:val="auto"/>
              </w:rPr>
              <w:t>昼间</w:t>
            </w:r>
          </w:p>
        </w:tc>
        <w:tc>
          <w:tcPr>
            <w:tcW w:w="1562" w:type="pct"/>
            <w:tcBorders>
              <w:tl2br w:val="nil"/>
              <w:tr2bl w:val="nil"/>
            </w:tcBorders>
            <w:vAlign w:val="center"/>
          </w:tcPr>
          <w:p>
            <w:pPr>
              <w:pStyle w:val="182"/>
              <w:bidi w:val="0"/>
              <w:rPr>
                <w:color w:val="auto"/>
              </w:rPr>
            </w:pPr>
            <w:r>
              <w:rPr>
                <w:color w:val="auto"/>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restart"/>
            <w:tcBorders>
              <w:tl2br w:val="nil"/>
              <w:tr2bl w:val="nil"/>
            </w:tcBorders>
            <w:vAlign w:val="center"/>
          </w:tcPr>
          <w:p>
            <w:pPr>
              <w:pStyle w:val="182"/>
              <w:bidi w:val="0"/>
              <w:rPr>
                <w:color w:val="auto"/>
              </w:rPr>
            </w:pPr>
            <w:r>
              <w:rPr>
                <w:rFonts w:hint="eastAsia"/>
                <w:color w:val="auto"/>
              </w:rPr>
              <w:t>2022.</w:t>
            </w:r>
            <w:r>
              <w:rPr>
                <w:color w:val="auto"/>
              </w:rPr>
              <w:t>11.28</w:t>
            </w:r>
          </w:p>
        </w:tc>
        <w:tc>
          <w:tcPr>
            <w:tcW w:w="1165" w:type="pct"/>
            <w:tcBorders>
              <w:tl2br w:val="nil"/>
              <w:tr2bl w:val="nil"/>
            </w:tcBorders>
            <w:vAlign w:val="center"/>
          </w:tcPr>
          <w:p>
            <w:pPr>
              <w:pStyle w:val="182"/>
              <w:bidi w:val="0"/>
              <w:rPr>
                <w:color w:val="auto"/>
              </w:rPr>
            </w:pPr>
            <w:r>
              <w:rPr>
                <w:color w:val="auto"/>
              </w:rPr>
              <w:t>东厂界</w:t>
            </w:r>
          </w:p>
        </w:tc>
        <w:tc>
          <w:tcPr>
            <w:tcW w:w="1461" w:type="pct"/>
            <w:tcBorders>
              <w:tl2br w:val="nil"/>
              <w:tr2bl w:val="nil"/>
            </w:tcBorders>
            <w:vAlign w:val="center"/>
          </w:tcPr>
          <w:p>
            <w:pPr>
              <w:pStyle w:val="182"/>
              <w:bidi w:val="0"/>
              <w:rPr>
                <w:color w:val="auto"/>
              </w:rPr>
            </w:pPr>
            <w:r>
              <w:rPr>
                <w:rFonts w:hint="eastAsia"/>
                <w:color w:val="auto"/>
              </w:rPr>
              <w:t>5</w:t>
            </w:r>
            <w:r>
              <w:rPr>
                <w:color w:val="auto"/>
              </w:rPr>
              <w:t>5</w:t>
            </w:r>
          </w:p>
        </w:tc>
        <w:tc>
          <w:tcPr>
            <w:tcW w:w="1562" w:type="pct"/>
            <w:tcBorders>
              <w:tl2br w:val="nil"/>
              <w:tr2bl w:val="nil"/>
            </w:tcBorders>
            <w:vAlign w:val="center"/>
          </w:tcPr>
          <w:p>
            <w:pPr>
              <w:pStyle w:val="182"/>
              <w:bidi w:val="0"/>
              <w:rPr>
                <w:color w:val="auto"/>
              </w:rPr>
            </w:pPr>
            <w:r>
              <w:rPr>
                <w:color w:val="auto"/>
              </w:rPr>
              <w:t>4</w:t>
            </w:r>
            <w:r>
              <w:rPr>
                <w:rFonts w:hint="eastAsia"/>
                <w:color w:val="auto"/>
              </w:rPr>
              <w:t>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continue"/>
            <w:tcBorders>
              <w:tl2br w:val="nil"/>
              <w:tr2bl w:val="nil"/>
            </w:tcBorders>
            <w:vAlign w:val="center"/>
          </w:tcPr>
          <w:p>
            <w:pPr>
              <w:pStyle w:val="182"/>
              <w:bidi w:val="0"/>
              <w:rPr>
                <w:color w:val="auto"/>
              </w:rPr>
            </w:pPr>
          </w:p>
        </w:tc>
        <w:tc>
          <w:tcPr>
            <w:tcW w:w="1165" w:type="pct"/>
            <w:tcBorders>
              <w:tl2br w:val="nil"/>
              <w:tr2bl w:val="nil"/>
            </w:tcBorders>
            <w:vAlign w:val="center"/>
          </w:tcPr>
          <w:p>
            <w:pPr>
              <w:pStyle w:val="182"/>
              <w:bidi w:val="0"/>
              <w:rPr>
                <w:color w:val="auto"/>
              </w:rPr>
            </w:pPr>
            <w:r>
              <w:rPr>
                <w:rFonts w:hint="eastAsia"/>
                <w:color w:val="auto"/>
              </w:rPr>
              <w:t>南厂界</w:t>
            </w:r>
          </w:p>
        </w:tc>
        <w:tc>
          <w:tcPr>
            <w:tcW w:w="1461" w:type="pct"/>
            <w:tcBorders>
              <w:tl2br w:val="nil"/>
              <w:tr2bl w:val="nil"/>
            </w:tcBorders>
            <w:vAlign w:val="center"/>
          </w:tcPr>
          <w:p>
            <w:pPr>
              <w:pStyle w:val="182"/>
              <w:bidi w:val="0"/>
              <w:rPr>
                <w:color w:val="auto"/>
              </w:rPr>
            </w:pPr>
            <w:r>
              <w:rPr>
                <w:rFonts w:hint="eastAsia"/>
                <w:color w:val="auto"/>
              </w:rPr>
              <w:t>5</w:t>
            </w:r>
            <w:r>
              <w:rPr>
                <w:color w:val="auto"/>
              </w:rPr>
              <w:t>4</w:t>
            </w:r>
          </w:p>
        </w:tc>
        <w:tc>
          <w:tcPr>
            <w:tcW w:w="1562" w:type="pct"/>
            <w:tcBorders>
              <w:tl2br w:val="nil"/>
              <w:tr2bl w:val="nil"/>
            </w:tcBorders>
            <w:vAlign w:val="center"/>
          </w:tcPr>
          <w:p>
            <w:pPr>
              <w:pStyle w:val="182"/>
              <w:bidi w:val="0"/>
              <w:rPr>
                <w:color w:val="auto"/>
              </w:rPr>
            </w:pPr>
            <w:r>
              <w:rPr>
                <w:rFonts w:hint="eastAsia"/>
                <w:color w:val="auto"/>
              </w:rPr>
              <w:t>4</w:t>
            </w:r>
            <w:r>
              <w:rPr>
                <w:color w:val="auto"/>
              </w:rPr>
              <w:t>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continue"/>
            <w:tcBorders>
              <w:tl2br w:val="nil"/>
              <w:tr2bl w:val="nil"/>
            </w:tcBorders>
            <w:vAlign w:val="center"/>
          </w:tcPr>
          <w:p>
            <w:pPr>
              <w:pStyle w:val="182"/>
              <w:bidi w:val="0"/>
              <w:rPr>
                <w:color w:val="auto"/>
              </w:rPr>
            </w:pPr>
          </w:p>
        </w:tc>
        <w:tc>
          <w:tcPr>
            <w:tcW w:w="1165" w:type="pct"/>
            <w:tcBorders>
              <w:tl2br w:val="nil"/>
              <w:tr2bl w:val="nil"/>
            </w:tcBorders>
            <w:vAlign w:val="center"/>
          </w:tcPr>
          <w:p>
            <w:pPr>
              <w:pStyle w:val="182"/>
              <w:bidi w:val="0"/>
              <w:rPr>
                <w:color w:val="auto"/>
              </w:rPr>
            </w:pPr>
            <w:r>
              <w:rPr>
                <w:color w:val="auto"/>
              </w:rPr>
              <w:t>西厂界</w:t>
            </w:r>
          </w:p>
        </w:tc>
        <w:tc>
          <w:tcPr>
            <w:tcW w:w="1461" w:type="pct"/>
            <w:tcBorders>
              <w:tl2br w:val="nil"/>
              <w:tr2bl w:val="nil"/>
            </w:tcBorders>
            <w:vAlign w:val="center"/>
          </w:tcPr>
          <w:p>
            <w:pPr>
              <w:pStyle w:val="182"/>
              <w:bidi w:val="0"/>
              <w:rPr>
                <w:color w:val="auto"/>
              </w:rPr>
            </w:pPr>
            <w:r>
              <w:rPr>
                <w:rFonts w:hint="eastAsia"/>
                <w:color w:val="auto"/>
              </w:rPr>
              <w:t>5</w:t>
            </w:r>
            <w:r>
              <w:rPr>
                <w:color w:val="auto"/>
              </w:rPr>
              <w:t>5</w:t>
            </w:r>
          </w:p>
        </w:tc>
        <w:tc>
          <w:tcPr>
            <w:tcW w:w="1562" w:type="pct"/>
            <w:tcBorders>
              <w:tl2br w:val="nil"/>
              <w:tr2bl w:val="nil"/>
            </w:tcBorders>
            <w:vAlign w:val="center"/>
          </w:tcPr>
          <w:p>
            <w:pPr>
              <w:pStyle w:val="182"/>
              <w:bidi w:val="0"/>
              <w:rPr>
                <w:color w:val="auto"/>
              </w:rPr>
            </w:pPr>
            <w:r>
              <w:rPr>
                <w:rFonts w:hint="eastAsia"/>
                <w:color w:val="auto"/>
              </w:rPr>
              <w:t>4</w:t>
            </w:r>
            <w:r>
              <w:rPr>
                <w:color w:val="auto"/>
              </w:rPr>
              <w:t>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continue"/>
            <w:tcBorders>
              <w:tl2br w:val="nil"/>
              <w:tr2bl w:val="nil"/>
            </w:tcBorders>
            <w:vAlign w:val="center"/>
          </w:tcPr>
          <w:p>
            <w:pPr>
              <w:pStyle w:val="182"/>
              <w:bidi w:val="0"/>
              <w:rPr>
                <w:color w:val="auto"/>
              </w:rPr>
            </w:pPr>
          </w:p>
        </w:tc>
        <w:tc>
          <w:tcPr>
            <w:tcW w:w="1165" w:type="pct"/>
            <w:tcBorders>
              <w:tl2br w:val="nil"/>
              <w:tr2bl w:val="nil"/>
            </w:tcBorders>
            <w:vAlign w:val="center"/>
          </w:tcPr>
          <w:p>
            <w:pPr>
              <w:pStyle w:val="182"/>
              <w:bidi w:val="0"/>
              <w:rPr>
                <w:color w:val="auto"/>
              </w:rPr>
            </w:pPr>
            <w:r>
              <w:rPr>
                <w:rFonts w:hint="eastAsia"/>
                <w:color w:val="auto"/>
              </w:rPr>
              <w:t>北厂界</w:t>
            </w:r>
          </w:p>
        </w:tc>
        <w:tc>
          <w:tcPr>
            <w:tcW w:w="1461" w:type="pct"/>
            <w:tcBorders>
              <w:tl2br w:val="nil"/>
              <w:tr2bl w:val="nil"/>
            </w:tcBorders>
            <w:vAlign w:val="center"/>
          </w:tcPr>
          <w:p>
            <w:pPr>
              <w:pStyle w:val="182"/>
              <w:bidi w:val="0"/>
              <w:rPr>
                <w:color w:val="auto"/>
              </w:rPr>
            </w:pPr>
            <w:r>
              <w:rPr>
                <w:rFonts w:hint="eastAsia"/>
                <w:color w:val="auto"/>
              </w:rPr>
              <w:t>5</w:t>
            </w:r>
            <w:r>
              <w:rPr>
                <w:color w:val="auto"/>
              </w:rPr>
              <w:t>4</w:t>
            </w:r>
          </w:p>
        </w:tc>
        <w:tc>
          <w:tcPr>
            <w:tcW w:w="1562" w:type="pct"/>
            <w:tcBorders>
              <w:tl2br w:val="nil"/>
              <w:tr2bl w:val="nil"/>
            </w:tcBorders>
            <w:vAlign w:val="center"/>
          </w:tcPr>
          <w:p>
            <w:pPr>
              <w:pStyle w:val="182"/>
              <w:bidi w:val="0"/>
              <w:rPr>
                <w:color w:val="auto"/>
              </w:rPr>
            </w:pPr>
            <w:r>
              <w:rPr>
                <w:rFonts w:hint="eastAsia"/>
                <w:color w:val="auto"/>
              </w:rPr>
              <w:t>4</w:t>
            </w:r>
            <w:r>
              <w:rPr>
                <w:color w:val="auto"/>
              </w:rPr>
              <w:t>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restart"/>
            <w:tcBorders>
              <w:tl2br w:val="nil"/>
              <w:tr2bl w:val="nil"/>
            </w:tcBorders>
            <w:vAlign w:val="center"/>
          </w:tcPr>
          <w:p>
            <w:pPr>
              <w:pStyle w:val="182"/>
              <w:bidi w:val="0"/>
              <w:rPr>
                <w:color w:val="auto"/>
              </w:rPr>
            </w:pPr>
            <w:r>
              <w:rPr>
                <w:rFonts w:hint="eastAsia"/>
                <w:color w:val="auto"/>
              </w:rPr>
              <w:t>2022.</w:t>
            </w:r>
            <w:r>
              <w:rPr>
                <w:color w:val="auto"/>
              </w:rPr>
              <w:t>11.29</w:t>
            </w:r>
          </w:p>
        </w:tc>
        <w:tc>
          <w:tcPr>
            <w:tcW w:w="1165" w:type="pct"/>
            <w:tcBorders>
              <w:tl2br w:val="nil"/>
              <w:tr2bl w:val="nil"/>
            </w:tcBorders>
            <w:vAlign w:val="center"/>
          </w:tcPr>
          <w:p>
            <w:pPr>
              <w:pStyle w:val="182"/>
              <w:bidi w:val="0"/>
              <w:rPr>
                <w:color w:val="auto"/>
              </w:rPr>
            </w:pPr>
            <w:r>
              <w:rPr>
                <w:color w:val="auto"/>
              </w:rPr>
              <w:t>东厂界</w:t>
            </w:r>
          </w:p>
        </w:tc>
        <w:tc>
          <w:tcPr>
            <w:tcW w:w="1461" w:type="pct"/>
            <w:tcBorders>
              <w:tl2br w:val="nil"/>
              <w:tr2bl w:val="nil"/>
            </w:tcBorders>
            <w:vAlign w:val="center"/>
          </w:tcPr>
          <w:p>
            <w:pPr>
              <w:pStyle w:val="182"/>
              <w:bidi w:val="0"/>
              <w:rPr>
                <w:color w:val="auto"/>
              </w:rPr>
            </w:pPr>
            <w:r>
              <w:rPr>
                <w:rFonts w:hint="eastAsia"/>
                <w:color w:val="auto"/>
              </w:rPr>
              <w:t>5</w:t>
            </w:r>
            <w:r>
              <w:rPr>
                <w:color w:val="auto"/>
              </w:rPr>
              <w:t>6</w:t>
            </w:r>
          </w:p>
        </w:tc>
        <w:tc>
          <w:tcPr>
            <w:tcW w:w="1562" w:type="pct"/>
            <w:tcBorders>
              <w:tl2br w:val="nil"/>
              <w:tr2bl w:val="nil"/>
            </w:tcBorders>
            <w:vAlign w:val="center"/>
          </w:tcPr>
          <w:p>
            <w:pPr>
              <w:pStyle w:val="182"/>
              <w:bidi w:val="0"/>
              <w:rPr>
                <w:color w:val="auto"/>
              </w:rPr>
            </w:pPr>
            <w:r>
              <w:rPr>
                <w:rFonts w:hint="eastAsia"/>
                <w:color w:val="auto"/>
              </w:rPr>
              <w:t>4</w:t>
            </w:r>
            <w:r>
              <w:rPr>
                <w:color w:val="auto"/>
              </w:rPr>
              <w:t>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continue"/>
            <w:tcBorders>
              <w:tl2br w:val="nil"/>
              <w:tr2bl w:val="nil"/>
            </w:tcBorders>
            <w:vAlign w:val="center"/>
          </w:tcPr>
          <w:p>
            <w:pPr>
              <w:pStyle w:val="182"/>
              <w:bidi w:val="0"/>
              <w:rPr>
                <w:color w:val="auto"/>
              </w:rPr>
            </w:pPr>
          </w:p>
        </w:tc>
        <w:tc>
          <w:tcPr>
            <w:tcW w:w="1165" w:type="pct"/>
            <w:tcBorders>
              <w:tl2br w:val="nil"/>
              <w:tr2bl w:val="nil"/>
            </w:tcBorders>
            <w:vAlign w:val="center"/>
          </w:tcPr>
          <w:p>
            <w:pPr>
              <w:pStyle w:val="182"/>
              <w:bidi w:val="0"/>
              <w:rPr>
                <w:color w:val="auto"/>
              </w:rPr>
            </w:pPr>
            <w:r>
              <w:rPr>
                <w:rFonts w:hint="eastAsia"/>
                <w:color w:val="auto"/>
              </w:rPr>
              <w:t>南厂界</w:t>
            </w:r>
          </w:p>
        </w:tc>
        <w:tc>
          <w:tcPr>
            <w:tcW w:w="1461" w:type="pct"/>
            <w:tcBorders>
              <w:tl2br w:val="nil"/>
              <w:tr2bl w:val="nil"/>
            </w:tcBorders>
            <w:vAlign w:val="center"/>
          </w:tcPr>
          <w:p>
            <w:pPr>
              <w:pStyle w:val="182"/>
              <w:bidi w:val="0"/>
              <w:rPr>
                <w:color w:val="auto"/>
              </w:rPr>
            </w:pPr>
            <w:r>
              <w:rPr>
                <w:rFonts w:hint="eastAsia"/>
                <w:color w:val="auto"/>
              </w:rPr>
              <w:t>5</w:t>
            </w:r>
            <w:r>
              <w:rPr>
                <w:color w:val="auto"/>
              </w:rPr>
              <w:t>4</w:t>
            </w:r>
          </w:p>
        </w:tc>
        <w:tc>
          <w:tcPr>
            <w:tcW w:w="1562" w:type="pct"/>
            <w:tcBorders>
              <w:tl2br w:val="nil"/>
              <w:tr2bl w:val="nil"/>
            </w:tcBorders>
            <w:vAlign w:val="center"/>
          </w:tcPr>
          <w:p>
            <w:pPr>
              <w:pStyle w:val="182"/>
              <w:bidi w:val="0"/>
              <w:rPr>
                <w:color w:val="auto"/>
              </w:rPr>
            </w:pPr>
            <w:r>
              <w:rPr>
                <w:rFonts w:hint="eastAsia"/>
                <w:color w:val="auto"/>
              </w:rPr>
              <w:t>4</w:t>
            </w:r>
            <w:r>
              <w:rPr>
                <w:color w:val="auto"/>
              </w:rPr>
              <w:t>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continue"/>
            <w:tcBorders>
              <w:tl2br w:val="nil"/>
              <w:tr2bl w:val="nil"/>
            </w:tcBorders>
            <w:vAlign w:val="center"/>
          </w:tcPr>
          <w:p>
            <w:pPr>
              <w:pStyle w:val="182"/>
              <w:bidi w:val="0"/>
              <w:rPr>
                <w:color w:val="auto"/>
              </w:rPr>
            </w:pPr>
          </w:p>
        </w:tc>
        <w:tc>
          <w:tcPr>
            <w:tcW w:w="1165" w:type="pct"/>
            <w:tcBorders>
              <w:tl2br w:val="nil"/>
              <w:tr2bl w:val="nil"/>
            </w:tcBorders>
            <w:vAlign w:val="center"/>
          </w:tcPr>
          <w:p>
            <w:pPr>
              <w:pStyle w:val="182"/>
              <w:bidi w:val="0"/>
              <w:rPr>
                <w:color w:val="auto"/>
              </w:rPr>
            </w:pPr>
            <w:r>
              <w:rPr>
                <w:color w:val="auto"/>
              </w:rPr>
              <w:t>西厂界</w:t>
            </w:r>
          </w:p>
        </w:tc>
        <w:tc>
          <w:tcPr>
            <w:tcW w:w="1461" w:type="pct"/>
            <w:tcBorders>
              <w:tl2br w:val="nil"/>
              <w:tr2bl w:val="nil"/>
            </w:tcBorders>
            <w:vAlign w:val="center"/>
          </w:tcPr>
          <w:p>
            <w:pPr>
              <w:pStyle w:val="182"/>
              <w:bidi w:val="0"/>
              <w:rPr>
                <w:color w:val="auto"/>
              </w:rPr>
            </w:pPr>
            <w:r>
              <w:rPr>
                <w:rFonts w:hint="eastAsia"/>
                <w:color w:val="auto"/>
              </w:rPr>
              <w:t>5</w:t>
            </w:r>
            <w:r>
              <w:rPr>
                <w:color w:val="auto"/>
              </w:rPr>
              <w:t>3</w:t>
            </w:r>
          </w:p>
        </w:tc>
        <w:tc>
          <w:tcPr>
            <w:tcW w:w="1562" w:type="pct"/>
            <w:tcBorders>
              <w:tl2br w:val="nil"/>
              <w:tr2bl w:val="nil"/>
            </w:tcBorders>
            <w:vAlign w:val="center"/>
          </w:tcPr>
          <w:p>
            <w:pPr>
              <w:pStyle w:val="182"/>
              <w:bidi w:val="0"/>
              <w:rPr>
                <w:color w:val="auto"/>
              </w:rPr>
            </w:pPr>
            <w:r>
              <w:rPr>
                <w:rFonts w:hint="eastAsia"/>
                <w:color w:val="auto"/>
              </w:rPr>
              <w:t>4</w:t>
            </w:r>
            <w:r>
              <w:rPr>
                <w:color w:val="auto"/>
              </w:rPr>
              <w:t>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continue"/>
            <w:tcBorders>
              <w:tl2br w:val="nil"/>
              <w:tr2bl w:val="nil"/>
            </w:tcBorders>
            <w:vAlign w:val="center"/>
          </w:tcPr>
          <w:p>
            <w:pPr>
              <w:pStyle w:val="182"/>
              <w:bidi w:val="0"/>
              <w:rPr>
                <w:color w:val="auto"/>
              </w:rPr>
            </w:pPr>
          </w:p>
        </w:tc>
        <w:tc>
          <w:tcPr>
            <w:tcW w:w="1165" w:type="pct"/>
            <w:tcBorders>
              <w:tl2br w:val="nil"/>
              <w:tr2bl w:val="nil"/>
            </w:tcBorders>
            <w:vAlign w:val="center"/>
          </w:tcPr>
          <w:p>
            <w:pPr>
              <w:pStyle w:val="182"/>
              <w:bidi w:val="0"/>
              <w:rPr>
                <w:color w:val="auto"/>
              </w:rPr>
            </w:pPr>
            <w:r>
              <w:rPr>
                <w:rFonts w:hint="eastAsia"/>
                <w:color w:val="auto"/>
              </w:rPr>
              <w:t>北厂界</w:t>
            </w:r>
          </w:p>
        </w:tc>
        <w:tc>
          <w:tcPr>
            <w:tcW w:w="1461" w:type="pct"/>
            <w:tcBorders>
              <w:tl2br w:val="nil"/>
              <w:tr2bl w:val="nil"/>
            </w:tcBorders>
            <w:vAlign w:val="center"/>
          </w:tcPr>
          <w:p>
            <w:pPr>
              <w:pStyle w:val="182"/>
              <w:bidi w:val="0"/>
              <w:rPr>
                <w:color w:val="auto"/>
              </w:rPr>
            </w:pPr>
            <w:r>
              <w:rPr>
                <w:rFonts w:hint="eastAsia"/>
                <w:color w:val="auto"/>
              </w:rPr>
              <w:t>5</w:t>
            </w:r>
            <w:r>
              <w:rPr>
                <w:color w:val="auto"/>
              </w:rPr>
              <w:t>5</w:t>
            </w:r>
          </w:p>
        </w:tc>
        <w:tc>
          <w:tcPr>
            <w:tcW w:w="1562" w:type="pct"/>
            <w:tcBorders>
              <w:tl2br w:val="nil"/>
              <w:tr2bl w:val="nil"/>
            </w:tcBorders>
            <w:vAlign w:val="center"/>
          </w:tcPr>
          <w:p>
            <w:pPr>
              <w:pStyle w:val="182"/>
              <w:bidi w:val="0"/>
              <w:rPr>
                <w:color w:val="auto"/>
              </w:rPr>
            </w:pPr>
            <w:r>
              <w:rPr>
                <w:rFonts w:hint="eastAsia"/>
                <w:color w:val="auto"/>
              </w:rPr>
              <w:t>4</w:t>
            </w:r>
            <w:r>
              <w:rPr>
                <w:color w:val="auto"/>
              </w:rPr>
              <w:t>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75" w:type="pct"/>
            <w:gridSpan w:val="2"/>
            <w:tcBorders>
              <w:tl2br w:val="nil"/>
              <w:tr2bl w:val="nil"/>
            </w:tcBorders>
            <w:vAlign w:val="center"/>
          </w:tcPr>
          <w:p>
            <w:pPr>
              <w:pStyle w:val="182"/>
              <w:bidi w:val="0"/>
              <w:rPr>
                <w:rFonts w:hint="eastAsia" w:eastAsia="宋体"/>
                <w:color w:val="auto"/>
                <w:lang w:val="en-US" w:eastAsia="zh-CN"/>
              </w:rPr>
            </w:pPr>
            <w:r>
              <w:rPr>
                <w:rFonts w:hint="eastAsia"/>
                <w:color w:val="auto"/>
                <w:lang w:val="en-US" w:eastAsia="zh-CN"/>
              </w:rPr>
              <w:t>标准值</w:t>
            </w:r>
          </w:p>
        </w:tc>
        <w:tc>
          <w:tcPr>
            <w:tcW w:w="1461" w:type="pct"/>
            <w:tcBorders>
              <w:tl2br w:val="nil"/>
              <w:tr2bl w:val="nil"/>
            </w:tcBorders>
            <w:vAlign w:val="center"/>
          </w:tcPr>
          <w:p>
            <w:pPr>
              <w:pStyle w:val="182"/>
              <w:bidi w:val="0"/>
              <w:rPr>
                <w:rFonts w:hint="default" w:eastAsia="宋体"/>
                <w:color w:val="auto"/>
                <w:lang w:val="en-US" w:eastAsia="zh-CN"/>
              </w:rPr>
            </w:pPr>
            <w:r>
              <w:rPr>
                <w:rFonts w:hint="eastAsia"/>
                <w:color w:val="auto"/>
                <w:lang w:val="en-US" w:eastAsia="zh-CN"/>
              </w:rPr>
              <w:t>65</w:t>
            </w:r>
          </w:p>
        </w:tc>
        <w:tc>
          <w:tcPr>
            <w:tcW w:w="1562" w:type="pct"/>
            <w:tcBorders>
              <w:tl2br w:val="nil"/>
              <w:tr2bl w:val="nil"/>
            </w:tcBorders>
            <w:vAlign w:val="center"/>
          </w:tcPr>
          <w:p>
            <w:pPr>
              <w:pStyle w:val="182"/>
              <w:bidi w:val="0"/>
              <w:rPr>
                <w:rFonts w:hint="default" w:eastAsia="宋体"/>
                <w:color w:val="auto"/>
                <w:lang w:val="en-US" w:eastAsia="zh-CN"/>
              </w:rPr>
            </w:pPr>
            <w:r>
              <w:rPr>
                <w:rFonts w:hint="eastAsia"/>
                <w:color w:val="auto"/>
                <w:lang w:val="en-US" w:eastAsia="zh-CN"/>
              </w:rPr>
              <w:t>55</w:t>
            </w:r>
          </w:p>
        </w:tc>
      </w:tr>
    </w:tbl>
    <w:p>
      <w:pPr>
        <w:bidi w:val="0"/>
        <w:rPr>
          <w:color w:val="auto"/>
        </w:rPr>
      </w:pPr>
      <w:r>
        <w:rPr>
          <w:rFonts w:hint="eastAsia"/>
          <w:color w:val="auto"/>
        </w:rPr>
        <w:t>由上表可知，四厂界处的噪声为：昼间5</w:t>
      </w:r>
      <w:r>
        <w:rPr>
          <w:color w:val="auto"/>
        </w:rPr>
        <w:t>3</w:t>
      </w:r>
      <w:r>
        <w:rPr>
          <w:rFonts w:hint="eastAsia"/>
          <w:color w:val="auto"/>
        </w:rPr>
        <w:t>～56dB（A）之间、夜间44～4</w:t>
      </w:r>
      <w:r>
        <w:rPr>
          <w:color w:val="auto"/>
        </w:rPr>
        <w:t>6</w:t>
      </w:r>
      <w:r>
        <w:rPr>
          <w:rFonts w:hint="eastAsia"/>
          <w:color w:val="auto"/>
        </w:rPr>
        <w:t>dB（A）之间，能够达到《工业企业厂界环境噪声排放标准》（GB12348-2008）3类昼间65dB(A)、夜间55dB(A</w:t>
      </w:r>
      <w:r>
        <w:rPr>
          <w:rFonts w:hint="eastAsia"/>
          <w:color w:val="auto"/>
          <w:lang w:eastAsia="zh-CN"/>
        </w:rPr>
        <w:t>)</w:t>
      </w:r>
      <w:r>
        <w:rPr>
          <w:rFonts w:hint="eastAsia"/>
          <w:color w:val="auto"/>
        </w:rPr>
        <w:t>的标准限值要求。</w:t>
      </w:r>
    </w:p>
    <w:p>
      <w:pPr>
        <w:pStyle w:val="9"/>
        <w:bidi w:val="0"/>
      </w:pPr>
      <w:r>
        <w:rPr>
          <w:rFonts w:hint="eastAsia"/>
        </w:rPr>
        <w:t>3</w:t>
      </w:r>
      <w:r>
        <w:t>.</w:t>
      </w:r>
      <w:r>
        <w:rPr>
          <w:rFonts w:hint="eastAsia"/>
          <w:lang w:val="en-US" w:eastAsia="zh-CN"/>
        </w:rPr>
        <w:t>3</w:t>
      </w:r>
      <w:r>
        <w:t>.7</w:t>
      </w:r>
      <w:r>
        <w:rPr>
          <w:rFonts w:hint="eastAsia"/>
          <w:lang w:val="en-US" w:eastAsia="zh-CN"/>
        </w:rPr>
        <w:t>已建</w:t>
      </w:r>
      <w:r>
        <w:rPr>
          <w:rFonts w:hint="eastAsia"/>
        </w:rPr>
        <w:t>工程三废排放情况</w:t>
      </w:r>
    </w:p>
    <w:p>
      <w:pPr>
        <w:bidi w:val="0"/>
        <w:rPr>
          <w:rFonts w:hint="eastAsia"/>
          <w:b/>
          <w:bCs/>
          <w:i w:val="0"/>
          <w:iCs w:val="0"/>
          <w:u w:val="single"/>
        </w:rPr>
      </w:pPr>
      <w:r>
        <w:rPr>
          <w:rFonts w:hint="eastAsia"/>
          <w:b/>
          <w:bCs/>
          <w:i w:val="0"/>
          <w:iCs w:val="0"/>
          <w:u w:val="single"/>
          <w:lang w:val="en-US" w:eastAsia="zh-CN"/>
        </w:rPr>
        <w:t>企业已建</w:t>
      </w:r>
      <w:r>
        <w:rPr>
          <w:rFonts w:hint="eastAsia"/>
          <w:b/>
          <w:bCs/>
          <w:i w:val="0"/>
          <w:iCs w:val="0"/>
          <w:u w:val="single"/>
        </w:rPr>
        <w:t>工程“三废”排放情况见下表。</w:t>
      </w:r>
    </w:p>
    <w:p>
      <w:pPr>
        <w:pStyle w:val="181"/>
        <w:bidi w:val="0"/>
      </w:pPr>
      <w:r>
        <w:rPr>
          <w:rFonts w:hint="eastAsia"/>
          <w:lang w:val="en-US" w:eastAsia="zh-CN"/>
        </w:rPr>
        <w:t xml:space="preserve">表3.3-19        </w:t>
      </w:r>
      <w:r>
        <w:t>新厂区已建工程污染物</w:t>
      </w:r>
      <w:r>
        <w:rPr>
          <w:rFonts w:hint="eastAsia"/>
          <w:lang w:val="en-US" w:eastAsia="zh-CN"/>
        </w:rPr>
        <w:t>产</w:t>
      </w:r>
      <w:r>
        <w:t>排汇总</w:t>
      </w:r>
    </w:p>
    <w:tbl>
      <w:tblPr>
        <w:tblStyle w:val="32"/>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Layout w:type="autofit"/>
        <w:tblCellMar>
          <w:top w:w="0" w:type="dxa"/>
          <w:left w:w="108" w:type="dxa"/>
          <w:bottom w:w="0" w:type="dxa"/>
          <w:right w:w="108" w:type="dxa"/>
        </w:tblCellMar>
      </w:tblPr>
      <w:tblGrid>
        <w:gridCol w:w="646"/>
        <w:gridCol w:w="2371"/>
        <w:gridCol w:w="1727"/>
        <w:gridCol w:w="1888"/>
        <w:gridCol w:w="188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2783" w:type="pct"/>
            <w:gridSpan w:val="3"/>
            <w:tcBorders>
              <w:tl2br w:val="nil"/>
              <w:tr2bl w:val="nil"/>
            </w:tcBorders>
            <w:shd w:val="clear" w:color="auto" w:fill="auto"/>
            <w:vAlign w:val="center"/>
          </w:tcPr>
          <w:p>
            <w:pPr>
              <w:pStyle w:val="182"/>
              <w:bidi w:val="0"/>
              <w:rPr>
                <w:b/>
                <w:bCs/>
                <w:u w:val="single"/>
              </w:rPr>
            </w:pPr>
            <w:r>
              <w:rPr>
                <w:rFonts w:hint="eastAsia"/>
                <w:b/>
                <w:bCs/>
                <w:u w:val="single"/>
                <w:lang w:val="en-US" w:eastAsia="zh-CN"/>
              </w:rPr>
              <w:t>污染物</w:t>
            </w:r>
          </w:p>
        </w:tc>
        <w:tc>
          <w:tcPr>
            <w:tcW w:w="1108" w:type="pct"/>
            <w:tcBorders>
              <w:tl2br w:val="nil"/>
              <w:tr2bl w:val="nil"/>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单位</w:t>
            </w:r>
          </w:p>
        </w:tc>
        <w:tc>
          <w:tcPr>
            <w:tcW w:w="11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已建工程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废水</w:t>
            </w:r>
          </w:p>
        </w:tc>
        <w:tc>
          <w:tcPr>
            <w:tcW w:w="1391" w:type="pct"/>
            <w:vMerge w:val="restart"/>
            <w:tcBorders>
              <w:tl2br w:val="nil"/>
              <w:tr2bl w:val="nil"/>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生产废水</w:t>
            </w:r>
          </w:p>
        </w:tc>
        <w:tc>
          <w:tcPr>
            <w:tcW w:w="1011"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COD</w:t>
            </w:r>
          </w:p>
        </w:tc>
        <w:tc>
          <w:tcPr>
            <w:tcW w:w="1888" w:type="dxa"/>
            <w:tcBorders>
              <w:tl2br w:val="nil"/>
              <w:tr2bl w:val="nil"/>
            </w:tcBorders>
            <w:shd w:val="clear" w:color="auto" w:fill="auto"/>
            <w:vAlign w:val="center"/>
          </w:tcPr>
          <w:p>
            <w:pPr>
              <w:pStyle w:val="182"/>
              <w:bidi w:val="0"/>
              <w:ind w:firstLine="0" w:firstLineChars="0"/>
              <w:rPr>
                <w:rFonts w:hint="eastAsia"/>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798.4136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1011"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NH</w:t>
            </w:r>
            <w:r>
              <w:rPr>
                <w:rFonts w:hint="eastAsia"/>
                <w:b/>
                <w:bCs/>
                <w:u w:val="single"/>
                <w:vertAlign w:val="subscript"/>
                <w:lang w:val="en-US" w:eastAsia="zh-CN"/>
              </w:rPr>
              <w:t>3</w:t>
            </w:r>
            <w:r>
              <w:rPr>
                <w:rFonts w:hint="eastAsia"/>
                <w:b/>
                <w:bCs/>
                <w:u w:val="single"/>
                <w:lang w:val="en-US" w:eastAsia="zh-CN"/>
              </w:rPr>
              <w:t>-N</w:t>
            </w:r>
          </w:p>
        </w:tc>
        <w:tc>
          <w:tcPr>
            <w:tcW w:w="1888" w:type="dxa"/>
            <w:tcBorders>
              <w:tl2br w:val="nil"/>
              <w:tr2bl w:val="nil"/>
            </w:tcBorders>
            <w:shd w:val="clear" w:color="auto" w:fill="auto"/>
            <w:vAlign w:val="center"/>
          </w:tcPr>
          <w:p>
            <w:pPr>
              <w:pStyle w:val="182"/>
              <w:bidi w:val="0"/>
              <w:ind w:firstLine="0" w:firstLineChars="0"/>
              <w:rPr>
                <w:rFonts w:hint="eastAsia"/>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33.5311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1011"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TN</w:t>
            </w:r>
          </w:p>
        </w:tc>
        <w:tc>
          <w:tcPr>
            <w:tcW w:w="1888" w:type="dxa"/>
            <w:tcBorders>
              <w:tl2br w:val="nil"/>
              <w:tr2bl w:val="nil"/>
            </w:tcBorders>
            <w:shd w:val="clear" w:color="auto" w:fill="auto"/>
            <w:vAlign w:val="center"/>
          </w:tcPr>
          <w:p>
            <w:pPr>
              <w:pStyle w:val="182"/>
              <w:bidi w:val="0"/>
              <w:ind w:firstLine="0" w:firstLineChars="0"/>
              <w:rPr>
                <w:rFonts w:hint="eastAsia"/>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122.4675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1011"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TP</w:t>
            </w:r>
          </w:p>
        </w:tc>
        <w:tc>
          <w:tcPr>
            <w:tcW w:w="1888" w:type="dxa"/>
            <w:tcBorders>
              <w:tl2br w:val="nil"/>
              <w:tr2bl w:val="nil"/>
            </w:tcBorders>
            <w:shd w:val="clear" w:color="auto" w:fill="auto"/>
            <w:vAlign w:val="center"/>
          </w:tcPr>
          <w:p>
            <w:pPr>
              <w:pStyle w:val="182"/>
              <w:bidi w:val="0"/>
              <w:ind w:firstLine="0" w:firstLineChars="0"/>
              <w:rPr>
                <w:rFonts w:hint="eastAsia"/>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1.9428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1011"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锌</w:t>
            </w:r>
          </w:p>
        </w:tc>
        <w:tc>
          <w:tcPr>
            <w:tcW w:w="1888" w:type="dxa"/>
            <w:tcBorders>
              <w:tl2br w:val="nil"/>
              <w:tr2bl w:val="nil"/>
            </w:tcBorders>
            <w:shd w:val="clear" w:color="auto" w:fill="auto"/>
            <w:vAlign w:val="center"/>
          </w:tcPr>
          <w:p>
            <w:pPr>
              <w:pStyle w:val="182"/>
              <w:bidi w:val="0"/>
              <w:ind w:firstLine="0" w:firstLineChars="0"/>
              <w:rPr>
                <w:rFonts w:hint="eastAsia"/>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0.2446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1011"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硫化物</w:t>
            </w:r>
          </w:p>
        </w:tc>
        <w:tc>
          <w:tcPr>
            <w:tcW w:w="1888" w:type="dxa"/>
            <w:tcBorders>
              <w:tl2br w:val="nil"/>
              <w:tr2bl w:val="nil"/>
            </w:tcBorders>
            <w:shd w:val="clear" w:color="auto" w:fill="auto"/>
            <w:vAlign w:val="center"/>
          </w:tcPr>
          <w:p>
            <w:pPr>
              <w:pStyle w:val="182"/>
              <w:bidi w:val="0"/>
              <w:ind w:firstLine="0" w:firstLineChars="0"/>
              <w:rPr>
                <w:rFonts w:hint="eastAsia"/>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0.0720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1011"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水量</w:t>
            </w:r>
          </w:p>
        </w:tc>
        <w:tc>
          <w:tcPr>
            <w:tcW w:w="1108" w:type="pct"/>
            <w:tcBorders>
              <w:tl2br w:val="nil"/>
              <w:tr2bl w:val="nil"/>
            </w:tcBorders>
            <w:shd w:val="clear" w:color="auto" w:fill="auto"/>
            <w:vAlign w:val="center"/>
          </w:tcPr>
          <w:p>
            <w:pPr>
              <w:pStyle w:val="182"/>
              <w:bidi w:val="0"/>
              <w:rPr>
                <w:rFonts w:hint="eastAsia"/>
                <w:b/>
                <w:bCs/>
                <w:u w:val="single"/>
                <w:lang w:val="en-US" w:eastAsia="zh-CN"/>
              </w:rPr>
            </w:pPr>
            <w:r>
              <w:rPr>
                <w:rFonts w:hint="eastAsia"/>
                <w:b/>
                <w:bCs/>
                <w:u w:val="single"/>
                <w:lang w:val="en-US" w:eastAsia="zh-CN"/>
              </w:rPr>
              <w:t>万t/a</w:t>
            </w:r>
          </w:p>
        </w:tc>
        <w:tc>
          <w:tcPr>
            <w:tcW w:w="11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719.5508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废气</w:t>
            </w:r>
          </w:p>
        </w:tc>
        <w:tc>
          <w:tcPr>
            <w:tcW w:w="1391" w:type="pct"/>
            <w:vMerge w:val="restart"/>
            <w:tcBorders>
              <w:tl2br w:val="nil"/>
              <w:tr2bl w:val="nil"/>
            </w:tcBorders>
            <w:shd w:val="clear" w:color="auto" w:fill="auto"/>
            <w:vAlign w:val="center"/>
          </w:tcPr>
          <w:p>
            <w:pPr>
              <w:pStyle w:val="182"/>
              <w:bidi w:val="0"/>
              <w:rPr>
                <w:rFonts w:hint="default"/>
                <w:b/>
                <w:bCs/>
                <w:u w:val="single"/>
                <w:lang w:val="en-US" w:eastAsia="zh-CN"/>
              </w:rPr>
            </w:pPr>
            <w:r>
              <w:rPr>
                <w:rFonts w:hint="eastAsia"/>
                <w:b/>
                <w:bCs/>
                <w:u w:val="single"/>
                <w:lang w:val="en-US" w:eastAsia="zh-CN"/>
              </w:rPr>
              <w:t>有组织废气</w:t>
            </w:r>
          </w:p>
        </w:tc>
        <w:tc>
          <w:tcPr>
            <w:tcW w:w="1011"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颗粒物</w:t>
            </w:r>
          </w:p>
        </w:tc>
        <w:tc>
          <w:tcPr>
            <w:tcW w:w="1888" w:type="dxa"/>
            <w:tcBorders>
              <w:tl2br w:val="nil"/>
              <w:tr2bl w:val="nil"/>
            </w:tcBorders>
            <w:shd w:val="clear" w:color="auto" w:fill="auto"/>
            <w:vAlign w:val="center"/>
          </w:tcPr>
          <w:p>
            <w:pPr>
              <w:pStyle w:val="182"/>
              <w:bidi w:val="0"/>
              <w:ind w:firstLine="0" w:firstLineChars="0"/>
              <w:rPr>
                <w:rFonts w:hint="eastAsia"/>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7.81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default"/>
                <w:b/>
                <w:bCs/>
                <w:u w:val="single"/>
                <w:lang w:val="en-US" w:eastAsia="zh-CN"/>
              </w:rPr>
            </w:pPr>
          </w:p>
        </w:tc>
        <w:tc>
          <w:tcPr>
            <w:tcW w:w="101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SO</w:t>
            </w:r>
            <w:r>
              <w:rPr>
                <w:rFonts w:hint="default"/>
                <w:b/>
                <w:bCs/>
                <w:u w:val="single"/>
                <w:vertAlign w:val="subscript"/>
                <w:lang w:val="en-US" w:eastAsia="zh-CN"/>
              </w:rPr>
              <w:t>2</w:t>
            </w:r>
          </w:p>
        </w:tc>
        <w:tc>
          <w:tcPr>
            <w:tcW w:w="1888" w:type="dxa"/>
            <w:tcBorders>
              <w:tl2br w:val="nil"/>
              <w:tr2bl w:val="nil"/>
            </w:tcBorders>
            <w:shd w:val="clear" w:color="auto" w:fill="auto"/>
            <w:noWrap/>
            <w:vAlign w:val="center"/>
          </w:tcPr>
          <w:p>
            <w:pPr>
              <w:pStyle w:val="182"/>
              <w:bidi w:val="0"/>
              <w:ind w:firstLine="0" w:firstLineChars="0"/>
              <w:rPr>
                <w:rFonts w:hint="default"/>
                <w:b/>
                <w:bCs/>
                <w:u w:val="single"/>
                <w:lang w:val="en-US" w:eastAsia="zh-CN"/>
              </w:rPr>
            </w:pPr>
            <w:r>
              <w:rPr>
                <w:b/>
                <w:bCs/>
                <w:u w:val="single"/>
              </w:rPr>
              <w:t>t/a</w:t>
            </w:r>
          </w:p>
        </w:tc>
        <w:tc>
          <w:tcPr>
            <w:tcW w:w="1108" w:type="pct"/>
            <w:tcBorders>
              <w:tl2br w:val="nil"/>
              <w:tr2bl w:val="nil"/>
            </w:tcBorders>
            <w:shd w:val="clear" w:color="auto" w:fill="auto"/>
            <w:noWrap/>
            <w:vAlign w:val="center"/>
          </w:tcPr>
          <w:p>
            <w:pPr>
              <w:pStyle w:val="182"/>
              <w:bidi w:val="0"/>
              <w:rPr>
                <w:rFonts w:hint="default"/>
                <w:b/>
                <w:bCs/>
                <w:u w:val="single"/>
              </w:rPr>
            </w:pPr>
            <w:r>
              <w:rPr>
                <w:rFonts w:hint="default"/>
                <w:b/>
                <w:bCs/>
                <w:u w:val="single"/>
                <w:lang w:val="en-US" w:eastAsia="zh-CN"/>
              </w:rPr>
              <w:t>73.38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default"/>
                <w:b/>
                <w:bCs/>
                <w:u w:val="single"/>
                <w:lang w:val="en-US" w:eastAsia="zh-CN"/>
              </w:rPr>
            </w:pPr>
          </w:p>
        </w:tc>
        <w:tc>
          <w:tcPr>
            <w:tcW w:w="101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NOx</w:t>
            </w:r>
          </w:p>
        </w:tc>
        <w:tc>
          <w:tcPr>
            <w:tcW w:w="1888" w:type="dxa"/>
            <w:tcBorders>
              <w:tl2br w:val="nil"/>
              <w:tr2bl w:val="nil"/>
            </w:tcBorders>
            <w:shd w:val="clear" w:color="auto" w:fill="auto"/>
            <w:noWrap/>
            <w:vAlign w:val="center"/>
          </w:tcPr>
          <w:p>
            <w:pPr>
              <w:pStyle w:val="182"/>
              <w:bidi w:val="0"/>
              <w:ind w:firstLine="0" w:firstLineChars="0"/>
              <w:rPr>
                <w:rFonts w:hint="default"/>
                <w:b/>
                <w:bCs/>
                <w:u w:val="single"/>
                <w:lang w:val="en-US" w:eastAsia="zh-CN"/>
              </w:rPr>
            </w:pPr>
            <w:r>
              <w:rPr>
                <w:b/>
                <w:bCs/>
                <w:u w:val="single"/>
              </w:rPr>
              <w:t>t/a</w:t>
            </w:r>
          </w:p>
        </w:tc>
        <w:tc>
          <w:tcPr>
            <w:tcW w:w="1108" w:type="pct"/>
            <w:tcBorders>
              <w:tl2br w:val="nil"/>
              <w:tr2bl w:val="nil"/>
            </w:tcBorders>
            <w:shd w:val="clear" w:color="auto" w:fill="auto"/>
            <w:noWrap/>
            <w:vAlign w:val="center"/>
          </w:tcPr>
          <w:p>
            <w:pPr>
              <w:pStyle w:val="182"/>
              <w:bidi w:val="0"/>
              <w:rPr>
                <w:rFonts w:hint="default"/>
                <w:b/>
                <w:bCs/>
                <w:u w:val="single"/>
              </w:rPr>
            </w:pPr>
            <w:r>
              <w:rPr>
                <w:rFonts w:hint="default"/>
                <w:b/>
                <w:bCs/>
                <w:u w:val="single"/>
                <w:lang w:val="en-US" w:eastAsia="zh-CN"/>
              </w:rPr>
              <w:t>134.06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default"/>
                <w:b/>
                <w:bCs/>
                <w:u w:val="single"/>
                <w:lang w:val="en-US" w:eastAsia="zh-CN"/>
              </w:rPr>
            </w:pPr>
          </w:p>
        </w:tc>
        <w:tc>
          <w:tcPr>
            <w:tcW w:w="101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Hg</w:t>
            </w:r>
          </w:p>
        </w:tc>
        <w:tc>
          <w:tcPr>
            <w:tcW w:w="1888"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1011"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氨</w:t>
            </w:r>
          </w:p>
        </w:tc>
        <w:tc>
          <w:tcPr>
            <w:tcW w:w="1888"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4.47</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40" w:hRule="atLeast"/>
          <w:jc w:val="center"/>
        </w:trPr>
        <w:tc>
          <w:tcPr>
            <w:tcW w:w="379" w:type="pct"/>
            <w:vMerge w:val="continue"/>
            <w:tcBorders>
              <w:tl2br w:val="nil"/>
              <w:tr2bl w:val="nil"/>
            </w:tcBorders>
            <w:shd w:val="clear" w:color="auto" w:fill="auto"/>
            <w:vAlign w:val="center"/>
          </w:tcPr>
          <w:p>
            <w:pPr>
              <w:pStyle w:val="182"/>
              <w:bidi w:val="0"/>
              <w:rPr>
                <w:rFonts w:hint="eastAsia"/>
                <w:b/>
                <w:bCs/>
                <w:u w:val="single"/>
              </w:rPr>
            </w:pPr>
          </w:p>
        </w:tc>
        <w:tc>
          <w:tcPr>
            <w:tcW w:w="1391" w:type="pct"/>
            <w:vMerge w:val="continue"/>
            <w:tcBorders>
              <w:tl2br w:val="nil"/>
              <w:tr2bl w:val="nil"/>
            </w:tcBorders>
            <w:shd w:val="clear" w:color="auto" w:fill="auto"/>
            <w:vAlign w:val="center"/>
          </w:tcPr>
          <w:p>
            <w:pPr>
              <w:pStyle w:val="182"/>
              <w:bidi w:val="0"/>
              <w:rPr>
                <w:rFonts w:hint="default"/>
                <w:b/>
                <w:bCs/>
                <w:u w:val="single"/>
                <w:lang w:val="en-US" w:eastAsia="zh-CN"/>
              </w:rPr>
            </w:pPr>
          </w:p>
        </w:tc>
        <w:tc>
          <w:tcPr>
            <w:tcW w:w="101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VOC</w:t>
            </w:r>
            <w:r>
              <w:rPr>
                <w:rFonts w:hint="default"/>
                <w:b/>
                <w:bCs/>
                <w:u w:val="single"/>
                <w:vertAlign w:val="subscript"/>
                <w:lang w:val="en-US" w:eastAsia="zh-CN"/>
              </w:rPr>
              <w:t>S</w:t>
            </w:r>
          </w:p>
        </w:tc>
        <w:tc>
          <w:tcPr>
            <w:tcW w:w="1888"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b/>
                <w:bCs/>
                <w:u w:val="single"/>
              </w:rPr>
              <w:t>t/a</w:t>
            </w:r>
          </w:p>
        </w:tc>
        <w:tc>
          <w:tcPr>
            <w:tcW w:w="1108"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5.42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46" w:type="dxa"/>
            <w:vMerge w:val="restart"/>
            <w:tcBorders>
              <w:tl2br w:val="nil"/>
              <w:tr2bl w:val="nil"/>
            </w:tcBorders>
            <w:shd w:val="clear" w:color="auto" w:fill="auto"/>
            <w:vAlign w:val="center"/>
          </w:tcPr>
          <w:p>
            <w:pPr>
              <w:pStyle w:val="182"/>
              <w:bidi w:val="0"/>
              <w:ind w:firstLine="0" w:firstLineChars="0"/>
              <w:rPr>
                <w:rFonts w:hint="eastAsia"/>
                <w:b/>
                <w:bCs/>
                <w:u w:val="single"/>
              </w:rPr>
            </w:pPr>
            <w:r>
              <w:rPr>
                <w:b/>
                <w:bCs/>
                <w:u w:val="single"/>
              </w:rPr>
              <w:t>固废</w:t>
            </w:r>
          </w:p>
        </w:tc>
        <w:tc>
          <w:tcPr>
            <w:tcW w:w="2371"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rFonts w:hint="eastAsia"/>
                <w:b/>
                <w:bCs/>
                <w:u w:val="single"/>
              </w:rPr>
              <w:t>一般固废</w:t>
            </w:r>
          </w:p>
        </w:tc>
        <w:tc>
          <w:tcPr>
            <w:tcW w:w="1727"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b/>
                <w:bCs/>
                <w:u w:val="single"/>
              </w:rPr>
              <w:t>t/a</w:t>
            </w:r>
          </w:p>
        </w:tc>
        <w:tc>
          <w:tcPr>
            <w:tcW w:w="1888"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b/>
                <w:bCs/>
                <w:u w:val="single"/>
              </w:rPr>
              <w:t>t/a</w:t>
            </w:r>
          </w:p>
        </w:tc>
        <w:tc>
          <w:tcPr>
            <w:tcW w:w="1888"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rFonts w:hint="default"/>
                <w:b/>
                <w:bCs/>
                <w:u w:val="single"/>
              </w:rPr>
              <w:t>0</w:t>
            </w:r>
            <w:r>
              <w:rPr>
                <w:rFonts w:hint="default"/>
                <w:b/>
                <w:bCs/>
                <w:u w:val="single"/>
                <w:lang w:eastAsia="zh-CN"/>
              </w:rPr>
              <w:t>（</w:t>
            </w:r>
            <w:r>
              <w:rPr>
                <w:rFonts w:hint="default"/>
                <w:b/>
                <w:bCs/>
                <w:u w:val="single"/>
                <w:lang w:val="en-US" w:eastAsia="zh-CN"/>
              </w:rPr>
              <w:t>排入环境</w:t>
            </w:r>
            <w:r>
              <w:rPr>
                <w:rFonts w:hint="default"/>
                <w:b/>
                <w:bCs/>
                <w:u w:val="singl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46" w:type="dxa"/>
            <w:vMerge w:val="continue"/>
            <w:tcBorders>
              <w:tl2br w:val="nil"/>
              <w:tr2bl w:val="nil"/>
            </w:tcBorders>
            <w:shd w:val="clear" w:color="auto" w:fill="auto"/>
            <w:vAlign w:val="center"/>
          </w:tcPr>
          <w:p>
            <w:pPr>
              <w:pStyle w:val="182"/>
              <w:bidi w:val="0"/>
              <w:ind w:firstLine="0" w:firstLineChars="0"/>
              <w:rPr>
                <w:rFonts w:hint="eastAsia"/>
                <w:b/>
                <w:bCs/>
                <w:u w:val="single"/>
              </w:rPr>
            </w:pPr>
          </w:p>
        </w:tc>
        <w:tc>
          <w:tcPr>
            <w:tcW w:w="2371"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b/>
                <w:bCs/>
                <w:u w:val="single"/>
              </w:rPr>
              <w:t>危险废物</w:t>
            </w:r>
          </w:p>
        </w:tc>
        <w:tc>
          <w:tcPr>
            <w:tcW w:w="1727"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b/>
                <w:bCs/>
                <w:u w:val="single"/>
              </w:rPr>
              <w:t>t/a</w:t>
            </w:r>
          </w:p>
        </w:tc>
        <w:tc>
          <w:tcPr>
            <w:tcW w:w="1888"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b/>
                <w:bCs/>
                <w:u w:val="single"/>
              </w:rPr>
              <w:t>t/a</w:t>
            </w:r>
          </w:p>
        </w:tc>
        <w:tc>
          <w:tcPr>
            <w:tcW w:w="1888" w:type="dxa"/>
            <w:tcBorders>
              <w:tl2br w:val="nil"/>
              <w:tr2bl w:val="nil"/>
            </w:tcBorders>
            <w:shd w:val="clear" w:color="auto" w:fill="auto"/>
            <w:vAlign w:val="center"/>
          </w:tcPr>
          <w:p>
            <w:pPr>
              <w:pStyle w:val="182"/>
              <w:bidi w:val="0"/>
              <w:ind w:firstLine="0" w:firstLineChars="0"/>
              <w:rPr>
                <w:rFonts w:hint="default"/>
                <w:b/>
                <w:bCs/>
                <w:u w:val="single"/>
                <w:lang w:val="en-US" w:eastAsia="zh-CN"/>
              </w:rPr>
            </w:pPr>
            <w:r>
              <w:rPr>
                <w:rFonts w:hint="default"/>
                <w:b/>
                <w:bCs/>
                <w:u w:val="single"/>
              </w:rPr>
              <w:t>0</w:t>
            </w:r>
            <w:r>
              <w:rPr>
                <w:rFonts w:hint="default"/>
                <w:b/>
                <w:bCs/>
                <w:u w:val="single"/>
                <w:lang w:eastAsia="zh-CN"/>
              </w:rPr>
              <w:t>（</w:t>
            </w:r>
            <w:r>
              <w:rPr>
                <w:rFonts w:hint="default"/>
                <w:b/>
                <w:bCs/>
                <w:u w:val="single"/>
                <w:lang w:val="en-US" w:eastAsia="zh-CN"/>
              </w:rPr>
              <w:t>排入环境</w:t>
            </w:r>
            <w:r>
              <w:rPr>
                <w:rFonts w:hint="default"/>
                <w:b/>
                <w:bCs/>
                <w:u w:val="single"/>
                <w:lang w:eastAsia="zh-CN"/>
              </w:rPr>
              <w:t>）</w:t>
            </w:r>
          </w:p>
        </w:tc>
      </w:tr>
    </w:tbl>
    <w:p>
      <w:pPr>
        <w:pStyle w:val="121"/>
        <w:bidi w:val="0"/>
        <w:rPr>
          <w:rFonts w:hint="eastAsia"/>
          <w:color w:val="auto"/>
          <w:lang w:val="en-US" w:eastAsia="zh-CN"/>
        </w:rPr>
      </w:pPr>
      <w:r>
        <w:rPr>
          <w:rFonts w:hint="eastAsia"/>
          <w:color w:val="auto"/>
          <w:lang w:val="en-US" w:eastAsia="zh-CN"/>
        </w:rPr>
        <w:t>表3.3-20           企业台账管理情况表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8"/>
        <w:gridCol w:w="6177"/>
        <w:gridCol w:w="1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序号</w:t>
            </w:r>
          </w:p>
        </w:tc>
        <w:tc>
          <w:tcPr>
            <w:tcW w:w="3623"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记录内容</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是否完整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1</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机组启停报告、信息公开情况、污水异常来水、处置记录</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2</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废水环保设施运行参数及排放情况</w:t>
            </w:r>
            <w:r>
              <w:rPr>
                <w:rFonts w:hint="eastAsia"/>
                <w:b/>
                <w:bCs/>
                <w:i w:val="0"/>
                <w:iCs w:val="0"/>
                <w:color w:val="auto"/>
                <w:u w:val="single"/>
                <w:lang w:val="en-US" w:eastAsia="zh-CN"/>
              </w:rPr>
              <w:t>：</w:t>
            </w:r>
            <w:r>
              <w:rPr>
                <w:rFonts w:hint="default"/>
                <w:b/>
                <w:bCs/>
                <w:i w:val="0"/>
                <w:iCs w:val="0"/>
                <w:color w:val="auto"/>
                <w:u w:val="single"/>
                <w:lang w:val="en-US" w:eastAsia="zh-CN"/>
              </w:rPr>
              <w:t>废水处理能力、进水水质、运行参数、废水排放去向、排放量、回用量、污泥产生量及运行费用</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3</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无组织废气治理设施</w:t>
            </w:r>
            <w:r>
              <w:rPr>
                <w:rFonts w:hint="eastAsia"/>
                <w:b/>
                <w:bCs/>
                <w:i w:val="0"/>
                <w:iCs w:val="0"/>
                <w:color w:val="auto"/>
                <w:u w:val="single"/>
                <w:lang w:val="en-US" w:eastAsia="zh-CN"/>
              </w:rPr>
              <w:t>：</w:t>
            </w:r>
            <w:r>
              <w:rPr>
                <w:rFonts w:hint="default"/>
                <w:b/>
                <w:bCs/>
                <w:i w:val="0"/>
                <w:iCs w:val="0"/>
                <w:color w:val="auto"/>
                <w:u w:val="single"/>
                <w:lang w:val="en-US" w:eastAsia="zh-CN"/>
              </w:rPr>
              <w:t>原辅料储罐、物料输送等相应的运行、维护、管理等记录</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4</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企业名称、法人、组织机构代码、地址等基础信息</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5</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烟气、挥发性有机物和污水在线监测运维报表自动监控设备记录包括自动监控设备的运行维护记录。</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6</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手工监测记录</w:t>
            </w:r>
            <w:r>
              <w:rPr>
                <w:rFonts w:hint="eastAsia"/>
                <w:b/>
                <w:bCs/>
                <w:i w:val="0"/>
                <w:iCs w:val="0"/>
                <w:color w:val="auto"/>
                <w:u w:val="single"/>
                <w:lang w:val="en-US" w:eastAsia="zh-CN"/>
              </w:rPr>
              <w:t>：</w:t>
            </w:r>
            <w:r>
              <w:rPr>
                <w:rFonts w:hint="default"/>
                <w:b/>
                <w:bCs/>
                <w:i w:val="0"/>
                <w:iCs w:val="0"/>
                <w:color w:val="auto"/>
                <w:u w:val="single"/>
                <w:lang w:val="en-US" w:eastAsia="zh-CN"/>
              </w:rPr>
              <w:t>检测日期、采样及测定方法、监测结果手工监测记录包括采样记录、样品保存和交接记录、样品分析记录和质控记录等。</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7</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自动监测</w:t>
            </w:r>
            <w:r>
              <w:rPr>
                <w:rFonts w:hint="eastAsia"/>
                <w:b/>
                <w:bCs/>
                <w:i w:val="0"/>
                <w:iCs w:val="0"/>
                <w:color w:val="auto"/>
                <w:u w:val="single"/>
                <w:lang w:val="en-US" w:eastAsia="zh-CN"/>
              </w:rPr>
              <w:t>：</w:t>
            </w:r>
            <w:r>
              <w:rPr>
                <w:rFonts w:hint="default"/>
                <w:b/>
                <w:bCs/>
                <w:i w:val="0"/>
                <w:iCs w:val="0"/>
                <w:color w:val="auto"/>
                <w:u w:val="single"/>
                <w:lang w:val="en-US" w:eastAsia="zh-CN"/>
              </w:rPr>
              <w:t>自动监测及辅助设备运行状况、系统校准、校验记录、定期比对检测记录、维护保养记录、是否故障、故障维修记录、巡检日期</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8</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污染物治理设施及污染物排放的相关主要运行参数</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9</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设备运行校验关键参数</w:t>
            </w:r>
            <w:r>
              <w:rPr>
                <w:rFonts w:hint="eastAsia"/>
                <w:b/>
                <w:bCs/>
                <w:i w:val="0"/>
                <w:iCs w:val="0"/>
                <w:color w:val="auto"/>
                <w:u w:val="single"/>
                <w:lang w:val="en-US" w:eastAsia="zh-CN"/>
              </w:rPr>
              <w:t>（</w:t>
            </w:r>
            <w:r>
              <w:rPr>
                <w:rFonts w:hint="default"/>
                <w:b/>
                <w:bCs/>
                <w:i w:val="0"/>
                <w:iCs w:val="0"/>
                <w:color w:val="auto"/>
                <w:u w:val="single"/>
                <w:lang w:val="en-US" w:eastAsia="zh-CN"/>
              </w:rPr>
              <w:t>DCS曲线</w:t>
            </w:r>
            <w:r>
              <w:rPr>
                <w:rFonts w:hint="eastAsia"/>
                <w:b/>
                <w:bCs/>
                <w:i w:val="0"/>
                <w:iCs w:val="0"/>
                <w:color w:val="auto"/>
                <w:u w:val="single"/>
                <w:lang w:val="en-US" w:eastAsia="zh-CN"/>
              </w:rPr>
              <w:t>）：</w:t>
            </w:r>
            <w:r>
              <w:rPr>
                <w:rFonts w:hint="default"/>
                <w:b/>
                <w:bCs/>
                <w:i w:val="0"/>
                <w:iCs w:val="0"/>
                <w:color w:val="auto"/>
                <w:u w:val="single"/>
                <w:lang w:val="en-US" w:eastAsia="zh-CN"/>
              </w:rPr>
              <w:t>机组负荷、烟气量等</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10</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有组织废气环保设施运行参数、排放情况，包括</w:t>
            </w:r>
            <w:r>
              <w:rPr>
                <w:rFonts w:hint="eastAsia"/>
                <w:b/>
                <w:bCs/>
                <w:i w:val="0"/>
                <w:iCs w:val="0"/>
                <w:color w:val="auto"/>
                <w:u w:val="single"/>
                <w:lang w:val="en-US" w:eastAsia="zh-CN"/>
              </w:rPr>
              <w:t>：</w:t>
            </w:r>
            <w:r>
              <w:rPr>
                <w:rFonts w:hint="default"/>
                <w:b/>
                <w:bCs/>
                <w:i w:val="0"/>
                <w:iCs w:val="0"/>
                <w:color w:val="auto"/>
                <w:u w:val="single"/>
                <w:lang w:val="en-US" w:eastAsia="zh-CN"/>
              </w:rPr>
              <w:t>废气处理能力、运行参数、排放量、脱硫脱硝药剂使用量及运行费用</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11</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煤质分析综合报表</w:t>
            </w:r>
            <w:r>
              <w:rPr>
                <w:rFonts w:hint="eastAsia"/>
                <w:b/>
                <w:bCs/>
                <w:i w:val="0"/>
                <w:iCs w:val="0"/>
                <w:color w:val="auto"/>
                <w:u w:val="single"/>
                <w:lang w:val="en-US" w:eastAsia="zh-CN"/>
              </w:rPr>
              <w:t>：</w:t>
            </w:r>
            <w:r>
              <w:rPr>
                <w:rFonts w:hint="default"/>
                <w:b/>
                <w:bCs/>
                <w:i w:val="0"/>
                <w:iCs w:val="0"/>
                <w:color w:val="auto"/>
                <w:u w:val="single"/>
                <w:lang w:val="en-US" w:eastAsia="zh-CN"/>
              </w:rPr>
              <w:t>收到基灰分、干燥无灰基挥发分、收到基含硫、低位发热量</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12</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企业、生产设施、治理设施的名称、工艺等各项基本信息、主要产品原辅材料及燃料信息</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13</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工业固废产生量、转移量、综合利用量，固废管理台账</w:t>
            </w:r>
            <w:r>
              <w:rPr>
                <w:rFonts w:hint="eastAsia"/>
                <w:b/>
                <w:bCs/>
                <w:i w:val="0"/>
                <w:iCs w:val="0"/>
                <w:color w:val="auto"/>
                <w:u w:val="single"/>
                <w:lang w:val="en-US" w:eastAsia="zh-CN"/>
              </w:rPr>
              <w:t>；</w:t>
            </w:r>
            <w:r>
              <w:rPr>
                <w:rFonts w:hint="default"/>
                <w:b/>
                <w:bCs/>
                <w:i w:val="0"/>
                <w:iCs w:val="0"/>
                <w:color w:val="auto"/>
                <w:u w:val="single"/>
                <w:lang w:val="en-US" w:eastAsia="zh-CN"/>
              </w:rPr>
              <w:t>危险废物产生、处置量，危废管理台账、危废转移联单等</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14</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生产设施开停工、检维修情况</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15</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机组生产报表</w:t>
            </w:r>
            <w:r>
              <w:rPr>
                <w:rFonts w:hint="eastAsia"/>
                <w:b/>
                <w:bCs/>
                <w:i w:val="0"/>
                <w:iCs w:val="0"/>
                <w:color w:val="auto"/>
                <w:u w:val="single"/>
                <w:lang w:val="en-US" w:eastAsia="zh-CN"/>
              </w:rPr>
              <w:t>：</w:t>
            </w:r>
            <w:r>
              <w:rPr>
                <w:rFonts w:hint="default"/>
                <w:b/>
                <w:bCs/>
                <w:i w:val="0"/>
                <w:iCs w:val="0"/>
                <w:color w:val="auto"/>
                <w:u w:val="single"/>
                <w:lang w:val="en-US" w:eastAsia="zh-CN"/>
              </w:rPr>
              <w:t>用煤量、发电量、产气量</w:t>
            </w:r>
            <w:r>
              <w:rPr>
                <w:rFonts w:hint="eastAsia"/>
                <w:b/>
                <w:bCs/>
                <w:i w:val="0"/>
                <w:iCs w:val="0"/>
                <w:color w:val="auto"/>
                <w:u w:val="single"/>
                <w:lang w:val="en-US" w:eastAsia="zh-CN"/>
              </w:rPr>
              <w:t>；</w:t>
            </w:r>
            <w:r>
              <w:rPr>
                <w:rFonts w:hint="default"/>
                <w:b/>
                <w:bCs/>
                <w:i w:val="0"/>
                <w:iCs w:val="0"/>
                <w:color w:val="auto"/>
                <w:u w:val="single"/>
                <w:lang w:val="en-US" w:eastAsia="zh-CN"/>
              </w:rPr>
              <w:t>污水处理厂每日排水量、COD、氨氮、总磷、总氮检测数据</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16</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大气有组织排放口林格曼黑度监测记录</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17</w:t>
            </w:r>
          </w:p>
        </w:tc>
        <w:tc>
          <w:tcPr>
            <w:tcW w:w="3623" w:type="pct"/>
            <w:vAlign w:val="center"/>
          </w:tcPr>
          <w:p>
            <w:pPr>
              <w:pStyle w:val="182"/>
              <w:bidi w:val="0"/>
              <w:rPr>
                <w:rFonts w:hint="default"/>
                <w:b/>
                <w:bCs/>
                <w:i w:val="0"/>
                <w:iCs w:val="0"/>
                <w:color w:val="auto"/>
                <w:u w:val="single"/>
                <w:lang w:val="en-US" w:eastAsia="zh-CN"/>
              </w:rPr>
            </w:pPr>
            <w:r>
              <w:rPr>
                <w:rFonts w:hint="default"/>
                <w:b/>
                <w:bCs/>
                <w:i w:val="0"/>
                <w:iCs w:val="0"/>
                <w:color w:val="auto"/>
                <w:u w:val="single"/>
                <w:lang w:val="en-US" w:eastAsia="zh-CN"/>
              </w:rPr>
              <w:t>脱硫、脱硝、污水治理设备设施运行、故障、维护记录</w:t>
            </w:r>
          </w:p>
        </w:tc>
        <w:tc>
          <w:tcPr>
            <w:tcW w:w="685" w:type="pct"/>
            <w:vAlign w:val="center"/>
          </w:tcPr>
          <w:p>
            <w:pPr>
              <w:pStyle w:val="182"/>
              <w:bidi w:val="0"/>
              <w:rPr>
                <w:rFonts w:hint="default"/>
                <w:b/>
                <w:bCs/>
                <w:i w:val="0"/>
                <w:iCs w:val="0"/>
                <w:color w:val="auto"/>
                <w:u w:val="single"/>
                <w:lang w:val="en-US" w:eastAsia="zh-CN"/>
              </w:rPr>
            </w:pPr>
            <w:r>
              <w:rPr>
                <w:rFonts w:hint="eastAsia"/>
                <w:b/>
                <w:bCs/>
                <w:i w:val="0"/>
                <w:iCs w:val="0"/>
                <w:color w:val="auto"/>
                <w:u w:val="single"/>
                <w:lang w:val="en-US" w:eastAsia="zh-CN"/>
              </w:rPr>
              <w:t>是</w:t>
            </w:r>
          </w:p>
        </w:tc>
      </w:tr>
    </w:tbl>
    <w:p>
      <w:pPr>
        <w:pStyle w:val="7"/>
        <w:bidi w:val="0"/>
        <w:rPr>
          <w:rFonts w:hint="eastAsia"/>
          <w:color w:val="auto"/>
          <w:lang w:val="en-US" w:eastAsia="zh-CN"/>
        </w:rPr>
      </w:pPr>
      <w:bookmarkStart w:id="184" w:name="_Toc92"/>
      <w:r>
        <w:rPr>
          <w:rFonts w:hint="eastAsia"/>
          <w:color w:val="auto"/>
          <w:lang w:val="en-US" w:eastAsia="zh-CN"/>
        </w:rPr>
        <w:t>3.4 在建工程工程分析</w:t>
      </w:r>
      <w:bookmarkEnd w:id="184"/>
    </w:p>
    <w:p>
      <w:pPr>
        <w:bidi w:val="0"/>
        <w:rPr>
          <w:rFonts w:hint="eastAsia"/>
          <w:color w:val="auto"/>
          <w:lang w:val="en-US" w:eastAsia="zh-CN"/>
        </w:rPr>
      </w:pPr>
      <w:r>
        <w:rPr>
          <w:rFonts w:hint="default"/>
          <w:color w:val="auto"/>
          <w:lang w:val="en-US" w:eastAsia="zh-CN"/>
        </w:rPr>
        <w:t>项目厂区在建工程为“年产2×2万吨超细旦氨纶纤维项目（年产3×2万吨超细旦氨纶纤维项目二期三期工程）（三期）”（2017年11月由河南省环保厅以豫环审[2015]395号文审批）、“年产2万吨生物质纤维素项目”（2019年4月由新乡市环境保护局以新环书审[2019]6号文审批）、</w:t>
      </w:r>
      <w:r>
        <w:rPr>
          <w:rFonts w:hint="eastAsia"/>
          <w:b/>
          <w:bCs/>
          <w:color w:val="auto"/>
          <w:u w:val="single"/>
          <w:lang w:val="en-US" w:eastAsia="zh-CN"/>
        </w:rPr>
        <w:t>“</w:t>
      </w:r>
      <w:r>
        <w:rPr>
          <w:rFonts w:hint="eastAsia"/>
          <w:b/>
          <w:bCs/>
          <w:color w:val="auto"/>
          <w:u w:val="single"/>
        </w:rPr>
        <w:t>新乡化纤股份有限公司年产六千吨再生氨纶纤维项目</w:t>
      </w:r>
      <w:r>
        <w:rPr>
          <w:rFonts w:hint="eastAsia"/>
          <w:b/>
          <w:bCs/>
          <w:color w:val="auto"/>
          <w:u w:val="single"/>
          <w:lang w:val="en-US" w:eastAsia="zh-CN"/>
        </w:rPr>
        <w:t>”</w:t>
      </w:r>
      <w:r>
        <w:rPr>
          <w:rFonts w:hint="eastAsia"/>
          <w:b/>
          <w:bCs/>
          <w:color w:val="auto"/>
          <w:u w:val="single"/>
          <w:lang w:eastAsia="zh-CN"/>
        </w:rPr>
        <w:t>（</w:t>
      </w:r>
      <w:r>
        <w:rPr>
          <w:rFonts w:hint="eastAsia"/>
          <w:b/>
          <w:bCs/>
          <w:color w:val="auto"/>
          <w:u w:val="single"/>
        </w:rPr>
        <w:t>新环书审[2020]10号</w:t>
      </w:r>
      <w:r>
        <w:rPr>
          <w:rFonts w:hint="default"/>
          <w:b/>
          <w:bCs/>
          <w:color w:val="auto"/>
          <w:u w:val="single"/>
          <w:lang w:val="en-US" w:eastAsia="zh-CN"/>
        </w:rPr>
        <w:t>文审批</w:t>
      </w:r>
      <w:r>
        <w:rPr>
          <w:rFonts w:hint="eastAsia"/>
          <w:b/>
          <w:bCs/>
          <w:color w:val="auto"/>
          <w:u w:val="single"/>
          <w:lang w:eastAsia="zh-CN"/>
        </w:rPr>
        <w:t>）、</w:t>
      </w:r>
      <w:r>
        <w:rPr>
          <w:rFonts w:hint="default"/>
          <w:color w:val="auto"/>
          <w:lang w:val="en-US" w:eastAsia="zh-CN"/>
        </w:rPr>
        <w:t>“年产10万吨高品质超细旦氨纶纤维项目”（2020年由新乡市生态环境局以新环书审[2020]20号文审批）</w:t>
      </w:r>
      <w:r>
        <w:rPr>
          <w:rFonts w:hint="eastAsia"/>
          <w:color w:val="auto"/>
          <w:lang w:val="en-US" w:eastAsia="zh-CN"/>
        </w:rPr>
        <w:t>、“新乡化纤股份有限公司新区1×360t/h锅炉及2×B25MW热电联产项目”（</w:t>
      </w:r>
      <w:r>
        <w:rPr>
          <w:rFonts w:hint="default"/>
          <w:color w:val="auto"/>
          <w:lang w:val="en-US" w:eastAsia="zh-CN"/>
        </w:rPr>
        <w:t>2020年由新乡市生态环境局以新环书审[202</w:t>
      </w:r>
      <w:r>
        <w:rPr>
          <w:rFonts w:hint="eastAsia"/>
          <w:color w:val="auto"/>
          <w:lang w:val="en-US" w:eastAsia="zh-CN"/>
        </w:rPr>
        <w:t>1</w:t>
      </w:r>
      <w:r>
        <w:rPr>
          <w:rFonts w:hint="default"/>
          <w:color w:val="auto"/>
          <w:lang w:val="en-US" w:eastAsia="zh-CN"/>
        </w:rPr>
        <w:t>]</w:t>
      </w:r>
      <w:r>
        <w:rPr>
          <w:rFonts w:hint="eastAsia"/>
          <w:color w:val="auto"/>
          <w:lang w:val="en-US" w:eastAsia="zh-CN"/>
        </w:rPr>
        <w:t>1</w:t>
      </w:r>
      <w:r>
        <w:rPr>
          <w:rFonts w:hint="default"/>
          <w:color w:val="auto"/>
          <w:lang w:val="en-US" w:eastAsia="zh-CN"/>
        </w:rPr>
        <w:t>0号文审批</w:t>
      </w:r>
      <w:r>
        <w:rPr>
          <w:rFonts w:hint="eastAsia"/>
          <w:color w:val="auto"/>
          <w:lang w:val="en-US" w:eastAsia="zh-CN"/>
        </w:rPr>
        <w:t>）。</w:t>
      </w:r>
    </w:p>
    <w:p>
      <w:pPr>
        <w:pStyle w:val="9"/>
        <w:bidi w:val="0"/>
        <w:rPr>
          <w:color w:val="auto"/>
        </w:rPr>
      </w:pPr>
      <w:r>
        <w:rPr>
          <w:rFonts w:hint="eastAsia"/>
          <w:color w:val="auto"/>
        </w:rPr>
        <w:t>3</w:t>
      </w:r>
      <w:r>
        <w:rPr>
          <w:color w:val="auto"/>
        </w:rPr>
        <w:t>.</w:t>
      </w:r>
      <w:r>
        <w:rPr>
          <w:rFonts w:hint="eastAsia"/>
          <w:color w:val="auto"/>
          <w:lang w:val="en-US" w:eastAsia="zh-CN"/>
        </w:rPr>
        <w:t>4</w:t>
      </w:r>
      <w:r>
        <w:rPr>
          <w:color w:val="auto"/>
        </w:rPr>
        <w:t>.1</w:t>
      </w:r>
      <w:r>
        <w:rPr>
          <w:rFonts w:hint="eastAsia"/>
          <w:color w:val="auto"/>
          <w:lang w:val="en-US" w:eastAsia="zh-CN"/>
        </w:rPr>
        <w:t>在建</w:t>
      </w:r>
      <w:r>
        <w:rPr>
          <w:rFonts w:hint="eastAsia"/>
          <w:color w:val="auto"/>
        </w:rPr>
        <w:t>工程概况</w:t>
      </w:r>
    </w:p>
    <w:p>
      <w:pPr>
        <w:bidi w:val="0"/>
        <w:rPr>
          <w:color w:val="auto"/>
        </w:rPr>
      </w:pPr>
      <w:r>
        <w:rPr>
          <w:rFonts w:hint="eastAsia"/>
          <w:color w:val="auto"/>
          <w:lang w:val="en-US" w:eastAsia="zh-CN"/>
        </w:rPr>
        <w:t>在建</w:t>
      </w:r>
      <w:r>
        <w:rPr>
          <w:color w:val="auto"/>
        </w:rPr>
        <w:t>工程基本</w:t>
      </w:r>
      <w:r>
        <w:rPr>
          <w:rFonts w:hint="eastAsia"/>
          <w:color w:val="auto"/>
        </w:rPr>
        <w:t>情况详见表3</w:t>
      </w:r>
      <w:r>
        <w:rPr>
          <w:color w:val="auto"/>
        </w:rPr>
        <w:t>.</w:t>
      </w:r>
      <w:r>
        <w:rPr>
          <w:rFonts w:hint="eastAsia"/>
          <w:color w:val="auto"/>
          <w:lang w:val="en-US" w:eastAsia="zh-CN"/>
        </w:rPr>
        <w:t>4</w:t>
      </w:r>
      <w:r>
        <w:rPr>
          <w:rFonts w:hint="eastAsia"/>
          <w:color w:val="auto"/>
        </w:rPr>
        <w:t>-</w:t>
      </w:r>
      <w:r>
        <w:rPr>
          <w:color w:val="auto"/>
        </w:rPr>
        <w:t>1</w:t>
      </w:r>
      <w:r>
        <w:rPr>
          <w:rFonts w:hint="eastAsia"/>
          <w:color w:val="auto"/>
        </w:rPr>
        <w:t>。</w:t>
      </w:r>
    </w:p>
    <w:p>
      <w:pPr>
        <w:pStyle w:val="181"/>
        <w:bidi w:val="0"/>
        <w:rPr>
          <w:color w:val="auto"/>
        </w:rPr>
      </w:pPr>
      <w:r>
        <w:rPr>
          <w:color w:val="auto"/>
        </w:rPr>
        <w:t>表</w:t>
      </w:r>
      <w:r>
        <w:rPr>
          <w:rFonts w:hint="eastAsia"/>
          <w:color w:val="auto"/>
        </w:rPr>
        <w:t>3.</w:t>
      </w:r>
      <w:r>
        <w:rPr>
          <w:rFonts w:hint="eastAsia"/>
          <w:color w:val="auto"/>
          <w:lang w:val="en-US" w:eastAsia="zh-CN"/>
        </w:rPr>
        <w:t>4</w:t>
      </w:r>
      <w:r>
        <w:rPr>
          <w:color w:val="auto"/>
        </w:rPr>
        <w:t>-1</w:t>
      </w:r>
      <w:r>
        <w:rPr>
          <w:rFonts w:hint="eastAsia"/>
          <w:color w:val="auto"/>
          <w:lang w:val="en-US" w:eastAsia="zh-CN"/>
        </w:rPr>
        <w:t xml:space="preserve">              在建</w:t>
      </w:r>
      <w:r>
        <w:rPr>
          <w:color w:val="auto"/>
        </w:rPr>
        <w:t>工程</w:t>
      </w:r>
      <w:r>
        <w:rPr>
          <w:rFonts w:hint="eastAsia"/>
          <w:color w:val="auto"/>
        </w:rPr>
        <w:t>基本情况</w:t>
      </w:r>
      <w:r>
        <w:rPr>
          <w:color w:val="auto"/>
        </w:rPr>
        <w:t>一览表</w:t>
      </w:r>
    </w:p>
    <w:tbl>
      <w:tblPr>
        <w:tblStyle w:val="32"/>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03"/>
        <w:gridCol w:w="776"/>
        <w:gridCol w:w="507"/>
        <w:gridCol w:w="1797"/>
        <w:gridCol w:w="892"/>
        <w:gridCol w:w="414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tcBorders>
              <w:tl2br w:val="nil"/>
              <w:tr2bl w:val="nil"/>
            </w:tcBorders>
            <w:vAlign w:val="center"/>
          </w:tcPr>
          <w:p>
            <w:pPr>
              <w:pStyle w:val="182"/>
              <w:bidi w:val="0"/>
              <w:rPr>
                <w:b/>
                <w:bCs/>
                <w:color w:val="auto"/>
              </w:rPr>
            </w:pPr>
            <w:r>
              <w:rPr>
                <w:b/>
                <w:bCs/>
                <w:color w:val="auto"/>
              </w:rPr>
              <w:t>序号</w:t>
            </w:r>
          </w:p>
        </w:tc>
        <w:tc>
          <w:tcPr>
            <w:tcW w:w="455" w:type="pct"/>
            <w:tcBorders>
              <w:tl2br w:val="nil"/>
              <w:tr2bl w:val="nil"/>
            </w:tcBorders>
            <w:vAlign w:val="center"/>
          </w:tcPr>
          <w:p>
            <w:pPr>
              <w:pStyle w:val="182"/>
              <w:bidi w:val="0"/>
              <w:rPr>
                <w:b/>
                <w:bCs/>
                <w:color w:val="auto"/>
              </w:rPr>
            </w:pPr>
            <w:r>
              <w:rPr>
                <w:b/>
                <w:bCs/>
                <w:color w:val="auto"/>
              </w:rPr>
              <w:t>工程类别</w:t>
            </w:r>
          </w:p>
        </w:tc>
        <w:tc>
          <w:tcPr>
            <w:tcW w:w="1352" w:type="pct"/>
            <w:gridSpan w:val="2"/>
            <w:tcBorders>
              <w:tl2br w:val="nil"/>
              <w:tr2bl w:val="nil"/>
            </w:tcBorders>
            <w:vAlign w:val="center"/>
          </w:tcPr>
          <w:p>
            <w:pPr>
              <w:pStyle w:val="182"/>
              <w:bidi w:val="0"/>
              <w:rPr>
                <w:b/>
                <w:bCs/>
                <w:color w:val="auto"/>
              </w:rPr>
            </w:pPr>
            <w:r>
              <w:rPr>
                <w:b/>
                <w:bCs/>
                <w:color w:val="auto"/>
              </w:rPr>
              <w:t>工程名称</w:t>
            </w:r>
          </w:p>
        </w:tc>
        <w:tc>
          <w:tcPr>
            <w:tcW w:w="2955" w:type="pct"/>
            <w:gridSpan w:val="2"/>
            <w:tcBorders>
              <w:tl2br w:val="nil"/>
              <w:tr2bl w:val="nil"/>
            </w:tcBorders>
            <w:vAlign w:val="center"/>
          </w:tcPr>
          <w:p>
            <w:pPr>
              <w:pStyle w:val="182"/>
              <w:bidi w:val="0"/>
              <w:rPr>
                <w:b/>
                <w:bCs/>
                <w:color w:val="auto"/>
              </w:rPr>
            </w:pPr>
            <w:r>
              <w:rPr>
                <w:b/>
                <w:bCs/>
                <w:color w:val="auto"/>
              </w:rPr>
              <w:t>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restart"/>
            <w:tcBorders>
              <w:tl2br w:val="nil"/>
              <w:tr2bl w:val="nil"/>
            </w:tcBorders>
            <w:vAlign w:val="center"/>
          </w:tcPr>
          <w:p>
            <w:pPr>
              <w:pStyle w:val="182"/>
              <w:bidi w:val="0"/>
              <w:rPr>
                <w:rFonts w:hint="eastAsia"/>
                <w:color w:val="auto"/>
                <w:lang w:val="en-US" w:eastAsia="zh-CN"/>
              </w:rPr>
            </w:pPr>
            <w:r>
              <w:rPr>
                <w:rFonts w:hint="eastAsia"/>
                <w:color w:val="auto"/>
                <w:lang w:val="en-US" w:eastAsia="zh-CN"/>
              </w:rPr>
              <w:t>1</w:t>
            </w:r>
          </w:p>
        </w:tc>
        <w:tc>
          <w:tcPr>
            <w:tcW w:w="455" w:type="pct"/>
            <w:vMerge w:val="restart"/>
            <w:tcBorders>
              <w:tl2br w:val="nil"/>
              <w:tr2bl w:val="nil"/>
            </w:tcBorders>
            <w:vAlign w:val="center"/>
          </w:tcPr>
          <w:p>
            <w:pPr>
              <w:pStyle w:val="182"/>
              <w:bidi w:val="0"/>
              <w:rPr>
                <w:rFonts w:hint="default"/>
                <w:color w:val="auto"/>
                <w:lang w:val="en-US" w:eastAsia="zh-CN"/>
              </w:rPr>
            </w:pPr>
            <w:r>
              <w:rPr>
                <w:rFonts w:hint="eastAsia"/>
                <w:color w:val="auto"/>
                <w:lang w:val="en-US" w:eastAsia="zh-CN"/>
              </w:rPr>
              <w:t>主体工程</w:t>
            </w:r>
          </w:p>
        </w:tc>
        <w:tc>
          <w:tcPr>
            <w:tcW w:w="1352" w:type="pct"/>
            <w:gridSpan w:val="2"/>
            <w:tcBorders>
              <w:tl2br w:val="nil"/>
              <w:tr2bl w:val="nil"/>
            </w:tcBorders>
            <w:vAlign w:val="center"/>
          </w:tcPr>
          <w:p>
            <w:pPr>
              <w:pStyle w:val="182"/>
              <w:bidi w:val="0"/>
              <w:rPr>
                <w:rFonts w:hint="eastAsia"/>
                <w:color w:val="auto"/>
                <w:lang w:eastAsia="zh-CN"/>
              </w:rPr>
            </w:pPr>
            <w:r>
              <w:rPr>
                <w:rFonts w:hint="eastAsia"/>
                <w:color w:val="auto"/>
              </w:rPr>
              <w:t>年产2×2万吨超细旦氨纶纤维项目（年产3×2万吨超细旦氨纶纤维项目二期三期工程）</w:t>
            </w:r>
            <w:r>
              <w:rPr>
                <w:rFonts w:hint="eastAsia"/>
                <w:color w:val="auto"/>
                <w:lang w:eastAsia="zh-CN"/>
              </w:rPr>
              <w:t>（</w:t>
            </w:r>
            <w:r>
              <w:rPr>
                <w:rFonts w:hint="eastAsia"/>
                <w:color w:val="auto"/>
                <w:lang w:val="en-US" w:eastAsia="zh-CN"/>
              </w:rPr>
              <w:t>三期</w:t>
            </w:r>
            <w:r>
              <w:rPr>
                <w:rFonts w:hint="eastAsia"/>
                <w:color w:val="auto"/>
                <w:lang w:eastAsia="zh-CN"/>
              </w:rPr>
              <w:t>）</w:t>
            </w:r>
          </w:p>
        </w:tc>
        <w:tc>
          <w:tcPr>
            <w:tcW w:w="2955" w:type="pct"/>
            <w:gridSpan w:val="2"/>
            <w:tcBorders>
              <w:tl2br w:val="nil"/>
              <w:tr2bl w:val="nil"/>
            </w:tcBorders>
            <w:vAlign w:val="center"/>
          </w:tcPr>
          <w:p>
            <w:pPr>
              <w:pStyle w:val="182"/>
              <w:bidi w:val="0"/>
              <w:rPr>
                <w:color w:val="auto"/>
              </w:rPr>
            </w:pPr>
            <w:r>
              <w:rPr>
                <w:rFonts w:hint="eastAsia"/>
                <w:color w:val="auto"/>
              </w:rPr>
              <w:t>氨纶主车间1座，PTMG罐区、DMAC罐区、精制区、化工库均依托现有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rPr>
                <w:rFonts w:hint="eastAsia"/>
                <w:color w:val="auto"/>
                <w:lang w:eastAsia="zh-CN"/>
              </w:rPr>
            </w:pPr>
            <w:r>
              <w:rPr>
                <w:rFonts w:hint="eastAsia"/>
                <w:color w:val="auto"/>
              </w:rPr>
              <w:t>年产2万吨生物质纤维素项目</w:t>
            </w:r>
            <w:r>
              <w:rPr>
                <w:rFonts w:hint="eastAsia"/>
                <w:color w:val="auto"/>
                <w:lang w:eastAsia="zh-CN"/>
              </w:rPr>
              <w:t>（</w:t>
            </w:r>
            <w:r>
              <w:rPr>
                <w:rFonts w:hint="eastAsia"/>
                <w:color w:val="auto"/>
                <w:lang w:val="en-US" w:eastAsia="zh-CN"/>
              </w:rPr>
              <w:t>二期</w:t>
            </w:r>
            <w:r>
              <w:rPr>
                <w:rFonts w:hint="eastAsia"/>
                <w:color w:val="auto"/>
                <w:lang w:eastAsia="zh-CN"/>
              </w:rPr>
              <w:t>）</w:t>
            </w:r>
          </w:p>
        </w:tc>
        <w:tc>
          <w:tcPr>
            <w:tcW w:w="2955" w:type="pct"/>
            <w:gridSpan w:val="2"/>
            <w:tcBorders>
              <w:tl2br w:val="nil"/>
              <w:tr2bl w:val="nil"/>
            </w:tcBorders>
            <w:vAlign w:val="center"/>
          </w:tcPr>
          <w:p>
            <w:pPr>
              <w:pStyle w:val="182"/>
              <w:bidi w:val="0"/>
              <w:rPr>
                <w:color w:val="auto"/>
              </w:rPr>
            </w:pPr>
            <w:r>
              <w:rPr>
                <w:rFonts w:hint="eastAsia"/>
                <w:color w:val="auto"/>
              </w:rPr>
              <w:t>纺丝车间1座，成品仓库依托一期，原液车间、酸站、硫酸罐区、NaOH罐区均依托现有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年产六千吨再生氨纶纤维项目</w:t>
            </w:r>
          </w:p>
        </w:tc>
        <w:tc>
          <w:tcPr>
            <w:tcW w:w="2955" w:type="pct"/>
            <w:gridSpan w:val="2"/>
            <w:tcBorders>
              <w:tl2br w:val="nil"/>
              <w:tr2bl w:val="nil"/>
            </w:tcBorders>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再生氨纶主车间1座，依托现有DMAC罐区1座，依托现有精制区1座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rPr>
                <w:color w:val="auto"/>
              </w:rPr>
            </w:pPr>
            <w:r>
              <w:rPr>
                <w:rFonts w:hint="eastAsia"/>
                <w:color w:val="auto"/>
              </w:rPr>
              <w:t>年产10万吨高品质超细旦氨纶纤维项目（建设中）</w:t>
            </w:r>
          </w:p>
        </w:tc>
        <w:tc>
          <w:tcPr>
            <w:tcW w:w="2955" w:type="pct"/>
            <w:gridSpan w:val="2"/>
            <w:tcBorders>
              <w:tl2br w:val="nil"/>
              <w:tr2bl w:val="nil"/>
            </w:tcBorders>
            <w:vAlign w:val="center"/>
          </w:tcPr>
          <w:p>
            <w:pPr>
              <w:pStyle w:val="182"/>
              <w:bidi w:val="0"/>
              <w:rPr>
                <w:color w:val="auto"/>
              </w:rPr>
            </w:pPr>
            <w:r>
              <w:rPr>
                <w:rFonts w:hint="eastAsia"/>
                <w:color w:val="auto"/>
              </w:rPr>
              <w:t>氨纶主车间</w:t>
            </w:r>
            <w:r>
              <w:rPr>
                <w:color w:val="auto"/>
              </w:rPr>
              <w:t>3</w:t>
            </w:r>
            <w:r>
              <w:rPr>
                <w:rFonts w:hint="eastAsia"/>
                <w:color w:val="auto"/>
              </w:rPr>
              <w:t>座，仓库1座，PTMG罐区1</w:t>
            </w:r>
            <w:r>
              <w:rPr>
                <w:color w:val="auto"/>
              </w:rPr>
              <w:t>4</w:t>
            </w:r>
            <w:r>
              <w:rPr>
                <w:rFonts w:hint="eastAsia"/>
                <w:color w:val="auto"/>
              </w:rPr>
              <w:t>座，MDI罐区6座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rPr>
                <w:color w:val="auto"/>
              </w:rPr>
            </w:pPr>
            <w:r>
              <w:rPr>
                <w:color w:val="auto"/>
              </w:rPr>
              <w:t>1×360t/h锅炉及2×B25MW热电联产项目（建设中）</w:t>
            </w:r>
          </w:p>
        </w:tc>
        <w:tc>
          <w:tcPr>
            <w:tcW w:w="2955" w:type="pct"/>
            <w:gridSpan w:val="2"/>
            <w:tcBorders>
              <w:tl2br w:val="nil"/>
              <w:tr2bl w:val="nil"/>
            </w:tcBorders>
            <w:vAlign w:val="center"/>
          </w:tcPr>
          <w:p>
            <w:pPr>
              <w:pStyle w:val="182"/>
              <w:bidi w:val="0"/>
              <w:rPr>
                <w:color w:val="auto"/>
              </w:rPr>
            </w:pPr>
            <w:r>
              <w:rPr>
                <w:color w:val="auto"/>
              </w:rPr>
              <w:t>1×360t/h高温高压煤粉锅炉，背压式汽轮发电机组2×B25MW，煤库1座，燃煤输送系统1套</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2</w:t>
            </w:r>
          </w:p>
        </w:tc>
        <w:tc>
          <w:tcPr>
            <w:tcW w:w="455" w:type="pct"/>
            <w:tcBorders>
              <w:tl2br w:val="nil"/>
              <w:tr2bl w:val="nil"/>
            </w:tcBorders>
            <w:vAlign w:val="center"/>
          </w:tcPr>
          <w:p>
            <w:pPr>
              <w:pStyle w:val="182"/>
              <w:bidi w:val="0"/>
              <w:rPr>
                <w:color w:val="auto"/>
              </w:rPr>
            </w:pPr>
            <w:r>
              <w:rPr>
                <w:rFonts w:hint="eastAsia"/>
                <w:color w:val="auto"/>
              </w:rPr>
              <w:t>建设地点</w:t>
            </w:r>
          </w:p>
        </w:tc>
        <w:tc>
          <w:tcPr>
            <w:tcW w:w="4308" w:type="pct"/>
            <w:gridSpan w:val="4"/>
            <w:tcBorders>
              <w:tl2br w:val="nil"/>
              <w:tr2bl w:val="nil"/>
            </w:tcBorders>
            <w:vAlign w:val="center"/>
          </w:tcPr>
          <w:p>
            <w:pPr>
              <w:pStyle w:val="182"/>
              <w:bidi w:val="0"/>
              <w:rPr>
                <w:color w:val="auto"/>
              </w:rPr>
            </w:pPr>
            <w:r>
              <w:rPr>
                <w:rFonts w:hint="eastAsia"/>
                <w:color w:val="auto"/>
              </w:rPr>
              <w:t>新乡经济技术开发区新长北线南侧新乡化纤现有厂区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3</w:t>
            </w:r>
          </w:p>
        </w:tc>
        <w:tc>
          <w:tcPr>
            <w:tcW w:w="455" w:type="pct"/>
            <w:tcBorders>
              <w:tl2br w:val="nil"/>
              <w:tr2bl w:val="nil"/>
            </w:tcBorders>
            <w:vAlign w:val="center"/>
          </w:tcPr>
          <w:p>
            <w:pPr>
              <w:pStyle w:val="182"/>
              <w:bidi w:val="0"/>
              <w:rPr>
                <w:rFonts w:hint="eastAsia"/>
                <w:color w:val="auto"/>
              </w:rPr>
            </w:pPr>
            <w:r>
              <w:rPr>
                <w:rFonts w:hint="eastAsia"/>
                <w:color w:val="auto"/>
              </w:rPr>
              <w:t>工作制度</w:t>
            </w:r>
          </w:p>
        </w:tc>
        <w:tc>
          <w:tcPr>
            <w:tcW w:w="4308" w:type="pct"/>
            <w:gridSpan w:val="4"/>
            <w:tcBorders>
              <w:tl2br w:val="nil"/>
              <w:tr2bl w:val="nil"/>
            </w:tcBorders>
            <w:vAlign w:val="center"/>
          </w:tcPr>
          <w:p>
            <w:pPr>
              <w:pStyle w:val="182"/>
              <w:bidi w:val="0"/>
              <w:rPr>
                <w:rFonts w:hint="eastAsia"/>
                <w:color w:val="auto"/>
              </w:rPr>
            </w:pPr>
            <w:r>
              <w:rPr>
                <w:rFonts w:hint="eastAsia"/>
                <w:color w:val="auto"/>
              </w:rPr>
              <w:t>年工作33</w:t>
            </w:r>
            <w:r>
              <w:rPr>
                <w:rFonts w:hint="eastAsia"/>
                <w:color w:val="auto"/>
                <w:lang w:val="en-US" w:eastAsia="zh-CN"/>
              </w:rPr>
              <w:t>0</w:t>
            </w:r>
            <w:r>
              <w:rPr>
                <w:rFonts w:hint="eastAsia"/>
                <w:color w:val="auto"/>
              </w:rPr>
              <w:t>天，四班三运转工作制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restart"/>
            <w:tcBorders>
              <w:tl2br w:val="nil"/>
              <w:tr2bl w:val="nil"/>
            </w:tcBorders>
            <w:vAlign w:val="center"/>
          </w:tcPr>
          <w:p>
            <w:pPr>
              <w:pStyle w:val="182"/>
              <w:bidi w:val="0"/>
              <w:rPr>
                <w:rFonts w:hint="eastAsia"/>
                <w:color w:val="auto"/>
                <w:lang w:val="en-US" w:eastAsia="zh-CN"/>
              </w:rPr>
            </w:pPr>
            <w:r>
              <w:rPr>
                <w:rFonts w:hint="eastAsia"/>
                <w:color w:val="auto"/>
                <w:lang w:val="en-US" w:eastAsia="zh-CN"/>
              </w:rPr>
              <w:t>4</w:t>
            </w:r>
          </w:p>
        </w:tc>
        <w:tc>
          <w:tcPr>
            <w:tcW w:w="455" w:type="pct"/>
            <w:vMerge w:val="restart"/>
            <w:tcBorders>
              <w:tl2br w:val="nil"/>
              <w:tr2bl w:val="nil"/>
            </w:tcBorders>
            <w:vAlign w:val="center"/>
          </w:tcPr>
          <w:p>
            <w:pPr>
              <w:pStyle w:val="182"/>
              <w:bidi w:val="0"/>
              <w:rPr>
                <w:color w:val="auto"/>
              </w:rPr>
            </w:pPr>
            <w:r>
              <w:rPr>
                <w:rFonts w:hint="eastAsia"/>
                <w:color w:val="auto"/>
              </w:rPr>
              <w:t>公用工程</w:t>
            </w:r>
          </w:p>
        </w:tc>
        <w:tc>
          <w:tcPr>
            <w:tcW w:w="1352" w:type="pct"/>
            <w:gridSpan w:val="2"/>
            <w:tcBorders>
              <w:tl2br w:val="nil"/>
              <w:tr2bl w:val="nil"/>
            </w:tcBorders>
            <w:vAlign w:val="center"/>
          </w:tcPr>
          <w:p>
            <w:pPr>
              <w:pStyle w:val="182"/>
              <w:bidi w:val="0"/>
              <w:rPr>
                <w:color w:val="auto"/>
              </w:rPr>
            </w:pPr>
            <w:r>
              <w:rPr>
                <w:rFonts w:hint="eastAsia"/>
                <w:color w:val="auto"/>
              </w:rPr>
              <w:t>供热/蒸汽</w:t>
            </w:r>
          </w:p>
        </w:tc>
        <w:tc>
          <w:tcPr>
            <w:tcW w:w="2955" w:type="pct"/>
            <w:gridSpan w:val="2"/>
            <w:tcBorders>
              <w:tl2br w:val="nil"/>
              <w:tr2bl w:val="nil"/>
            </w:tcBorders>
            <w:vAlign w:val="center"/>
          </w:tcPr>
          <w:p>
            <w:pPr>
              <w:pStyle w:val="182"/>
              <w:bidi w:val="0"/>
              <w:rPr>
                <w:color w:val="auto"/>
              </w:rPr>
            </w:pPr>
            <w:r>
              <w:rPr>
                <w:rFonts w:hint="eastAsia"/>
                <w:color w:val="auto"/>
              </w:rPr>
              <w:t>由新乡化纤股份有限公司新厂区2台170t/h锅炉+1台75t/h锅炉提供</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rPr>
                <w:color w:val="auto"/>
              </w:rPr>
            </w:pPr>
            <w:r>
              <w:rPr>
                <w:rFonts w:hint="eastAsia"/>
                <w:color w:val="auto"/>
              </w:rPr>
              <w:t>供水</w:t>
            </w:r>
          </w:p>
        </w:tc>
        <w:tc>
          <w:tcPr>
            <w:tcW w:w="2955" w:type="pct"/>
            <w:gridSpan w:val="2"/>
            <w:tcBorders>
              <w:tl2br w:val="nil"/>
              <w:tr2bl w:val="nil"/>
            </w:tcBorders>
            <w:vAlign w:val="center"/>
          </w:tcPr>
          <w:p>
            <w:pPr>
              <w:pStyle w:val="182"/>
              <w:bidi w:val="0"/>
              <w:rPr>
                <w:color w:val="auto"/>
              </w:rPr>
            </w:pPr>
            <w:r>
              <w:rPr>
                <w:rFonts w:hint="eastAsia"/>
                <w:color w:val="auto"/>
              </w:rPr>
              <w:t>市政管网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rPr>
                <w:color w:val="auto"/>
              </w:rPr>
            </w:pPr>
            <w:r>
              <w:rPr>
                <w:rFonts w:hint="eastAsia"/>
                <w:color w:val="auto"/>
              </w:rPr>
              <w:t>排水</w:t>
            </w:r>
          </w:p>
        </w:tc>
        <w:tc>
          <w:tcPr>
            <w:tcW w:w="2955" w:type="pct"/>
            <w:gridSpan w:val="2"/>
            <w:tcBorders>
              <w:tl2br w:val="nil"/>
              <w:tr2bl w:val="nil"/>
            </w:tcBorders>
            <w:vAlign w:val="center"/>
          </w:tcPr>
          <w:p>
            <w:pPr>
              <w:pStyle w:val="182"/>
              <w:bidi w:val="0"/>
              <w:rPr>
                <w:color w:val="auto"/>
              </w:rPr>
            </w:pPr>
            <w:r>
              <w:rPr>
                <w:rFonts w:hint="eastAsia"/>
                <w:color w:val="auto"/>
              </w:rPr>
              <w:t>厂区废水经现有厂区污水处理站（处理规模3</w:t>
            </w:r>
            <w:r>
              <w:rPr>
                <w:color w:val="auto"/>
              </w:rPr>
              <w:t>.8</w:t>
            </w:r>
            <w:r>
              <w:rPr>
                <w:rFonts w:hint="eastAsia"/>
                <w:color w:val="auto"/>
              </w:rPr>
              <w:t>万t</w:t>
            </w:r>
            <w:r>
              <w:rPr>
                <w:color w:val="auto"/>
              </w:rPr>
              <w:t>/d</w:t>
            </w:r>
            <w:r>
              <w:rPr>
                <w:rFonts w:hint="eastAsia"/>
                <w:color w:val="auto"/>
              </w:rPr>
              <w:t>）处理达标后通过污水管网排入小店污水处理厂进行处理，污水处理厂尾水排入大沙河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rPr>
                <w:color w:val="auto"/>
              </w:rPr>
            </w:pPr>
            <w:r>
              <w:rPr>
                <w:rFonts w:hint="eastAsia"/>
                <w:color w:val="auto"/>
              </w:rPr>
              <w:t>供电</w:t>
            </w:r>
          </w:p>
        </w:tc>
        <w:tc>
          <w:tcPr>
            <w:tcW w:w="2955" w:type="pct"/>
            <w:gridSpan w:val="2"/>
            <w:tcBorders>
              <w:tl2br w:val="nil"/>
              <w:tr2bl w:val="nil"/>
            </w:tcBorders>
            <w:vAlign w:val="center"/>
          </w:tcPr>
          <w:p>
            <w:pPr>
              <w:pStyle w:val="182"/>
              <w:bidi w:val="0"/>
              <w:rPr>
                <w:color w:val="auto"/>
              </w:rPr>
            </w:pPr>
            <w:r>
              <w:rPr>
                <w:rFonts w:hint="eastAsia"/>
                <w:color w:val="auto"/>
              </w:rPr>
              <w:t>由园区统一供给，厂内配套变压器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rPr>
                <w:color w:val="auto"/>
              </w:rPr>
            </w:pPr>
            <w:r>
              <w:rPr>
                <w:rFonts w:hint="eastAsia"/>
                <w:color w:val="auto"/>
              </w:rPr>
              <w:t>脱盐水</w:t>
            </w:r>
          </w:p>
        </w:tc>
        <w:tc>
          <w:tcPr>
            <w:tcW w:w="2955" w:type="pct"/>
            <w:gridSpan w:val="2"/>
            <w:tcBorders>
              <w:tl2br w:val="nil"/>
              <w:tr2bl w:val="nil"/>
            </w:tcBorders>
            <w:vAlign w:val="center"/>
          </w:tcPr>
          <w:p>
            <w:pPr>
              <w:pStyle w:val="182"/>
              <w:bidi w:val="0"/>
              <w:rPr>
                <w:color w:val="auto"/>
              </w:rPr>
            </w:pPr>
            <w:r>
              <w:rPr>
                <w:rFonts w:hint="eastAsia"/>
                <w:color w:val="auto"/>
              </w:rPr>
              <w:t>厂区建设有1座总制备能力为800m</w:t>
            </w:r>
            <w:r>
              <w:rPr>
                <w:rFonts w:hint="eastAsia"/>
                <w:color w:val="auto"/>
                <w:vertAlign w:val="superscript"/>
              </w:rPr>
              <w:t>3</w:t>
            </w:r>
            <w:r>
              <w:rPr>
                <w:rFonts w:hint="eastAsia"/>
                <w:color w:val="auto"/>
              </w:rPr>
              <w:t>/h的脱盐水供水站，脱盐水供水站为全厂项目提供脱盐水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rPr>
                <w:color w:val="auto"/>
              </w:rPr>
            </w:pPr>
            <w:r>
              <w:rPr>
                <w:rFonts w:hint="eastAsia"/>
                <w:color w:val="auto"/>
              </w:rPr>
              <w:t>污水处理站</w:t>
            </w:r>
          </w:p>
        </w:tc>
        <w:tc>
          <w:tcPr>
            <w:tcW w:w="2955" w:type="pct"/>
            <w:gridSpan w:val="2"/>
            <w:tcBorders>
              <w:tl2br w:val="nil"/>
              <w:tr2bl w:val="nil"/>
            </w:tcBorders>
            <w:vAlign w:val="center"/>
          </w:tcPr>
          <w:p>
            <w:pPr>
              <w:pStyle w:val="182"/>
              <w:bidi w:val="0"/>
              <w:rPr>
                <w:color w:val="auto"/>
              </w:rPr>
            </w:pPr>
            <w:r>
              <w:rPr>
                <w:rFonts w:hint="eastAsia"/>
                <w:color w:val="auto"/>
              </w:rPr>
              <w:t>设计规模3</w:t>
            </w:r>
            <w:r>
              <w:rPr>
                <w:color w:val="auto"/>
              </w:rPr>
              <w:t>.8</w:t>
            </w:r>
            <w:r>
              <w:rPr>
                <w:rFonts w:hint="eastAsia"/>
                <w:color w:val="auto"/>
              </w:rPr>
              <w:t>万t</w:t>
            </w:r>
            <w:r>
              <w:rPr>
                <w:color w:val="auto"/>
              </w:rPr>
              <w:t>/d</w:t>
            </w:r>
            <w:r>
              <w:rPr>
                <w:rFonts w:hint="eastAsia"/>
                <w:color w:val="auto"/>
              </w:rPr>
              <w:t>，处理工艺为“中和廊道+沉淀池+pH调节池”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restart"/>
            <w:tcBorders>
              <w:tl2br w:val="nil"/>
              <w:tr2bl w:val="nil"/>
            </w:tcBorders>
            <w:vAlign w:val="center"/>
          </w:tcPr>
          <w:p>
            <w:pPr>
              <w:pStyle w:val="182"/>
              <w:bidi w:val="0"/>
              <w:rPr>
                <w:rFonts w:hint="eastAsia"/>
                <w:color w:val="auto"/>
                <w:lang w:val="en-US" w:eastAsia="zh-CN"/>
              </w:rPr>
            </w:pPr>
            <w:r>
              <w:rPr>
                <w:rFonts w:hint="eastAsia"/>
                <w:color w:val="auto"/>
                <w:lang w:val="en-US" w:eastAsia="zh-CN"/>
              </w:rPr>
              <w:t>5</w:t>
            </w:r>
          </w:p>
        </w:tc>
        <w:tc>
          <w:tcPr>
            <w:tcW w:w="455" w:type="pct"/>
            <w:vMerge w:val="restart"/>
            <w:tcBorders>
              <w:tl2br w:val="nil"/>
              <w:tr2bl w:val="nil"/>
            </w:tcBorders>
            <w:vAlign w:val="center"/>
          </w:tcPr>
          <w:p>
            <w:pPr>
              <w:pStyle w:val="182"/>
              <w:bidi w:val="0"/>
              <w:rPr>
                <w:color w:val="auto"/>
              </w:rPr>
            </w:pPr>
            <w:r>
              <w:rPr>
                <w:color w:val="auto"/>
              </w:rPr>
              <w:t>环保工程</w:t>
            </w:r>
          </w:p>
        </w:tc>
        <w:tc>
          <w:tcPr>
            <w:tcW w:w="297" w:type="pct"/>
            <w:vMerge w:val="restart"/>
            <w:tcBorders>
              <w:tl2br w:val="nil"/>
              <w:tr2bl w:val="nil"/>
            </w:tcBorders>
            <w:vAlign w:val="center"/>
          </w:tcPr>
          <w:p>
            <w:pPr>
              <w:pStyle w:val="182"/>
              <w:bidi w:val="0"/>
              <w:rPr>
                <w:color w:val="auto"/>
              </w:rPr>
            </w:pPr>
            <w:r>
              <w:rPr>
                <w:rFonts w:hint="eastAsia"/>
                <w:color w:val="auto"/>
              </w:rPr>
              <w:t>废气治理设施</w:t>
            </w:r>
          </w:p>
        </w:tc>
        <w:tc>
          <w:tcPr>
            <w:tcW w:w="1054" w:type="pct"/>
            <w:vMerge w:val="restart"/>
            <w:tcBorders>
              <w:tl2br w:val="nil"/>
              <w:tr2bl w:val="nil"/>
            </w:tcBorders>
            <w:vAlign w:val="center"/>
          </w:tcPr>
          <w:p>
            <w:pPr>
              <w:pStyle w:val="182"/>
              <w:bidi w:val="0"/>
              <w:rPr>
                <w:color w:val="auto"/>
              </w:rPr>
            </w:pPr>
            <w:r>
              <w:rPr>
                <w:rFonts w:hint="eastAsia"/>
                <w:color w:val="auto"/>
              </w:rPr>
              <w:t>年产2×2万吨超细旦氨纶纤维项目（年产3×2万吨超细旦氨纶纤维项目二期三期工程）（三期）</w:t>
            </w:r>
          </w:p>
        </w:tc>
        <w:tc>
          <w:tcPr>
            <w:tcW w:w="2955" w:type="pct"/>
            <w:gridSpan w:val="2"/>
            <w:tcBorders>
              <w:tl2br w:val="nil"/>
              <w:tr2bl w:val="nil"/>
            </w:tcBorders>
            <w:vAlign w:val="center"/>
          </w:tcPr>
          <w:p>
            <w:pPr>
              <w:pStyle w:val="182"/>
              <w:bidi w:val="0"/>
              <w:rPr>
                <w:color w:val="auto"/>
              </w:rPr>
            </w:pPr>
            <w:r>
              <w:rPr>
                <w:rFonts w:hint="eastAsia"/>
                <w:color w:val="auto"/>
              </w:rPr>
              <w:t>DMAC精制（真空泵尾气）：经170t/h燃煤锅炉</w:t>
            </w:r>
          </w:p>
          <w:p>
            <w:pPr>
              <w:pStyle w:val="182"/>
              <w:bidi w:val="0"/>
              <w:rPr>
                <w:color w:val="auto"/>
              </w:rPr>
            </w:pPr>
            <w:r>
              <w:rPr>
                <w:rFonts w:hint="eastAsia"/>
                <w:color w:val="auto"/>
              </w:rPr>
              <w:t>炉膛燃烧处理后经80m高3#排气筒排放。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纺丝工艺废气：经二级水喷淋（ABS系统）后引入三级喷淋系统“双氧水喷淋+硫酸喷淋+水喷淋”处理后，经30m高11#排气筒排放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纺丝、卷绕车间废气：收集后经水喷淋处理后经27m高14#排气筒排放。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组件清洗废气：经三级喷淋系统“双氧水喷淋+硫酸喷淋+水喷淋”处理后，经30m高15#排气筒排放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restart"/>
            <w:tcBorders>
              <w:tl2br w:val="nil"/>
              <w:tr2bl w:val="nil"/>
            </w:tcBorders>
            <w:vAlign w:val="center"/>
          </w:tcPr>
          <w:p>
            <w:pPr>
              <w:pStyle w:val="182"/>
              <w:bidi w:val="0"/>
              <w:rPr>
                <w:color w:val="auto"/>
              </w:rPr>
            </w:pPr>
            <w:r>
              <w:rPr>
                <w:rFonts w:hint="eastAsia"/>
                <w:color w:val="auto"/>
              </w:rPr>
              <w:t>年产2万吨生物质纤维素项目（二期）</w:t>
            </w:r>
          </w:p>
        </w:tc>
        <w:tc>
          <w:tcPr>
            <w:tcW w:w="2955" w:type="pct"/>
            <w:gridSpan w:val="2"/>
            <w:tcBorders>
              <w:tl2br w:val="nil"/>
              <w:tr2bl w:val="nil"/>
            </w:tcBorders>
            <w:vAlign w:val="center"/>
          </w:tcPr>
          <w:p>
            <w:pPr>
              <w:pStyle w:val="182"/>
              <w:bidi w:val="0"/>
              <w:rPr>
                <w:color w:val="auto"/>
              </w:rPr>
            </w:pPr>
            <w:r>
              <w:rPr>
                <w:rFonts w:hint="eastAsia"/>
                <w:color w:val="auto"/>
              </w:rPr>
              <w:t>黄化段废气、酸站高浓度废气：经Na</w:t>
            </w:r>
            <w:r>
              <w:rPr>
                <w:rFonts w:hint="eastAsia"/>
                <w:color w:val="auto"/>
                <w:vertAlign w:val="subscript"/>
              </w:rPr>
              <w:t>2</w:t>
            </w:r>
            <w:r>
              <w:rPr>
                <w:rFonts w:hint="eastAsia"/>
                <w:color w:val="auto"/>
              </w:rPr>
              <w:t>CO</w:t>
            </w:r>
            <w:r>
              <w:rPr>
                <w:rFonts w:hint="eastAsia"/>
                <w:color w:val="auto"/>
                <w:vertAlign w:val="subscript"/>
              </w:rPr>
              <w:t>3</w:t>
            </w:r>
            <w:r>
              <w:rPr>
                <w:rFonts w:hint="eastAsia"/>
                <w:color w:val="auto"/>
              </w:rPr>
              <w:t>喷淋脱硫（回收S单质）+活性炭吸附（通过吸附</w:t>
            </w:r>
            <w:r>
              <w:rPr>
                <w:rFonts w:hint="eastAsia"/>
                <w:color w:val="auto"/>
                <w:lang w:eastAsia="zh-CN"/>
              </w:rPr>
              <w:t>－</w:t>
            </w:r>
            <w:r>
              <w:rPr>
                <w:rFonts w:hint="eastAsia"/>
                <w:color w:val="auto"/>
              </w:rPr>
              <w:t>脱附</w:t>
            </w:r>
            <w:r>
              <w:rPr>
                <w:rFonts w:hint="eastAsia"/>
                <w:color w:val="auto"/>
                <w:lang w:eastAsia="zh-CN"/>
              </w:rPr>
              <w:t>－</w:t>
            </w:r>
            <w:r>
              <w:rPr>
                <w:rFonts w:hint="eastAsia"/>
                <w:color w:val="auto"/>
              </w:rPr>
              <w:t>冷凝回收CS</w:t>
            </w:r>
            <w:r>
              <w:rPr>
                <w:rFonts w:hint="eastAsia"/>
                <w:color w:val="auto"/>
                <w:vertAlign w:val="subscript"/>
              </w:rPr>
              <w:t>2</w:t>
            </w:r>
            <w:r>
              <w:rPr>
                <w:rFonts w:hint="eastAsia"/>
                <w:color w:val="auto"/>
              </w:rPr>
              <w:t>）工艺处理后，通过120m高6#排气塔排放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纺丝（东）废气、酸站其他废气、原液车间低浓度废气：碱液喷淋，依托现有120m高6#排气塔排放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纺丝（南）废气：碱液喷淋，依托现有万吨长丝废气120m高7#排气塔排放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restart"/>
            <w:tcBorders>
              <w:tl2br w:val="nil"/>
              <w:tr2bl w:val="nil"/>
            </w:tcBorders>
            <w:vAlign w:val="center"/>
          </w:tcPr>
          <w:p>
            <w:pPr>
              <w:pStyle w:val="182"/>
              <w:bidi w:val="0"/>
              <w:rPr>
                <w:color w:val="auto"/>
              </w:rPr>
            </w:pPr>
            <w:r>
              <w:rPr>
                <w:rFonts w:hint="eastAsia"/>
                <w:color w:val="auto"/>
              </w:rPr>
              <w:t>年产10万吨高品质超细旦氨纶纤维项目</w:t>
            </w:r>
          </w:p>
        </w:tc>
        <w:tc>
          <w:tcPr>
            <w:tcW w:w="2955" w:type="pct"/>
            <w:gridSpan w:val="2"/>
            <w:tcBorders>
              <w:tl2br w:val="nil"/>
              <w:tr2bl w:val="nil"/>
            </w:tcBorders>
            <w:vAlign w:val="center"/>
          </w:tcPr>
          <w:p>
            <w:pPr>
              <w:pStyle w:val="182"/>
              <w:bidi w:val="0"/>
              <w:rPr>
                <w:color w:val="auto"/>
              </w:rPr>
            </w:pPr>
            <w:r>
              <w:rPr>
                <w:rFonts w:hint="eastAsia"/>
                <w:color w:val="auto"/>
              </w:rPr>
              <w:t>DMAC精制工序真空泵尾气：直接引入170t/h燃煤锅炉炉膛燃烧，经80m高3#烟囱排放。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DMAC精制废气燃烧尾气：低氮燃烧技术+选择性催化还原法（SCR）脱硝+袋式除尘器+钠碱法湿式脱硫系统+湿式电除尘处理后，经80m高3#烟囱排放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纺丝工艺废气：二级水喷淋（ABS系统）后与组件清洗废气经三级喷淋系统（双氧水喷淋+稀硫酸喷淋+水喷淋）处理后，经30m高19#、20#、21#排气筒排放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纺丝、卷绕车间空调系统排气：二级水喷淋装置处理后经27m高22#、23#、24#排气筒排放。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添加剂投料粉尘：集气罩+袋式除尘器+15m高16#、17#、18#排气筒排放。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restart"/>
            <w:tcBorders>
              <w:tl2br w:val="nil"/>
              <w:tr2bl w:val="nil"/>
            </w:tcBorders>
            <w:vAlign w:val="center"/>
          </w:tcPr>
          <w:p>
            <w:pPr>
              <w:pStyle w:val="182"/>
              <w:bidi w:val="0"/>
              <w:rPr>
                <w:b/>
                <w:bCs/>
                <w:color w:val="auto"/>
                <w:u w:val="single"/>
              </w:rPr>
            </w:pPr>
            <w:r>
              <w:rPr>
                <w:rFonts w:hint="eastAsia"/>
                <w:b/>
                <w:bCs/>
                <w:color w:val="auto"/>
                <w:u w:val="single"/>
              </w:rPr>
              <w:t>年产六千吨再生氨纶纤维项目</w:t>
            </w:r>
          </w:p>
        </w:tc>
        <w:tc>
          <w:tcPr>
            <w:tcW w:w="2955" w:type="pct"/>
            <w:gridSpan w:val="2"/>
            <w:tcBorders>
              <w:tl2br w:val="nil"/>
              <w:tr2bl w:val="nil"/>
            </w:tcBorders>
            <w:vAlign w:val="center"/>
          </w:tcPr>
          <w:p>
            <w:pPr>
              <w:pStyle w:val="182"/>
              <w:bidi w:val="0"/>
              <w:rPr>
                <w:rFonts w:hint="eastAsia"/>
                <w:b/>
                <w:bCs/>
                <w:color w:val="auto"/>
                <w:u w:val="single"/>
              </w:rPr>
            </w:pPr>
            <w:r>
              <w:rPr>
                <w:rFonts w:hint="eastAsia"/>
                <w:b/>
                <w:bCs/>
                <w:color w:val="auto"/>
                <w:u w:val="single"/>
              </w:rPr>
              <w:t>DMAC精制（真空泵尾气）废气：原环评批复经两级水喷淋处理后与其他废气再经末端“两级水喷淋吸收”净化后由50m高8#排气筒排放。实际将建设为经管道引入170t/h燃煤锅炉炉膛燃烧处理后经80m高3#排气筒排放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b/>
                <w:bCs/>
                <w:color w:val="auto"/>
                <w:u w:val="single"/>
              </w:rPr>
            </w:pPr>
          </w:p>
        </w:tc>
        <w:tc>
          <w:tcPr>
            <w:tcW w:w="2955" w:type="pct"/>
            <w:gridSpan w:val="2"/>
            <w:tcBorders>
              <w:tl2br w:val="nil"/>
              <w:tr2bl w:val="nil"/>
            </w:tcBorders>
            <w:vAlign w:val="center"/>
          </w:tcPr>
          <w:p>
            <w:pPr>
              <w:pStyle w:val="182"/>
              <w:bidi w:val="0"/>
              <w:rPr>
                <w:rFonts w:hint="eastAsia"/>
                <w:b/>
                <w:bCs/>
                <w:color w:val="auto"/>
                <w:u w:val="single"/>
              </w:rPr>
            </w:pPr>
            <w:r>
              <w:rPr>
                <w:rFonts w:hint="eastAsia"/>
                <w:b/>
                <w:bCs/>
                <w:color w:val="auto"/>
                <w:u w:val="single"/>
              </w:rPr>
              <w:t>纺丝工艺废气：经两级水喷淋处理后与其他废气再经末端“两级水喷淋吸收”净化后由50m高8#排气筒排放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b/>
                <w:bCs/>
                <w:color w:val="auto"/>
                <w:u w:val="single"/>
              </w:rPr>
            </w:pPr>
          </w:p>
        </w:tc>
        <w:tc>
          <w:tcPr>
            <w:tcW w:w="2955" w:type="pct"/>
            <w:gridSpan w:val="2"/>
            <w:tcBorders>
              <w:tl2br w:val="nil"/>
              <w:tr2bl w:val="nil"/>
            </w:tcBorders>
            <w:vAlign w:val="center"/>
          </w:tcPr>
          <w:p>
            <w:pPr>
              <w:pStyle w:val="182"/>
              <w:bidi w:val="0"/>
              <w:rPr>
                <w:rFonts w:hint="eastAsia"/>
                <w:b/>
                <w:bCs/>
                <w:color w:val="auto"/>
                <w:u w:val="single"/>
              </w:rPr>
            </w:pPr>
            <w:r>
              <w:rPr>
                <w:rFonts w:hint="eastAsia"/>
                <w:b/>
                <w:bCs/>
                <w:color w:val="auto"/>
                <w:u w:val="single"/>
              </w:rPr>
              <w:t>纺丝、卷绕车间废气：经末端“两级水喷淋吸收”净化后由50m高8#排气筒排放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b/>
                <w:bCs/>
                <w:color w:val="auto"/>
                <w:u w:val="single"/>
              </w:rPr>
            </w:pPr>
          </w:p>
        </w:tc>
        <w:tc>
          <w:tcPr>
            <w:tcW w:w="2955" w:type="pct"/>
            <w:gridSpan w:val="2"/>
            <w:tcBorders>
              <w:tl2br w:val="nil"/>
              <w:tr2bl w:val="nil"/>
            </w:tcBorders>
            <w:vAlign w:val="center"/>
          </w:tcPr>
          <w:p>
            <w:pPr>
              <w:pStyle w:val="182"/>
              <w:bidi w:val="0"/>
              <w:rPr>
                <w:rFonts w:hint="eastAsia"/>
                <w:b/>
                <w:bCs/>
                <w:color w:val="auto"/>
                <w:u w:val="single"/>
              </w:rPr>
            </w:pPr>
            <w:r>
              <w:rPr>
                <w:rFonts w:hint="eastAsia"/>
                <w:b/>
                <w:bCs/>
                <w:color w:val="auto"/>
                <w:u w:val="single"/>
              </w:rPr>
              <w:t>纺丝组件清洗废气：抽风装置收集后，与其他废气经末端“两级水喷淋吸收”净化后由50m高8#排气筒排放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b/>
                <w:bCs/>
                <w:color w:val="auto"/>
                <w:u w:val="single"/>
              </w:rPr>
            </w:pPr>
          </w:p>
        </w:tc>
        <w:tc>
          <w:tcPr>
            <w:tcW w:w="2955" w:type="pct"/>
            <w:gridSpan w:val="2"/>
            <w:tcBorders>
              <w:tl2br w:val="nil"/>
              <w:tr2bl w:val="nil"/>
            </w:tcBorders>
            <w:vAlign w:val="center"/>
          </w:tcPr>
          <w:p>
            <w:pPr>
              <w:pStyle w:val="182"/>
              <w:bidi w:val="0"/>
              <w:rPr>
                <w:rFonts w:hint="eastAsia"/>
                <w:b/>
                <w:bCs/>
                <w:color w:val="auto"/>
                <w:u w:val="single"/>
              </w:rPr>
            </w:pPr>
            <w:r>
              <w:rPr>
                <w:rFonts w:hint="eastAsia"/>
                <w:b/>
                <w:bCs/>
                <w:color w:val="auto"/>
                <w:u w:val="single"/>
              </w:rPr>
              <w:t>切丝废气：密闭车间负压收集+袋式除尘器+21m高排气筒35#排放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restart"/>
            <w:tcBorders>
              <w:tl2br w:val="nil"/>
              <w:tr2bl w:val="nil"/>
            </w:tcBorders>
            <w:vAlign w:val="center"/>
          </w:tcPr>
          <w:p>
            <w:pPr>
              <w:pStyle w:val="182"/>
              <w:bidi w:val="0"/>
              <w:rPr>
                <w:color w:val="auto"/>
              </w:rPr>
            </w:pPr>
            <w:r>
              <w:rPr>
                <w:rFonts w:hint="eastAsia"/>
                <w:color w:val="auto"/>
              </w:rPr>
              <w:t>1×360t/h锅炉及2×B25MW热电联产项目</w:t>
            </w:r>
          </w:p>
        </w:tc>
        <w:tc>
          <w:tcPr>
            <w:tcW w:w="2955" w:type="pct"/>
            <w:gridSpan w:val="2"/>
            <w:tcBorders>
              <w:tl2br w:val="nil"/>
              <w:tr2bl w:val="nil"/>
            </w:tcBorders>
            <w:vAlign w:val="center"/>
          </w:tcPr>
          <w:p>
            <w:pPr>
              <w:pStyle w:val="182"/>
              <w:bidi w:val="0"/>
              <w:rPr>
                <w:color w:val="auto"/>
              </w:rPr>
            </w:pPr>
            <w:r>
              <w:rPr>
                <w:rFonts w:hint="eastAsia"/>
                <w:color w:val="auto"/>
              </w:rPr>
              <w:t>锅炉废气：低氮燃烧+SCR脱硝+电袋复合除尘+钠碱法湿式脱硫+湿式电除尘+58m高2</w:t>
            </w:r>
            <w:r>
              <w:rPr>
                <w:color w:val="auto"/>
              </w:rPr>
              <w:t>9</w:t>
            </w:r>
            <w:r>
              <w:rPr>
                <w:rFonts w:hint="eastAsia"/>
                <w:color w:val="auto"/>
              </w:rPr>
              <w:t>#排气筒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醇基燃料储罐：引入现有170t/h锅炉燃烧后经80m高3#、4#排气筒排放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碎煤机室废气：袋式除尘器处理+15m高排气筒3</w:t>
            </w:r>
            <w:r>
              <w:rPr>
                <w:color w:val="auto"/>
              </w:rPr>
              <w:t>0</w:t>
            </w:r>
            <w:r>
              <w:rPr>
                <w:rFonts w:hint="eastAsia"/>
                <w:color w:val="auto"/>
              </w:rPr>
              <w:t>#排放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灰库：袋式除尘器+高于仓顶3m排气筒3</w:t>
            </w:r>
            <w:r>
              <w:rPr>
                <w:color w:val="auto"/>
              </w:rPr>
              <w:t>1</w:t>
            </w:r>
            <w:r>
              <w:rPr>
                <w:rFonts w:hint="eastAsia"/>
                <w:color w:val="auto"/>
              </w:rPr>
              <w:t>#排放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渣库：袋式除尘器+高于仓顶3m排气筒3</w:t>
            </w:r>
            <w:r>
              <w:rPr>
                <w:color w:val="auto"/>
              </w:rPr>
              <w:t>2</w:t>
            </w:r>
            <w:r>
              <w:rPr>
                <w:rFonts w:hint="eastAsia"/>
                <w:color w:val="auto"/>
              </w:rPr>
              <w:t>#排放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受煤坑（地下煤斗下料）：袋式除尘器处理+15m高排气筒3</w:t>
            </w:r>
            <w:r>
              <w:rPr>
                <w:color w:val="auto"/>
              </w:rPr>
              <w:t>3</w:t>
            </w:r>
            <w:r>
              <w:rPr>
                <w:rFonts w:hint="eastAsia"/>
                <w:color w:val="auto"/>
              </w:rPr>
              <w:t>#排放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297" w:type="pct"/>
            <w:vMerge w:val="continue"/>
            <w:tcBorders>
              <w:tl2br w:val="nil"/>
              <w:tr2bl w:val="nil"/>
            </w:tcBorders>
            <w:vAlign w:val="center"/>
          </w:tcPr>
          <w:p>
            <w:pPr>
              <w:pStyle w:val="182"/>
              <w:bidi w:val="0"/>
              <w:rPr>
                <w:color w:val="auto"/>
              </w:rPr>
            </w:pPr>
          </w:p>
        </w:tc>
        <w:tc>
          <w:tcPr>
            <w:tcW w:w="1054" w:type="pct"/>
            <w:vMerge w:val="continue"/>
            <w:tcBorders>
              <w:tl2br w:val="nil"/>
              <w:tr2bl w:val="nil"/>
            </w:tcBorders>
            <w:vAlign w:val="center"/>
          </w:tcPr>
          <w:p>
            <w:pPr>
              <w:pStyle w:val="182"/>
              <w:bidi w:val="0"/>
              <w:rPr>
                <w:color w:val="auto"/>
              </w:rPr>
            </w:pPr>
          </w:p>
        </w:tc>
        <w:tc>
          <w:tcPr>
            <w:tcW w:w="2955" w:type="pct"/>
            <w:gridSpan w:val="2"/>
            <w:tcBorders>
              <w:tl2br w:val="nil"/>
              <w:tr2bl w:val="nil"/>
            </w:tcBorders>
            <w:vAlign w:val="center"/>
          </w:tcPr>
          <w:p>
            <w:pPr>
              <w:pStyle w:val="182"/>
              <w:bidi w:val="0"/>
              <w:rPr>
                <w:color w:val="auto"/>
              </w:rPr>
            </w:pPr>
            <w:r>
              <w:rPr>
                <w:rFonts w:hint="eastAsia"/>
                <w:color w:val="auto"/>
              </w:rPr>
              <w:t>原煤仓（皮带输送出口）：收集后经袋式除尘器处理+33m</w:t>
            </w:r>
          </w:p>
          <w:p>
            <w:pPr>
              <w:pStyle w:val="182"/>
              <w:bidi w:val="0"/>
              <w:rPr>
                <w:color w:val="auto"/>
              </w:rPr>
            </w:pPr>
            <w:r>
              <w:rPr>
                <w:rFonts w:hint="eastAsia"/>
                <w:color w:val="auto"/>
              </w:rPr>
              <w:t>排气筒（高于仓顶3m）3</w:t>
            </w:r>
            <w:r>
              <w:rPr>
                <w:color w:val="auto"/>
              </w:rPr>
              <w:t>4</w:t>
            </w:r>
            <w:r>
              <w:rPr>
                <w:rFonts w:hint="eastAsia"/>
                <w:color w:val="auto"/>
              </w:rPr>
              <w:t>#排放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tcBorders>
              <w:tl2br w:val="nil"/>
              <w:tr2bl w:val="nil"/>
            </w:tcBorders>
            <w:vAlign w:val="center"/>
          </w:tcPr>
          <w:p>
            <w:pPr>
              <w:pStyle w:val="182"/>
              <w:bidi w:val="0"/>
              <w:rPr>
                <w:rFonts w:hint="eastAsia"/>
                <w:color w:val="auto"/>
              </w:rPr>
            </w:pPr>
            <w:r>
              <w:rPr>
                <w:rFonts w:hint="eastAsia"/>
                <w:color w:val="auto"/>
              </w:rPr>
              <w:t>废水</w:t>
            </w:r>
          </w:p>
          <w:p>
            <w:pPr>
              <w:pStyle w:val="182"/>
              <w:bidi w:val="0"/>
              <w:rPr>
                <w:color w:val="auto"/>
              </w:rPr>
            </w:pPr>
            <w:r>
              <w:rPr>
                <w:rFonts w:hint="eastAsia"/>
                <w:color w:val="auto"/>
              </w:rPr>
              <w:t>治理</w:t>
            </w:r>
          </w:p>
        </w:tc>
        <w:tc>
          <w:tcPr>
            <w:tcW w:w="2955" w:type="pct"/>
            <w:gridSpan w:val="2"/>
            <w:tcBorders>
              <w:tl2br w:val="nil"/>
              <w:tr2bl w:val="nil"/>
            </w:tcBorders>
            <w:vAlign w:val="center"/>
          </w:tcPr>
          <w:p>
            <w:pPr>
              <w:pStyle w:val="182"/>
              <w:bidi w:val="0"/>
              <w:rPr>
                <w:color w:val="auto"/>
              </w:rPr>
            </w:pPr>
            <w:r>
              <w:rPr>
                <w:rFonts w:hint="eastAsia"/>
                <w:color w:val="auto"/>
              </w:rPr>
              <w:t>现有废水通过分质分类进行处理，根据水质不同污水处理站分为四个单元，其中（1）粘胶废水</w:t>
            </w:r>
            <w:r>
              <w:rPr>
                <w:rFonts w:hint="eastAsia"/>
                <w:color w:val="auto"/>
                <w:lang w:eastAsia="zh-CN"/>
              </w:rPr>
              <w:t>－</w:t>
            </w:r>
            <w:r>
              <w:rPr>
                <w:rFonts w:hint="eastAsia"/>
                <w:color w:val="auto"/>
              </w:rPr>
              <w:t>生活污水处理单元（6000m</w:t>
            </w:r>
            <w:r>
              <w:rPr>
                <w:rFonts w:hint="eastAsia"/>
                <w:color w:val="auto"/>
                <w:vertAlign w:val="superscript"/>
              </w:rPr>
              <w:t>3</w:t>
            </w:r>
            <w:r>
              <w:rPr>
                <w:rFonts w:hint="eastAsia"/>
                <w:color w:val="auto"/>
              </w:rPr>
              <w:t>/d）要处理粘胶废水、生活污水以及锅炉脱硫除尘废水，主要处理工艺为“酸化（仅粘胶废水需要）+调节+中和+沉淀+氧化沟+二沉池”处理工艺；（2）</w:t>
            </w:r>
            <w:r>
              <w:rPr>
                <w:rFonts w:hint="eastAsia"/>
                <w:color w:val="auto"/>
                <w:lang w:val="en-US" w:eastAsia="zh-CN"/>
              </w:rPr>
              <w:t>长丝</w:t>
            </w:r>
            <w:r>
              <w:rPr>
                <w:rFonts w:hint="eastAsia"/>
                <w:color w:val="auto"/>
              </w:rPr>
              <w:t>酸性废水处理一区（19000m</w:t>
            </w:r>
            <w:r>
              <w:rPr>
                <w:rFonts w:hint="eastAsia"/>
                <w:color w:val="auto"/>
                <w:vertAlign w:val="superscript"/>
              </w:rPr>
              <w:t>3</w:t>
            </w:r>
            <w:r>
              <w:rPr>
                <w:rFonts w:hint="eastAsia"/>
                <w:color w:val="auto"/>
              </w:rPr>
              <w:t>/d）：主要处理长丝的酸性废水，主要处理工艺为“中和</w:t>
            </w:r>
            <w:r>
              <w:rPr>
                <w:rFonts w:hint="eastAsia"/>
                <w:color w:val="auto"/>
                <w:lang w:eastAsia="zh-CN"/>
              </w:rPr>
              <w:t>－</w:t>
            </w:r>
            <w:r>
              <w:rPr>
                <w:rFonts w:hint="eastAsia"/>
                <w:color w:val="auto"/>
              </w:rPr>
              <w:t>沉淀-pH调节”；（3）绿纤、氨纶废水处理单元（3000m</w:t>
            </w:r>
            <w:r>
              <w:rPr>
                <w:rFonts w:hint="eastAsia"/>
                <w:color w:val="auto"/>
                <w:vertAlign w:val="superscript"/>
              </w:rPr>
              <w:t>3</w:t>
            </w:r>
            <w:r>
              <w:rPr>
                <w:rFonts w:hint="eastAsia"/>
                <w:color w:val="auto"/>
              </w:rPr>
              <w:t>/d）：该单元主要处理氨纶和中纺院的绿色纤维生产期间产生的废水，处理工艺为“调节+混合池+沉淀+水解酸化+氧化沟+二沉池</w:t>
            </w:r>
            <w:r>
              <w:rPr>
                <w:rFonts w:hint="eastAsia"/>
                <w:color w:val="auto"/>
                <w:lang w:val="en-US" w:eastAsia="zh-CN"/>
              </w:rPr>
              <w:t>+混凝池+终沉池</w:t>
            </w:r>
            <w:r>
              <w:rPr>
                <w:rFonts w:hint="eastAsia"/>
                <w:color w:val="auto"/>
              </w:rPr>
              <w:t>”；（4）</w:t>
            </w:r>
            <w:r>
              <w:rPr>
                <w:rFonts w:hint="eastAsia"/>
                <w:color w:val="auto"/>
                <w:lang w:val="en-US" w:eastAsia="zh-CN"/>
              </w:rPr>
              <w:t>长丝</w:t>
            </w:r>
            <w:r>
              <w:rPr>
                <w:rFonts w:hint="eastAsia"/>
                <w:color w:val="auto"/>
              </w:rPr>
              <w:t>酸性废水处理二区（10000m</w:t>
            </w:r>
            <w:r>
              <w:rPr>
                <w:rFonts w:hint="eastAsia"/>
                <w:color w:val="auto"/>
                <w:vertAlign w:val="superscript"/>
              </w:rPr>
              <w:t>3</w:t>
            </w:r>
            <w:r>
              <w:rPr>
                <w:rFonts w:hint="eastAsia"/>
                <w:color w:val="auto"/>
              </w:rPr>
              <w:t>/d）：主要处理长丝酸性废水，主要处理工艺为“中和-沉淀-pH调节”。全厂废水经处理达标混合后外排进入园区污水管网，最终排入小店污水处理厂。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vMerge w:val="restart"/>
            <w:tcBorders>
              <w:tl2br w:val="nil"/>
              <w:tr2bl w:val="nil"/>
            </w:tcBorders>
            <w:vAlign w:val="center"/>
          </w:tcPr>
          <w:p>
            <w:pPr>
              <w:pStyle w:val="182"/>
              <w:bidi w:val="0"/>
              <w:rPr>
                <w:b/>
                <w:bCs/>
                <w:color w:val="auto"/>
              </w:rPr>
            </w:pPr>
            <w:r>
              <w:rPr>
                <w:rFonts w:hint="eastAsia"/>
                <w:b/>
                <w:bCs/>
                <w:color w:val="auto"/>
              </w:rPr>
              <w:t>固体废物</w:t>
            </w:r>
          </w:p>
        </w:tc>
        <w:tc>
          <w:tcPr>
            <w:tcW w:w="523" w:type="pct"/>
            <w:tcBorders>
              <w:tl2br w:val="nil"/>
              <w:tr2bl w:val="nil"/>
            </w:tcBorders>
            <w:vAlign w:val="center"/>
          </w:tcPr>
          <w:p>
            <w:pPr>
              <w:pStyle w:val="182"/>
              <w:bidi w:val="0"/>
              <w:rPr>
                <w:b/>
                <w:bCs/>
                <w:color w:val="auto"/>
              </w:rPr>
            </w:pPr>
            <w:r>
              <w:rPr>
                <w:rFonts w:hint="eastAsia"/>
                <w:b/>
                <w:bCs/>
                <w:color w:val="auto"/>
              </w:rPr>
              <w:t>危险废物</w:t>
            </w:r>
          </w:p>
        </w:tc>
        <w:tc>
          <w:tcPr>
            <w:tcW w:w="2431" w:type="pct"/>
            <w:tcBorders>
              <w:tl2br w:val="nil"/>
              <w:tr2bl w:val="nil"/>
            </w:tcBorders>
            <w:vAlign w:val="center"/>
          </w:tcPr>
          <w:p>
            <w:pPr>
              <w:pStyle w:val="182"/>
              <w:bidi w:val="0"/>
              <w:rPr>
                <w:b/>
                <w:bCs/>
                <w:color w:val="auto"/>
              </w:rPr>
            </w:pPr>
            <w:r>
              <w:rPr>
                <w:rFonts w:hint="eastAsia"/>
                <w:b/>
                <w:bCs/>
                <w:color w:val="auto"/>
              </w:rPr>
              <w:t>厂区东南紧邻氨纶车间建设有1座（</w:t>
            </w:r>
            <w:r>
              <w:rPr>
                <w:rFonts w:hint="eastAsia"/>
                <w:b/>
                <w:bCs/>
                <w:color w:val="auto"/>
                <w:vertAlign w:val="baseline"/>
                <w:lang w:val="en-US" w:eastAsia="zh-CN"/>
              </w:rPr>
              <w:t>75m</w:t>
            </w:r>
            <w:r>
              <w:rPr>
                <w:rFonts w:hint="eastAsia"/>
                <w:b/>
                <w:bCs/>
                <w:color w:val="auto"/>
                <w:vertAlign w:val="superscript"/>
                <w:lang w:val="en-US" w:eastAsia="zh-CN"/>
              </w:rPr>
              <w:t>2</w:t>
            </w:r>
            <w:r>
              <w:rPr>
                <w:rFonts w:hint="eastAsia"/>
                <w:b/>
                <w:bCs/>
                <w:color w:val="auto"/>
              </w:rPr>
              <w:t>）的危险废物暂存间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pPr>
              <w:pStyle w:val="182"/>
              <w:bidi w:val="0"/>
              <w:rPr>
                <w:color w:val="auto"/>
              </w:rPr>
            </w:pPr>
          </w:p>
        </w:tc>
        <w:tc>
          <w:tcPr>
            <w:tcW w:w="455" w:type="pct"/>
            <w:vMerge w:val="continue"/>
            <w:tcBorders>
              <w:tl2br w:val="nil"/>
              <w:tr2bl w:val="nil"/>
            </w:tcBorders>
            <w:vAlign w:val="center"/>
          </w:tcPr>
          <w:p>
            <w:pPr>
              <w:pStyle w:val="182"/>
              <w:bidi w:val="0"/>
              <w:rPr>
                <w:color w:val="auto"/>
              </w:rPr>
            </w:pPr>
          </w:p>
        </w:tc>
        <w:tc>
          <w:tcPr>
            <w:tcW w:w="1352" w:type="pct"/>
            <w:gridSpan w:val="2"/>
            <w:vMerge w:val="continue"/>
            <w:tcBorders>
              <w:tl2br w:val="nil"/>
              <w:tr2bl w:val="nil"/>
            </w:tcBorders>
            <w:vAlign w:val="center"/>
          </w:tcPr>
          <w:p>
            <w:pPr>
              <w:pStyle w:val="182"/>
              <w:bidi w:val="0"/>
              <w:rPr>
                <w:b/>
                <w:bCs/>
                <w:color w:val="auto"/>
              </w:rPr>
            </w:pPr>
          </w:p>
        </w:tc>
        <w:tc>
          <w:tcPr>
            <w:tcW w:w="523" w:type="pct"/>
            <w:tcBorders>
              <w:tl2br w:val="nil"/>
              <w:tr2bl w:val="nil"/>
            </w:tcBorders>
            <w:vAlign w:val="center"/>
          </w:tcPr>
          <w:p>
            <w:pPr>
              <w:pStyle w:val="182"/>
              <w:bidi w:val="0"/>
              <w:rPr>
                <w:b/>
                <w:bCs/>
                <w:color w:val="auto"/>
              </w:rPr>
            </w:pPr>
            <w:r>
              <w:rPr>
                <w:rFonts w:hint="eastAsia"/>
                <w:b/>
                <w:bCs/>
                <w:color w:val="auto"/>
              </w:rPr>
              <w:t>一般废物</w:t>
            </w:r>
          </w:p>
        </w:tc>
        <w:tc>
          <w:tcPr>
            <w:tcW w:w="2431" w:type="pct"/>
            <w:tcBorders>
              <w:tl2br w:val="nil"/>
              <w:tr2bl w:val="nil"/>
            </w:tcBorders>
            <w:vAlign w:val="center"/>
          </w:tcPr>
          <w:p>
            <w:pPr>
              <w:pStyle w:val="182"/>
              <w:bidi w:val="0"/>
              <w:rPr>
                <w:b/>
                <w:bCs/>
                <w:color w:val="auto"/>
              </w:rPr>
            </w:pPr>
            <w:r>
              <w:rPr>
                <w:rFonts w:hint="eastAsia"/>
                <w:b/>
                <w:bCs/>
                <w:color w:val="auto"/>
              </w:rPr>
              <w:t>厂区设置有1座</w:t>
            </w:r>
            <w:r>
              <w:rPr>
                <w:rFonts w:hint="default"/>
                <w:b/>
                <w:bCs/>
                <w:color w:val="auto"/>
                <w:lang w:val="en-US" w:eastAsia="zh-CN"/>
              </w:rPr>
              <w:t>（36m</w:t>
            </w:r>
            <w:r>
              <w:rPr>
                <w:rFonts w:hint="default"/>
                <w:b/>
                <w:bCs/>
                <w:color w:val="auto"/>
                <w:vertAlign w:val="superscript"/>
                <w:lang w:val="en-US" w:eastAsia="zh-CN"/>
              </w:rPr>
              <w:t>2</w:t>
            </w:r>
            <w:r>
              <w:rPr>
                <w:rFonts w:hint="default"/>
                <w:b/>
                <w:bCs/>
                <w:color w:val="auto"/>
                <w:lang w:val="en-US" w:eastAsia="zh-CN"/>
              </w:rPr>
              <w:t>）</w:t>
            </w:r>
            <w:r>
              <w:rPr>
                <w:rFonts w:hint="eastAsia"/>
                <w:b/>
                <w:bCs/>
                <w:color w:val="auto"/>
              </w:rPr>
              <w:t>的一般固废暂存间</w:t>
            </w:r>
          </w:p>
        </w:tc>
      </w:tr>
    </w:tbl>
    <w:p>
      <w:pPr>
        <w:pStyle w:val="9"/>
        <w:bidi w:val="0"/>
        <w:rPr>
          <w:color w:val="auto"/>
        </w:rPr>
      </w:pPr>
      <w:r>
        <w:rPr>
          <w:color w:val="auto"/>
        </w:rPr>
        <w:t>3.</w:t>
      </w:r>
      <w:r>
        <w:rPr>
          <w:rFonts w:hint="eastAsia"/>
          <w:color w:val="auto"/>
          <w:lang w:val="en-US" w:eastAsia="zh-CN"/>
        </w:rPr>
        <w:t>4</w:t>
      </w:r>
      <w:r>
        <w:rPr>
          <w:color w:val="auto"/>
        </w:rPr>
        <w:t>.2</w:t>
      </w:r>
      <w:r>
        <w:rPr>
          <w:rFonts w:hint="eastAsia"/>
          <w:color w:val="auto"/>
          <w:lang w:val="en-US" w:eastAsia="zh-CN"/>
        </w:rPr>
        <w:t>在建工程</w:t>
      </w:r>
      <w:r>
        <w:rPr>
          <w:color w:val="auto"/>
        </w:rPr>
        <w:t>产品方案</w:t>
      </w:r>
    </w:p>
    <w:p>
      <w:pPr>
        <w:bidi w:val="0"/>
        <w:rPr>
          <w:color w:val="auto"/>
        </w:rPr>
      </w:pPr>
      <w:r>
        <w:rPr>
          <w:rFonts w:hint="eastAsia"/>
          <w:color w:val="auto"/>
          <w:lang w:val="en-US" w:eastAsia="zh-CN"/>
        </w:rPr>
        <w:t>在建</w:t>
      </w:r>
      <w:r>
        <w:rPr>
          <w:color w:val="auto"/>
        </w:rPr>
        <w:t>工程的产品方案见下表：</w:t>
      </w:r>
    </w:p>
    <w:p>
      <w:pPr>
        <w:pStyle w:val="181"/>
        <w:bidi w:val="0"/>
        <w:rPr>
          <w:color w:val="auto"/>
        </w:rPr>
      </w:pPr>
      <w:r>
        <w:rPr>
          <w:color w:val="auto"/>
        </w:rPr>
        <w:t>表3.</w:t>
      </w:r>
      <w:r>
        <w:rPr>
          <w:rFonts w:hint="eastAsia"/>
          <w:color w:val="auto"/>
          <w:lang w:val="en-US" w:eastAsia="zh-CN"/>
        </w:rPr>
        <w:t>4</w:t>
      </w:r>
      <w:r>
        <w:rPr>
          <w:color w:val="auto"/>
        </w:rPr>
        <w:t>-2</w:t>
      </w:r>
      <w:r>
        <w:rPr>
          <w:rFonts w:hint="eastAsia"/>
          <w:color w:val="auto"/>
          <w:lang w:val="en-US" w:eastAsia="zh-CN"/>
        </w:rPr>
        <w:t xml:space="preserve">            在建</w:t>
      </w:r>
      <w:r>
        <w:rPr>
          <w:color w:val="auto"/>
        </w:rPr>
        <w:t>项目产品方案一览表</w:t>
      </w:r>
    </w:p>
    <w:tbl>
      <w:tblPr>
        <w:tblStyle w:val="32"/>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815"/>
        <w:gridCol w:w="3154"/>
        <w:gridCol w:w="1507"/>
        <w:gridCol w:w="1788"/>
        <w:gridCol w:w="125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tcBorders>
              <w:tl2br w:val="nil"/>
              <w:tr2bl w:val="nil"/>
            </w:tcBorders>
            <w:vAlign w:val="center"/>
          </w:tcPr>
          <w:p>
            <w:pPr>
              <w:pStyle w:val="182"/>
              <w:bidi w:val="0"/>
              <w:rPr>
                <w:color w:val="auto"/>
              </w:rPr>
            </w:pPr>
            <w:r>
              <w:rPr>
                <w:rFonts w:hint="eastAsia"/>
                <w:color w:val="auto"/>
              </w:rPr>
              <w:t>序号</w:t>
            </w:r>
          </w:p>
        </w:tc>
        <w:tc>
          <w:tcPr>
            <w:tcW w:w="1850" w:type="pct"/>
            <w:tcBorders>
              <w:tl2br w:val="nil"/>
              <w:tr2bl w:val="nil"/>
            </w:tcBorders>
            <w:vAlign w:val="center"/>
          </w:tcPr>
          <w:p>
            <w:pPr>
              <w:pStyle w:val="182"/>
              <w:bidi w:val="0"/>
              <w:rPr>
                <w:color w:val="auto"/>
              </w:rPr>
            </w:pPr>
            <w:r>
              <w:rPr>
                <w:rFonts w:hint="eastAsia"/>
                <w:color w:val="auto"/>
              </w:rPr>
              <w:t>项目名称</w:t>
            </w:r>
          </w:p>
        </w:tc>
        <w:tc>
          <w:tcPr>
            <w:tcW w:w="1933" w:type="pct"/>
            <w:gridSpan w:val="2"/>
            <w:tcBorders>
              <w:tl2br w:val="nil"/>
              <w:tr2bl w:val="nil"/>
            </w:tcBorders>
            <w:vAlign w:val="center"/>
          </w:tcPr>
          <w:p>
            <w:pPr>
              <w:pStyle w:val="182"/>
              <w:bidi w:val="0"/>
              <w:rPr>
                <w:color w:val="auto"/>
              </w:rPr>
            </w:pPr>
            <w:r>
              <w:rPr>
                <w:rFonts w:hint="eastAsia"/>
                <w:color w:val="auto"/>
              </w:rPr>
              <w:t>产品名称</w:t>
            </w:r>
          </w:p>
        </w:tc>
        <w:tc>
          <w:tcPr>
            <w:tcW w:w="737" w:type="pct"/>
            <w:tcBorders>
              <w:tl2br w:val="nil"/>
              <w:tr2bl w:val="nil"/>
            </w:tcBorders>
            <w:vAlign w:val="center"/>
          </w:tcPr>
          <w:p>
            <w:pPr>
              <w:pStyle w:val="182"/>
              <w:bidi w:val="0"/>
              <w:rPr>
                <w:color w:val="auto"/>
              </w:rPr>
            </w:pPr>
            <w:r>
              <w:rPr>
                <w:rFonts w:hint="eastAsia"/>
                <w:color w:val="auto"/>
              </w:rPr>
              <w:t>产品规模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tcBorders>
              <w:tl2br w:val="nil"/>
              <w:tr2bl w:val="nil"/>
            </w:tcBorders>
            <w:vAlign w:val="center"/>
          </w:tcPr>
          <w:p>
            <w:pPr>
              <w:pStyle w:val="182"/>
              <w:bidi w:val="0"/>
              <w:rPr>
                <w:rFonts w:hint="eastAsia" w:eastAsia="宋体"/>
                <w:color w:val="auto"/>
                <w:lang w:val="en-US" w:eastAsia="zh-CN"/>
              </w:rPr>
            </w:pPr>
            <w:r>
              <w:rPr>
                <w:rFonts w:hint="eastAsia"/>
                <w:color w:val="auto"/>
                <w:lang w:val="en-US" w:eastAsia="zh-CN"/>
              </w:rPr>
              <w:t>1</w:t>
            </w:r>
          </w:p>
        </w:tc>
        <w:tc>
          <w:tcPr>
            <w:tcW w:w="1850" w:type="pct"/>
            <w:tcBorders>
              <w:tl2br w:val="nil"/>
              <w:tr2bl w:val="nil"/>
            </w:tcBorders>
            <w:vAlign w:val="center"/>
          </w:tcPr>
          <w:p>
            <w:pPr>
              <w:pStyle w:val="182"/>
              <w:bidi w:val="0"/>
              <w:rPr>
                <w:color w:val="auto"/>
              </w:rPr>
            </w:pPr>
            <w:r>
              <w:rPr>
                <w:rFonts w:hint="eastAsia"/>
                <w:color w:val="auto"/>
              </w:rPr>
              <w:t>年产2×2万吨超细旦氨纶纤维项目（年产3×2万吨超细旦氨纶纤维项目二期三期工程）（三期）（暂未建设）</w:t>
            </w:r>
          </w:p>
        </w:tc>
        <w:tc>
          <w:tcPr>
            <w:tcW w:w="1933" w:type="pct"/>
            <w:gridSpan w:val="2"/>
            <w:tcBorders>
              <w:tl2br w:val="nil"/>
              <w:tr2bl w:val="nil"/>
            </w:tcBorders>
            <w:vAlign w:val="center"/>
          </w:tcPr>
          <w:p>
            <w:pPr>
              <w:pStyle w:val="182"/>
              <w:bidi w:val="0"/>
              <w:rPr>
                <w:color w:val="auto"/>
              </w:rPr>
            </w:pPr>
            <w:r>
              <w:rPr>
                <w:rFonts w:hint="eastAsia"/>
                <w:color w:val="auto"/>
              </w:rPr>
              <w:t>氨纶纤维</w:t>
            </w:r>
          </w:p>
        </w:tc>
        <w:tc>
          <w:tcPr>
            <w:tcW w:w="737" w:type="pct"/>
            <w:tcBorders>
              <w:tl2br w:val="nil"/>
              <w:tr2bl w:val="nil"/>
            </w:tcBorders>
            <w:vAlign w:val="center"/>
          </w:tcPr>
          <w:p>
            <w:pPr>
              <w:pStyle w:val="182"/>
              <w:bidi w:val="0"/>
              <w:rPr>
                <w:color w:val="auto"/>
              </w:rPr>
            </w:pPr>
            <w:r>
              <w:rPr>
                <w:color w:val="auto"/>
              </w:rPr>
              <w:t>2</w:t>
            </w:r>
            <w:r>
              <w:rPr>
                <w:rFonts w:hint="eastAsia"/>
                <w:color w:val="auto"/>
              </w:rPr>
              <w:t>万t/a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restart"/>
            <w:tcBorders>
              <w:tl2br w:val="nil"/>
              <w:tr2bl w:val="nil"/>
            </w:tcBorders>
            <w:vAlign w:val="center"/>
          </w:tcPr>
          <w:p>
            <w:pPr>
              <w:pStyle w:val="182"/>
              <w:bidi w:val="0"/>
              <w:rPr>
                <w:rFonts w:hint="eastAsia" w:eastAsia="宋体"/>
                <w:color w:val="auto"/>
                <w:lang w:val="en-US" w:eastAsia="zh-CN"/>
              </w:rPr>
            </w:pPr>
            <w:r>
              <w:rPr>
                <w:rFonts w:hint="eastAsia"/>
                <w:color w:val="auto"/>
                <w:lang w:val="en-US" w:eastAsia="zh-CN"/>
              </w:rPr>
              <w:t>2</w:t>
            </w:r>
          </w:p>
        </w:tc>
        <w:tc>
          <w:tcPr>
            <w:tcW w:w="1850" w:type="pct"/>
            <w:vMerge w:val="restart"/>
            <w:tcBorders>
              <w:tl2br w:val="nil"/>
              <w:tr2bl w:val="nil"/>
            </w:tcBorders>
            <w:vAlign w:val="center"/>
          </w:tcPr>
          <w:p>
            <w:pPr>
              <w:pStyle w:val="182"/>
              <w:bidi w:val="0"/>
              <w:rPr>
                <w:color w:val="auto"/>
              </w:rPr>
            </w:pPr>
            <w:r>
              <w:rPr>
                <w:rFonts w:hint="eastAsia"/>
                <w:color w:val="auto"/>
              </w:rPr>
              <w:t>年产2万吨生物质纤维素项目（二期）（暂未建设）</w:t>
            </w:r>
          </w:p>
        </w:tc>
        <w:tc>
          <w:tcPr>
            <w:tcW w:w="884" w:type="pct"/>
            <w:tcBorders>
              <w:tl2br w:val="nil"/>
              <w:tr2bl w:val="nil"/>
            </w:tcBorders>
            <w:vAlign w:val="center"/>
          </w:tcPr>
          <w:p>
            <w:pPr>
              <w:pStyle w:val="182"/>
              <w:bidi w:val="0"/>
              <w:rPr>
                <w:color w:val="auto"/>
              </w:rPr>
            </w:pPr>
            <w:r>
              <w:rPr>
                <w:rFonts w:hint="eastAsia"/>
                <w:color w:val="auto"/>
              </w:rPr>
              <w:t>主要产品</w:t>
            </w:r>
          </w:p>
        </w:tc>
        <w:tc>
          <w:tcPr>
            <w:tcW w:w="1048" w:type="pct"/>
            <w:tcBorders>
              <w:tl2br w:val="nil"/>
              <w:tr2bl w:val="nil"/>
            </w:tcBorders>
            <w:vAlign w:val="center"/>
          </w:tcPr>
          <w:p>
            <w:pPr>
              <w:pStyle w:val="182"/>
              <w:bidi w:val="0"/>
              <w:rPr>
                <w:color w:val="auto"/>
              </w:rPr>
            </w:pPr>
            <w:r>
              <w:rPr>
                <w:rFonts w:hint="eastAsia"/>
                <w:color w:val="auto"/>
              </w:rPr>
              <w:t>纤维素粘胶长丝</w:t>
            </w:r>
          </w:p>
        </w:tc>
        <w:tc>
          <w:tcPr>
            <w:tcW w:w="737" w:type="pct"/>
            <w:tcBorders>
              <w:tl2br w:val="nil"/>
              <w:tr2bl w:val="nil"/>
            </w:tcBorders>
            <w:vAlign w:val="center"/>
          </w:tcPr>
          <w:p>
            <w:pPr>
              <w:pStyle w:val="182"/>
              <w:bidi w:val="0"/>
              <w:rPr>
                <w:color w:val="auto"/>
              </w:rPr>
            </w:pPr>
            <w:r>
              <w:rPr>
                <w:color w:val="auto"/>
              </w:rPr>
              <w:t>10000t/a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continue"/>
            <w:tcBorders>
              <w:tl2br w:val="nil"/>
              <w:tr2bl w:val="nil"/>
            </w:tcBorders>
            <w:vAlign w:val="center"/>
          </w:tcPr>
          <w:p>
            <w:pPr>
              <w:pStyle w:val="182"/>
              <w:bidi w:val="0"/>
              <w:rPr>
                <w:color w:val="auto"/>
              </w:rPr>
            </w:pPr>
          </w:p>
        </w:tc>
        <w:tc>
          <w:tcPr>
            <w:tcW w:w="1850" w:type="pct"/>
            <w:vMerge w:val="continue"/>
            <w:tcBorders>
              <w:tl2br w:val="nil"/>
              <w:tr2bl w:val="nil"/>
            </w:tcBorders>
            <w:vAlign w:val="center"/>
          </w:tcPr>
          <w:p>
            <w:pPr>
              <w:pStyle w:val="182"/>
              <w:bidi w:val="0"/>
              <w:rPr>
                <w:color w:val="auto"/>
              </w:rPr>
            </w:pPr>
          </w:p>
        </w:tc>
        <w:tc>
          <w:tcPr>
            <w:tcW w:w="884" w:type="pct"/>
            <w:vMerge w:val="restart"/>
            <w:tcBorders>
              <w:tl2br w:val="nil"/>
              <w:tr2bl w:val="nil"/>
            </w:tcBorders>
            <w:vAlign w:val="center"/>
          </w:tcPr>
          <w:p>
            <w:pPr>
              <w:pStyle w:val="182"/>
              <w:bidi w:val="0"/>
              <w:rPr>
                <w:color w:val="auto"/>
              </w:rPr>
            </w:pPr>
            <w:r>
              <w:rPr>
                <w:rFonts w:hint="eastAsia"/>
                <w:color w:val="auto"/>
              </w:rPr>
              <w:t>副产品</w:t>
            </w:r>
          </w:p>
        </w:tc>
        <w:tc>
          <w:tcPr>
            <w:tcW w:w="1048" w:type="pct"/>
            <w:tcBorders>
              <w:tl2br w:val="nil"/>
              <w:tr2bl w:val="nil"/>
            </w:tcBorders>
            <w:vAlign w:val="center"/>
          </w:tcPr>
          <w:p>
            <w:pPr>
              <w:pStyle w:val="182"/>
              <w:bidi w:val="0"/>
              <w:rPr>
                <w:color w:val="auto"/>
              </w:rPr>
            </w:pPr>
            <w:r>
              <w:rPr>
                <w:rFonts w:hint="eastAsia"/>
                <w:color w:val="auto"/>
              </w:rPr>
              <w:t>中性元明粉</w:t>
            </w:r>
          </w:p>
        </w:tc>
        <w:tc>
          <w:tcPr>
            <w:tcW w:w="737" w:type="pct"/>
            <w:tcBorders>
              <w:tl2br w:val="nil"/>
              <w:tr2bl w:val="nil"/>
            </w:tcBorders>
            <w:vAlign w:val="center"/>
          </w:tcPr>
          <w:p>
            <w:pPr>
              <w:pStyle w:val="182"/>
              <w:bidi w:val="0"/>
              <w:rPr>
                <w:color w:val="auto"/>
              </w:rPr>
            </w:pPr>
            <w:r>
              <w:rPr>
                <w:color w:val="auto"/>
              </w:rPr>
              <w:t>3344t/a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vMerge w:val="continue"/>
            <w:tcBorders>
              <w:tl2br w:val="nil"/>
              <w:tr2bl w:val="nil"/>
            </w:tcBorders>
            <w:vAlign w:val="center"/>
          </w:tcPr>
          <w:p>
            <w:pPr>
              <w:pStyle w:val="182"/>
              <w:bidi w:val="0"/>
              <w:rPr>
                <w:color w:val="auto"/>
              </w:rPr>
            </w:pPr>
          </w:p>
        </w:tc>
        <w:tc>
          <w:tcPr>
            <w:tcW w:w="1850" w:type="pct"/>
            <w:vMerge w:val="continue"/>
            <w:tcBorders>
              <w:tl2br w:val="nil"/>
              <w:tr2bl w:val="nil"/>
            </w:tcBorders>
            <w:vAlign w:val="center"/>
          </w:tcPr>
          <w:p>
            <w:pPr>
              <w:pStyle w:val="182"/>
              <w:bidi w:val="0"/>
              <w:rPr>
                <w:color w:val="auto"/>
              </w:rPr>
            </w:pPr>
          </w:p>
        </w:tc>
        <w:tc>
          <w:tcPr>
            <w:tcW w:w="884" w:type="pct"/>
            <w:vMerge w:val="continue"/>
            <w:tcBorders>
              <w:tl2br w:val="nil"/>
              <w:tr2bl w:val="nil"/>
            </w:tcBorders>
            <w:vAlign w:val="center"/>
          </w:tcPr>
          <w:p>
            <w:pPr>
              <w:pStyle w:val="182"/>
              <w:bidi w:val="0"/>
              <w:rPr>
                <w:color w:val="auto"/>
              </w:rPr>
            </w:pPr>
          </w:p>
        </w:tc>
        <w:tc>
          <w:tcPr>
            <w:tcW w:w="1048" w:type="pct"/>
            <w:tcBorders>
              <w:tl2br w:val="nil"/>
              <w:tr2bl w:val="nil"/>
            </w:tcBorders>
            <w:vAlign w:val="center"/>
          </w:tcPr>
          <w:p>
            <w:pPr>
              <w:pStyle w:val="182"/>
              <w:bidi w:val="0"/>
              <w:rPr>
                <w:color w:val="auto"/>
              </w:rPr>
            </w:pPr>
            <w:r>
              <w:rPr>
                <w:rFonts w:hint="eastAsia"/>
                <w:color w:val="auto"/>
                <w:lang w:eastAsia="zh-CN"/>
              </w:rPr>
              <w:t>硫黄</w:t>
            </w:r>
          </w:p>
        </w:tc>
        <w:tc>
          <w:tcPr>
            <w:tcW w:w="737" w:type="pct"/>
            <w:tcBorders>
              <w:tl2br w:val="nil"/>
              <w:tr2bl w:val="nil"/>
            </w:tcBorders>
            <w:vAlign w:val="center"/>
          </w:tcPr>
          <w:p>
            <w:pPr>
              <w:pStyle w:val="182"/>
              <w:bidi w:val="0"/>
              <w:rPr>
                <w:color w:val="auto"/>
              </w:rPr>
            </w:pPr>
            <w:r>
              <w:rPr>
                <w:color w:val="auto"/>
              </w:rPr>
              <w:t>659.3t/a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62" w:hRule="atLeast"/>
          <w:jc w:val="center"/>
        </w:trPr>
        <w:tc>
          <w:tcPr>
            <w:tcW w:w="478" w:type="pct"/>
            <w:tcBorders>
              <w:tl2br w:val="nil"/>
              <w:tr2bl w:val="nil"/>
            </w:tcBorders>
            <w:vAlign w:val="center"/>
          </w:tcPr>
          <w:p>
            <w:pPr>
              <w:pStyle w:val="182"/>
              <w:bidi w:val="0"/>
              <w:rPr>
                <w:rFonts w:hint="default"/>
                <w:b/>
                <w:bCs/>
                <w:color w:val="auto"/>
                <w:u w:val="single"/>
                <w:lang w:val="en-US" w:eastAsia="zh-CN"/>
              </w:rPr>
            </w:pPr>
            <w:r>
              <w:rPr>
                <w:rFonts w:hint="eastAsia"/>
                <w:b/>
                <w:bCs/>
                <w:color w:val="auto"/>
                <w:u w:val="single"/>
                <w:lang w:val="en-US" w:eastAsia="zh-CN"/>
              </w:rPr>
              <w:t>3</w:t>
            </w:r>
          </w:p>
        </w:tc>
        <w:tc>
          <w:tcPr>
            <w:tcW w:w="1850" w:type="pct"/>
            <w:tcBorders>
              <w:tl2br w:val="nil"/>
              <w:tr2bl w:val="nil"/>
            </w:tcBorders>
            <w:vAlign w:val="center"/>
          </w:tcPr>
          <w:p>
            <w:pPr>
              <w:pStyle w:val="182"/>
              <w:bidi w:val="0"/>
              <w:rPr>
                <w:rFonts w:hint="eastAsia"/>
                <w:b/>
                <w:bCs/>
                <w:color w:val="auto"/>
                <w:u w:val="single"/>
              </w:rPr>
            </w:pPr>
            <w:r>
              <w:rPr>
                <w:rFonts w:hint="eastAsia"/>
                <w:b/>
                <w:bCs/>
                <w:color w:val="auto"/>
                <w:u w:val="single"/>
              </w:rPr>
              <w:t>年产六千吨再生氨纶纤维项目</w:t>
            </w:r>
          </w:p>
        </w:tc>
        <w:tc>
          <w:tcPr>
            <w:tcW w:w="1933" w:type="pct"/>
            <w:gridSpan w:val="2"/>
            <w:tcBorders>
              <w:tl2br w:val="nil"/>
              <w:tr2bl w:val="nil"/>
            </w:tcBorders>
            <w:vAlign w:val="center"/>
          </w:tcPr>
          <w:p>
            <w:pPr>
              <w:pStyle w:val="182"/>
              <w:bidi w:val="0"/>
              <w:rPr>
                <w:rFonts w:hint="eastAsia"/>
                <w:b/>
                <w:bCs/>
                <w:color w:val="auto"/>
                <w:u w:val="single"/>
              </w:rPr>
            </w:pPr>
            <w:r>
              <w:rPr>
                <w:rFonts w:hint="eastAsia"/>
                <w:b/>
                <w:bCs/>
                <w:color w:val="auto"/>
                <w:u w:val="single"/>
              </w:rPr>
              <w:t>再生氨纶纤维</w:t>
            </w:r>
          </w:p>
        </w:tc>
        <w:tc>
          <w:tcPr>
            <w:tcW w:w="737" w:type="pct"/>
            <w:tcBorders>
              <w:tl2br w:val="nil"/>
              <w:tr2bl w:val="nil"/>
            </w:tcBorders>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6000t/a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tcBorders>
              <w:tl2br w:val="nil"/>
              <w:tr2bl w:val="nil"/>
            </w:tcBorders>
            <w:vAlign w:val="center"/>
          </w:tcPr>
          <w:p>
            <w:pPr>
              <w:pStyle w:val="182"/>
              <w:bidi w:val="0"/>
              <w:rPr>
                <w:rFonts w:hint="eastAsia" w:eastAsia="宋体"/>
                <w:color w:val="auto"/>
                <w:lang w:val="en-US" w:eastAsia="zh-CN"/>
              </w:rPr>
            </w:pPr>
            <w:r>
              <w:rPr>
                <w:rFonts w:hint="eastAsia"/>
                <w:color w:val="auto"/>
                <w:lang w:val="en-US" w:eastAsia="zh-CN"/>
              </w:rPr>
              <w:t>4</w:t>
            </w:r>
          </w:p>
        </w:tc>
        <w:tc>
          <w:tcPr>
            <w:tcW w:w="1850" w:type="pct"/>
            <w:tcBorders>
              <w:tl2br w:val="nil"/>
              <w:tr2bl w:val="nil"/>
            </w:tcBorders>
            <w:vAlign w:val="center"/>
          </w:tcPr>
          <w:p>
            <w:pPr>
              <w:pStyle w:val="182"/>
              <w:bidi w:val="0"/>
              <w:rPr>
                <w:color w:val="auto"/>
              </w:rPr>
            </w:pPr>
            <w:r>
              <w:rPr>
                <w:rFonts w:hint="eastAsia"/>
                <w:color w:val="auto"/>
              </w:rPr>
              <w:t>年产10万吨高品质超细旦氨纶纤维项目（在建）</w:t>
            </w:r>
          </w:p>
        </w:tc>
        <w:tc>
          <w:tcPr>
            <w:tcW w:w="1933" w:type="pct"/>
            <w:gridSpan w:val="2"/>
            <w:tcBorders>
              <w:tl2br w:val="nil"/>
              <w:tr2bl w:val="nil"/>
            </w:tcBorders>
            <w:vAlign w:val="center"/>
          </w:tcPr>
          <w:p>
            <w:pPr>
              <w:pStyle w:val="182"/>
              <w:bidi w:val="0"/>
              <w:rPr>
                <w:color w:val="auto"/>
              </w:rPr>
            </w:pPr>
            <w:r>
              <w:rPr>
                <w:rFonts w:hint="eastAsia"/>
                <w:color w:val="auto"/>
              </w:rPr>
              <w:t>氨纶纤维</w:t>
            </w:r>
          </w:p>
        </w:tc>
        <w:tc>
          <w:tcPr>
            <w:tcW w:w="737" w:type="pct"/>
            <w:tcBorders>
              <w:tl2br w:val="nil"/>
              <w:tr2bl w:val="nil"/>
            </w:tcBorders>
            <w:vAlign w:val="center"/>
          </w:tcPr>
          <w:p>
            <w:pPr>
              <w:pStyle w:val="182"/>
              <w:bidi w:val="0"/>
              <w:rPr>
                <w:color w:val="auto"/>
              </w:rPr>
            </w:pPr>
            <w:r>
              <w:rPr>
                <w:rFonts w:hint="eastAsia"/>
                <w:color w:val="auto"/>
              </w:rPr>
              <w:t>10万t/a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78" w:type="pct"/>
            <w:tcBorders>
              <w:tl2br w:val="nil"/>
              <w:tr2bl w:val="nil"/>
            </w:tcBorders>
            <w:vAlign w:val="center"/>
          </w:tcPr>
          <w:p>
            <w:pPr>
              <w:pStyle w:val="182"/>
              <w:bidi w:val="0"/>
              <w:rPr>
                <w:rFonts w:hint="eastAsia" w:eastAsia="宋体"/>
                <w:color w:val="auto"/>
                <w:lang w:val="en-US" w:eastAsia="zh-CN"/>
              </w:rPr>
            </w:pPr>
            <w:r>
              <w:rPr>
                <w:rFonts w:hint="eastAsia"/>
                <w:color w:val="auto"/>
                <w:lang w:val="en-US" w:eastAsia="zh-CN"/>
              </w:rPr>
              <w:t>5</w:t>
            </w:r>
          </w:p>
        </w:tc>
        <w:tc>
          <w:tcPr>
            <w:tcW w:w="1850" w:type="pct"/>
            <w:tcBorders>
              <w:tl2br w:val="nil"/>
              <w:tr2bl w:val="nil"/>
            </w:tcBorders>
            <w:vAlign w:val="center"/>
          </w:tcPr>
          <w:p>
            <w:pPr>
              <w:pStyle w:val="182"/>
              <w:bidi w:val="0"/>
              <w:rPr>
                <w:color w:val="auto"/>
              </w:rPr>
            </w:pPr>
            <w:r>
              <w:rPr>
                <w:color w:val="auto"/>
              </w:rPr>
              <w:t>1×360t/h锅炉及2×B25MW热电联产项目</w:t>
            </w:r>
            <w:r>
              <w:rPr>
                <w:rFonts w:hint="eastAsia"/>
                <w:color w:val="auto"/>
              </w:rPr>
              <w:t>（在建）</w:t>
            </w:r>
          </w:p>
        </w:tc>
        <w:tc>
          <w:tcPr>
            <w:tcW w:w="1933" w:type="pct"/>
            <w:gridSpan w:val="2"/>
            <w:tcBorders>
              <w:tl2br w:val="nil"/>
              <w:tr2bl w:val="nil"/>
            </w:tcBorders>
            <w:vAlign w:val="center"/>
          </w:tcPr>
          <w:p>
            <w:pPr>
              <w:pStyle w:val="182"/>
              <w:bidi w:val="0"/>
              <w:rPr>
                <w:color w:val="auto"/>
              </w:rPr>
            </w:pPr>
            <w:r>
              <w:rPr>
                <w:rFonts w:hint="eastAsia"/>
                <w:color w:val="auto"/>
              </w:rPr>
              <w:t>新区1×360t/h锅炉及2×B25MW背压式机组，总装机容量为50MW</w:t>
            </w:r>
          </w:p>
        </w:tc>
        <w:tc>
          <w:tcPr>
            <w:tcW w:w="737" w:type="pct"/>
            <w:tcBorders>
              <w:tl2br w:val="nil"/>
              <w:tr2bl w:val="nil"/>
            </w:tcBorders>
            <w:vAlign w:val="center"/>
          </w:tcPr>
          <w:p>
            <w:pPr>
              <w:pStyle w:val="182"/>
              <w:bidi w:val="0"/>
              <w:rPr>
                <w:color w:val="auto"/>
              </w:rPr>
            </w:pPr>
            <w:r>
              <w:rPr>
                <w:rFonts w:hint="eastAsia"/>
                <w:color w:val="auto"/>
              </w:rPr>
              <w:t>/</w:t>
            </w:r>
          </w:p>
        </w:tc>
      </w:tr>
    </w:tbl>
    <w:p>
      <w:pPr>
        <w:pStyle w:val="9"/>
        <w:bidi w:val="0"/>
        <w:rPr>
          <w:color w:val="auto"/>
        </w:rPr>
      </w:pPr>
      <w:r>
        <w:rPr>
          <w:rFonts w:hint="eastAsia"/>
          <w:color w:val="auto"/>
        </w:rPr>
        <w:t>3</w:t>
      </w:r>
      <w:r>
        <w:rPr>
          <w:color w:val="auto"/>
        </w:rPr>
        <w:t>.</w:t>
      </w:r>
      <w:r>
        <w:rPr>
          <w:rFonts w:hint="eastAsia"/>
          <w:color w:val="auto"/>
          <w:lang w:val="en-US" w:eastAsia="zh-CN"/>
        </w:rPr>
        <w:t>4</w:t>
      </w:r>
      <w:r>
        <w:rPr>
          <w:color w:val="auto"/>
        </w:rPr>
        <w:t>.3</w:t>
      </w:r>
      <w:r>
        <w:rPr>
          <w:rFonts w:hint="eastAsia"/>
          <w:color w:val="auto"/>
          <w:lang w:val="en-US" w:eastAsia="zh-CN"/>
        </w:rPr>
        <w:t>在建工程</w:t>
      </w:r>
      <w:r>
        <w:rPr>
          <w:rFonts w:hint="eastAsia"/>
          <w:color w:val="auto"/>
        </w:rPr>
        <w:t>主要生产设备</w:t>
      </w:r>
    </w:p>
    <w:p>
      <w:pPr>
        <w:bidi w:val="0"/>
        <w:rPr>
          <w:color w:val="auto"/>
        </w:rPr>
      </w:pPr>
      <w:r>
        <w:rPr>
          <w:rFonts w:hint="eastAsia"/>
          <w:color w:val="auto"/>
          <w:lang w:val="en-US" w:eastAsia="zh-CN"/>
        </w:rPr>
        <w:t>在建</w:t>
      </w:r>
      <w:r>
        <w:rPr>
          <w:rFonts w:hint="eastAsia"/>
          <w:color w:val="auto"/>
        </w:rPr>
        <w:t>工程主要生产设备见表</w:t>
      </w:r>
      <w:r>
        <w:rPr>
          <w:color w:val="auto"/>
        </w:rPr>
        <w:t>3.</w:t>
      </w:r>
      <w:r>
        <w:rPr>
          <w:rFonts w:hint="eastAsia"/>
          <w:color w:val="auto"/>
          <w:lang w:val="en-US" w:eastAsia="zh-CN"/>
        </w:rPr>
        <w:t>4</w:t>
      </w:r>
      <w:r>
        <w:rPr>
          <w:rFonts w:hint="eastAsia"/>
          <w:color w:val="auto"/>
        </w:rPr>
        <w:t>-</w:t>
      </w:r>
      <w:r>
        <w:rPr>
          <w:color w:val="auto"/>
        </w:rPr>
        <w:t>3</w:t>
      </w:r>
      <w:r>
        <w:rPr>
          <w:rFonts w:hint="eastAsia"/>
          <w:color w:val="auto"/>
        </w:rPr>
        <w:t>。</w:t>
      </w:r>
    </w:p>
    <w:p>
      <w:pPr>
        <w:pStyle w:val="181"/>
        <w:bidi w:val="0"/>
        <w:rPr>
          <w:color w:val="auto"/>
        </w:rPr>
      </w:pPr>
      <w:r>
        <w:rPr>
          <w:rFonts w:hint="eastAsia"/>
          <w:color w:val="auto"/>
        </w:rPr>
        <w:t>表3</w:t>
      </w:r>
      <w:r>
        <w:rPr>
          <w:color w:val="auto"/>
        </w:rPr>
        <w:t>.</w:t>
      </w:r>
      <w:r>
        <w:rPr>
          <w:rFonts w:hint="eastAsia"/>
          <w:color w:val="auto"/>
          <w:lang w:val="en-US" w:eastAsia="zh-CN"/>
        </w:rPr>
        <w:t>4</w:t>
      </w:r>
      <w:r>
        <w:rPr>
          <w:rFonts w:hint="eastAsia"/>
          <w:color w:val="auto"/>
        </w:rPr>
        <w:t>-</w:t>
      </w:r>
      <w:r>
        <w:rPr>
          <w:color w:val="auto"/>
        </w:rPr>
        <w:t xml:space="preserve">3  </w:t>
      </w:r>
      <w:r>
        <w:rPr>
          <w:rFonts w:hint="eastAsia"/>
          <w:color w:val="auto"/>
          <w:lang w:val="en-US" w:eastAsia="zh-CN"/>
        </w:rPr>
        <w:t xml:space="preserve">          在建</w:t>
      </w:r>
      <w:r>
        <w:rPr>
          <w:rFonts w:hint="eastAsia"/>
          <w:color w:val="auto"/>
        </w:rPr>
        <w:t>工程主要生产设备一览表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676"/>
        <w:gridCol w:w="504"/>
        <w:gridCol w:w="1566"/>
        <w:gridCol w:w="4161"/>
        <w:gridCol w:w="1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12" w:type="pct"/>
            <w:vAlign w:val="center"/>
          </w:tcPr>
          <w:p>
            <w:pPr>
              <w:pStyle w:val="182"/>
              <w:bidi w:val="0"/>
              <w:rPr>
                <w:b/>
                <w:bCs/>
                <w:color w:val="auto"/>
              </w:rPr>
            </w:pPr>
            <w:r>
              <w:rPr>
                <w:rFonts w:hint="eastAsia"/>
                <w:b/>
                <w:bCs/>
                <w:color w:val="auto"/>
              </w:rPr>
              <w:t>序号</w:t>
            </w:r>
          </w:p>
        </w:tc>
        <w:tc>
          <w:tcPr>
            <w:tcW w:w="1612" w:type="pct"/>
            <w:gridSpan w:val="3"/>
            <w:vAlign w:val="center"/>
          </w:tcPr>
          <w:p>
            <w:pPr>
              <w:pStyle w:val="182"/>
              <w:bidi w:val="0"/>
              <w:rPr>
                <w:b/>
                <w:bCs/>
                <w:color w:val="auto"/>
              </w:rPr>
            </w:pPr>
            <w:r>
              <w:rPr>
                <w:rFonts w:hint="eastAsia"/>
                <w:b/>
                <w:bCs/>
                <w:color w:val="auto"/>
              </w:rPr>
              <w:t>设备名称</w:t>
            </w:r>
          </w:p>
        </w:tc>
        <w:tc>
          <w:tcPr>
            <w:tcW w:w="2442" w:type="pct"/>
            <w:vAlign w:val="center"/>
          </w:tcPr>
          <w:p>
            <w:pPr>
              <w:pStyle w:val="182"/>
              <w:bidi w:val="0"/>
              <w:rPr>
                <w:b/>
                <w:bCs/>
                <w:color w:val="auto"/>
              </w:rPr>
            </w:pPr>
            <w:r>
              <w:rPr>
                <w:rFonts w:hint="eastAsia"/>
                <w:b/>
                <w:bCs/>
                <w:color w:val="auto"/>
              </w:rPr>
              <w:t>规格型号</w:t>
            </w:r>
          </w:p>
        </w:tc>
        <w:tc>
          <w:tcPr>
            <w:tcW w:w="632" w:type="pct"/>
            <w:vAlign w:val="center"/>
          </w:tcPr>
          <w:p>
            <w:pPr>
              <w:pStyle w:val="182"/>
              <w:bidi w:val="0"/>
              <w:rPr>
                <w:b/>
                <w:bCs/>
                <w:color w:val="auto"/>
              </w:rPr>
            </w:pPr>
            <w:r>
              <w:rPr>
                <w:rFonts w:hint="eastAsia"/>
                <w:b/>
                <w:bCs/>
                <w:color w:val="auto"/>
              </w:rPr>
              <w:t>数量</w:t>
            </w:r>
          </w:p>
          <w:p>
            <w:pPr>
              <w:pStyle w:val="182"/>
              <w:bidi w:val="0"/>
              <w:rPr>
                <w:b/>
                <w:bCs/>
                <w:color w:val="auto"/>
              </w:rPr>
            </w:pPr>
            <w:r>
              <w:rPr>
                <w:rFonts w:hint="eastAsia"/>
                <w:b/>
                <w:bCs/>
                <w:color w:val="auto"/>
              </w:rPr>
              <w:t>（台/套）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rFonts w:hint="eastAsia" w:eastAsia="宋体"/>
                <w:color w:val="auto"/>
                <w:lang w:eastAsia="zh-CN"/>
              </w:rPr>
            </w:pPr>
            <w:r>
              <w:rPr>
                <w:rFonts w:hint="eastAsia"/>
                <w:color w:val="auto"/>
              </w:rPr>
              <w:t>年产2×2万吨超细旦氨纶纤维项目（年产3×2万吨超细旦氨纶纤维项目二期三期工程）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w:t>
            </w:r>
          </w:p>
        </w:tc>
        <w:tc>
          <w:tcPr>
            <w:tcW w:w="1612" w:type="pct"/>
            <w:gridSpan w:val="3"/>
            <w:vAlign w:val="center"/>
          </w:tcPr>
          <w:p>
            <w:pPr>
              <w:pStyle w:val="182"/>
              <w:bidi w:val="0"/>
              <w:rPr>
                <w:color w:val="auto"/>
              </w:rPr>
            </w:pPr>
            <w:r>
              <w:rPr>
                <w:rFonts w:hint="eastAsia"/>
                <w:color w:val="auto"/>
              </w:rPr>
              <w:t>液态MDI存储罐</w:t>
            </w:r>
          </w:p>
        </w:tc>
        <w:tc>
          <w:tcPr>
            <w:tcW w:w="2442" w:type="pct"/>
            <w:vAlign w:val="center"/>
          </w:tcPr>
          <w:p>
            <w:pPr>
              <w:pStyle w:val="182"/>
              <w:bidi w:val="0"/>
              <w:rPr>
                <w:color w:val="auto"/>
              </w:rPr>
            </w:pPr>
            <w:r>
              <w:rPr>
                <w:rFonts w:hint="eastAsia"/>
                <w:color w:val="auto"/>
              </w:rPr>
              <w:t>30m</w:t>
            </w:r>
            <w:r>
              <w:rPr>
                <w:rFonts w:hint="eastAsia"/>
                <w:color w:val="auto"/>
                <w:vertAlign w:val="superscript"/>
              </w:rPr>
              <w:t>3</w:t>
            </w:r>
          </w:p>
        </w:tc>
        <w:tc>
          <w:tcPr>
            <w:tcW w:w="632" w:type="pct"/>
            <w:vAlign w:val="center"/>
          </w:tcPr>
          <w:p>
            <w:pPr>
              <w:pStyle w:val="182"/>
              <w:bidi w:val="0"/>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restart"/>
            <w:vAlign w:val="center"/>
          </w:tcPr>
          <w:p>
            <w:pPr>
              <w:pStyle w:val="182"/>
              <w:bidi w:val="0"/>
              <w:rPr>
                <w:color w:val="auto"/>
              </w:rPr>
            </w:pPr>
            <w:r>
              <w:rPr>
                <w:rFonts w:hint="eastAsia"/>
                <w:color w:val="auto"/>
              </w:rPr>
              <w:t>2</w:t>
            </w:r>
          </w:p>
        </w:tc>
        <w:tc>
          <w:tcPr>
            <w:tcW w:w="1612" w:type="pct"/>
            <w:gridSpan w:val="3"/>
            <w:vMerge w:val="restart"/>
            <w:vAlign w:val="center"/>
          </w:tcPr>
          <w:p>
            <w:pPr>
              <w:pStyle w:val="182"/>
              <w:bidi w:val="0"/>
              <w:rPr>
                <w:color w:val="auto"/>
              </w:rPr>
            </w:pPr>
            <w:r>
              <w:rPr>
                <w:rFonts w:hint="eastAsia"/>
                <w:color w:val="auto"/>
              </w:rPr>
              <w:t>液态PTMG 存储罐</w:t>
            </w:r>
          </w:p>
        </w:tc>
        <w:tc>
          <w:tcPr>
            <w:tcW w:w="2442" w:type="pct"/>
            <w:vAlign w:val="center"/>
          </w:tcPr>
          <w:p>
            <w:pPr>
              <w:pStyle w:val="182"/>
              <w:bidi w:val="0"/>
              <w:rPr>
                <w:color w:val="auto"/>
              </w:rPr>
            </w:pPr>
            <w:r>
              <w:rPr>
                <w:rFonts w:hint="eastAsia"/>
                <w:color w:val="auto"/>
              </w:rPr>
              <w:t>500m</w:t>
            </w:r>
            <w:r>
              <w:rPr>
                <w:rFonts w:hint="eastAsia"/>
                <w:color w:val="auto"/>
                <w:vertAlign w:val="superscript"/>
              </w:rPr>
              <w:t>3</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pPr>
              <w:pStyle w:val="182"/>
              <w:bidi w:val="0"/>
              <w:rPr>
                <w:color w:val="auto"/>
              </w:rPr>
            </w:pPr>
          </w:p>
        </w:tc>
        <w:tc>
          <w:tcPr>
            <w:tcW w:w="1612" w:type="pct"/>
            <w:gridSpan w:val="3"/>
            <w:vMerge w:val="continue"/>
            <w:vAlign w:val="center"/>
          </w:tcPr>
          <w:p>
            <w:pPr>
              <w:pStyle w:val="182"/>
              <w:bidi w:val="0"/>
              <w:rPr>
                <w:color w:val="auto"/>
              </w:rPr>
            </w:pPr>
          </w:p>
        </w:tc>
        <w:tc>
          <w:tcPr>
            <w:tcW w:w="2442" w:type="pct"/>
            <w:vAlign w:val="center"/>
          </w:tcPr>
          <w:p>
            <w:pPr>
              <w:pStyle w:val="182"/>
              <w:bidi w:val="0"/>
              <w:rPr>
                <w:color w:val="auto"/>
              </w:rPr>
            </w:pPr>
            <w:r>
              <w:rPr>
                <w:rFonts w:hint="eastAsia"/>
                <w:color w:val="auto"/>
              </w:rPr>
              <w:t>200m</w:t>
            </w:r>
            <w:r>
              <w:rPr>
                <w:rFonts w:hint="eastAsia"/>
                <w:color w:val="auto"/>
                <w:vertAlign w:val="superscript"/>
              </w:rPr>
              <w:t>3</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3</w:t>
            </w:r>
          </w:p>
        </w:tc>
        <w:tc>
          <w:tcPr>
            <w:tcW w:w="1612" w:type="pct"/>
            <w:gridSpan w:val="3"/>
            <w:vAlign w:val="center"/>
          </w:tcPr>
          <w:p>
            <w:pPr>
              <w:pStyle w:val="182"/>
              <w:bidi w:val="0"/>
              <w:rPr>
                <w:color w:val="auto"/>
              </w:rPr>
            </w:pPr>
            <w:r>
              <w:rPr>
                <w:rFonts w:hint="eastAsia"/>
                <w:color w:val="auto"/>
              </w:rPr>
              <w:t>DMAC存储罐</w:t>
            </w:r>
          </w:p>
        </w:tc>
        <w:tc>
          <w:tcPr>
            <w:tcW w:w="2442" w:type="pct"/>
            <w:vAlign w:val="center"/>
          </w:tcPr>
          <w:p>
            <w:pPr>
              <w:pStyle w:val="182"/>
              <w:bidi w:val="0"/>
              <w:rPr>
                <w:color w:val="auto"/>
              </w:rPr>
            </w:pPr>
            <w:r>
              <w:rPr>
                <w:rFonts w:hint="eastAsia"/>
                <w:color w:val="auto"/>
              </w:rPr>
              <w:t>1000m</w:t>
            </w:r>
            <w:r>
              <w:rPr>
                <w:rFonts w:hint="eastAsia"/>
                <w:color w:val="auto"/>
                <w:vertAlign w:val="superscript"/>
              </w:rPr>
              <w:t>3</w:t>
            </w:r>
          </w:p>
        </w:tc>
        <w:tc>
          <w:tcPr>
            <w:tcW w:w="632"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4</w:t>
            </w:r>
          </w:p>
        </w:tc>
        <w:tc>
          <w:tcPr>
            <w:tcW w:w="1612" w:type="pct"/>
            <w:gridSpan w:val="3"/>
            <w:vAlign w:val="center"/>
          </w:tcPr>
          <w:p>
            <w:pPr>
              <w:pStyle w:val="182"/>
              <w:bidi w:val="0"/>
              <w:rPr>
                <w:color w:val="auto"/>
              </w:rPr>
            </w:pPr>
            <w:r>
              <w:rPr>
                <w:rFonts w:hint="eastAsia"/>
                <w:color w:val="auto"/>
              </w:rPr>
              <w:t>预聚合反应器</w:t>
            </w:r>
          </w:p>
        </w:tc>
        <w:tc>
          <w:tcPr>
            <w:tcW w:w="2442" w:type="pct"/>
            <w:vAlign w:val="center"/>
          </w:tcPr>
          <w:p>
            <w:pPr>
              <w:pStyle w:val="182"/>
              <w:bidi w:val="0"/>
              <w:rPr>
                <w:color w:val="auto"/>
              </w:rPr>
            </w:pPr>
            <w:r>
              <w:rPr>
                <w:color w:val="auto"/>
              </w:rPr>
              <w:t>/</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5</w:t>
            </w:r>
          </w:p>
        </w:tc>
        <w:tc>
          <w:tcPr>
            <w:tcW w:w="1612" w:type="pct"/>
            <w:gridSpan w:val="3"/>
            <w:vAlign w:val="center"/>
          </w:tcPr>
          <w:p>
            <w:pPr>
              <w:pStyle w:val="182"/>
              <w:bidi w:val="0"/>
              <w:rPr>
                <w:color w:val="auto"/>
              </w:rPr>
            </w:pPr>
            <w:r>
              <w:rPr>
                <w:rFonts w:hint="eastAsia"/>
                <w:color w:val="auto"/>
              </w:rPr>
              <w:t>混合胺供给罐</w:t>
            </w:r>
          </w:p>
        </w:tc>
        <w:tc>
          <w:tcPr>
            <w:tcW w:w="2442" w:type="pct"/>
            <w:vAlign w:val="center"/>
          </w:tcPr>
          <w:p>
            <w:pPr>
              <w:pStyle w:val="182"/>
              <w:bidi w:val="0"/>
              <w:rPr>
                <w:color w:val="auto"/>
              </w:rPr>
            </w:pPr>
            <w:r>
              <w:rPr>
                <w:rFonts w:hint="eastAsia"/>
                <w:color w:val="auto"/>
              </w:rPr>
              <w:t>3m</w:t>
            </w:r>
            <w:r>
              <w:rPr>
                <w:rFonts w:hint="eastAsia"/>
                <w:color w:val="auto"/>
                <w:vertAlign w:val="superscript"/>
              </w:rPr>
              <w:t>3</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6</w:t>
            </w:r>
          </w:p>
        </w:tc>
        <w:tc>
          <w:tcPr>
            <w:tcW w:w="1612" w:type="pct"/>
            <w:gridSpan w:val="3"/>
            <w:vAlign w:val="center"/>
          </w:tcPr>
          <w:p>
            <w:pPr>
              <w:pStyle w:val="182"/>
              <w:bidi w:val="0"/>
              <w:rPr>
                <w:color w:val="auto"/>
              </w:rPr>
            </w:pPr>
            <w:r>
              <w:rPr>
                <w:rFonts w:hint="eastAsia"/>
                <w:color w:val="auto"/>
              </w:rPr>
              <w:t>聚合反应器</w:t>
            </w:r>
          </w:p>
        </w:tc>
        <w:tc>
          <w:tcPr>
            <w:tcW w:w="2442" w:type="pct"/>
            <w:vAlign w:val="bottom"/>
          </w:tcPr>
          <w:p>
            <w:pPr>
              <w:pStyle w:val="182"/>
              <w:bidi w:val="0"/>
              <w:rPr>
                <w:color w:val="auto"/>
              </w:rPr>
            </w:pPr>
            <w:r>
              <w:rPr>
                <w:rFonts w:hint="eastAsia"/>
                <w:color w:val="auto"/>
              </w:rPr>
              <w:t>/</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7</w:t>
            </w:r>
          </w:p>
        </w:tc>
        <w:tc>
          <w:tcPr>
            <w:tcW w:w="1612" w:type="pct"/>
            <w:gridSpan w:val="3"/>
            <w:vAlign w:val="center"/>
          </w:tcPr>
          <w:p>
            <w:pPr>
              <w:pStyle w:val="182"/>
              <w:bidi w:val="0"/>
              <w:rPr>
                <w:color w:val="auto"/>
              </w:rPr>
            </w:pPr>
            <w:r>
              <w:rPr>
                <w:rFonts w:hint="eastAsia"/>
                <w:color w:val="auto"/>
              </w:rPr>
              <w:t>添加剂调配罐</w:t>
            </w:r>
          </w:p>
        </w:tc>
        <w:tc>
          <w:tcPr>
            <w:tcW w:w="2442" w:type="pct"/>
            <w:vAlign w:val="bottom"/>
          </w:tcPr>
          <w:p>
            <w:pPr>
              <w:pStyle w:val="182"/>
              <w:bidi w:val="0"/>
              <w:rPr>
                <w:color w:val="auto"/>
              </w:rPr>
            </w:pPr>
            <w:r>
              <w:rPr>
                <w:rFonts w:hint="eastAsia"/>
                <w:color w:val="auto"/>
              </w:rPr>
              <w:t>3m</w:t>
            </w:r>
            <w:r>
              <w:rPr>
                <w:rFonts w:hint="eastAsia"/>
                <w:color w:val="auto"/>
                <w:vertAlign w:val="superscript"/>
              </w:rPr>
              <w:t>3</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8</w:t>
            </w:r>
          </w:p>
        </w:tc>
        <w:tc>
          <w:tcPr>
            <w:tcW w:w="1612" w:type="pct"/>
            <w:gridSpan w:val="3"/>
            <w:vAlign w:val="center"/>
          </w:tcPr>
          <w:p>
            <w:pPr>
              <w:pStyle w:val="182"/>
              <w:bidi w:val="0"/>
              <w:rPr>
                <w:color w:val="auto"/>
              </w:rPr>
            </w:pPr>
            <w:r>
              <w:rPr>
                <w:rFonts w:hint="eastAsia"/>
                <w:color w:val="auto"/>
              </w:rPr>
              <w:t>聚合物混合器</w:t>
            </w:r>
          </w:p>
        </w:tc>
        <w:tc>
          <w:tcPr>
            <w:tcW w:w="2442" w:type="pct"/>
            <w:vAlign w:val="bottom"/>
          </w:tcPr>
          <w:p>
            <w:pPr>
              <w:pStyle w:val="182"/>
              <w:bidi w:val="0"/>
              <w:rPr>
                <w:color w:val="auto"/>
              </w:rPr>
            </w:pPr>
            <w:r>
              <w:rPr>
                <w:rFonts w:hint="eastAsia"/>
                <w:color w:val="auto"/>
              </w:rPr>
              <w:t>/</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9</w:t>
            </w:r>
          </w:p>
        </w:tc>
        <w:tc>
          <w:tcPr>
            <w:tcW w:w="1612" w:type="pct"/>
            <w:gridSpan w:val="3"/>
            <w:vAlign w:val="center"/>
          </w:tcPr>
          <w:p>
            <w:pPr>
              <w:pStyle w:val="182"/>
              <w:bidi w:val="0"/>
              <w:rPr>
                <w:color w:val="auto"/>
              </w:rPr>
            </w:pPr>
            <w:r>
              <w:rPr>
                <w:rFonts w:hint="eastAsia"/>
                <w:color w:val="auto"/>
              </w:rPr>
              <w:t>原液储罐</w:t>
            </w:r>
          </w:p>
        </w:tc>
        <w:tc>
          <w:tcPr>
            <w:tcW w:w="2442" w:type="pct"/>
            <w:vAlign w:val="bottom"/>
          </w:tcPr>
          <w:p>
            <w:pPr>
              <w:pStyle w:val="182"/>
              <w:bidi w:val="0"/>
              <w:rPr>
                <w:color w:val="auto"/>
              </w:rPr>
            </w:pPr>
            <w:r>
              <w:rPr>
                <w:rFonts w:hint="eastAsia"/>
                <w:color w:val="auto"/>
              </w:rPr>
              <w:t>ST26.0</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10</w:t>
            </w:r>
          </w:p>
        </w:tc>
        <w:tc>
          <w:tcPr>
            <w:tcW w:w="1612" w:type="pct"/>
            <w:gridSpan w:val="3"/>
            <w:vAlign w:val="center"/>
          </w:tcPr>
          <w:p>
            <w:pPr>
              <w:pStyle w:val="182"/>
              <w:bidi w:val="0"/>
              <w:rPr>
                <w:color w:val="auto"/>
              </w:rPr>
            </w:pPr>
            <w:r>
              <w:rPr>
                <w:rFonts w:hint="eastAsia"/>
                <w:color w:val="auto"/>
              </w:rPr>
              <w:t>纺丝甬道</w:t>
            </w:r>
          </w:p>
        </w:tc>
        <w:tc>
          <w:tcPr>
            <w:tcW w:w="2442" w:type="pct"/>
            <w:vAlign w:val="bottom"/>
          </w:tcPr>
          <w:p>
            <w:pPr>
              <w:pStyle w:val="182"/>
              <w:bidi w:val="0"/>
              <w:rPr>
                <w:color w:val="auto"/>
              </w:rPr>
            </w:pPr>
            <w:r>
              <w:rPr>
                <w:rFonts w:hint="eastAsia"/>
                <w:color w:val="auto"/>
              </w:rPr>
              <w:t>64E专用</w:t>
            </w:r>
          </w:p>
        </w:tc>
        <w:tc>
          <w:tcPr>
            <w:tcW w:w="632" w:type="pct"/>
            <w:vAlign w:val="center"/>
          </w:tcPr>
          <w:p>
            <w:pPr>
              <w:pStyle w:val="182"/>
              <w:bidi w:val="0"/>
              <w:rPr>
                <w:color w:val="auto"/>
              </w:rPr>
            </w:pPr>
            <w:r>
              <w:rPr>
                <w:color w:val="auto"/>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11</w:t>
            </w:r>
          </w:p>
        </w:tc>
        <w:tc>
          <w:tcPr>
            <w:tcW w:w="1612" w:type="pct"/>
            <w:gridSpan w:val="3"/>
            <w:vAlign w:val="center"/>
          </w:tcPr>
          <w:p>
            <w:pPr>
              <w:pStyle w:val="182"/>
              <w:bidi w:val="0"/>
              <w:rPr>
                <w:color w:val="auto"/>
              </w:rPr>
            </w:pPr>
            <w:r>
              <w:rPr>
                <w:rFonts w:hint="eastAsia"/>
                <w:color w:val="auto"/>
              </w:rPr>
              <w:t>纺丝组件</w:t>
            </w:r>
          </w:p>
        </w:tc>
        <w:tc>
          <w:tcPr>
            <w:tcW w:w="2442" w:type="pct"/>
            <w:vAlign w:val="bottom"/>
          </w:tcPr>
          <w:p>
            <w:pPr>
              <w:pStyle w:val="182"/>
              <w:bidi w:val="0"/>
              <w:rPr>
                <w:color w:val="auto"/>
              </w:rPr>
            </w:pPr>
            <w:r>
              <w:rPr>
                <w:rFonts w:hint="eastAsia"/>
                <w:color w:val="auto"/>
              </w:rPr>
              <w:t>喷丝板、过滤网等</w:t>
            </w:r>
          </w:p>
        </w:tc>
        <w:tc>
          <w:tcPr>
            <w:tcW w:w="632" w:type="pct"/>
            <w:vAlign w:val="center"/>
          </w:tcPr>
          <w:p>
            <w:pPr>
              <w:pStyle w:val="182"/>
              <w:bidi w:val="0"/>
              <w:rPr>
                <w:color w:val="auto"/>
              </w:rPr>
            </w:pPr>
            <w:r>
              <w:rPr>
                <w:color w:val="auto"/>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12</w:t>
            </w:r>
          </w:p>
        </w:tc>
        <w:tc>
          <w:tcPr>
            <w:tcW w:w="1612" w:type="pct"/>
            <w:gridSpan w:val="3"/>
            <w:vAlign w:val="center"/>
          </w:tcPr>
          <w:p>
            <w:pPr>
              <w:pStyle w:val="182"/>
              <w:bidi w:val="0"/>
              <w:rPr>
                <w:color w:val="auto"/>
              </w:rPr>
            </w:pPr>
            <w:r>
              <w:rPr>
                <w:rFonts w:hint="eastAsia"/>
                <w:color w:val="auto"/>
              </w:rPr>
              <w:t>导丝机构</w:t>
            </w:r>
          </w:p>
        </w:tc>
        <w:tc>
          <w:tcPr>
            <w:tcW w:w="2442" w:type="pct"/>
            <w:vAlign w:val="bottom"/>
          </w:tcPr>
          <w:p>
            <w:pPr>
              <w:pStyle w:val="182"/>
              <w:bidi w:val="0"/>
              <w:rPr>
                <w:color w:val="auto"/>
              </w:rPr>
            </w:pPr>
            <w:r>
              <w:rPr>
                <w:rFonts w:hint="eastAsia"/>
                <w:color w:val="auto"/>
              </w:rPr>
              <w:t>GR-1，GR-2，GR-3</w:t>
            </w:r>
          </w:p>
        </w:tc>
        <w:tc>
          <w:tcPr>
            <w:tcW w:w="632" w:type="pct"/>
            <w:vAlign w:val="center"/>
          </w:tcPr>
          <w:p>
            <w:pPr>
              <w:pStyle w:val="182"/>
              <w:bidi w:val="0"/>
              <w:rPr>
                <w:color w:val="auto"/>
              </w:rPr>
            </w:pPr>
            <w:r>
              <w:rPr>
                <w:color w:val="auto"/>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13</w:t>
            </w:r>
          </w:p>
        </w:tc>
        <w:tc>
          <w:tcPr>
            <w:tcW w:w="1612" w:type="pct"/>
            <w:gridSpan w:val="3"/>
            <w:vAlign w:val="center"/>
          </w:tcPr>
          <w:p>
            <w:pPr>
              <w:pStyle w:val="182"/>
              <w:bidi w:val="0"/>
              <w:rPr>
                <w:color w:val="auto"/>
              </w:rPr>
            </w:pPr>
            <w:r>
              <w:rPr>
                <w:rFonts w:hint="eastAsia"/>
                <w:color w:val="auto"/>
              </w:rPr>
              <w:t>卷绕头</w:t>
            </w:r>
          </w:p>
        </w:tc>
        <w:tc>
          <w:tcPr>
            <w:tcW w:w="2442" w:type="pct"/>
            <w:vAlign w:val="bottom"/>
          </w:tcPr>
          <w:p>
            <w:pPr>
              <w:pStyle w:val="182"/>
              <w:bidi w:val="0"/>
              <w:rPr>
                <w:color w:val="auto"/>
              </w:rPr>
            </w:pPr>
            <w:r>
              <w:rPr>
                <w:rFonts w:hint="eastAsia"/>
                <w:color w:val="auto"/>
              </w:rPr>
              <w:t>WAW-101</w:t>
            </w:r>
          </w:p>
        </w:tc>
        <w:tc>
          <w:tcPr>
            <w:tcW w:w="632" w:type="pct"/>
            <w:vAlign w:val="center"/>
          </w:tcPr>
          <w:p>
            <w:pPr>
              <w:pStyle w:val="182"/>
              <w:bidi w:val="0"/>
              <w:rPr>
                <w:color w:val="auto"/>
              </w:rPr>
            </w:pPr>
            <w:r>
              <w:rPr>
                <w:color w:val="auto"/>
              </w:rPr>
              <w:t>1512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14</w:t>
            </w:r>
          </w:p>
        </w:tc>
        <w:tc>
          <w:tcPr>
            <w:tcW w:w="1612" w:type="pct"/>
            <w:gridSpan w:val="3"/>
            <w:vAlign w:val="center"/>
          </w:tcPr>
          <w:p>
            <w:pPr>
              <w:pStyle w:val="182"/>
              <w:bidi w:val="0"/>
              <w:rPr>
                <w:color w:val="auto"/>
              </w:rPr>
            </w:pPr>
            <w:r>
              <w:rPr>
                <w:rFonts w:hint="eastAsia"/>
                <w:color w:val="auto"/>
              </w:rPr>
              <w:t>SM 系统</w:t>
            </w:r>
          </w:p>
        </w:tc>
        <w:tc>
          <w:tcPr>
            <w:tcW w:w="2442" w:type="pct"/>
            <w:vAlign w:val="bottom"/>
          </w:tcPr>
          <w:p>
            <w:pPr>
              <w:pStyle w:val="182"/>
              <w:bidi w:val="0"/>
              <w:rPr>
                <w:color w:val="auto"/>
              </w:rPr>
            </w:pPr>
            <w:r>
              <w:rPr>
                <w:rFonts w:hint="eastAsia"/>
                <w:color w:val="auto"/>
              </w:rPr>
              <w:t>/</w:t>
            </w:r>
          </w:p>
        </w:tc>
        <w:tc>
          <w:tcPr>
            <w:tcW w:w="632" w:type="pct"/>
            <w:vAlign w:val="center"/>
          </w:tcPr>
          <w:p>
            <w:pPr>
              <w:pStyle w:val="182"/>
              <w:bidi w:val="0"/>
              <w:rPr>
                <w:color w:val="auto"/>
              </w:rPr>
            </w:pPr>
            <w:r>
              <w:rPr>
                <w:color w:val="auto"/>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15</w:t>
            </w:r>
          </w:p>
        </w:tc>
        <w:tc>
          <w:tcPr>
            <w:tcW w:w="1612" w:type="pct"/>
            <w:gridSpan w:val="3"/>
            <w:vAlign w:val="center"/>
          </w:tcPr>
          <w:p>
            <w:pPr>
              <w:pStyle w:val="182"/>
              <w:bidi w:val="0"/>
              <w:rPr>
                <w:color w:val="auto"/>
              </w:rPr>
            </w:pPr>
            <w:r>
              <w:rPr>
                <w:rFonts w:hint="eastAsia"/>
                <w:color w:val="auto"/>
              </w:rPr>
              <w:t>分级设备</w:t>
            </w:r>
          </w:p>
        </w:tc>
        <w:tc>
          <w:tcPr>
            <w:tcW w:w="2442" w:type="pct"/>
            <w:vAlign w:val="bottom"/>
          </w:tcPr>
          <w:p>
            <w:pPr>
              <w:pStyle w:val="182"/>
              <w:bidi w:val="0"/>
              <w:rPr>
                <w:color w:val="auto"/>
              </w:rPr>
            </w:pPr>
            <w:r>
              <w:rPr>
                <w:rFonts w:hint="eastAsia"/>
                <w:color w:val="auto"/>
              </w:rPr>
              <w:t>/</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16</w:t>
            </w:r>
          </w:p>
        </w:tc>
        <w:tc>
          <w:tcPr>
            <w:tcW w:w="1612" w:type="pct"/>
            <w:gridSpan w:val="3"/>
            <w:vAlign w:val="center"/>
          </w:tcPr>
          <w:p>
            <w:pPr>
              <w:pStyle w:val="182"/>
              <w:bidi w:val="0"/>
              <w:rPr>
                <w:color w:val="auto"/>
              </w:rPr>
            </w:pPr>
            <w:r>
              <w:rPr>
                <w:rFonts w:hint="eastAsia"/>
                <w:color w:val="auto"/>
              </w:rPr>
              <w:t>溶剂精制系统</w:t>
            </w:r>
          </w:p>
        </w:tc>
        <w:tc>
          <w:tcPr>
            <w:tcW w:w="2442" w:type="pct"/>
            <w:vAlign w:val="bottom"/>
          </w:tcPr>
          <w:p>
            <w:pPr>
              <w:pStyle w:val="182"/>
              <w:bidi w:val="0"/>
              <w:rPr>
                <w:color w:val="auto"/>
              </w:rPr>
            </w:pPr>
            <w:r>
              <w:rPr>
                <w:rFonts w:hint="eastAsia"/>
                <w:color w:val="auto"/>
              </w:rPr>
              <w:t>含3个精馏塔和1个DMAC回收装置</w:t>
            </w:r>
          </w:p>
        </w:tc>
        <w:tc>
          <w:tcPr>
            <w:tcW w:w="632"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17</w:t>
            </w:r>
          </w:p>
        </w:tc>
        <w:tc>
          <w:tcPr>
            <w:tcW w:w="1612" w:type="pct"/>
            <w:gridSpan w:val="3"/>
            <w:vAlign w:val="center"/>
          </w:tcPr>
          <w:p>
            <w:pPr>
              <w:pStyle w:val="182"/>
              <w:bidi w:val="0"/>
              <w:rPr>
                <w:color w:val="auto"/>
              </w:rPr>
            </w:pPr>
            <w:r>
              <w:rPr>
                <w:rFonts w:hint="eastAsia"/>
                <w:color w:val="auto"/>
              </w:rPr>
              <w:t>超声波清洗机</w:t>
            </w:r>
          </w:p>
        </w:tc>
        <w:tc>
          <w:tcPr>
            <w:tcW w:w="2442" w:type="pct"/>
            <w:vAlign w:val="bottom"/>
          </w:tcPr>
          <w:p>
            <w:pPr>
              <w:pStyle w:val="182"/>
              <w:bidi w:val="0"/>
              <w:rPr>
                <w:color w:val="auto"/>
              </w:rPr>
            </w:pPr>
            <w:r>
              <w:rPr>
                <w:rFonts w:hint="eastAsia"/>
                <w:color w:val="auto"/>
              </w:rPr>
              <w:t>ATLAS-3015</w:t>
            </w:r>
          </w:p>
        </w:tc>
        <w:tc>
          <w:tcPr>
            <w:tcW w:w="632"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18</w:t>
            </w:r>
          </w:p>
        </w:tc>
        <w:tc>
          <w:tcPr>
            <w:tcW w:w="1612" w:type="pct"/>
            <w:gridSpan w:val="3"/>
            <w:vAlign w:val="center"/>
          </w:tcPr>
          <w:p>
            <w:pPr>
              <w:pStyle w:val="182"/>
              <w:bidi w:val="0"/>
              <w:rPr>
                <w:color w:val="auto"/>
              </w:rPr>
            </w:pPr>
            <w:r>
              <w:rPr>
                <w:rFonts w:hint="eastAsia"/>
                <w:color w:val="auto"/>
              </w:rPr>
              <w:t>DCS 控制系统</w:t>
            </w:r>
          </w:p>
        </w:tc>
        <w:tc>
          <w:tcPr>
            <w:tcW w:w="2442" w:type="pct"/>
            <w:vAlign w:val="bottom"/>
          </w:tcPr>
          <w:p>
            <w:pPr>
              <w:pStyle w:val="182"/>
              <w:bidi w:val="0"/>
              <w:rPr>
                <w:color w:val="auto"/>
              </w:rPr>
            </w:pPr>
            <w:r>
              <w:rPr>
                <w:rFonts w:hint="eastAsia"/>
                <w:color w:val="auto"/>
              </w:rPr>
              <w:t>/</w:t>
            </w:r>
          </w:p>
        </w:tc>
        <w:tc>
          <w:tcPr>
            <w:tcW w:w="632"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19</w:t>
            </w:r>
          </w:p>
        </w:tc>
        <w:tc>
          <w:tcPr>
            <w:tcW w:w="1612" w:type="pct"/>
            <w:gridSpan w:val="3"/>
            <w:vAlign w:val="center"/>
          </w:tcPr>
          <w:p>
            <w:pPr>
              <w:pStyle w:val="182"/>
              <w:bidi w:val="0"/>
              <w:rPr>
                <w:color w:val="auto"/>
              </w:rPr>
            </w:pPr>
            <w:r>
              <w:rPr>
                <w:rFonts w:hint="eastAsia"/>
                <w:color w:val="auto"/>
              </w:rPr>
              <w:t>制氮系统</w:t>
            </w:r>
          </w:p>
        </w:tc>
        <w:tc>
          <w:tcPr>
            <w:tcW w:w="2442" w:type="pct"/>
            <w:vAlign w:val="bottom"/>
          </w:tcPr>
          <w:p>
            <w:pPr>
              <w:pStyle w:val="182"/>
              <w:bidi w:val="0"/>
              <w:rPr>
                <w:color w:val="auto"/>
              </w:rPr>
            </w:pPr>
            <w:r>
              <w:rPr>
                <w:rFonts w:hint="eastAsia"/>
                <w:color w:val="auto"/>
              </w:rPr>
              <w:t>/</w:t>
            </w:r>
          </w:p>
        </w:tc>
        <w:tc>
          <w:tcPr>
            <w:tcW w:w="632"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20</w:t>
            </w:r>
          </w:p>
        </w:tc>
        <w:tc>
          <w:tcPr>
            <w:tcW w:w="1612" w:type="pct"/>
            <w:gridSpan w:val="3"/>
            <w:vAlign w:val="center"/>
          </w:tcPr>
          <w:p>
            <w:pPr>
              <w:pStyle w:val="182"/>
              <w:bidi w:val="0"/>
              <w:rPr>
                <w:color w:val="auto"/>
              </w:rPr>
            </w:pPr>
            <w:r>
              <w:rPr>
                <w:rFonts w:hint="eastAsia"/>
                <w:color w:val="auto"/>
              </w:rPr>
              <w:t>冷媒系统</w:t>
            </w:r>
          </w:p>
        </w:tc>
        <w:tc>
          <w:tcPr>
            <w:tcW w:w="2442" w:type="pct"/>
            <w:vAlign w:val="bottom"/>
          </w:tcPr>
          <w:p>
            <w:pPr>
              <w:pStyle w:val="182"/>
              <w:bidi w:val="0"/>
              <w:rPr>
                <w:color w:val="auto"/>
              </w:rPr>
            </w:pPr>
            <w:r>
              <w:rPr>
                <w:rFonts w:hint="eastAsia"/>
                <w:color w:val="auto"/>
              </w:rPr>
              <w:t>/</w:t>
            </w:r>
          </w:p>
        </w:tc>
        <w:tc>
          <w:tcPr>
            <w:tcW w:w="632" w:type="pct"/>
            <w:vAlign w:val="center"/>
          </w:tcPr>
          <w:p>
            <w:pPr>
              <w:pStyle w:val="182"/>
              <w:bidi w:val="0"/>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rFonts w:hint="eastAsia" w:eastAsia="宋体"/>
                <w:color w:val="auto"/>
                <w:lang w:eastAsia="zh-CN"/>
              </w:rPr>
            </w:pPr>
            <w:r>
              <w:rPr>
                <w:rFonts w:hint="eastAsia"/>
                <w:color w:val="auto"/>
              </w:rPr>
              <w:t>年产2万吨生物质纤维素项目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w:t>
            </w:r>
          </w:p>
        </w:tc>
        <w:tc>
          <w:tcPr>
            <w:tcW w:w="693" w:type="pct"/>
            <w:gridSpan w:val="2"/>
            <w:vMerge w:val="restart"/>
            <w:vAlign w:val="center"/>
          </w:tcPr>
          <w:p>
            <w:pPr>
              <w:pStyle w:val="182"/>
              <w:bidi w:val="0"/>
              <w:rPr>
                <w:color w:val="auto"/>
              </w:rPr>
            </w:pPr>
            <w:r>
              <w:rPr>
                <w:rFonts w:hint="eastAsia"/>
                <w:color w:val="auto"/>
              </w:rPr>
              <w:t>原液</w:t>
            </w:r>
          </w:p>
          <w:p>
            <w:pPr>
              <w:pStyle w:val="182"/>
              <w:bidi w:val="0"/>
              <w:rPr>
                <w:color w:val="auto"/>
              </w:rPr>
            </w:pPr>
            <w:r>
              <w:rPr>
                <w:rFonts w:hint="eastAsia"/>
                <w:color w:val="auto"/>
              </w:rPr>
              <w:t>车间（利用4万吨高湿模量短纤维工程原液生产车间并对现有原液车间内部分设备进行升级改造）</w:t>
            </w:r>
          </w:p>
        </w:tc>
        <w:tc>
          <w:tcPr>
            <w:tcW w:w="919" w:type="pct"/>
            <w:vAlign w:val="center"/>
          </w:tcPr>
          <w:p>
            <w:pPr>
              <w:pStyle w:val="182"/>
              <w:bidi w:val="0"/>
              <w:rPr>
                <w:color w:val="auto"/>
              </w:rPr>
            </w:pPr>
            <w:r>
              <w:rPr>
                <w:rFonts w:hint="eastAsia"/>
                <w:color w:val="auto"/>
              </w:rPr>
              <w:t>喂粕机</w:t>
            </w:r>
          </w:p>
        </w:tc>
        <w:tc>
          <w:tcPr>
            <w:tcW w:w="2442" w:type="pct"/>
            <w:vAlign w:val="center"/>
          </w:tcPr>
          <w:p>
            <w:pPr>
              <w:pStyle w:val="182"/>
              <w:bidi w:val="0"/>
              <w:rPr>
                <w:color w:val="auto"/>
              </w:rPr>
            </w:pPr>
            <w:r>
              <w:rPr>
                <w:color w:val="auto"/>
              </w:rPr>
              <w:t>P091</w:t>
            </w:r>
          </w:p>
        </w:tc>
        <w:tc>
          <w:tcPr>
            <w:tcW w:w="632"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2</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浸渍桶</w:t>
            </w:r>
          </w:p>
        </w:tc>
        <w:tc>
          <w:tcPr>
            <w:tcW w:w="2442" w:type="pct"/>
            <w:vAlign w:val="center"/>
          </w:tcPr>
          <w:p>
            <w:pPr>
              <w:pStyle w:val="182"/>
              <w:bidi w:val="0"/>
              <w:rPr>
                <w:color w:val="auto"/>
              </w:rPr>
            </w:pPr>
            <w:r>
              <w:rPr>
                <w:color w:val="auto"/>
              </w:rPr>
              <w:t>R021B</w:t>
            </w:r>
          </w:p>
        </w:tc>
        <w:tc>
          <w:tcPr>
            <w:tcW w:w="632"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3</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压榨粉碎联合机</w:t>
            </w:r>
          </w:p>
        </w:tc>
        <w:tc>
          <w:tcPr>
            <w:tcW w:w="2442" w:type="pct"/>
            <w:vAlign w:val="center"/>
          </w:tcPr>
          <w:p>
            <w:pPr>
              <w:pStyle w:val="182"/>
              <w:bidi w:val="0"/>
              <w:rPr>
                <w:color w:val="auto"/>
              </w:rPr>
            </w:pPr>
            <w:r>
              <w:rPr>
                <w:color w:val="auto"/>
              </w:rPr>
              <w:t>/</w:t>
            </w:r>
          </w:p>
        </w:tc>
        <w:tc>
          <w:tcPr>
            <w:tcW w:w="632"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5</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冷却机</w:t>
            </w:r>
          </w:p>
        </w:tc>
        <w:tc>
          <w:tcPr>
            <w:tcW w:w="2442" w:type="pct"/>
            <w:vAlign w:val="center"/>
          </w:tcPr>
          <w:p>
            <w:pPr>
              <w:pStyle w:val="182"/>
              <w:bidi w:val="0"/>
              <w:rPr>
                <w:color w:val="auto"/>
              </w:rPr>
            </w:pPr>
            <w:r>
              <w:rPr>
                <w:color w:val="auto"/>
              </w:rPr>
              <w:t>ZHR115</w:t>
            </w:r>
          </w:p>
        </w:tc>
        <w:tc>
          <w:tcPr>
            <w:tcW w:w="632" w:type="pct"/>
            <w:vAlign w:val="center"/>
          </w:tcPr>
          <w:p>
            <w:pPr>
              <w:pStyle w:val="182"/>
              <w:bidi w:val="0"/>
              <w:rPr>
                <w:color w:val="auto"/>
              </w:rPr>
            </w:pPr>
            <w:r>
              <w:rPr>
                <w:rFonts w:hint="eastAsia"/>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6</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黄化机</w:t>
            </w:r>
          </w:p>
        </w:tc>
        <w:tc>
          <w:tcPr>
            <w:tcW w:w="2442" w:type="pct"/>
            <w:vAlign w:val="center"/>
          </w:tcPr>
          <w:p>
            <w:pPr>
              <w:pStyle w:val="182"/>
              <w:bidi w:val="0"/>
              <w:rPr>
                <w:color w:val="auto"/>
              </w:rPr>
            </w:pPr>
            <w:r>
              <w:rPr>
                <w:color w:val="auto"/>
              </w:rPr>
              <w:t>ZHR133A</w:t>
            </w:r>
          </w:p>
        </w:tc>
        <w:tc>
          <w:tcPr>
            <w:tcW w:w="632" w:type="pct"/>
            <w:vAlign w:val="center"/>
          </w:tcPr>
          <w:p>
            <w:pPr>
              <w:pStyle w:val="182"/>
              <w:bidi w:val="0"/>
              <w:rPr>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7</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后溶解机</w:t>
            </w:r>
          </w:p>
        </w:tc>
        <w:tc>
          <w:tcPr>
            <w:tcW w:w="2442" w:type="pct"/>
            <w:vAlign w:val="center"/>
          </w:tcPr>
          <w:p>
            <w:pPr>
              <w:pStyle w:val="182"/>
              <w:bidi w:val="0"/>
              <w:rPr>
                <w:color w:val="auto"/>
              </w:rPr>
            </w:pPr>
            <w:r>
              <w:rPr>
                <w:color w:val="auto"/>
              </w:rPr>
              <w:t>H1151A</w:t>
            </w:r>
          </w:p>
        </w:tc>
        <w:tc>
          <w:tcPr>
            <w:tcW w:w="632" w:type="pct"/>
            <w:vAlign w:val="center"/>
          </w:tcPr>
          <w:p>
            <w:pPr>
              <w:pStyle w:val="182"/>
              <w:bidi w:val="0"/>
              <w:rPr>
                <w:color w:val="auto"/>
              </w:rPr>
            </w:pPr>
            <w:r>
              <w:rPr>
                <w:rFonts w:hint="eastAsia"/>
                <w:color w:val="auto"/>
              </w:rPr>
              <w:t>1</w:t>
            </w: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8</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研磨机</w:t>
            </w:r>
          </w:p>
        </w:tc>
        <w:tc>
          <w:tcPr>
            <w:tcW w:w="2442" w:type="pct"/>
            <w:vAlign w:val="center"/>
          </w:tcPr>
          <w:p>
            <w:pPr>
              <w:pStyle w:val="182"/>
              <w:bidi w:val="0"/>
              <w:rPr>
                <w:color w:val="auto"/>
              </w:rPr>
            </w:pPr>
            <w:r>
              <w:rPr>
                <w:color w:val="auto"/>
              </w:rPr>
              <w:t>ZHR183</w:t>
            </w:r>
          </w:p>
        </w:tc>
        <w:tc>
          <w:tcPr>
            <w:tcW w:w="632" w:type="pct"/>
            <w:vAlign w:val="center"/>
          </w:tcPr>
          <w:p>
            <w:pPr>
              <w:pStyle w:val="182"/>
              <w:bidi w:val="0"/>
              <w:rPr>
                <w:color w:val="auto"/>
              </w:rPr>
            </w:pPr>
            <w:r>
              <w:rPr>
                <w:rFonts w:hint="eastAsia"/>
                <w:color w:val="auto"/>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9</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脱泡桶</w:t>
            </w:r>
          </w:p>
        </w:tc>
        <w:tc>
          <w:tcPr>
            <w:tcW w:w="2442" w:type="pct"/>
            <w:vAlign w:val="center"/>
          </w:tcPr>
          <w:p>
            <w:pPr>
              <w:pStyle w:val="182"/>
              <w:bidi w:val="0"/>
              <w:rPr>
                <w:color w:val="auto"/>
              </w:rPr>
            </w:pPr>
            <w:r>
              <w:rPr>
                <w:color w:val="auto"/>
              </w:rPr>
              <w:t>ZHR235</w:t>
            </w:r>
          </w:p>
        </w:tc>
        <w:tc>
          <w:tcPr>
            <w:tcW w:w="632"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0</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color w:val="auto"/>
              </w:rPr>
              <w:fldChar w:fldCharType="begin"/>
            </w:r>
            <w:r>
              <w:rPr>
                <w:color w:val="auto"/>
              </w:rPr>
              <w:instrText xml:space="preserve"> = 1 \* ROMAN </w:instrText>
            </w:r>
            <w:r>
              <w:rPr>
                <w:color w:val="auto"/>
              </w:rPr>
              <w:fldChar w:fldCharType="separate"/>
            </w:r>
            <w:r>
              <w:rPr>
                <w:color w:val="auto"/>
              </w:rPr>
              <w:t>I</w:t>
            </w:r>
            <w:r>
              <w:rPr>
                <w:color w:val="auto"/>
              </w:rPr>
              <w:fldChar w:fldCharType="end"/>
            </w:r>
            <w:r>
              <w:rPr>
                <w:rFonts w:hint="eastAsia"/>
                <w:color w:val="auto"/>
              </w:rPr>
              <w:t>、</w:t>
            </w:r>
            <w:r>
              <w:rPr>
                <w:color w:val="auto"/>
              </w:rPr>
              <w:fldChar w:fldCharType="begin"/>
            </w:r>
            <w:r>
              <w:rPr>
                <w:color w:val="auto"/>
              </w:rPr>
              <w:instrText xml:space="preserve"> = 2 \* ROMAN </w:instrText>
            </w:r>
            <w:r>
              <w:rPr>
                <w:color w:val="auto"/>
              </w:rPr>
              <w:fldChar w:fldCharType="separate"/>
            </w:r>
            <w:r>
              <w:rPr>
                <w:color w:val="auto"/>
              </w:rPr>
              <w:t>II</w:t>
            </w:r>
            <w:r>
              <w:rPr>
                <w:color w:val="auto"/>
              </w:rPr>
              <w:fldChar w:fldCharType="end"/>
            </w:r>
            <w:r>
              <w:rPr>
                <w:rFonts w:hint="eastAsia"/>
                <w:color w:val="auto"/>
              </w:rPr>
              <w:t>道过滤机</w:t>
            </w:r>
          </w:p>
        </w:tc>
        <w:tc>
          <w:tcPr>
            <w:tcW w:w="2442" w:type="pct"/>
            <w:vAlign w:val="center"/>
          </w:tcPr>
          <w:p>
            <w:pPr>
              <w:pStyle w:val="182"/>
              <w:bidi w:val="0"/>
              <w:rPr>
                <w:color w:val="auto"/>
              </w:rPr>
            </w:pPr>
            <w:r>
              <w:rPr>
                <w:color w:val="auto"/>
              </w:rPr>
              <w:t>M123</w:t>
            </w:r>
            <w:r>
              <w:rPr>
                <w:rFonts w:hint="eastAsia"/>
                <w:color w:val="auto"/>
              </w:rPr>
              <w:t>，过滤面积</w:t>
            </w:r>
            <w:r>
              <w:rPr>
                <w:color w:val="auto"/>
              </w:rPr>
              <w:t>1.72m</w:t>
            </w:r>
            <w:r>
              <w:rPr>
                <w:color w:val="auto"/>
                <w:vertAlign w:val="superscript"/>
              </w:rPr>
              <w:t>2</w:t>
            </w:r>
            <w:r>
              <w:rPr>
                <w:rFonts w:hint="eastAsia"/>
                <w:color w:val="auto"/>
              </w:rPr>
              <w:t>，滤径1</w:t>
            </w:r>
            <w:r>
              <w:rPr>
                <w:color w:val="auto"/>
              </w:rPr>
              <w:t>5μ</w:t>
            </w:r>
            <w:r>
              <w:rPr>
                <w:rFonts w:hint="eastAsia"/>
                <w:color w:val="auto"/>
              </w:rPr>
              <w:t>m</w:t>
            </w:r>
          </w:p>
        </w:tc>
        <w:tc>
          <w:tcPr>
            <w:tcW w:w="632" w:type="pct"/>
            <w:vAlign w:val="center"/>
          </w:tcPr>
          <w:p>
            <w:pPr>
              <w:pStyle w:val="182"/>
              <w:bidi w:val="0"/>
              <w:rPr>
                <w:color w:val="auto"/>
              </w:rPr>
            </w:pPr>
            <w:r>
              <w:rPr>
                <w:rFonts w:hint="eastAsia"/>
                <w:color w:val="auto"/>
              </w:rPr>
              <w:t>1</w:t>
            </w:r>
            <w:r>
              <w:rPr>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1</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color w:val="auto"/>
              </w:rPr>
              <w:fldChar w:fldCharType="begin"/>
            </w:r>
            <w:r>
              <w:rPr>
                <w:color w:val="auto"/>
              </w:rPr>
              <w:instrText xml:space="preserve"> = 3 \* ROMAN </w:instrText>
            </w:r>
            <w:r>
              <w:rPr>
                <w:color w:val="auto"/>
              </w:rPr>
              <w:fldChar w:fldCharType="separate"/>
            </w:r>
            <w:r>
              <w:rPr>
                <w:color w:val="auto"/>
              </w:rPr>
              <w:t>III</w:t>
            </w:r>
            <w:r>
              <w:rPr>
                <w:color w:val="auto"/>
              </w:rPr>
              <w:fldChar w:fldCharType="end"/>
            </w:r>
            <w:r>
              <w:rPr>
                <w:rFonts w:hint="eastAsia"/>
                <w:color w:val="auto"/>
              </w:rPr>
              <w:t>道过滤机</w:t>
            </w:r>
          </w:p>
        </w:tc>
        <w:tc>
          <w:tcPr>
            <w:tcW w:w="2442" w:type="pct"/>
            <w:vAlign w:val="center"/>
          </w:tcPr>
          <w:p>
            <w:pPr>
              <w:pStyle w:val="182"/>
              <w:bidi w:val="0"/>
              <w:rPr>
                <w:color w:val="auto"/>
              </w:rPr>
            </w:pPr>
            <w:r>
              <w:rPr>
                <w:color w:val="auto"/>
              </w:rPr>
              <w:t>R241D</w:t>
            </w:r>
            <w:r>
              <w:rPr>
                <w:rFonts w:hint="eastAsia"/>
                <w:color w:val="auto"/>
              </w:rPr>
              <w:t>，有效过滤面积</w:t>
            </w:r>
            <w:r>
              <w:rPr>
                <w:color w:val="auto"/>
              </w:rPr>
              <w:t>50m</w:t>
            </w:r>
            <w:r>
              <w:rPr>
                <w:color w:val="auto"/>
                <w:vertAlign w:val="superscript"/>
              </w:rPr>
              <w:t>2</w:t>
            </w:r>
          </w:p>
        </w:tc>
        <w:tc>
          <w:tcPr>
            <w:tcW w:w="632" w:type="pct"/>
            <w:vAlign w:val="center"/>
          </w:tcPr>
          <w:p>
            <w:pPr>
              <w:pStyle w:val="182"/>
              <w:bidi w:val="0"/>
              <w:rPr>
                <w:color w:val="auto"/>
              </w:rPr>
            </w:pPr>
            <w:r>
              <w:rPr>
                <w:rFonts w:hint="eastAsia"/>
                <w:color w:val="auto"/>
              </w:rPr>
              <w:t>1</w:t>
            </w: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2</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废胶过滤机</w:t>
            </w:r>
          </w:p>
        </w:tc>
        <w:tc>
          <w:tcPr>
            <w:tcW w:w="2442" w:type="pct"/>
            <w:vAlign w:val="center"/>
          </w:tcPr>
          <w:p>
            <w:pPr>
              <w:pStyle w:val="182"/>
              <w:bidi w:val="0"/>
              <w:rPr>
                <w:color w:val="auto"/>
              </w:rPr>
            </w:pPr>
            <w:r>
              <w:rPr>
                <w:color w:val="auto"/>
              </w:rPr>
              <w:t>/</w:t>
            </w:r>
          </w:p>
        </w:tc>
        <w:tc>
          <w:tcPr>
            <w:tcW w:w="632"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3</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板式换热器</w:t>
            </w:r>
          </w:p>
        </w:tc>
        <w:tc>
          <w:tcPr>
            <w:tcW w:w="2442" w:type="pct"/>
            <w:vAlign w:val="center"/>
          </w:tcPr>
          <w:p>
            <w:pPr>
              <w:pStyle w:val="182"/>
              <w:bidi w:val="0"/>
              <w:rPr>
                <w:color w:val="auto"/>
              </w:rPr>
            </w:pPr>
            <w:r>
              <w:rPr>
                <w:color w:val="auto"/>
              </w:rPr>
              <w:t>BRB08-100</w:t>
            </w:r>
          </w:p>
        </w:tc>
        <w:tc>
          <w:tcPr>
            <w:tcW w:w="632"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4</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真空机组</w:t>
            </w:r>
          </w:p>
        </w:tc>
        <w:tc>
          <w:tcPr>
            <w:tcW w:w="2442" w:type="pct"/>
            <w:vAlign w:val="center"/>
          </w:tcPr>
          <w:p>
            <w:pPr>
              <w:pStyle w:val="182"/>
              <w:bidi w:val="0"/>
              <w:rPr>
                <w:color w:val="auto"/>
              </w:rPr>
            </w:pPr>
            <w:r>
              <w:rPr>
                <w:color w:val="auto"/>
              </w:rPr>
              <w:t>JZJS300</w:t>
            </w:r>
          </w:p>
        </w:tc>
        <w:tc>
          <w:tcPr>
            <w:tcW w:w="632" w:type="pct"/>
            <w:vAlign w:val="center"/>
          </w:tcPr>
          <w:p>
            <w:pPr>
              <w:pStyle w:val="182"/>
              <w:bidi w:val="0"/>
              <w:rPr>
                <w:color w:val="auto"/>
              </w:rPr>
            </w:pPr>
            <w:r>
              <w:rPr>
                <w:rFonts w:hint="eastAsia"/>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5</w:t>
            </w:r>
          </w:p>
        </w:tc>
        <w:tc>
          <w:tcPr>
            <w:tcW w:w="693" w:type="pct"/>
            <w:gridSpan w:val="2"/>
            <w:vMerge w:val="restart"/>
            <w:vAlign w:val="center"/>
          </w:tcPr>
          <w:p>
            <w:pPr>
              <w:pStyle w:val="182"/>
              <w:bidi w:val="0"/>
              <w:rPr>
                <w:color w:val="auto"/>
              </w:rPr>
            </w:pPr>
            <w:r>
              <w:rPr>
                <w:rFonts w:hint="eastAsia"/>
                <w:color w:val="auto"/>
              </w:rPr>
              <w:t>酸站（利用年产4万吨高湿模量粘胶短纤维项目酸站车间及设备）</w:t>
            </w:r>
          </w:p>
        </w:tc>
        <w:tc>
          <w:tcPr>
            <w:tcW w:w="919" w:type="pct"/>
            <w:vAlign w:val="center"/>
          </w:tcPr>
          <w:p>
            <w:pPr>
              <w:pStyle w:val="182"/>
              <w:bidi w:val="0"/>
              <w:rPr>
                <w:color w:val="auto"/>
              </w:rPr>
            </w:pPr>
            <w:r>
              <w:rPr>
                <w:rFonts w:hint="eastAsia"/>
                <w:color w:val="auto"/>
              </w:rPr>
              <w:t>酸浴加热器</w:t>
            </w:r>
          </w:p>
        </w:tc>
        <w:tc>
          <w:tcPr>
            <w:tcW w:w="2442" w:type="pct"/>
            <w:vAlign w:val="center"/>
          </w:tcPr>
          <w:p>
            <w:pPr>
              <w:pStyle w:val="182"/>
              <w:bidi w:val="0"/>
              <w:rPr>
                <w:color w:val="auto"/>
              </w:rPr>
            </w:pPr>
            <w:r>
              <w:rPr>
                <w:color w:val="auto"/>
              </w:rPr>
              <w:t>UR042A-86</w:t>
            </w:r>
          </w:p>
        </w:tc>
        <w:tc>
          <w:tcPr>
            <w:tcW w:w="632"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6</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脱气加热器</w:t>
            </w:r>
          </w:p>
        </w:tc>
        <w:tc>
          <w:tcPr>
            <w:tcW w:w="2442" w:type="pct"/>
            <w:vAlign w:val="center"/>
          </w:tcPr>
          <w:p>
            <w:pPr>
              <w:pStyle w:val="182"/>
              <w:bidi w:val="0"/>
              <w:rPr>
                <w:color w:val="auto"/>
              </w:rPr>
            </w:pPr>
            <w:r>
              <w:rPr>
                <w:color w:val="auto"/>
              </w:rPr>
              <w:t>UR473B</w:t>
            </w:r>
            <w:r>
              <w:rPr>
                <w:rFonts w:hint="eastAsia"/>
                <w:color w:val="auto"/>
              </w:rPr>
              <w:t>，</w:t>
            </w:r>
            <w:r>
              <w:rPr>
                <w:color w:val="auto"/>
              </w:rPr>
              <w:t>∅1000×3000</w:t>
            </w:r>
            <w:r>
              <w:rPr>
                <w:rFonts w:hint="eastAsia"/>
                <w:color w:val="auto"/>
              </w:rPr>
              <w:t>，</w:t>
            </w:r>
            <w:r>
              <w:rPr>
                <w:color w:val="auto"/>
              </w:rPr>
              <w:t>54m</w:t>
            </w:r>
            <w:r>
              <w:rPr>
                <w:color w:val="auto"/>
                <w:vertAlign w:val="superscript"/>
              </w:rPr>
              <w:t>2</w:t>
            </w:r>
          </w:p>
        </w:tc>
        <w:tc>
          <w:tcPr>
            <w:tcW w:w="632"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7</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板式换热器</w:t>
            </w:r>
          </w:p>
        </w:tc>
        <w:tc>
          <w:tcPr>
            <w:tcW w:w="2442" w:type="pct"/>
            <w:vAlign w:val="center"/>
          </w:tcPr>
          <w:p>
            <w:pPr>
              <w:pStyle w:val="182"/>
              <w:bidi w:val="0"/>
              <w:rPr>
                <w:color w:val="auto"/>
              </w:rPr>
            </w:pPr>
            <w:r>
              <w:rPr>
                <w:rFonts w:hint="eastAsia"/>
                <w:color w:val="auto"/>
              </w:rPr>
              <w:t>BEB0.75-70，190m</w:t>
            </w:r>
            <w:r>
              <w:rPr>
                <w:rFonts w:hint="eastAsia"/>
                <w:color w:val="auto"/>
                <w:vertAlign w:val="superscript"/>
              </w:rPr>
              <w:t>3</w:t>
            </w:r>
            <w:r>
              <w:rPr>
                <w:rFonts w:hint="eastAsia"/>
                <w:color w:val="auto"/>
              </w:rPr>
              <w:t>/h</w:t>
            </w:r>
          </w:p>
        </w:tc>
        <w:tc>
          <w:tcPr>
            <w:tcW w:w="632"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8</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酸浴过滤器</w:t>
            </w:r>
          </w:p>
        </w:tc>
        <w:tc>
          <w:tcPr>
            <w:tcW w:w="2442" w:type="pct"/>
            <w:vAlign w:val="center"/>
          </w:tcPr>
          <w:p>
            <w:pPr>
              <w:pStyle w:val="182"/>
              <w:bidi w:val="0"/>
              <w:rPr>
                <w:color w:val="auto"/>
              </w:rPr>
            </w:pPr>
            <w:r>
              <w:rPr>
                <w:color w:val="auto"/>
              </w:rPr>
              <w:t>UR021B-300</w:t>
            </w:r>
          </w:p>
        </w:tc>
        <w:tc>
          <w:tcPr>
            <w:tcW w:w="632" w:type="pct"/>
            <w:vAlign w:val="center"/>
          </w:tcPr>
          <w:p>
            <w:pPr>
              <w:pStyle w:val="182"/>
              <w:bidi w:val="0"/>
              <w:rPr>
                <w:color w:val="auto"/>
              </w:rPr>
            </w:pPr>
            <w:r>
              <w:rPr>
                <w:color w:val="auto"/>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19</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回酸槽</w:t>
            </w:r>
          </w:p>
        </w:tc>
        <w:tc>
          <w:tcPr>
            <w:tcW w:w="2442" w:type="pct"/>
            <w:vAlign w:val="center"/>
          </w:tcPr>
          <w:p>
            <w:pPr>
              <w:pStyle w:val="182"/>
              <w:bidi w:val="0"/>
              <w:rPr>
                <w:color w:val="auto"/>
              </w:rPr>
            </w:pPr>
            <w:r>
              <w:rPr>
                <w:color w:val="auto"/>
              </w:rPr>
              <w:t>Φ4000</w:t>
            </w:r>
            <w:r>
              <w:rPr>
                <w:rFonts w:hint="eastAsia"/>
                <w:color w:val="auto"/>
              </w:rPr>
              <w:t>，</w:t>
            </w:r>
            <w:r>
              <w:rPr>
                <w:color w:val="auto"/>
              </w:rPr>
              <w:t>40m</w:t>
            </w:r>
            <w:r>
              <w:rPr>
                <w:color w:val="auto"/>
                <w:vertAlign w:val="superscript"/>
              </w:rPr>
              <w:t>3</w:t>
            </w:r>
          </w:p>
        </w:tc>
        <w:tc>
          <w:tcPr>
            <w:tcW w:w="632" w:type="pct"/>
            <w:vAlign w:val="center"/>
          </w:tcPr>
          <w:p>
            <w:pPr>
              <w:pStyle w:val="182"/>
              <w:bidi w:val="0"/>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0</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供酸槽</w:t>
            </w:r>
          </w:p>
        </w:tc>
        <w:tc>
          <w:tcPr>
            <w:tcW w:w="2442" w:type="pct"/>
            <w:vAlign w:val="center"/>
          </w:tcPr>
          <w:p>
            <w:pPr>
              <w:pStyle w:val="182"/>
              <w:bidi w:val="0"/>
              <w:rPr>
                <w:color w:val="auto"/>
              </w:rPr>
            </w:pPr>
            <w:r>
              <w:rPr>
                <w:color w:val="auto"/>
              </w:rPr>
              <w:t>Φ4000</w:t>
            </w:r>
            <w:r>
              <w:rPr>
                <w:rFonts w:hint="eastAsia"/>
                <w:color w:val="auto"/>
              </w:rPr>
              <w:t>，</w:t>
            </w:r>
            <w:r>
              <w:rPr>
                <w:color w:val="auto"/>
              </w:rPr>
              <w:t>40m</w:t>
            </w:r>
            <w:r>
              <w:rPr>
                <w:color w:val="auto"/>
                <w:vertAlign w:val="superscript"/>
              </w:rPr>
              <w:t>3</w:t>
            </w:r>
          </w:p>
        </w:tc>
        <w:tc>
          <w:tcPr>
            <w:tcW w:w="632" w:type="pct"/>
            <w:vAlign w:val="center"/>
          </w:tcPr>
          <w:p>
            <w:pPr>
              <w:pStyle w:val="182"/>
              <w:bidi w:val="0"/>
              <w:rPr>
                <w:color w:val="auto"/>
              </w:rPr>
            </w:pP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1</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高位槽</w:t>
            </w:r>
          </w:p>
        </w:tc>
        <w:tc>
          <w:tcPr>
            <w:tcW w:w="2442" w:type="pct"/>
            <w:vAlign w:val="center"/>
          </w:tcPr>
          <w:p>
            <w:pPr>
              <w:pStyle w:val="182"/>
              <w:bidi w:val="0"/>
              <w:rPr>
                <w:color w:val="auto"/>
              </w:rPr>
            </w:pPr>
            <w:r>
              <w:rPr>
                <w:color w:val="auto"/>
              </w:rPr>
              <w:t>/</w:t>
            </w:r>
          </w:p>
        </w:tc>
        <w:tc>
          <w:tcPr>
            <w:tcW w:w="632" w:type="pct"/>
            <w:vAlign w:val="center"/>
          </w:tcPr>
          <w:p>
            <w:pPr>
              <w:pStyle w:val="182"/>
              <w:bidi w:val="0"/>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2</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闪蒸装置</w:t>
            </w:r>
          </w:p>
        </w:tc>
        <w:tc>
          <w:tcPr>
            <w:tcW w:w="2442" w:type="pct"/>
            <w:vAlign w:val="center"/>
          </w:tcPr>
          <w:p>
            <w:pPr>
              <w:pStyle w:val="182"/>
              <w:bidi w:val="0"/>
              <w:rPr>
                <w:color w:val="auto"/>
              </w:rPr>
            </w:pPr>
            <w:r>
              <w:rPr>
                <w:color w:val="auto"/>
              </w:rPr>
              <w:t>11</w:t>
            </w:r>
            <w:r>
              <w:rPr>
                <w:rFonts w:hint="eastAsia"/>
                <w:color w:val="auto"/>
              </w:rPr>
              <w:t>级</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3</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元明粉脱水机</w:t>
            </w:r>
          </w:p>
        </w:tc>
        <w:tc>
          <w:tcPr>
            <w:tcW w:w="2442" w:type="pct"/>
            <w:vAlign w:val="center"/>
          </w:tcPr>
          <w:p>
            <w:pPr>
              <w:pStyle w:val="182"/>
              <w:bidi w:val="0"/>
              <w:rPr>
                <w:color w:val="auto"/>
              </w:rPr>
            </w:pPr>
            <w:r>
              <w:rPr>
                <w:color w:val="auto"/>
              </w:rPr>
              <w:t>Φ1000</w:t>
            </w:r>
          </w:p>
        </w:tc>
        <w:tc>
          <w:tcPr>
            <w:tcW w:w="632"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4</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真空结晶机</w:t>
            </w:r>
          </w:p>
        </w:tc>
        <w:tc>
          <w:tcPr>
            <w:tcW w:w="2442" w:type="pct"/>
            <w:vAlign w:val="center"/>
          </w:tcPr>
          <w:p>
            <w:pPr>
              <w:pStyle w:val="182"/>
              <w:bidi w:val="0"/>
              <w:rPr>
                <w:color w:val="auto"/>
              </w:rPr>
            </w:pPr>
            <w:r>
              <w:rPr>
                <w:color w:val="auto"/>
              </w:rPr>
              <w:t>LKR841-4</w:t>
            </w:r>
          </w:p>
        </w:tc>
        <w:tc>
          <w:tcPr>
            <w:tcW w:w="632"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5</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焙烧装置</w:t>
            </w:r>
          </w:p>
        </w:tc>
        <w:tc>
          <w:tcPr>
            <w:tcW w:w="2442" w:type="pct"/>
            <w:vAlign w:val="center"/>
          </w:tcPr>
          <w:p>
            <w:pPr>
              <w:pStyle w:val="182"/>
              <w:bidi w:val="0"/>
              <w:rPr>
                <w:color w:val="auto"/>
              </w:rPr>
            </w:pPr>
            <w:r>
              <w:rPr>
                <w:color w:val="auto"/>
              </w:rPr>
              <w:t>LKR861</w:t>
            </w:r>
          </w:p>
        </w:tc>
        <w:tc>
          <w:tcPr>
            <w:tcW w:w="632" w:type="pct"/>
            <w:vAlign w:val="center"/>
          </w:tcPr>
          <w:p>
            <w:pPr>
              <w:pStyle w:val="182"/>
              <w:bidi w:val="0"/>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6</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脱气真空泵</w:t>
            </w:r>
          </w:p>
        </w:tc>
        <w:tc>
          <w:tcPr>
            <w:tcW w:w="2442" w:type="pct"/>
            <w:vAlign w:val="center"/>
          </w:tcPr>
          <w:p>
            <w:pPr>
              <w:pStyle w:val="182"/>
              <w:bidi w:val="0"/>
              <w:rPr>
                <w:color w:val="auto"/>
              </w:rPr>
            </w:pPr>
            <w:r>
              <w:rPr>
                <w:color w:val="auto"/>
              </w:rPr>
              <w:t>2BE-153-0</w:t>
            </w:r>
          </w:p>
        </w:tc>
        <w:tc>
          <w:tcPr>
            <w:tcW w:w="632" w:type="pct"/>
            <w:vAlign w:val="center"/>
          </w:tcPr>
          <w:p>
            <w:pPr>
              <w:pStyle w:val="182"/>
              <w:bidi w:val="0"/>
              <w:rPr>
                <w:color w:val="auto"/>
              </w:rPr>
            </w:pPr>
            <w:r>
              <w:rPr>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7</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冷却塔</w:t>
            </w:r>
          </w:p>
        </w:tc>
        <w:tc>
          <w:tcPr>
            <w:tcW w:w="2442" w:type="pct"/>
            <w:vAlign w:val="center"/>
          </w:tcPr>
          <w:p>
            <w:pPr>
              <w:pStyle w:val="182"/>
              <w:bidi w:val="0"/>
              <w:rPr>
                <w:color w:val="auto"/>
              </w:rPr>
            </w:pPr>
            <w:r>
              <w:rPr>
                <w:color w:val="auto"/>
              </w:rPr>
              <w:t>GBNL3-400</w:t>
            </w:r>
          </w:p>
        </w:tc>
        <w:tc>
          <w:tcPr>
            <w:tcW w:w="632" w:type="pct"/>
            <w:vAlign w:val="center"/>
          </w:tcPr>
          <w:p>
            <w:pPr>
              <w:pStyle w:val="182"/>
              <w:bidi w:val="0"/>
              <w:rPr>
                <w:color w:val="auto"/>
              </w:rPr>
            </w:pPr>
            <w:r>
              <w:rPr>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8</w:t>
            </w:r>
          </w:p>
        </w:tc>
        <w:tc>
          <w:tcPr>
            <w:tcW w:w="693" w:type="pct"/>
            <w:gridSpan w:val="2"/>
            <w:vMerge w:val="restart"/>
            <w:vAlign w:val="center"/>
          </w:tcPr>
          <w:p>
            <w:pPr>
              <w:pStyle w:val="182"/>
              <w:bidi w:val="0"/>
              <w:rPr>
                <w:color w:val="auto"/>
              </w:rPr>
            </w:pPr>
            <w:r>
              <w:rPr>
                <w:rFonts w:hint="eastAsia"/>
                <w:color w:val="auto"/>
              </w:rPr>
              <w:t>纺丝车间（利用已有）</w:t>
            </w:r>
          </w:p>
        </w:tc>
        <w:tc>
          <w:tcPr>
            <w:tcW w:w="919" w:type="pct"/>
            <w:vAlign w:val="center"/>
          </w:tcPr>
          <w:p>
            <w:pPr>
              <w:pStyle w:val="182"/>
              <w:bidi w:val="0"/>
              <w:rPr>
                <w:color w:val="auto"/>
              </w:rPr>
            </w:pPr>
            <w:r>
              <w:rPr>
                <w:rFonts w:hint="eastAsia"/>
                <w:color w:val="auto"/>
              </w:rPr>
              <w:t>中间胶罐</w:t>
            </w:r>
          </w:p>
        </w:tc>
        <w:tc>
          <w:tcPr>
            <w:tcW w:w="2442" w:type="pct"/>
            <w:vAlign w:val="center"/>
          </w:tcPr>
          <w:p>
            <w:pPr>
              <w:pStyle w:val="182"/>
              <w:bidi w:val="0"/>
              <w:rPr>
                <w:color w:val="auto"/>
              </w:rPr>
            </w:pPr>
            <w:r>
              <w:rPr>
                <w:color w:val="auto"/>
              </w:rPr>
              <w:t>10m</w:t>
            </w:r>
            <w:r>
              <w:rPr>
                <w:rFonts w:hint="eastAsia"/>
                <w:color w:val="auto"/>
                <w:vertAlign w:val="superscript"/>
              </w:rPr>
              <w:t>3</w:t>
            </w:r>
          </w:p>
        </w:tc>
        <w:tc>
          <w:tcPr>
            <w:tcW w:w="632"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29</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连续纺丝机</w:t>
            </w:r>
          </w:p>
        </w:tc>
        <w:tc>
          <w:tcPr>
            <w:tcW w:w="2442" w:type="pct"/>
            <w:vAlign w:val="center"/>
          </w:tcPr>
          <w:p>
            <w:pPr>
              <w:pStyle w:val="182"/>
              <w:bidi w:val="0"/>
              <w:rPr>
                <w:color w:val="auto"/>
              </w:rPr>
            </w:pPr>
            <w:r>
              <w:rPr>
                <w:color w:val="auto"/>
              </w:rPr>
              <w:t>LF-3000</w:t>
            </w:r>
          </w:p>
        </w:tc>
        <w:tc>
          <w:tcPr>
            <w:tcW w:w="632" w:type="pct"/>
            <w:vAlign w:val="center"/>
          </w:tcPr>
          <w:p>
            <w:pPr>
              <w:pStyle w:val="182"/>
              <w:bidi w:val="0"/>
              <w:rPr>
                <w:color w:val="auto"/>
              </w:rPr>
            </w:pPr>
            <w:r>
              <w:rPr>
                <w:rFonts w:hint="eastAsia"/>
                <w:color w:val="auto"/>
              </w:rPr>
              <w:t>3</w:t>
            </w:r>
            <w:r>
              <w:rPr>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3</w:t>
            </w:r>
            <w:r>
              <w:rPr>
                <w:rFonts w:hint="eastAsia"/>
                <w:color w:val="auto"/>
                <w:lang w:val="en-US" w:eastAsia="zh-CN"/>
              </w:rPr>
              <w:t>0</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硫酸罐</w:t>
            </w:r>
          </w:p>
        </w:tc>
        <w:tc>
          <w:tcPr>
            <w:tcW w:w="2442" w:type="pct"/>
            <w:vAlign w:val="center"/>
          </w:tcPr>
          <w:p>
            <w:pPr>
              <w:pStyle w:val="182"/>
              <w:bidi w:val="0"/>
              <w:rPr>
                <w:color w:val="auto"/>
              </w:rPr>
            </w:pPr>
            <w:r>
              <w:rPr>
                <w:color w:val="auto"/>
              </w:rPr>
              <w:t>500m</w:t>
            </w:r>
            <w:r>
              <w:rPr>
                <w:rFonts w:hint="eastAsia"/>
                <w:color w:val="auto"/>
                <w:vertAlign w:val="superscript"/>
              </w:rPr>
              <w:t>3</w:t>
            </w:r>
          </w:p>
        </w:tc>
        <w:tc>
          <w:tcPr>
            <w:tcW w:w="632" w:type="pct"/>
            <w:vAlign w:val="center"/>
          </w:tcPr>
          <w:p>
            <w:pPr>
              <w:pStyle w:val="182"/>
              <w:bidi w:val="0"/>
              <w:rPr>
                <w:color w:val="auto"/>
              </w:rPr>
            </w:pPr>
            <w:r>
              <w:rPr>
                <w:rFonts w:hint="eastAsia"/>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3</w:t>
            </w:r>
            <w:r>
              <w:rPr>
                <w:rFonts w:hint="eastAsia"/>
                <w:color w:val="auto"/>
                <w:lang w:val="en-US" w:eastAsia="zh-CN"/>
              </w:rPr>
              <w:t>1</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碱罐</w:t>
            </w:r>
          </w:p>
        </w:tc>
        <w:tc>
          <w:tcPr>
            <w:tcW w:w="2442" w:type="pct"/>
            <w:vAlign w:val="center"/>
          </w:tcPr>
          <w:p>
            <w:pPr>
              <w:pStyle w:val="182"/>
              <w:bidi w:val="0"/>
              <w:rPr>
                <w:color w:val="auto"/>
              </w:rPr>
            </w:pPr>
            <w:r>
              <w:rPr>
                <w:color w:val="auto"/>
              </w:rPr>
              <w:t>1800m</w:t>
            </w:r>
            <w:r>
              <w:rPr>
                <w:rFonts w:hint="eastAsia"/>
                <w:color w:val="auto"/>
                <w:vertAlign w:val="superscript"/>
              </w:rPr>
              <w:t>3</w:t>
            </w:r>
          </w:p>
        </w:tc>
        <w:tc>
          <w:tcPr>
            <w:tcW w:w="632" w:type="pct"/>
            <w:vAlign w:val="center"/>
          </w:tcPr>
          <w:p>
            <w:pPr>
              <w:pStyle w:val="182"/>
              <w:bidi w:val="0"/>
              <w:rPr>
                <w:color w:val="auto"/>
              </w:rPr>
            </w:pPr>
            <w:r>
              <w:rPr>
                <w:rFonts w:hint="eastAsia"/>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rPr>
              <w:t>3</w:t>
            </w:r>
            <w:r>
              <w:rPr>
                <w:rFonts w:hint="eastAsia"/>
                <w:color w:val="auto"/>
                <w:lang w:val="en-US" w:eastAsia="zh-CN"/>
              </w:rPr>
              <w:t>2</w:t>
            </w:r>
          </w:p>
        </w:tc>
        <w:tc>
          <w:tcPr>
            <w:tcW w:w="693" w:type="pct"/>
            <w:gridSpan w:val="2"/>
            <w:vMerge w:val="continue"/>
            <w:vAlign w:val="center"/>
          </w:tcPr>
          <w:p>
            <w:pPr>
              <w:pStyle w:val="182"/>
              <w:bidi w:val="0"/>
              <w:rPr>
                <w:color w:val="auto"/>
              </w:rPr>
            </w:pPr>
          </w:p>
        </w:tc>
        <w:tc>
          <w:tcPr>
            <w:tcW w:w="919" w:type="pct"/>
            <w:vAlign w:val="center"/>
          </w:tcPr>
          <w:p>
            <w:pPr>
              <w:pStyle w:val="182"/>
              <w:bidi w:val="0"/>
              <w:rPr>
                <w:color w:val="auto"/>
              </w:rPr>
            </w:pPr>
            <w:r>
              <w:rPr>
                <w:rFonts w:hint="eastAsia"/>
                <w:color w:val="auto"/>
              </w:rPr>
              <w:t>二硫化碳储罐</w:t>
            </w:r>
          </w:p>
        </w:tc>
        <w:tc>
          <w:tcPr>
            <w:tcW w:w="2442" w:type="pct"/>
            <w:vAlign w:val="center"/>
          </w:tcPr>
          <w:p>
            <w:pPr>
              <w:pStyle w:val="182"/>
              <w:bidi w:val="0"/>
              <w:rPr>
                <w:color w:val="auto"/>
              </w:rPr>
            </w:pPr>
            <w:r>
              <w:rPr>
                <w:color w:val="auto"/>
              </w:rPr>
              <w:t>250m</w:t>
            </w:r>
            <w:r>
              <w:rPr>
                <w:rFonts w:hint="eastAsia"/>
                <w:color w:val="auto"/>
                <w:vertAlign w:val="superscript"/>
              </w:rPr>
              <w:t>3</w:t>
            </w:r>
          </w:p>
        </w:tc>
        <w:tc>
          <w:tcPr>
            <w:tcW w:w="632" w:type="pct"/>
            <w:vAlign w:val="center"/>
          </w:tcPr>
          <w:p>
            <w:pPr>
              <w:pStyle w:val="182"/>
              <w:bidi w:val="0"/>
              <w:rPr>
                <w:color w:val="auto"/>
              </w:rPr>
            </w:pPr>
            <w:r>
              <w:rPr>
                <w:rFonts w:hint="eastAsia"/>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rFonts w:hint="eastAsia"/>
                <w:color w:val="auto"/>
              </w:rPr>
            </w:pPr>
            <w:r>
              <w:rPr>
                <w:rFonts w:hint="eastAsia"/>
                <w:b/>
                <w:bCs/>
                <w:color w:val="auto"/>
              </w:rPr>
              <w:t>年产六千吨再生氨纶纤维项目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w:t>
            </w:r>
          </w:p>
        </w:tc>
        <w:tc>
          <w:tcPr>
            <w:tcW w:w="1612" w:type="pct"/>
            <w:gridSpan w:val="3"/>
            <w:vAlign w:val="center"/>
          </w:tcPr>
          <w:p>
            <w:pPr>
              <w:pStyle w:val="182"/>
              <w:bidi w:val="0"/>
              <w:rPr>
                <w:rFonts w:hint="eastAsia"/>
                <w:b/>
                <w:bCs/>
                <w:color w:val="auto"/>
                <w:u w:val="single"/>
              </w:rPr>
            </w:pPr>
            <w:r>
              <w:rPr>
                <w:b/>
                <w:bCs/>
                <w:color w:val="auto"/>
                <w:u w:val="single"/>
              </w:rPr>
              <w:t>切丝机</w:t>
            </w:r>
          </w:p>
        </w:tc>
        <w:tc>
          <w:tcPr>
            <w:tcW w:w="2442" w:type="pct"/>
            <w:vAlign w:val="center"/>
          </w:tcPr>
          <w:p>
            <w:pPr>
              <w:pStyle w:val="182"/>
              <w:bidi w:val="0"/>
              <w:ind w:firstLine="0" w:firstLineChars="0"/>
              <w:rPr>
                <w:b/>
                <w:bCs/>
                <w:color w:val="auto"/>
                <w:u w:val="single"/>
              </w:rPr>
            </w:pPr>
            <w:r>
              <w:rPr>
                <w:b/>
                <w:bCs/>
                <w:color w:val="auto"/>
                <w:u w:val="single"/>
              </w:rPr>
              <w:t>非标</w:t>
            </w:r>
          </w:p>
        </w:tc>
        <w:tc>
          <w:tcPr>
            <w:tcW w:w="632" w:type="pct"/>
            <w:vAlign w:val="center"/>
          </w:tcPr>
          <w:p>
            <w:pPr>
              <w:pStyle w:val="182"/>
              <w:bidi w:val="0"/>
              <w:ind w:firstLine="0" w:firstLineChars="0"/>
              <w:rPr>
                <w:rFonts w:hint="eastAsia"/>
                <w:b/>
                <w:bCs/>
                <w:color w:val="auto"/>
                <w:u w:val="single"/>
              </w:rPr>
            </w:pPr>
            <w:r>
              <w:rPr>
                <w:b/>
                <w:bCs/>
                <w:color w:val="auto"/>
                <w:u w:val="singl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2</w:t>
            </w:r>
          </w:p>
        </w:tc>
        <w:tc>
          <w:tcPr>
            <w:tcW w:w="1612" w:type="pct"/>
            <w:gridSpan w:val="3"/>
            <w:vAlign w:val="center"/>
          </w:tcPr>
          <w:p>
            <w:pPr>
              <w:pStyle w:val="182"/>
              <w:bidi w:val="0"/>
              <w:rPr>
                <w:rFonts w:hint="eastAsia"/>
                <w:b/>
                <w:bCs/>
                <w:color w:val="auto"/>
                <w:u w:val="single"/>
              </w:rPr>
            </w:pPr>
            <w:r>
              <w:rPr>
                <w:b/>
                <w:bCs/>
                <w:color w:val="auto"/>
                <w:u w:val="single"/>
              </w:rPr>
              <w:t>称量机</w:t>
            </w:r>
          </w:p>
        </w:tc>
        <w:tc>
          <w:tcPr>
            <w:tcW w:w="2442" w:type="pct"/>
            <w:vAlign w:val="center"/>
          </w:tcPr>
          <w:p>
            <w:pPr>
              <w:pStyle w:val="182"/>
              <w:bidi w:val="0"/>
              <w:ind w:firstLine="0" w:firstLineChars="0"/>
              <w:rPr>
                <w:b/>
                <w:bCs/>
                <w:color w:val="auto"/>
                <w:u w:val="single"/>
              </w:rPr>
            </w:pPr>
            <w:r>
              <w:rPr>
                <w:b/>
                <w:bCs/>
                <w:color w:val="auto"/>
                <w:u w:val="single"/>
              </w:rPr>
              <w:t>非标</w:t>
            </w:r>
          </w:p>
        </w:tc>
        <w:tc>
          <w:tcPr>
            <w:tcW w:w="632" w:type="pct"/>
            <w:vAlign w:val="center"/>
          </w:tcPr>
          <w:p>
            <w:pPr>
              <w:pStyle w:val="182"/>
              <w:bidi w:val="0"/>
              <w:ind w:firstLine="0" w:firstLineChars="0"/>
              <w:rPr>
                <w:rFonts w:hint="eastAsia"/>
                <w:b/>
                <w:bCs/>
                <w:color w:val="auto"/>
                <w:u w:val="single"/>
              </w:rPr>
            </w:pPr>
            <w:r>
              <w:rPr>
                <w:b/>
                <w:bCs/>
                <w:color w:val="auto"/>
                <w:u w:val="singl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3</w:t>
            </w:r>
          </w:p>
        </w:tc>
        <w:tc>
          <w:tcPr>
            <w:tcW w:w="1612" w:type="pct"/>
            <w:gridSpan w:val="3"/>
            <w:vAlign w:val="center"/>
          </w:tcPr>
          <w:p>
            <w:pPr>
              <w:pStyle w:val="182"/>
              <w:bidi w:val="0"/>
              <w:rPr>
                <w:rFonts w:hint="eastAsia"/>
                <w:b/>
                <w:bCs/>
                <w:color w:val="auto"/>
                <w:u w:val="single"/>
              </w:rPr>
            </w:pPr>
            <w:r>
              <w:rPr>
                <w:b/>
                <w:bCs/>
                <w:color w:val="auto"/>
                <w:u w:val="single"/>
              </w:rPr>
              <w:t>DMAC存储罐</w:t>
            </w:r>
          </w:p>
        </w:tc>
        <w:tc>
          <w:tcPr>
            <w:tcW w:w="2442" w:type="pct"/>
            <w:vAlign w:val="center"/>
          </w:tcPr>
          <w:p>
            <w:pPr>
              <w:pStyle w:val="182"/>
              <w:bidi w:val="0"/>
              <w:ind w:firstLine="0" w:firstLineChars="0"/>
              <w:rPr>
                <w:b/>
                <w:bCs/>
                <w:color w:val="auto"/>
                <w:u w:val="single"/>
              </w:rPr>
            </w:pPr>
            <w:r>
              <w:rPr>
                <w:rFonts w:hint="eastAsia"/>
                <w:b/>
                <w:bCs/>
                <w:color w:val="auto"/>
                <w:u w:val="single"/>
              </w:rPr>
              <w:t>2</w:t>
            </w:r>
            <w:r>
              <w:rPr>
                <w:b/>
                <w:bCs/>
                <w:color w:val="auto"/>
                <w:u w:val="single"/>
              </w:rPr>
              <w:t>00m</w:t>
            </w:r>
            <w:r>
              <w:rPr>
                <w:b/>
                <w:bCs/>
                <w:color w:val="auto"/>
                <w:u w:val="single"/>
                <w:vertAlign w:val="superscript"/>
              </w:rPr>
              <w:t>3</w:t>
            </w:r>
          </w:p>
        </w:tc>
        <w:tc>
          <w:tcPr>
            <w:tcW w:w="632" w:type="pct"/>
            <w:vAlign w:val="center"/>
          </w:tcPr>
          <w:p>
            <w:pPr>
              <w:pStyle w:val="182"/>
              <w:bidi w:val="0"/>
              <w:ind w:firstLine="0" w:firstLineChars="0"/>
              <w:rPr>
                <w:rFonts w:hint="eastAsia"/>
                <w:b/>
                <w:bCs/>
                <w:color w:val="auto"/>
                <w:u w:val="single"/>
              </w:rPr>
            </w:pPr>
            <w:r>
              <w:rPr>
                <w:rFonts w:hint="eastAsia"/>
                <w:b/>
                <w:bCs/>
                <w:color w:val="auto"/>
                <w:u w:val="singl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4</w:t>
            </w:r>
          </w:p>
        </w:tc>
        <w:tc>
          <w:tcPr>
            <w:tcW w:w="1612" w:type="pct"/>
            <w:gridSpan w:val="3"/>
            <w:vAlign w:val="center"/>
          </w:tcPr>
          <w:p>
            <w:pPr>
              <w:pStyle w:val="182"/>
              <w:bidi w:val="0"/>
              <w:rPr>
                <w:rFonts w:hint="eastAsia"/>
                <w:b/>
                <w:bCs/>
                <w:color w:val="auto"/>
                <w:u w:val="single"/>
              </w:rPr>
            </w:pPr>
            <w:r>
              <w:rPr>
                <w:b/>
                <w:bCs/>
                <w:color w:val="auto"/>
                <w:u w:val="single"/>
              </w:rPr>
              <w:t>原液储罐</w:t>
            </w:r>
          </w:p>
        </w:tc>
        <w:tc>
          <w:tcPr>
            <w:tcW w:w="2442" w:type="pct"/>
            <w:vAlign w:val="center"/>
          </w:tcPr>
          <w:p>
            <w:pPr>
              <w:pStyle w:val="182"/>
              <w:bidi w:val="0"/>
              <w:ind w:firstLine="0" w:firstLineChars="0"/>
              <w:rPr>
                <w:b/>
                <w:bCs/>
                <w:color w:val="auto"/>
                <w:u w:val="single"/>
              </w:rPr>
            </w:pPr>
            <w:r>
              <w:rPr>
                <w:b/>
                <w:bCs/>
                <w:color w:val="auto"/>
                <w:u w:val="single"/>
              </w:rPr>
              <w:t>ST26.0</w:t>
            </w:r>
          </w:p>
        </w:tc>
        <w:tc>
          <w:tcPr>
            <w:tcW w:w="632" w:type="pct"/>
            <w:vAlign w:val="center"/>
          </w:tcPr>
          <w:p>
            <w:pPr>
              <w:pStyle w:val="182"/>
              <w:bidi w:val="0"/>
              <w:ind w:firstLine="0" w:firstLineChars="0"/>
              <w:rPr>
                <w:rFonts w:hint="eastAsia"/>
                <w:b/>
                <w:bCs/>
                <w:color w:val="auto"/>
                <w:u w:val="single"/>
              </w:rPr>
            </w:pPr>
            <w:r>
              <w:rPr>
                <w:b/>
                <w:bCs/>
                <w:color w:val="auto"/>
                <w:u w:val="singl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5</w:t>
            </w:r>
          </w:p>
        </w:tc>
        <w:tc>
          <w:tcPr>
            <w:tcW w:w="1612" w:type="pct"/>
            <w:gridSpan w:val="3"/>
            <w:vAlign w:val="center"/>
          </w:tcPr>
          <w:p>
            <w:pPr>
              <w:pStyle w:val="182"/>
              <w:bidi w:val="0"/>
              <w:rPr>
                <w:rFonts w:hint="eastAsia"/>
                <w:b/>
                <w:bCs/>
                <w:color w:val="auto"/>
                <w:u w:val="single"/>
              </w:rPr>
            </w:pPr>
            <w:r>
              <w:rPr>
                <w:b/>
                <w:bCs/>
                <w:color w:val="auto"/>
                <w:u w:val="single"/>
              </w:rPr>
              <w:t>中间槽</w:t>
            </w:r>
          </w:p>
        </w:tc>
        <w:tc>
          <w:tcPr>
            <w:tcW w:w="2442" w:type="pct"/>
            <w:vAlign w:val="center"/>
          </w:tcPr>
          <w:p>
            <w:pPr>
              <w:pStyle w:val="182"/>
              <w:bidi w:val="0"/>
              <w:ind w:firstLine="0" w:firstLineChars="0"/>
              <w:rPr>
                <w:b/>
                <w:bCs/>
                <w:color w:val="auto"/>
                <w:u w:val="single"/>
              </w:rPr>
            </w:pPr>
            <w:r>
              <w:rPr>
                <w:b/>
                <w:bCs/>
                <w:color w:val="auto"/>
                <w:u w:val="single"/>
              </w:rPr>
              <w:t>/</w:t>
            </w:r>
          </w:p>
        </w:tc>
        <w:tc>
          <w:tcPr>
            <w:tcW w:w="632" w:type="pct"/>
            <w:vAlign w:val="center"/>
          </w:tcPr>
          <w:p>
            <w:pPr>
              <w:pStyle w:val="182"/>
              <w:bidi w:val="0"/>
              <w:ind w:firstLine="0" w:firstLineChars="0"/>
              <w:rPr>
                <w:rFonts w:hint="eastAsia"/>
                <w:b/>
                <w:bCs/>
                <w:color w:val="auto"/>
                <w:u w:val="single"/>
              </w:rPr>
            </w:pPr>
            <w:r>
              <w:rPr>
                <w:b/>
                <w:bCs/>
                <w:color w:val="auto"/>
                <w:u w:val="single"/>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6</w:t>
            </w:r>
          </w:p>
        </w:tc>
        <w:tc>
          <w:tcPr>
            <w:tcW w:w="1612" w:type="pct"/>
            <w:gridSpan w:val="3"/>
            <w:vAlign w:val="center"/>
          </w:tcPr>
          <w:p>
            <w:pPr>
              <w:pStyle w:val="182"/>
              <w:bidi w:val="0"/>
              <w:rPr>
                <w:rFonts w:hint="eastAsia"/>
                <w:b/>
                <w:bCs/>
                <w:color w:val="auto"/>
                <w:u w:val="single"/>
              </w:rPr>
            </w:pPr>
            <w:r>
              <w:rPr>
                <w:rFonts w:hint="eastAsia"/>
                <w:b/>
                <w:bCs/>
                <w:color w:val="auto"/>
                <w:u w:val="single"/>
              </w:rPr>
              <w:t>烘干机</w:t>
            </w:r>
          </w:p>
        </w:tc>
        <w:tc>
          <w:tcPr>
            <w:tcW w:w="2442" w:type="pct"/>
            <w:vAlign w:val="center"/>
          </w:tcPr>
          <w:p>
            <w:pPr>
              <w:pStyle w:val="182"/>
              <w:bidi w:val="0"/>
              <w:ind w:firstLine="0" w:firstLineChars="0"/>
              <w:rPr>
                <w:b/>
                <w:bCs/>
                <w:color w:val="auto"/>
                <w:u w:val="single"/>
              </w:rPr>
            </w:pPr>
            <w:r>
              <w:rPr>
                <w:b/>
                <w:bCs/>
                <w:color w:val="auto"/>
                <w:u w:val="single"/>
              </w:rPr>
              <w:t>/</w:t>
            </w:r>
          </w:p>
        </w:tc>
        <w:tc>
          <w:tcPr>
            <w:tcW w:w="632" w:type="pct"/>
            <w:vAlign w:val="center"/>
          </w:tcPr>
          <w:p>
            <w:pPr>
              <w:pStyle w:val="182"/>
              <w:bidi w:val="0"/>
              <w:ind w:firstLine="0" w:firstLineChars="0"/>
              <w:rPr>
                <w:rFonts w:hint="eastAsia"/>
                <w:b/>
                <w:bCs/>
                <w:color w:val="auto"/>
                <w:u w:val="single"/>
              </w:rPr>
            </w:pPr>
            <w:r>
              <w:rPr>
                <w:rFonts w:hint="eastAsia"/>
                <w:b/>
                <w:bCs/>
                <w:color w:val="auto"/>
                <w:u w:val="singl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7</w:t>
            </w:r>
          </w:p>
        </w:tc>
        <w:tc>
          <w:tcPr>
            <w:tcW w:w="1612" w:type="pct"/>
            <w:gridSpan w:val="3"/>
            <w:vAlign w:val="center"/>
          </w:tcPr>
          <w:p>
            <w:pPr>
              <w:pStyle w:val="182"/>
              <w:bidi w:val="0"/>
              <w:rPr>
                <w:rFonts w:hint="eastAsia"/>
                <w:b/>
                <w:bCs/>
                <w:color w:val="auto"/>
                <w:u w:val="single"/>
              </w:rPr>
            </w:pPr>
            <w:r>
              <w:rPr>
                <w:b/>
                <w:bCs/>
                <w:color w:val="auto"/>
                <w:u w:val="single"/>
              </w:rPr>
              <w:t>溶解机</w:t>
            </w:r>
          </w:p>
        </w:tc>
        <w:tc>
          <w:tcPr>
            <w:tcW w:w="2442" w:type="pct"/>
            <w:vAlign w:val="center"/>
          </w:tcPr>
          <w:p>
            <w:pPr>
              <w:pStyle w:val="182"/>
              <w:bidi w:val="0"/>
              <w:ind w:firstLine="0" w:firstLineChars="0"/>
              <w:rPr>
                <w:b/>
                <w:bCs/>
                <w:color w:val="auto"/>
                <w:u w:val="single"/>
              </w:rPr>
            </w:pPr>
            <w:r>
              <w:rPr>
                <w:b/>
                <w:bCs/>
                <w:color w:val="auto"/>
                <w:u w:val="single"/>
              </w:rPr>
              <w:t>非标</w:t>
            </w:r>
          </w:p>
        </w:tc>
        <w:tc>
          <w:tcPr>
            <w:tcW w:w="632" w:type="pct"/>
            <w:vAlign w:val="center"/>
          </w:tcPr>
          <w:p>
            <w:pPr>
              <w:pStyle w:val="182"/>
              <w:bidi w:val="0"/>
              <w:ind w:firstLine="0" w:firstLineChars="0"/>
              <w:rPr>
                <w:rFonts w:hint="eastAsia"/>
                <w:b/>
                <w:bCs/>
                <w:color w:val="auto"/>
                <w:u w:val="single"/>
              </w:rPr>
            </w:pPr>
            <w:r>
              <w:rPr>
                <w:b/>
                <w:bCs/>
                <w:color w:val="auto"/>
                <w:u w:val="singl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8</w:t>
            </w:r>
          </w:p>
        </w:tc>
        <w:tc>
          <w:tcPr>
            <w:tcW w:w="1612" w:type="pct"/>
            <w:gridSpan w:val="3"/>
            <w:vAlign w:val="center"/>
          </w:tcPr>
          <w:p>
            <w:pPr>
              <w:pStyle w:val="182"/>
              <w:bidi w:val="0"/>
              <w:rPr>
                <w:rFonts w:hint="eastAsia"/>
                <w:b/>
                <w:bCs/>
                <w:color w:val="auto"/>
                <w:u w:val="single"/>
              </w:rPr>
            </w:pPr>
            <w:r>
              <w:rPr>
                <w:b/>
                <w:bCs/>
                <w:color w:val="auto"/>
                <w:u w:val="single"/>
              </w:rPr>
              <w:t>纺丝甬道</w:t>
            </w:r>
          </w:p>
        </w:tc>
        <w:tc>
          <w:tcPr>
            <w:tcW w:w="2442" w:type="pct"/>
            <w:vAlign w:val="center"/>
          </w:tcPr>
          <w:p>
            <w:pPr>
              <w:pStyle w:val="182"/>
              <w:bidi w:val="0"/>
              <w:ind w:firstLine="0" w:firstLineChars="0"/>
              <w:rPr>
                <w:b/>
                <w:bCs/>
                <w:color w:val="auto"/>
                <w:u w:val="single"/>
              </w:rPr>
            </w:pPr>
            <w:r>
              <w:rPr>
                <w:b/>
                <w:bCs/>
                <w:color w:val="auto"/>
                <w:u w:val="single"/>
              </w:rPr>
              <w:t>64E专用</w:t>
            </w:r>
          </w:p>
        </w:tc>
        <w:tc>
          <w:tcPr>
            <w:tcW w:w="632" w:type="pct"/>
            <w:vAlign w:val="center"/>
          </w:tcPr>
          <w:p>
            <w:pPr>
              <w:pStyle w:val="182"/>
              <w:bidi w:val="0"/>
              <w:ind w:firstLine="0" w:firstLineChars="0"/>
              <w:rPr>
                <w:rFonts w:hint="eastAsia"/>
                <w:b/>
                <w:bCs/>
                <w:color w:val="auto"/>
                <w:u w:val="single"/>
              </w:rPr>
            </w:pPr>
            <w:r>
              <w:rPr>
                <w:b/>
                <w:bCs/>
                <w:color w:val="auto"/>
                <w:u w:val="single"/>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9</w:t>
            </w:r>
          </w:p>
        </w:tc>
        <w:tc>
          <w:tcPr>
            <w:tcW w:w="1612" w:type="pct"/>
            <w:gridSpan w:val="3"/>
            <w:vAlign w:val="center"/>
          </w:tcPr>
          <w:p>
            <w:pPr>
              <w:pStyle w:val="182"/>
              <w:bidi w:val="0"/>
              <w:rPr>
                <w:rFonts w:hint="eastAsia"/>
                <w:b/>
                <w:bCs/>
                <w:color w:val="auto"/>
                <w:u w:val="single"/>
              </w:rPr>
            </w:pPr>
            <w:r>
              <w:rPr>
                <w:b/>
                <w:bCs/>
                <w:color w:val="auto"/>
                <w:u w:val="single"/>
              </w:rPr>
              <w:t>纺丝组件</w:t>
            </w:r>
          </w:p>
        </w:tc>
        <w:tc>
          <w:tcPr>
            <w:tcW w:w="2442" w:type="pct"/>
            <w:vAlign w:val="center"/>
          </w:tcPr>
          <w:p>
            <w:pPr>
              <w:pStyle w:val="182"/>
              <w:bidi w:val="0"/>
              <w:ind w:firstLine="0" w:firstLineChars="0"/>
              <w:rPr>
                <w:b/>
                <w:bCs/>
                <w:color w:val="auto"/>
                <w:u w:val="single"/>
              </w:rPr>
            </w:pPr>
            <w:r>
              <w:rPr>
                <w:b/>
                <w:bCs/>
                <w:color w:val="auto"/>
                <w:u w:val="single"/>
              </w:rPr>
              <w:t>喷丝板、过滤网等</w:t>
            </w:r>
          </w:p>
        </w:tc>
        <w:tc>
          <w:tcPr>
            <w:tcW w:w="632" w:type="pct"/>
            <w:vAlign w:val="center"/>
          </w:tcPr>
          <w:p>
            <w:pPr>
              <w:pStyle w:val="182"/>
              <w:bidi w:val="0"/>
              <w:ind w:firstLine="0" w:firstLineChars="0"/>
              <w:rPr>
                <w:rFonts w:hint="eastAsia"/>
                <w:b/>
                <w:bCs/>
                <w:color w:val="auto"/>
                <w:u w:val="single"/>
              </w:rPr>
            </w:pPr>
            <w:r>
              <w:rPr>
                <w:b/>
                <w:bCs/>
                <w:color w:val="auto"/>
                <w:u w:val="single"/>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10</w:t>
            </w:r>
          </w:p>
        </w:tc>
        <w:tc>
          <w:tcPr>
            <w:tcW w:w="1612" w:type="pct"/>
            <w:gridSpan w:val="3"/>
            <w:vAlign w:val="center"/>
          </w:tcPr>
          <w:p>
            <w:pPr>
              <w:pStyle w:val="182"/>
              <w:bidi w:val="0"/>
              <w:rPr>
                <w:rFonts w:hint="eastAsia"/>
                <w:b/>
                <w:bCs/>
                <w:color w:val="auto"/>
                <w:u w:val="single"/>
              </w:rPr>
            </w:pPr>
            <w:r>
              <w:rPr>
                <w:b/>
                <w:bCs/>
                <w:color w:val="auto"/>
                <w:u w:val="single"/>
              </w:rPr>
              <w:t>导丝机构</w:t>
            </w:r>
          </w:p>
        </w:tc>
        <w:tc>
          <w:tcPr>
            <w:tcW w:w="2442" w:type="pct"/>
            <w:vAlign w:val="center"/>
          </w:tcPr>
          <w:p>
            <w:pPr>
              <w:pStyle w:val="182"/>
              <w:bidi w:val="0"/>
              <w:ind w:firstLine="0" w:firstLineChars="0"/>
              <w:rPr>
                <w:b/>
                <w:bCs/>
                <w:color w:val="auto"/>
                <w:u w:val="single"/>
              </w:rPr>
            </w:pPr>
            <w:r>
              <w:rPr>
                <w:b/>
                <w:bCs/>
                <w:color w:val="auto"/>
                <w:u w:val="single"/>
              </w:rPr>
              <w:t>GR-1，GR-2，GR-3</w:t>
            </w:r>
          </w:p>
        </w:tc>
        <w:tc>
          <w:tcPr>
            <w:tcW w:w="632" w:type="pct"/>
            <w:vAlign w:val="center"/>
          </w:tcPr>
          <w:p>
            <w:pPr>
              <w:pStyle w:val="182"/>
              <w:bidi w:val="0"/>
              <w:ind w:firstLine="0" w:firstLineChars="0"/>
              <w:rPr>
                <w:rFonts w:hint="eastAsia"/>
                <w:b/>
                <w:bCs/>
                <w:color w:val="auto"/>
                <w:u w:val="single"/>
              </w:rPr>
            </w:pPr>
            <w:r>
              <w:rPr>
                <w:b/>
                <w:bCs/>
                <w:color w:val="auto"/>
                <w:u w:val="single"/>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11</w:t>
            </w:r>
          </w:p>
        </w:tc>
        <w:tc>
          <w:tcPr>
            <w:tcW w:w="1612" w:type="pct"/>
            <w:gridSpan w:val="3"/>
            <w:vAlign w:val="center"/>
          </w:tcPr>
          <w:p>
            <w:pPr>
              <w:pStyle w:val="182"/>
              <w:bidi w:val="0"/>
              <w:rPr>
                <w:rFonts w:hint="eastAsia"/>
                <w:b/>
                <w:bCs/>
                <w:color w:val="auto"/>
                <w:u w:val="single"/>
              </w:rPr>
            </w:pPr>
            <w:r>
              <w:rPr>
                <w:b/>
                <w:bCs/>
                <w:color w:val="auto"/>
                <w:u w:val="single"/>
              </w:rPr>
              <w:t>卷绕头</w:t>
            </w:r>
          </w:p>
        </w:tc>
        <w:tc>
          <w:tcPr>
            <w:tcW w:w="2442" w:type="pct"/>
            <w:vAlign w:val="center"/>
          </w:tcPr>
          <w:p>
            <w:pPr>
              <w:pStyle w:val="182"/>
              <w:bidi w:val="0"/>
              <w:ind w:firstLine="0" w:firstLineChars="0"/>
              <w:rPr>
                <w:b/>
                <w:bCs/>
                <w:color w:val="auto"/>
                <w:u w:val="single"/>
              </w:rPr>
            </w:pPr>
            <w:r>
              <w:rPr>
                <w:b/>
                <w:bCs/>
                <w:color w:val="auto"/>
                <w:u w:val="single"/>
              </w:rPr>
              <w:t>WAW-101</w:t>
            </w:r>
          </w:p>
        </w:tc>
        <w:tc>
          <w:tcPr>
            <w:tcW w:w="632" w:type="pct"/>
            <w:vAlign w:val="center"/>
          </w:tcPr>
          <w:p>
            <w:pPr>
              <w:pStyle w:val="182"/>
              <w:bidi w:val="0"/>
              <w:ind w:firstLine="0" w:firstLineChars="0"/>
              <w:rPr>
                <w:rFonts w:hint="eastAsia"/>
                <w:b/>
                <w:bCs/>
                <w:color w:val="auto"/>
                <w:u w:val="single"/>
              </w:rPr>
            </w:pPr>
            <w:r>
              <w:rPr>
                <w:b/>
                <w:bCs/>
                <w:color w:val="auto"/>
                <w:u w:val="single"/>
              </w:rPr>
              <w:t>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12</w:t>
            </w:r>
          </w:p>
        </w:tc>
        <w:tc>
          <w:tcPr>
            <w:tcW w:w="1612" w:type="pct"/>
            <w:gridSpan w:val="3"/>
            <w:vAlign w:val="center"/>
          </w:tcPr>
          <w:p>
            <w:pPr>
              <w:pStyle w:val="182"/>
              <w:bidi w:val="0"/>
              <w:rPr>
                <w:rFonts w:hint="eastAsia"/>
                <w:b/>
                <w:bCs/>
                <w:color w:val="auto"/>
                <w:u w:val="single"/>
              </w:rPr>
            </w:pPr>
            <w:r>
              <w:rPr>
                <w:b/>
                <w:bCs/>
                <w:color w:val="auto"/>
                <w:u w:val="single"/>
              </w:rPr>
              <w:t>SM系统</w:t>
            </w:r>
          </w:p>
        </w:tc>
        <w:tc>
          <w:tcPr>
            <w:tcW w:w="2442" w:type="pct"/>
            <w:vAlign w:val="center"/>
          </w:tcPr>
          <w:p>
            <w:pPr>
              <w:pStyle w:val="182"/>
              <w:bidi w:val="0"/>
              <w:ind w:firstLine="0" w:firstLineChars="0"/>
              <w:rPr>
                <w:b/>
                <w:bCs/>
                <w:color w:val="auto"/>
                <w:u w:val="single"/>
              </w:rPr>
            </w:pPr>
            <w:r>
              <w:rPr>
                <w:b/>
                <w:bCs/>
                <w:color w:val="auto"/>
                <w:u w:val="single"/>
              </w:rPr>
              <w:t>/</w:t>
            </w:r>
          </w:p>
        </w:tc>
        <w:tc>
          <w:tcPr>
            <w:tcW w:w="632" w:type="pct"/>
            <w:vAlign w:val="center"/>
          </w:tcPr>
          <w:p>
            <w:pPr>
              <w:pStyle w:val="182"/>
              <w:bidi w:val="0"/>
              <w:ind w:firstLine="0" w:firstLineChars="0"/>
              <w:rPr>
                <w:rFonts w:hint="eastAsia"/>
                <w:b/>
                <w:bCs/>
                <w:color w:val="auto"/>
                <w:u w:val="single"/>
              </w:rPr>
            </w:pPr>
            <w:r>
              <w:rPr>
                <w:b/>
                <w:bCs/>
                <w:color w:val="auto"/>
                <w:u w:val="singl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13</w:t>
            </w:r>
          </w:p>
        </w:tc>
        <w:tc>
          <w:tcPr>
            <w:tcW w:w="1612" w:type="pct"/>
            <w:gridSpan w:val="3"/>
            <w:vAlign w:val="center"/>
          </w:tcPr>
          <w:p>
            <w:pPr>
              <w:pStyle w:val="182"/>
              <w:bidi w:val="0"/>
              <w:rPr>
                <w:rFonts w:hint="eastAsia"/>
                <w:b/>
                <w:bCs/>
                <w:color w:val="auto"/>
                <w:u w:val="single"/>
              </w:rPr>
            </w:pPr>
            <w:r>
              <w:rPr>
                <w:b/>
                <w:bCs/>
                <w:color w:val="auto"/>
                <w:u w:val="single"/>
              </w:rPr>
              <w:t>分级设备</w:t>
            </w:r>
          </w:p>
        </w:tc>
        <w:tc>
          <w:tcPr>
            <w:tcW w:w="2442" w:type="pct"/>
            <w:vAlign w:val="center"/>
          </w:tcPr>
          <w:p>
            <w:pPr>
              <w:pStyle w:val="182"/>
              <w:bidi w:val="0"/>
              <w:ind w:firstLine="0" w:firstLineChars="0"/>
              <w:rPr>
                <w:b/>
                <w:bCs/>
                <w:color w:val="auto"/>
                <w:u w:val="single"/>
              </w:rPr>
            </w:pPr>
            <w:r>
              <w:rPr>
                <w:b/>
                <w:bCs/>
                <w:color w:val="auto"/>
                <w:u w:val="single"/>
              </w:rPr>
              <w:t>/</w:t>
            </w:r>
          </w:p>
        </w:tc>
        <w:tc>
          <w:tcPr>
            <w:tcW w:w="632" w:type="pct"/>
            <w:vAlign w:val="center"/>
          </w:tcPr>
          <w:p>
            <w:pPr>
              <w:pStyle w:val="182"/>
              <w:bidi w:val="0"/>
              <w:ind w:firstLine="0" w:firstLineChars="0"/>
              <w:rPr>
                <w:rFonts w:hint="eastAsia"/>
                <w:b/>
                <w:bCs/>
                <w:color w:val="auto"/>
                <w:u w:val="single"/>
              </w:rPr>
            </w:pPr>
            <w:r>
              <w:rPr>
                <w:b/>
                <w:bCs/>
                <w:color w:val="auto"/>
                <w:u w:val="singl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14</w:t>
            </w:r>
          </w:p>
        </w:tc>
        <w:tc>
          <w:tcPr>
            <w:tcW w:w="1612" w:type="pct"/>
            <w:gridSpan w:val="3"/>
            <w:vAlign w:val="center"/>
          </w:tcPr>
          <w:p>
            <w:pPr>
              <w:pStyle w:val="182"/>
              <w:bidi w:val="0"/>
              <w:rPr>
                <w:rFonts w:hint="eastAsia"/>
                <w:b/>
                <w:bCs/>
                <w:color w:val="auto"/>
                <w:u w:val="single"/>
              </w:rPr>
            </w:pPr>
            <w:r>
              <w:rPr>
                <w:b/>
                <w:bCs/>
                <w:color w:val="auto"/>
                <w:u w:val="single"/>
              </w:rPr>
              <w:t>溶剂精制系统</w:t>
            </w:r>
          </w:p>
        </w:tc>
        <w:tc>
          <w:tcPr>
            <w:tcW w:w="2442" w:type="pct"/>
            <w:vAlign w:val="center"/>
          </w:tcPr>
          <w:p>
            <w:pPr>
              <w:pStyle w:val="182"/>
              <w:bidi w:val="0"/>
              <w:ind w:firstLine="0" w:firstLineChars="0"/>
              <w:rPr>
                <w:b/>
                <w:bCs/>
                <w:color w:val="auto"/>
                <w:u w:val="single"/>
              </w:rPr>
            </w:pPr>
            <w:r>
              <w:rPr>
                <w:b/>
                <w:bCs/>
                <w:color w:val="auto"/>
                <w:u w:val="single"/>
              </w:rPr>
              <w:t>含3个精馏塔和1个DMAC回收装置</w:t>
            </w:r>
          </w:p>
        </w:tc>
        <w:tc>
          <w:tcPr>
            <w:tcW w:w="632" w:type="pct"/>
            <w:vAlign w:val="center"/>
          </w:tcPr>
          <w:p>
            <w:pPr>
              <w:pStyle w:val="182"/>
              <w:bidi w:val="0"/>
              <w:ind w:firstLine="0" w:firstLineChars="0"/>
              <w:rPr>
                <w:rFonts w:hint="eastAsia"/>
                <w:b/>
                <w:bCs/>
                <w:color w:val="auto"/>
                <w:u w:val="single"/>
              </w:rPr>
            </w:pPr>
            <w:r>
              <w:rPr>
                <w:b/>
                <w:bCs/>
                <w:color w:val="auto"/>
                <w:u w:val="singl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15</w:t>
            </w:r>
          </w:p>
        </w:tc>
        <w:tc>
          <w:tcPr>
            <w:tcW w:w="1612" w:type="pct"/>
            <w:gridSpan w:val="3"/>
            <w:vAlign w:val="center"/>
          </w:tcPr>
          <w:p>
            <w:pPr>
              <w:pStyle w:val="182"/>
              <w:bidi w:val="0"/>
              <w:rPr>
                <w:rFonts w:hint="eastAsia"/>
                <w:b/>
                <w:bCs/>
                <w:color w:val="auto"/>
                <w:u w:val="single"/>
              </w:rPr>
            </w:pPr>
            <w:r>
              <w:rPr>
                <w:b/>
                <w:bCs/>
                <w:color w:val="auto"/>
                <w:u w:val="single"/>
              </w:rPr>
              <w:t>超声波清洗机</w:t>
            </w:r>
          </w:p>
        </w:tc>
        <w:tc>
          <w:tcPr>
            <w:tcW w:w="2442" w:type="pct"/>
            <w:vAlign w:val="center"/>
          </w:tcPr>
          <w:p>
            <w:pPr>
              <w:pStyle w:val="182"/>
              <w:bidi w:val="0"/>
              <w:ind w:firstLine="0" w:firstLineChars="0"/>
              <w:rPr>
                <w:b/>
                <w:bCs/>
                <w:color w:val="auto"/>
                <w:u w:val="single"/>
              </w:rPr>
            </w:pPr>
            <w:r>
              <w:rPr>
                <w:b/>
                <w:bCs/>
                <w:color w:val="auto"/>
                <w:u w:val="single"/>
              </w:rPr>
              <w:t>ATLAS-3015</w:t>
            </w:r>
          </w:p>
        </w:tc>
        <w:tc>
          <w:tcPr>
            <w:tcW w:w="632" w:type="pct"/>
            <w:vAlign w:val="center"/>
          </w:tcPr>
          <w:p>
            <w:pPr>
              <w:pStyle w:val="182"/>
              <w:bidi w:val="0"/>
              <w:ind w:firstLine="0" w:firstLineChars="0"/>
              <w:rPr>
                <w:rFonts w:hint="eastAsia"/>
                <w:b/>
                <w:bCs/>
                <w:color w:val="auto"/>
                <w:u w:val="single"/>
              </w:rPr>
            </w:pPr>
            <w:r>
              <w:rPr>
                <w:b/>
                <w:bCs/>
                <w:color w:val="auto"/>
                <w:u w:val="singl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16</w:t>
            </w:r>
          </w:p>
        </w:tc>
        <w:tc>
          <w:tcPr>
            <w:tcW w:w="1612" w:type="pct"/>
            <w:gridSpan w:val="3"/>
            <w:vAlign w:val="center"/>
          </w:tcPr>
          <w:p>
            <w:pPr>
              <w:pStyle w:val="182"/>
              <w:bidi w:val="0"/>
              <w:rPr>
                <w:rFonts w:hint="eastAsia"/>
                <w:b/>
                <w:bCs/>
                <w:color w:val="auto"/>
                <w:u w:val="single"/>
              </w:rPr>
            </w:pPr>
            <w:r>
              <w:rPr>
                <w:b/>
                <w:bCs/>
                <w:color w:val="auto"/>
                <w:u w:val="single"/>
              </w:rPr>
              <w:t>DCS控制系统</w:t>
            </w:r>
          </w:p>
        </w:tc>
        <w:tc>
          <w:tcPr>
            <w:tcW w:w="2442" w:type="pct"/>
            <w:vAlign w:val="center"/>
          </w:tcPr>
          <w:p>
            <w:pPr>
              <w:pStyle w:val="182"/>
              <w:bidi w:val="0"/>
              <w:ind w:firstLine="0" w:firstLineChars="0"/>
              <w:rPr>
                <w:b/>
                <w:bCs/>
                <w:color w:val="auto"/>
                <w:u w:val="single"/>
              </w:rPr>
            </w:pPr>
            <w:r>
              <w:rPr>
                <w:b/>
                <w:bCs/>
                <w:color w:val="auto"/>
                <w:u w:val="single"/>
              </w:rPr>
              <w:t>/</w:t>
            </w:r>
          </w:p>
        </w:tc>
        <w:tc>
          <w:tcPr>
            <w:tcW w:w="632" w:type="pct"/>
            <w:vAlign w:val="center"/>
          </w:tcPr>
          <w:p>
            <w:pPr>
              <w:pStyle w:val="182"/>
              <w:bidi w:val="0"/>
              <w:ind w:firstLine="0" w:firstLineChars="0"/>
              <w:rPr>
                <w:rFonts w:hint="eastAsia"/>
                <w:b/>
                <w:bCs/>
                <w:color w:val="auto"/>
                <w:u w:val="single"/>
              </w:rPr>
            </w:pPr>
            <w:r>
              <w:rPr>
                <w:b/>
                <w:bCs/>
                <w:color w:val="auto"/>
                <w:u w:val="singl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17</w:t>
            </w:r>
          </w:p>
        </w:tc>
        <w:tc>
          <w:tcPr>
            <w:tcW w:w="1612" w:type="pct"/>
            <w:gridSpan w:val="3"/>
            <w:vAlign w:val="center"/>
          </w:tcPr>
          <w:p>
            <w:pPr>
              <w:pStyle w:val="182"/>
              <w:bidi w:val="0"/>
              <w:rPr>
                <w:rFonts w:hint="eastAsia"/>
                <w:b/>
                <w:bCs/>
                <w:color w:val="auto"/>
                <w:u w:val="single"/>
              </w:rPr>
            </w:pPr>
            <w:r>
              <w:rPr>
                <w:b/>
                <w:bCs/>
                <w:color w:val="auto"/>
                <w:u w:val="single"/>
              </w:rPr>
              <w:t>制氮系统</w:t>
            </w:r>
          </w:p>
        </w:tc>
        <w:tc>
          <w:tcPr>
            <w:tcW w:w="2442" w:type="pct"/>
            <w:vAlign w:val="center"/>
          </w:tcPr>
          <w:p>
            <w:pPr>
              <w:pStyle w:val="182"/>
              <w:bidi w:val="0"/>
              <w:ind w:firstLine="0" w:firstLineChars="0"/>
              <w:rPr>
                <w:b/>
                <w:bCs/>
                <w:color w:val="auto"/>
                <w:u w:val="single"/>
              </w:rPr>
            </w:pPr>
            <w:r>
              <w:rPr>
                <w:b/>
                <w:bCs/>
                <w:color w:val="auto"/>
                <w:u w:val="single"/>
              </w:rPr>
              <w:t>/</w:t>
            </w:r>
          </w:p>
        </w:tc>
        <w:tc>
          <w:tcPr>
            <w:tcW w:w="632" w:type="pct"/>
            <w:vAlign w:val="center"/>
          </w:tcPr>
          <w:p>
            <w:pPr>
              <w:pStyle w:val="182"/>
              <w:bidi w:val="0"/>
              <w:ind w:firstLine="0" w:firstLineChars="0"/>
              <w:rPr>
                <w:rFonts w:hint="eastAsia"/>
                <w:b/>
                <w:bCs/>
                <w:color w:val="auto"/>
                <w:u w:val="single"/>
              </w:rPr>
            </w:pPr>
            <w:r>
              <w:rPr>
                <w:b/>
                <w:bCs/>
                <w:color w:val="auto"/>
                <w:u w:val="singl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18</w:t>
            </w:r>
          </w:p>
        </w:tc>
        <w:tc>
          <w:tcPr>
            <w:tcW w:w="1612" w:type="pct"/>
            <w:gridSpan w:val="3"/>
            <w:vAlign w:val="center"/>
          </w:tcPr>
          <w:p>
            <w:pPr>
              <w:pStyle w:val="182"/>
              <w:bidi w:val="0"/>
              <w:rPr>
                <w:rFonts w:hint="eastAsia"/>
                <w:b/>
                <w:bCs/>
                <w:color w:val="auto"/>
                <w:u w:val="single"/>
              </w:rPr>
            </w:pPr>
            <w:r>
              <w:rPr>
                <w:b/>
                <w:bCs/>
                <w:color w:val="auto"/>
                <w:u w:val="single"/>
              </w:rPr>
              <w:t>冷媒系统</w:t>
            </w:r>
          </w:p>
        </w:tc>
        <w:tc>
          <w:tcPr>
            <w:tcW w:w="2442" w:type="pct"/>
            <w:vAlign w:val="center"/>
          </w:tcPr>
          <w:p>
            <w:pPr>
              <w:pStyle w:val="182"/>
              <w:bidi w:val="0"/>
              <w:ind w:firstLine="0" w:firstLineChars="0"/>
              <w:rPr>
                <w:b/>
                <w:bCs/>
                <w:color w:val="auto"/>
                <w:u w:val="single"/>
              </w:rPr>
            </w:pPr>
            <w:r>
              <w:rPr>
                <w:b/>
                <w:bCs/>
                <w:color w:val="auto"/>
                <w:u w:val="single"/>
              </w:rPr>
              <w:t>/</w:t>
            </w:r>
          </w:p>
        </w:tc>
        <w:tc>
          <w:tcPr>
            <w:tcW w:w="632" w:type="pct"/>
            <w:vAlign w:val="center"/>
          </w:tcPr>
          <w:p>
            <w:pPr>
              <w:pStyle w:val="182"/>
              <w:bidi w:val="0"/>
              <w:ind w:firstLine="0" w:firstLineChars="0"/>
              <w:rPr>
                <w:rFonts w:hint="eastAsia"/>
                <w:b/>
                <w:bCs/>
                <w:color w:val="auto"/>
                <w:u w:val="single"/>
              </w:rPr>
            </w:pPr>
            <w:r>
              <w:rPr>
                <w:b/>
                <w:bCs/>
                <w:color w:val="auto"/>
                <w:u w:val="singl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1</w:t>
            </w:r>
            <w:r>
              <w:rPr>
                <w:b/>
                <w:bCs/>
                <w:color w:val="auto"/>
                <w:u w:val="single"/>
              </w:rPr>
              <w:t>9</w:t>
            </w:r>
          </w:p>
        </w:tc>
        <w:tc>
          <w:tcPr>
            <w:tcW w:w="1612" w:type="pct"/>
            <w:gridSpan w:val="3"/>
            <w:vAlign w:val="center"/>
          </w:tcPr>
          <w:p>
            <w:pPr>
              <w:pStyle w:val="182"/>
              <w:bidi w:val="0"/>
              <w:rPr>
                <w:rFonts w:hint="eastAsia"/>
                <w:b/>
                <w:bCs/>
                <w:color w:val="auto"/>
                <w:u w:val="single"/>
              </w:rPr>
            </w:pPr>
            <w:r>
              <w:rPr>
                <w:b/>
                <w:bCs/>
                <w:color w:val="auto"/>
                <w:u w:val="single"/>
              </w:rPr>
              <w:t>热媒系统</w:t>
            </w:r>
          </w:p>
        </w:tc>
        <w:tc>
          <w:tcPr>
            <w:tcW w:w="2442" w:type="pct"/>
            <w:vAlign w:val="center"/>
          </w:tcPr>
          <w:p>
            <w:pPr>
              <w:pStyle w:val="182"/>
              <w:bidi w:val="0"/>
              <w:ind w:firstLine="0" w:firstLineChars="0"/>
              <w:rPr>
                <w:b/>
                <w:bCs/>
                <w:color w:val="auto"/>
                <w:u w:val="single"/>
              </w:rPr>
            </w:pPr>
            <w:r>
              <w:rPr>
                <w:rFonts w:hint="eastAsia"/>
                <w:b/>
                <w:bCs/>
                <w:color w:val="auto"/>
                <w:u w:val="single"/>
              </w:rPr>
              <w:t>电加热</w:t>
            </w:r>
          </w:p>
        </w:tc>
        <w:tc>
          <w:tcPr>
            <w:tcW w:w="632" w:type="pct"/>
            <w:vAlign w:val="center"/>
          </w:tcPr>
          <w:p>
            <w:pPr>
              <w:pStyle w:val="182"/>
              <w:bidi w:val="0"/>
              <w:ind w:firstLine="0" w:firstLineChars="0"/>
              <w:rPr>
                <w:rFonts w:hint="eastAsia"/>
                <w:b/>
                <w:bCs/>
                <w:color w:val="auto"/>
                <w:u w:val="single"/>
              </w:rPr>
            </w:pPr>
            <w:r>
              <w:rPr>
                <w:rFonts w:hint="eastAsia"/>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color w:val="auto"/>
              </w:rPr>
            </w:pPr>
            <w:r>
              <w:rPr>
                <w:rFonts w:hint="eastAsia"/>
                <w:color w:val="auto"/>
              </w:rPr>
              <w:t>年产10万吨高品质超细旦氨纶纤维项目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1</w:t>
            </w:r>
          </w:p>
        </w:tc>
        <w:tc>
          <w:tcPr>
            <w:tcW w:w="397" w:type="pct"/>
            <w:vMerge w:val="restart"/>
            <w:vAlign w:val="center"/>
          </w:tcPr>
          <w:p>
            <w:pPr>
              <w:pStyle w:val="182"/>
              <w:bidi w:val="0"/>
              <w:rPr>
                <w:color w:val="auto"/>
              </w:rPr>
            </w:pPr>
            <w:r>
              <w:rPr>
                <w:rFonts w:hint="eastAsia"/>
                <w:color w:val="auto"/>
              </w:rPr>
              <w:t>聚合工序</w:t>
            </w:r>
          </w:p>
        </w:tc>
        <w:tc>
          <w:tcPr>
            <w:tcW w:w="1214" w:type="pct"/>
            <w:gridSpan w:val="2"/>
            <w:vAlign w:val="center"/>
          </w:tcPr>
          <w:p>
            <w:pPr>
              <w:pStyle w:val="182"/>
              <w:bidi w:val="0"/>
              <w:rPr>
                <w:color w:val="auto"/>
              </w:rPr>
            </w:pPr>
            <w:r>
              <w:rPr>
                <w:rFonts w:hint="eastAsia"/>
                <w:color w:val="auto"/>
              </w:rPr>
              <w:t>液态MDI存储罐</w:t>
            </w:r>
          </w:p>
        </w:tc>
        <w:tc>
          <w:tcPr>
            <w:tcW w:w="2442" w:type="pct"/>
            <w:vAlign w:val="center"/>
          </w:tcPr>
          <w:p>
            <w:pPr>
              <w:pStyle w:val="182"/>
              <w:bidi w:val="0"/>
              <w:rPr>
                <w:color w:val="auto"/>
              </w:rPr>
            </w:pPr>
            <w:r>
              <w:rPr>
                <w:rFonts w:hint="eastAsia"/>
                <w:color w:val="auto"/>
              </w:rPr>
              <w:t>30m</w:t>
            </w:r>
            <w:r>
              <w:rPr>
                <w:rFonts w:hint="eastAsia"/>
                <w:color w:val="auto"/>
                <w:vertAlign w:val="superscript"/>
              </w:rPr>
              <w:t>3</w:t>
            </w:r>
          </w:p>
        </w:tc>
        <w:tc>
          <w:tcPr>
            <w:tcW w:w="632" w:type="pct"/>
            <w:vAlign w:val="center"/>
          </w:tcPr>
          <w:p>
            <w:pPr>
              <w:pStyle w:val="182"/>
              <w:bidi w:val="0"/>
              <w:rPr>
                <w:color w:val="auto"/>
              </w:rPr>
            </w:pPr>
            <w:r>
              <w:rPr>
                <w:rFonts w:hint="eastAsia"/>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2</w:t>
            </w:r>
          </w:p>
        </w:tc>
        <w:tc>
          <w:tcPr>
            <w:tcW w:w="397" w:type="pct"/>
            <w:vMerge w:val="continue"/>
            <w:vAlign w:val="center"/>
          </w:tcPr>
          <w:p>
            <w:pPr>
              <w:pStyle w:val="182"/>
              <w:bidi w:val="0"/>
              <w:rPr>
                <w:color w:val="auto"/>
              </w:rPr>
            </w:pPr>
          </w:p>
        </w:tc>
        <w:tc>
          <w:tcPr>
            <w:tcW w:w="1214" w:type="pct"/>
            <w:gridSpan w:val="2"/>
            <w:vMerge w:val="restart"/>
            <w:vAlign w:val="center"/>
          </w:tcPr>
          <w:p>
            <w:pPr>
              <w:pStyle w:val="182"/>
              <w:bidi w:val="0"/>
              <w:rPr>
                <w:color w:val="auto"/>
              </w:rPr>
            </w:pPr>
            <w:r>
              <w:rPr>
                <w:rFonts w:hint="eastAsia"/>
                <w:color w:val="auto"/>
              </w:rPr>
              <w:t>液态PTMG 存储罐</w:t>
            </w:r>
          </w:p>
        </w:tc>
        <w:tc>
          <w:tcPr>
            <w:tcW w:w="2442" w:type="pct"/>
            <w:vAlign w:val="center"/>
          </w:tcPr>
          <w:p>
            <w:pPr>
              <w:pStyle w:val="182"/>
              <w:bidi w:val="0"/>
              <w:rPr>
                <w:color w:val="auto"/>
              </w:rPr>
            </w:pPr>
            <w:r>
              <w:rPr>
                <w:color w:val="auto"/>
              </w:rPr>
              <w:t>500m</w:t>
            </w:r>
            <w:r>
              <w:rPr>
                <w:color w:val="auto"/>
                <w:vertAlign w:val="superscript"/>
              </w:rPr>
              <w:t>3</w:t>
            </w:r>
          </w:p>
        </w:tc>
        <w:tc>
          <w:tcPr>
            <w:tcW w:w="632" w:type="pct"/>
            <w:vAlign w:val="center"/>
          </w:tcPr>
          <w:p>
            <w:pPr>
              <w:pStyle w:val="182"/>
              <w:bidi w:val="0"/>
              <w:rPr>
                <w:color w:val="auto"/>
              </w:rPr>
            </w:pPr>
            <w:r>
              <w:rPr>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3</w:t>
            </w:r>
          </w:p>
        </w:tc>
        <w:tc>
          <w:tcPr>
            <w:tcW w:w="397" w:type="pct"/>
            <w:vMerge w:val="continue"/>
            <w:vAlign w:val="center"/>
          </w:tcPr>
          <w:p>
            <w:pPr>
              <w:pStyle w:val="182"/>
              <w:bidi w:val="0"/>
              <w:rPr>
                <w:color w:val="auto"/>
              </w:rPr>
            </w:pPr>
          </w:p>
        </w:tc>
        <w:tc>
          <w:tcPr>
            <w:tcW w:w="1214" w:type="pct"/>
            <w:gridSpan w:val="2"/>
            <w:vMerge w:val="continue"/>
            <w:vAlign w:val="center"/>
          </w:tcPr>
          <w:p>
            <w:pPr>
              <w:pStyle w:val="182"/>
              <w:bidi w:val="0"/>
              <w:rPr>
                <w:color w:val="auto"/>
              </w:rPr>
            </w:pPr>
          </w:p>
        </w:tc>
        <w:tc>
          <w:tcPr>
            <w:tcW w:w="2442" w:type="pct"/>
            <w:vAlign w:val="center"/>
          </w:tcPr>
          <w:p>
            <w:pPr>
              <w:pStyle w:val="182"/>
              <w:bidi w:val="0"/>
              <w:rPr>
                <w:color w:val="auto"/>
              </w:rPr>
            </w:pPr>
            <w:r>
              <w:rPr>
                <w:color w:val="auto"/>
              </w:rPr>
              <w:t>200m</w:t>
            </w:r>
            <w:r>
              <w:rPr>
                <w:color w:val="auto"/>
                <w:vertAlign w:val="superscript"/>
              </w:rPr>
              <w:t>3</w:t>
            </w:r>
          </w:p>
        </w:tc>
        <w:tc>
          <w:tcPr>
            <w:tcW w:w="632" w:type="pct"/>
            <w:vAlign w:val="center"/>
          </w:tcPr>
          <w:p>
            <w:pPr>
              <w:pStyle w:val="182"/>
              <w:bidi w:val="0"/>
              <w:rPr>
                <w:color w:val="auto"/>
              </w:rPr>
            </w:pPr>
            <w:r>
              <w:rPr>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4</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预聚合系统</w:t>
            </w:r>
          </w:p>
        </w:tc>
        <w:tc>
          <w:tcPr>
            <w:tcW w:w="2442" w:type="pct"/>
            <w:vAlign w:val="center"/>
          </w:tcPr>
          <w:p>
            <w:pPr>
              <w:pStyle w:val="182"/>
              <w:bidi w:val="0"/>
              <w:rPr>
                <w:color w:val="auto"/>
              </w:rPr>
            </w:pPr>
            <w:r>
              <w:rPr>
                <w:rFonts w:hint="eastAsia"/>
                <w:color w:val="auto"/>
              </w:rPr>
              <w:t>V5.0</w:t>
            </w:r>
          </w:p>
        </w:tc>
        <w:tc>
          <w:tcPr>
            <w:tcW w:w="632" w:type="pct"/>
            <w:vAlign w:val="center"/>
          </w:tcPr>
          <w:p>
            <w:pPr>
              <w:pStyle w:val="182"/>
              <w:bidi w:val="0"/>
              <w:rPr>
                <w:color w:val="auto"/>
              </w:rPr>
            </w:pPr>
            <w:r>
              <w:rPr>
                <w:rFonts w:hint="eastAsia"/>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color w:val="auto"/>
              </w:rPr>
              <w:t>5</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混合胺供给罐</w:t>
            </w:r>
          </w:p>
        </w:tc>
        <w:tc>
          <w:tcPr>
            <w:tcW w:w="2442" w:type="pct"/>
            <w:vAlign w:val="center"/>
          </w:tcPr>
          <w:p>
            <w:pPr>
              <w:pStyle w:val="182"/>
              <w:bidi w:val="0"/>
              <w:rPr>
                <w:color w:val="auto"/>
              </w:rPr>
            </w:pPr>
            <w:r>
              <w:rPr>
                <w:rFonts w:hint="eastAsia"/>
                <w:color w:val="auto"/>
              </w:rPr>
              <w:t>3m</w:t>
            </w:r>
            <w:r>
              <w:rPr>
                <w:rFonts w:hint="eastAsia"/>
                <w:color w:val="auto"/>
                <w:vertAlign w:val="superscript"/>
              </w:rPr>
              <w:t>3</w:t>
            </w:r>
          </w:p>
        </w:tc>
        <w:tc>
          <w:tcPr>
            <w:tcW w:w="632" w:type="pct"/>
            <w:vAlign w:val="center"/>
          </w:tcPr>
          <w:p>
            <w:pPr>
              <w:pStyle w:val="182"/>
              <w:bidi w:val="0"/>
              <w:rPr>
                <w:color w:val="auto"/>
              </w:rPr>
            </w:pPr>
            <w:r>
              <w:rPr>
                <w:rFonts w:hint="eastAsia"/>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eastAsia="zh-CN"/>
              </w:rPr>
            </w:pPr>
            <w:r>
              <w:rPr>
                <w:rFonts w:hint="eastAsia"/>
                <w:color w:val="auto"/>
                <w:lang w:val="en-US" w:eastAsia="zh-CN"/>
              </w:rPr>
              <w:t>6</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混合胺混合器</w:t>
            </w:r>
          </w:p>
        </w:tc>
        <w:tc>
          <w:tcPr>
            <w:tcW w:w="2442" w:type="pct"/>
            <w:vAlign w:val="center"/>
          </w:tcPr>
          <w:p>
            <w:pPr>
              <w:pStyle w:val="182"/>
              <w:bidi w:val="0"/>
              <w:rPr>
                <w:color w:val="auto"/>
              </w:rPr>
            </w:pPr>
            <w:r>
              <w:rPr>
                <w:rFonts w:hint="eastAsia"/>
                <w:color w:val="auto"/>
              </w:rPr>
              <w:t>SMX</w:t>
            </w:r>
          </w:p>
        </w:tc>
        <w:tc>
          <w:tcPr>
            <w:tcW w:w="632" w:type="pct"/>
            <w:vAlign w:val="center"/>
          </w:tcPr>
          <w:p>
            <w:pPr>
              <w:pStyle w:val="182"/>
              <w:bidi w:val="0"/>
              <w:rPr>
                <w:color w:val="auto"/>
              </w:rPr>
            </w:pPr>
            <w:r>
              <w:rPr>
                <w:rFonts w:hint="eastAsia"/>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7</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扩链反应器</w:t>
            </w:r>
          </w:p>
        </w:tc>
        <w:tc>
          <w:tcPr>
            <w:tcW w:w="2442" w:type="pct"/>
            <w:vAlign w:val="center"/>
          </w:tcPr>
          <w:p>
            <w:pPr>
              <w:pStyle w:val="182"/>
              <w:bidi w:val="0"/>
              <w:rPr>
                <w:color w:val="auto"/>
              </w:rPr>
            </w:pPr>
            <w:r>
              <w:rPr>
                <w:rFonts w:hint="eastAsia"/>
                <w:color w:val="auto"/>
              </w:rPr>
              <w:t>PSR300P-200</w:t>
            </w:r>
          </w:p>
        </w:tc>
        <w:tc>
          <w:tcPr>
            <w:tcW w:w="632" w:type="pct"/>
            <w:vAlign w:val="center"/>
          </w:tcPr>
          <w:p>
            <w:pPr>
              <w:pStyle w:val="182"/>
              <w:bidi w:val="0"/>
              <w:rPr>
                <w:color w:val="auto"/>
              </w:rPr>
            </w:pPr>
            <w:r>
              <w:rPr>
                <w:rFonts w:hint="eastAsia"/>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8</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添加剂调配系统</w:t>
            </w:r>
          </w:p>
        </w:tc>
        <w:tc>
          <w:tcPr>
            <w:tcW w:w="2442" w:type="pct"/>
            <w:vAlign w:val="center"/>
          </w:tcPr>
          <w:p>
            <w:pPr>
              <w:pStyle w:val="182"/>
              <w:bidi w:val="0"/>
              <w:rPr>
                <w:color w:val="auto"/>
              </w:rPr>
            </w:pPr>
            <w:r>
              <w:rPr>
                <w:rFonts w:hint="eastAsia"/>
                <w:color w:val="auto"/>
              </w:rPr>
              <w:t>SMX</w:t>
            </w:r>
          </w:p>
        </w:tc>
        <w:tc>
          <w:tcPr>
            <w:tcW w:w="632" w:type="pct"/>
            <w:vAlign w:val="center"/>
          </w:tcPr>
          <w:p>
            <w:pPr>
              <w:pStyle w:val="182"/>
              <w:bidi w:val="0"/>
              <w:rPr>
                <w:color w:val="auto"/>
              </w:rPr>
            </w:pPr>
            <w:r>
              <w:rPr>
                <w:rFonts w:hint="eastAsia"/>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lang w:val="en-US" w:eastAsia="zh-CN"/>
              </w:rPr>
              <w:t>9</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聚合物混合器</w:t>
            </w:r>
          </w:p>
        </w:tc>
        <w:tc>
          <w:tcPr>
            <w:tcW w:w="2442" w:type="pct"/>
            <w:vAlign w:val="center"/>
          </w:tcPr>
          <w:p>
            <w:pPr>
              <w:pStyle w:val="182"/>
              <w:bidi w:val="0"/>
              <w:rPr>
                <w:color w:val="auto"/>
              </w:rPr>
            </w:pPr>
            <w:r>
              <w:rPr>
                <w:rFonts w:hint="eastAsia"/>
                <w:color w:val="auto"/>
              </w:rPr>
              <w:t>SMX</w:t>
            </w:r>
          </w:p>
        </w:tc>
        <w:tc>
          <w:tcPr>
            <w:tcW w:w="632" w:type="pct"/>
            <w:vAlign w:val="center"/>
          </w:tcPr>
          <w:p>
            <w:pPr>
              <w:pStyle w:val="182"/>
              <w:bidi w:val="0"/>
              <w:rPr>
                <w:color w:val="auto"/>
              </w:rPr>
            </w:pPr>
            <w:r>
              <w:rPr>
                <w:rFonts w:hint="eastAsia"/>
                <w:color w:val="auto"/>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0</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纺丝加压泵</w:t>
            </w:r>
          </w:p>
        </w:tc>
        <w:tc>
          <w:tcPr>
            <w:tcW w:w="2442" w:type="pct"/>
            <w:vAlign w:val="center"/>
          </w:tcPr>
          <w:p>
            <w:pPr>
              <w:pStyle w:val="182"/>
              <w:bidi w:val="0"/>
              <w:rPr>
                <w:color w:val="auto"/>
              </w:rPr>
            </w:pPr>
            <w:r>
              <w:rPr>
                <w:rFonts w:hint="eastAsia"/>
                <w:color w:val="auto"/>
              </w:rPr>
              <w:t>齿轮泵</w:t>
            </w:r>
          </w:p>
        </w:tc>
        <w:tc>
          <w:tcPr>
            <w:tcW w:w="632" w:type="pct"/>
            <w:vAlign w:val="center"/>
          </w:tcPr>
          <w:p>
            <w:pPr>
              <w:pStyle w:val="182"/>
              <w:bidi w:val="0"/>
              <w:rPr>
                <w:color w:val="auto"/>
              </w:rPr>
            </w:pPr>
            <w:r>
              <w:rPr>
                <w:rFonts w:hint="eastAsia"/>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1</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卷绕头</w:t>
            </w:r>
          </w:p>
        </w:tc>
        <w:tc>
          <w:tcPr>
            <w:tcW w:w="2442" w:type="pct"/>
            <w:vAlign w:val="center"/>
          </w:tcPr>
          <w:p>
            <w:pPr>
              <w:pStyle w:val="182"/>
              <w:bidi w:val="0"/>
              <w:rPr>
                <w:color w:val="auto"/>
              </w:rPr>
            </w:pPr>
            <w:r>
              <w:rPr>
                <w:rFonts w:hint="eastAsia"/>
                <w:color w:val="auto"/>
              </w:rPr>
              <w:t>WAW-101</w:t>
            </w:r>
          </w:p>
        </w:tc>
        <w:tc>
          <w:tcPr>
            <w:tcW w:w="632" w:type="pct"/>
            <w:vAlign w:val="center"/>
          </w:tcPr>
          <w:p>
            <w:pPr>
              <w:pStyle w:val="182"/>
              <w:bidi w:val="0"/>
              <w:rPr>
                <w:color w:val="auto"/>
              </w:rPr>
            </w:pPr>
            <w:r>
              <w:rPr>
                <w:rFonts w:hint="eastAsia"/>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2</w:t>
            </w:r>
          </w:p>
        </w:tc>
        <w:tc>
          <w:tcPr>
            <w:tcW w:w="397" w:type="pct"/>
            <w:vMerge w:val="restart"/>
            <w:vAlign w:val="center"/>
          </w:tcPr>
          <w:p>
            <w:pPr>
              <w:pStyle w:val="182"/>
              <w:bidi w:val="0"/>
              <w:rPr>
                <w:color w:val="auto"/>
              </w:rPr>
            </w:pPr>
            <w:r>
              <w:rPr>
                <w:rFonts w:hint="eastAsia"/>
                <w:color w:val="auto"/>
              </w:rPr>
              <w:t>纺丝工序</w:t>
            </w:r>
          </w:p>
        </w:tc>
        <w:tc>
          <w:tcPr>
            <w:tcW w:w="1214" w:type="pct"/>
            <w:gridSpan w:val="2"/>
            <w:vAlign w:val="center"/>
          </w:tcPr>
          <w:p>
            <w:pPr>
              <w:pStyle w:val="182"/>
              <w:bidi w:val="0"/>
              <w:rPr>
                <w:color w:val="auto"/>
              </w:rPr>
            </w:pPr>
            <w:r>
              <w:rPr>
                <w:rFonts w:hint="eastAsia"/>
                <w:color w:val="auto"/>
              </w:rPr>
              <w:t>纺丝甬道系统</w:t>
            </w:r>
          </w:p>
        </w:tc>
        <w:tc>
          <w:tcPr>
            <w:tcW w:w="2442" w:type="pct"/>
            <w:vAlign w:val="center"/>
          </w:tcPr>
          <w:p>
            <w:pPr>
              <w:pStyle w:val="182"/>
              <w:bidi w:val="0"/>
              <w:rPr>
                <w:color w:val="auto"/>
              </w:rPr>
            </w:pPr>
            <w:r>
              <w:rPr>
                <w:rFonts w:hint="eastAsia"/>
                <w:color w:val="auto"/>
              </w:rPr>
              <w:t>80/120头专用</w:t>
            </w:r>
          </w:p>
        </w:tc>
        <w:tc>
          <w:tcPr>
            <w:tcW w:w="632" w:type="pct"/>
            <w:vAlign w:val="center"/>
          </w:tcPr>
          <w:p>
            <w:pPr>
              <w:pStyle w:val="182"/>
              <w:bidi w:val="0"/>
              <w:rPr>
                <w:color w:val="auto"/>
              </w:rPr>
            </w:pPr>
            <w:r>
              <w:rPr>
                <w:rFonts w:hint="eastAsia"/>
                <w:color w:val="auto"/>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3</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喷丝板</w:t>
            </w:r>
          </w:p>
        </w:tc>
        <w:tc>
          <w:tcPr>
            <w:tcW w:w="2442" w:type="pct"/>
            <w:vAlign w:val="center"/>
          </w:tcPr>
          <w:p>
            <w:pPr>
              <w:pStyle w:val="182"/>
              <w:bidi w:val="0"/>
              <w:rPr>
                <w:color w:val="auto"/>
              </w:rPr>
            </w:pPr>
            <w:r>
              <w:rPr>
                <w:rFonts w:hint="eastAsia"/>
                <w:color w:val="auto"/>
              </w:rPr>
              <w:t>φ0.4×1.2</w:t>
            </w:r>
          </w:p>
        </w:tc>
        <w:tc>
          <w:tcPr>
            <w:tcW w:w="632" w:type="pct"/>
            <w:vAlign w:val="center"/>
          </w:tcPr>
          <w:p>
            <w:pPr>
              <w:pStyle w:val="182"/>
              <w:bidi w:val="0"/>
              <w:rPr>
                <w:color w:val="auto"/>
              </w:rPr>
            </w:pPr>
            <w:r>
              <w:rPr>
                <w:rFonts w:hint="eastAsia"/>
                <w:color w:val="auto"/>
              </w:rPr>
              <w:t>若干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4</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纺丝组件</w:t>
            </w:r>
          </w:p>
        </w:tc>
        <w:tc>
          <w:tcPr>
            <w:tcW w:w="2442" w:type="pct"/>
            <w:vAlign w:val="center"/>
          </w:tcPr>
          <w:p>
            <w:pPr>
              <w:pStyle w:val="182"/>
              <w:bidi w:val="0"/>
              <w:rPr>
                <w:color w:val="auto"/>
              </w:rPr>
            </w:pPr>
            <w:r>
              <w:rPr>
                <w:rFonts w:hint="eastAsia"/>
                <w:color w:val="auto"/>
              </w:rPr>
              <w:t>整体式</w:t>
            </w:r>
          </w:p>
        </w:tc>
        <w:tc>
          <w:tcPr>
            <w:tcW w:w="632" w:type="pct"/>
            <w:vAlign w:val="center"/>
          </w:tcPr>
          <w:p>
            <w:pPr>
              <w:pStyle w:val="182"/>
              <w:bidi w:val="0"/>
              <w:rPr>
                <w:color w:val="auto"/>
              </w:rPr>
            </w:pPr>
            <w:r>
              <w:rPr>
                <w:rFonts w:hint="eastAsia"/>
                <w:color w:val="auto"/>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5</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卷绕机</w:t>
            </w:r>
          </w:p>
        </w:tc>
        <w:tc>
          <w:tcPr>
            <w:tcW w:w="2442" w:type="pct"/>
            <w:vAlign w:val="center"/>
          </w:tcPr>
          <w:p>
            <w:pPr>
              <w:pStyle w:val="182"/>
              <w:bidi w:val="0"/>
              <w:rPr>
                <w:color w:val="auto"/>
              </w:rPr>
            </w:pPr>
            <w:r>
              <w:rPr>
                <w:rFonts w:hint="eastAsia"/>
                <w:color w:val="auto"/>
              </w:rPr>
              <w:t>导丝辊油辊导丝器</w:t>
            </w:r>
          </w:p>
        </w:tc>
        <w:tc>
          <w:tcPr>
            <w:tcW w:w="632" w:type="pct"/>
            <w:vAlign w:val="center"/>
          </w:tcPr>
          <w:p>
            <w:pPr>
              <w:pStyle w:val="182"/>
              <w:bidi w:val="0"/>
              <w:rPr>
                <w:color w:val="auto"/>
              </w:rPr>
            </w:pPr>
            <w:r>
              <w:rPr>
                <w:rFonts w:hint="eastAsia"/>
                <w:color w:val="auto"/>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6</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卷绕头</w:t>
            </w:r>
          </w:p>
        </w:tc>
        <w:tc>
          <w:tcPr>
            <w:tcW w:w="2442" w:type="pct"/>
            <w:vAlign w:val="center"/>
          </w:tcPr>
          <w:p>
            <w:pPr>
              <w:pStyle w:val="182"/>
              <w:bidi w:val="0"/>
              <w:rPr>
                <w:color w:val="auto"/>
              </w:rPr>
            </w:pPr>
            <w:r>
              <w:rPr>
                <w:rFonts w:hint="eastAsia"/>
                <w:color w:val="auto"/>
              </w:rPr>
              <w:t>WAW-101</w:t>
            </w:r>
          </w:p>
        </w:tc>
        <w:tc>
          <w:tcPr>
            <w:tcW w:w="632" w:type="pct"/>
            <w:vAlign w:val="center"/>
          </w:tcPr>
          <w:p>
            <w:pPr>
              <w:pStyle w:val="182"/>
              <w:bidi w:val="0"/>
              <w:rPr>
                <w:color w:val="auto"/>
              </w:rPr>
            </w:pPr>
            <w:r>
              <w:rPr>
                <w:rFonts w:hint="eastAsia"/>
                <w:color w:val="auto"/>
              </w:rPr>
              <w:t>2388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7</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SM</w:t>
            </w:r>
          </w:p>
        </w:tc>
        <w:tc>
          <w:tcPr>
            <w:tcW w:w="2442" w:type="pct"/>
            <w:vAlign w:val="center"/>
          </w:tcPr>
          <w:p>
            <w:pPr>
              <w:pStyle w:val="182"/>
              <w:bidi w:val="0"/>
              <w:rPr>
                <w:color w:val="auto"/>
              </w:rPr>
            </w:pPr>
            <w:r>
              <w:rPr>
                <w:rFonts w:hint="eastAsia"/>
                <w:color w:val="auto"/>
              </w:rPr>
              <w:t>装置管翅式/板翅式</w:t>
            </w:r>
          </w:p>
        </w:tc>
        <w:tc>
          <w:tcPr>
            <w:tcW w:w="632" w:type="pct"/>
            <w:vAlign w:val="center"/>
          </w:tcPr>
          <w:p>
            <w:pPr>
              <w:pStyle w:val="182"/>
              <w:bidi w:val="0"/>
              <w:rPr>
                <w:color w:val="auto"/>
              </w:rPr>
            </w:pPr>
            <w:r>
              <w:rPr>
                <w:rFonts w:hint="eastAsia"/>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8</w:t>
            </w:r>
          </w:p>
        </w:tc>
        <w:tc>
          <w:tcPr>
            <w:tcW w:w="397" w:type="pct"/>
            <w:vMerge w:val="restart"/>
            <w:vAlign w:val="center"/>
          </w:tcPr>
          <w:p>
            <w:pPr>
              <w:pStyle w:val="182"/>
              <w:bidi w:val="0"/>
              <w:rPr>
                <w:color w:val="auto"/>
              </w:rPr>
            </w:pPr>
            <w:r>
              <w:rPr>
                <w:rFonts w:hint="eastAsia"/>
                <w:color w:val="auto"/>
              </w:rPr>
              <w:t>分级包装工序</w:t>
            </w:r>
          </w:p>
        </w:tc>
        <w:tc>
          <w:tcPr>
            <w:tcW w:w="1214" w:type="pct"/>
            <w:gridSpan w:val="2"/>
            <w:vAlign w:val="center"/>
          </w:tcPr>
          <w:p>
            <w:pPr>
              <w:pStyle w:val="182"/>
              <w:bidi w:val="0"/>
              <w:rPr>
                <w:color w:val="auto"/>
              </w:rPr>
            </w:pPr>
            <w:r>
              <w:rPr>
                <w:rFonts w:hint="eastAsia"/>
                <w:color w:val="auto"/>
              </w:rPr>
              <w:t>智能分选系统</w:t>
            </w:r>
          </w:p>
        </w:tc>
        <w:tc>
          <w:tcPr>
            <w:tcW w:w="2442" w:type="pct"/>
            <w:vAlign w:val="center"/>
          </w:tcPr>
          <w:p>
            <w:pPr>
              <w:pStyle w:val="182"/>
              <w:bidi w:val="0"/>
              <w:rPr>
                <w:color w:val="auto"/>
              </w:rPr>
            </w:pPr>
            <w:r>
              <w:rPr>
                <w:rFonts w:hint="eastAsia"/>
                <w:color w:val="auto"/>
              </w:rPr>
              <w:t>/</w:t>
            </w:r>
          </w:p>
        </w:tc>
        <w:tc>
          <w:tcPr>
            <w:tcW w:w="632" w:type="pct"/>
            <w:vAlign w:val="center"/>
          </w:tcPr>
          <w:p>
            <w:pPr>
              <w:pStyle w:val="182"/>
              <w:bidi w:val="0"/>
              <w:rPr>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default" w:eastAsia="宋体"/>
                <w:color w:val="auto"/>
                <w:lang w:val="en-US" w:eastAsia="zh-CN"/>
              </w:rPr>
            </w:pPr>
            <w:r>
              <w:rPr>
                <w:rFonts w:hint="eastAsia"/>
                <w:color w:val="auto"/>
                <w:lang w:val="en-US" w:eastAsia="zh-CN"/>
              </w:rPr>
              <w:t>19</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智能装箱打包系统</w:t>
            </w:r>
          </w:p>
        </w:tc>
        <w:tc>
          <w:tcPr>
            <w:tcW w:w="2442" w:type="pct"/>
            <w:vAlign w:val="center"/>
          </w:tcPr>
          <w:p>
            <w:pPr>
              <w:pStyle w:val="182"/>
              <w:bidi w:val="0"/>
              <w:rPr>
                <w:color w:val="auto"/>
              </w:rPr>
            </w:pPr>
            <w:r>
              <w:rPr>
                <w:rFonts w:hint="eastAsia"/>
                <w:color w:val="auto"/>
              </w:rPr>
              <w:t>/</w:t>
            </w:r>
          </w:p>
        </w:tc>
        <w:tc>
          <w:tcPr>
            <w:tcW w:w="632" w:type="pct"/>
            <w:vAlign w:val="center"/>
          </w:tcPr>
          <w:p>
            <w:pPr>
              <w:pStyle w:val="182"/>
              <w:bidi w:val="0"/>
              <w:rPr>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0</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成品落筒车</w:t>
            </w:r>
          </w:p>
        </w:tc>
        <w:tc>
          <w:tcPr>
            <w:tcW w:w="2442" w:type="pct"/>
            <w:vAlign w:val="center"/>
          </w:tcPr>
          <w:p>
            <w:pPr>
              <w:pStyle w:val="182"/>
              <w:bidi w:val="0"/>
              <w:rPr>
                <w:color w:val="auto"/>
              </w:rPr>
            </w:pPr>
            <w:r>
              <w:rPr>
                <w:rFonts w:hint="eastAsia"/>
                <w:color w:val="auto"/>
              </w:rPr>
              <w:t>/</w:t>
            </w:r>
          </w:p>
        </w:tc>
        <w:tc>
          <w:tcPr>
            <w:tcW w:w="632" w:type="pct"/>
            <w:vAlign w:val="center"/>
          </w:tcPr>
          <w:p>
            <w:pPr>
              <w:pStyle w:val="182"/>
              <w:bidi w:val="0"/>
              <w:rPr>
                <w:color w:val="auto"/>
              </w:rPr>
            </w:pPr>
            <w:r>
              <w:rPr>
                <w:rFonts w:hint="eastAsia"/>
                <w:color w:val="auto"/>
              </w:rPr>
              <w:t>8</w:t>
            </w:r>
            <w:r>
              <w:rPr>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color w:val="auto"/>
              </w:rPr>
              <w:t>2</w:t>
            </w:r>
            <w:r>
              <w:rPr>
                <w:rFonts w:hint="eastAsia"/>
                <w:color w:val="auto"/>
                <w:lang w:val="en-US" w:eastAsia="zh-CN"/>
              </w:rPr>
              <w:t>1</w:t>
            </w:r>
          </w:p>
        </w:tc>
        <w:tc>
          <w:tcPr>
            <w:tcW w:w="397" w:type="pct"/>
            <w:vAlign w:val="center"/>
          </w:tcPr>
          <w:p>
            <w:pPr>
              <w:pStyle w:val="182"/>
              <w:bidi w:val="0"/>
              <w:rPr>
                <w:color w:val="auto"/>
              </w:rPr>
            </w:pPr>
            <w:r>
              <w:rPr>
                <w:rFonts w:hint="eastAsia"/>
                <w:color w:val="auto"/>
              </w:rPr>
              <w:t>辅助清洗工序</w:t>
            </w:r>
          </w:p>
        </w:tc>
        <w:tc>
          <w:tcPr>
            <w:tcW w:w="1214" w:type="pct"/>
            <w:gridSpan w:val="2"/>
            <w:vAlign w:val="center"/>
          </w:tcPr>
          <w:p>
            <w:pPr>
              <w:pStyle w:val="182"/>
              <w:bidi w:val="0"/>
              <w:rPr>
                <w:color w:val="auto"/>
              </w:rPr>
            </w:pPr>
            <w:r>
              <w:rPr>
                <w:rFonts w:hint="eastAsia"/>
                <w:color w:val="auto"/>
              </w:rPr>
              <w:t>超声波清洗机</w:t>
            </w:r>
          </w:p>
        </w:tc>
        <w:tc>
          <w:tcPr>
            <w:tcW w:w="2442" w:type="pct"/>
            <w:vAlign w:val="center"/>
          </w:tcPr>
          <w:p>
            <w:pPr>
              <w:pStyle w:val="182"/>
              <w:bidi w:val="0"/>
              <w:rPr>
                <w:color w:val="auto"/>
              </w:rPr>
            </w:pPr>
            <w:r>
              <w:rPr>
                <w:rFonts w:hint="eastAsia"/>
                <w:color w:val="auto"/>
              </w:rPr>
              <w:t>ATLAS-3015D-AC</w:t>
            </w:r>
          </w:p>
        </w:tc>
        <w:tc>
          <w:tcPr>
            <w:tcW w:w="632" w:type="pct"/>
            <w:vAlign w:val="center"/>
          </w:tcPr>
          <w:p>
            <w:pPr>
              <w:pStyle w:val="182"/>
              <w:bidi w:val="0"/>
              <w:rPr>
                <w:color w:val="auto"/>
              </w:rPr>
            </w:pPr>
            <w:r>
              <w:rPr>
                <w:rFonts w:hint="eastAsia"/>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2</w:t>
            </w:r>
          </w:p>
        </w:tc>
        <w:tc>
          <w:tcPr>
            <w:tcW w:w="397" w:type="pct"/>
            <w:vMerge w:val="restart"/>
            <w:vAlign w:val="center"/>
          </w:tcPr>
          <w:p>
            <w:pPr>
              <w:pStyle w:val="182"/>
              <w:bidi w:val="0"/>
              <w:rPr>
                <w:color w:val="auto"/>
              </w:rPr>
            </w:pPr>
            <w:r>
              <w:rPr>
                <w:rFonts w:hint="eastAsia"/>
                <w:color w:val="auto"/>
              </w:rPr>
              <w:t>电气控制系统</w:t>
            </w:r>
          </w:p>
        </w:tc>
        <w:tc>
          <w:tcPr>
            <w:tcW w:w="1214" w:type="pct"/>
            <w:gridSpan w:val="2"/>
            <w:vAlign w:val="center"/>
          </w:tcPr>
          <w:p>
            <w:pPr>
              <w:pStyle w:val="182"/>
              <w:bidi w:val="0"/>
              <w:rPr>
                <w:color w:val="auto"/>
              </w:rPr>
            </w:pPr>
            <w:r>
              <w:rPr>
                <w:rFonts w:hint="eastAsia"/>
                <w:color w:val="auto"/>
              </w:rPr>
              <w:t>DCS控制系统</w:t>
            </w:r>
          </w:p>
        </w:tc>
        <w:tc>
          <w:tcPr>
            <w:tcW w:w="2442" w:type="pct"/>
            <w:vAlign w:val="center"/>
          </w:tcPr>
          <w:p>
            <w:pPr>
              <w:pStyle w:val="182"/>
              <w:bidi w:val="0"/>
              <w:rPr>
                <w:color w:val="auto"/>
              </w:rPr>
            </w:pPr>
            <w:r>
              <w:rPr>
                <w:rFonts w:hint="eastAsia"/>
                <w:color w:val="auto"/>
              </w:rPr>
              <w:t>/</w:t>
            </w:r>
          </w:p>
        </w:tc>
        <w:tc>
          <w:tcPr>
            <w:tcW w:w="632" w:type="pct"/>
            <w:vAlign w:val="center"/>
          </w:tcPr>
          <w:p>
            <w:pPr>
              <w:pStyle w:val="182"/>
              <w:bidi w:val="0"/>
              <w:rPr>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3</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制氮系统</w:t>
            </w:r>
          </w:p>
        </w:tc>
        <w:tc>
          <w:tcPr>
            <w:tcW w:w="2442" w:type="pct"/>
            <w:vAlign w:val="center"/>
          </w:tcPr>
          <w:p>
            <w:pPr>
              <w:pStyle w:val="182"/>
              <w:bidi w:val="0"/>
              <w:rPr>
                <w:color w:val="auto"/>
              </w:rPr>
            </w:pPr>
            <w:r>
              <w:rPr>
                <w:rFonts w:hint="eastAsia"/>
                <w:color w:val="auto"/>
              </w:rPr>
              <w:t>/</w:t>
            </w:r>
          </w:p>
        </w:tc>
        <w:tc>
          <w:tcPr>
            <w:tcW w:w="632" w:type="pct"/>
            <w:vAlign w:val="center"/>
          </w:tcPr>
          <w:p>
            <w:pPr>
              <w:pStyle w:val="182"/>
              <w:bidi w:val="0"/>
              <w:rPr>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4</w:t>
            </w:r>
          </w:p>
        </w:tc>
        <w:tc>
          <w:tcPr>
            <w:tcW w:w="397" w:type="pct"/>
            <w:vMerge w:val="continue"/>
            <w:vAlign w:val="center"/>
          </w:tcPr>
          <w:p>
            <w:pPr>
              <w:pStyle w:val="182"/>
              <w:bidi w:val="0"/>
              <w:rPr>
                <w:color w:val="auto"/>
              </w:rPr>
            </w:pPr>
          </w:p>
        </w:tc>
        <w:tc>
          <w:tcPr>
            <w:tcW w:w="1214" w:type="pct"/>
            <w:gridSpan w:val="2"/>
            <w:vAlign w:val="center"/>
          </w:tcPr>
          <w:p>
            <w:pPr>
              <w:pStyle w:val="182"/>
              <w:bidi w:val="0"/>
              <w:rPr>
                <w:color w:val="auto"/>
              </w:rPr>
            </w:pPr>
            <w:r>
              <w:rPr>
                <w:rFonts w:hint="eastAsia"/>
                <w:color w:val="auto"/>
              </w:rPr>
              <w:t>冷媒系统</w:t>
            </w:r>
          </w:p>
        </w:tc>
        <w:tc>
          <w:tcPr>
            <w:tcW w:w="2442" w:type="pct"/>
            <w:vAlign w:val="center"/>
          </w:tcPr>
          <w:p>
            <w:pPr>
              <w:pStyle w:val="182"/>
              <w:bidi w:val="0"/>
              <w:rPr>
                <w:color w:val="auto"/>
              </w:rPr>
            </w:pPr>
            <w:r>
              <w:rPr>
                <w:rFonts w:hint="eastAsia"/>
                <w:color w:val="auto"/>
              </w:rPr>
              <w:t>/</w:t>
            </w:r>
          </w:p>
        </w:tc>
        <w:tc>
          <w:tcPr>
            <w:tcW w:w="632" w:type="pct"/>
            <w:vAlign w:val="center"/>
          </w:tcPr>
          <w:p>
            <w:pPr>
              <w:pStyle w:val="182"/>
              <w:bidi w:val="0"/>
              <w:rPr>
                <w:color w:val="auto"/>
              </w:rPr>
            </w:pPr>
            <w:r>
              <w:rPr>
                <w:rFonts w:hint="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6"/>
            <w:vAlign w:val="center"/>
          </w:tcPr>
          <w:p>
            <w:pPr>
              <w:pStyle w:val="182"/>
              <w:bidi w:val="0"/>
              <w:rPr>
                <w:color w:val="auto"/>
              </w:rPr>
            </w:pPr>
            <w:r>
              <w:rPr>
                <w:rFonts w:hint="eastAsia"/>
                <w:color w:val="auto"/>
              </w:rPr>
              <w:t>1×360t/h锅炉及2×B25MW热电联产项目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1</w:t>
            </w:r>
          </w:p>
        </w:tc>
        <w:tc>
          <w:tcPr>
            <w:tcW w:w="1612" w:type="pct"/>
            <w:gridSpan w:val="3"/>
            <w:vAlign w:val="center"/>
          </w:tcPr>
          <w:p>
            <w:pPr>
              <w:pStyle w:val="182"/>
              <w:bidi w:val="0"/>
              <w:rPr>
                <w:color w:val="auto"/>
              </w:rPr>
            </w:pPr>
            <w:r>
              <w:rPr>
                <w:rFonts w:hint="eastAsia"/>
                <w:color w:val="auto"/>
              </w:rPr>
              <w:t>锅炉</w:t>
            </w:r>
          </w:p>
        </w:tc>
        <w:tc>
          <w:tcPr>
            <w:tcW w:w="2442" w:type="pct"/>
            <w:vAlign w:val="center"/>
          </w:tcPr>
          <w:p>
            <w:pPr>
              <w:pStyle w:val="182"/>
              <w:bidi w:val="0"/>
              <w:rPr>
                <w:color w:val="auto"/>
              </w:rPr>
            </w:pPr>
            <w:r>
              <w:rPr>
                <w:rFonts w:hint="eastAsia"/>
                <w:color w:val="auto"/>
              </w:rPr>
              <w:t>360t/h 高温高压煤粉锅炉</w:t>
            </w:r>
          </w:p>
        </w:tc>
        <w:tc>
          <w:tcPr>
            <w:tcW w:w="632" w:type="pct"/>
            <w:vAlign w:val="center"/>
          </w:tcPr>
          <w:p>
            <w:pPr>
              <w:pStyle w:val="182"/>
              <w:bidi w:val="0"/>
              <w:rPr>
                <w:color w:val="auto"/>
              </w:rPr>
            </w:pPr>
            <w:r>
              <w:rPr>
                <w:rFonts w:hint="eastAsia"/>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2</w:t>
            </w:r>
          </w:p>
        </w:tc>
        <w:tc>
          <w:tcPr>
            <w:tcW w:w="1612" w:type="pct"/>
            <w:gridSpan w:val="3"/>
            <w:vAlign w:val="center"/>
          </w:tcPr>
          <w:p>
            <w:pPr>
              <w:pStyle w:val="182"/>
              <w:bidi w:val="0"/>
              <w:rPr>
                <w:color w:val="auto"/>
              </w:rPr>
            </w:pPr>
            <w:r>
              <w:rPr>
                <w:rFonts w:hint="eastAsia"/>
                <w:color w:val="auto"/>
              </w:rPr>
              <w:t>汽轮机</w:t>
            </w:r>
          </w:p>
        </w:tc>
        <w:tc>
          <w:tcPr>
            <w:tcW w:w="2442" w:type="pct"/>
            <w:vAlign w:val="center"/>
          </w:tcPr>
          <w:p>
            <w:pPr>
              <w:pStyle w:val="182"/>
              <w:bidi w:val="0"/>
              <w:rPr>
                <w:color w:val="auto"/>
              </w:rPr>
            </w:pPr>
            <w:r>
              <w:rPr>
                <w:color w:val="auto"/>
              </w:rPr>
              <w:t>B25-8.83/0.785</w:t>
            </w:r>
          </w:p>
        </w:tc>
        <w:tc>
          <w:tcPr>
            <w:tcW w:w="632" w:type="pct"/>
            <w:vAlign w:val="center"/>
          </w:tcPr>
          <w:p>
            <w:pPr>
              <w:pStyle w:val="182"/>
              <w:bidi w:val="0"/>
              <w:rPr>
                <w:color w:val="auto"/>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182"/>
              <w:bidi w:val="0"/>
              <w:rPr>
                <w:color w:val="auto"/>
              </w:rPr>
            </w:pPr>
            <w:r>
              <w:rPr>
                <w:rFonts w:hint="eastAsia"/>
                <w:color w:val="auto"/>
              </w:rPr>
              <w:t>3</w:t>
            </w:r>
          </w:p>
        </w:tc>
        <w:tc>
          <w:tcPr>
            <w:tcW w:w="1612" w:type="pct"/>
            <w:gridSpan w:val="3"/>
            <w:vAlign w:val="center"/>
          </w:tcPr>
          <w:p>
            <w:pPr>
              <w:pStyle w:val="182"/>
              <w:bidi w:val="0"/>
              <w:rPr>
                <w:color w:val="auto"/>
              </w:rPr>
            </w:pPr>
            <w:r>
              <w:rPr>
                <w:rFonts w:hint="eastAsia"/>
                <w:color w:val="auto"/>
              </w:rPr>
              <w:t>发电机</w:t>
            </w:r>
          </w:p>
        </w:tc>
        <w:tc>
          <w:tcPr>
            <w:tcW w:w="2442" w:type="pct"/>
            <w:vAlign w:val="center"/>
          </w:tcPr>
          <w:p>
            <w:pPr>
              <w:pStyle w:val="182"/>
              <w:bidi w:val="0"/>
              <w:rPr>
                <w:color w:val="auto"/>
              </w:rPr>
            </w:pPr>
            <w:r>
              <w:rPr>
                <w:color w:val="auto"/>
              </w:rPr>
              <w:t>QF-30-2</w:t>
            </w:r>
          </w:p>
        </w:tc>
        <w:tc>
          <w:tcPr>
            <w:tcW w:w="632" w:type="pct"/>
            <w:vAlign w:val="center"/>
          </w:tcPr>
          <w:p>
            <w:pPr>
              <w:pStyle w:val="182"/>
              <w:bidi w:val="0"/>
              <w:rPr>
                <w:color w:val="auto"/>
              </w:rPr>
            </w:pPr>
            <w:r>
              <w:rPr>
                <w:rFonts w:hint="eastAsia"/>
                <w:color w:val="auto"/>
              </w:rPr>
              <w:t>2</w:t>
            </w:r>
          </w:p>
        </w:tc>
      </w:tr>
    </w:tbl>
    <w:p>
      <w:pPr>
        <w:pStyle w:val="9"/>
        <w:bidi w:val="0"/>
        <w:rPr>
          <w:color w:val="auto"/>
          <w:sz w:val="24"/>
        </w:rPr>
      </w:pPr>
      <w:bookmarkStart w:id="185" w:name="_Hlk96009283"/>
      <w:r>
        <w:rPr>
          <w:rFonts w:hint="eastAsia" w:eastAsia="楷体"/>
          <w:b/>
          <w:color w:val="auto"/>
          <w:kern w:val="0"/>
          <w:sz w:val="30"/>
          <w:szCs w:val="20"/>
        </w:rPr>
        <w:t>3.</w:t>
      </w:r>
      <w:r>
        <w:rPr>
          <w:rFonts w:eastAsia="楷体"/>
          <w:b/>
          <w:color w:val="auto"/>
          <w:kern w:val="0"/>
          <w:sz w:val="30"/>
          <w:szCs w:val="20"/>
        </w:rPr>
        <w:t>4</w:t>
      </w:r>
      <w:r>
        <w:rPr>
          <w:rFonts w:hint="eastAsia" w:eastAsia="楷体"/>
          <w:b/>
          <w:color w:val="auto"/>
          <w:kern w:val="0"/>
          <w:sz w:val="30"/>
          <w:szCs w:val="20"/>
        </w:rPr>
        <w:t>.</w:t>
      </w:r>
      <w:r>
        <w:rPr>
          <w:rFonts w:hint="eastAsia" w:eastAsia="楷体"/>
          <w:b/>
          <w:color w:val="auto"/>
          <w:kern w:val="0"/>
          <w:sz w:val="30"/>
          <w:szCs w:val="20"/>
          <w:lang w:val="en-US" w:eastAsia="zh-CN"/>
        </w:rPr>
        <w:t>4</w:t>
      </w:r>
      <w:r>
        <w:rPr>
          <w:rFonts w:hint="eastAsia" w:eastAsia="楷体"/>
          <w:b/>
          <w:color w:val="auto"/>
          <w:kern w:val="0"/>
          <w:sz w:val="30"/>
          <w:szCs w:val="20"/>
        </w:rPr>
        <w:t>在建工程生产工艺</w:t>
      </w:r>
    </w:p>
    <w:bookmarkEnd w:id="185"/>
    <w:p>
      <w:pPr>
        <w:bidi w:val="0"/>
        <w:rPr>
          <w:rFonts w:hint="eastAsia"/>
          <w:color w:val="auto"/>
          <w:kern w:val="0"/>
          <w:sz w:val="24"/>
          <w:szCs w:val="20"/>
        </w:rPr>
      </w:pPr>
      <w:r>
        <w:rPr>
          <w:rFonts w:hint="eastAsia"/>
          <w:color w:val="auto"/>
          <w:kern w:val="0"/>
          <w:sz w:val="24"/>
          <w:szCs w:val="20"/>
        </w:rPr>
        <w:t>在建工程生产工艺同现有工程，此处不再全工艺流程赘述。</w:t>
      </w:r>
    </w:p>
    <w:p>
      <w:pPr>
        <w:pStyle w:val="9"/>
        <w:bidi w:val="0"/>
        <w:rPr>
          <w:color w:val="auto"/>
        </w:rPr>
      </w:pPr>
      <w:r>
        <w:rPr>
          <w:rFonts w:hint="eastAsia"/>
          <w:color w:val="auto"/>
        </w:rPr>
        <w:t>3</w:t>
      </w:r>
      <w:r>
        <w:rPr>
          <w:color w:val="auto"/>
        </w:rPr>
        <w:t>.</w:t>
      </w:r>
      <w:r>
        <w:rPr>
          <w:rFonts w:hint="eastAsia"/>
          <w:color w:val="auto"/>
          <w:lang w:val="en-US" w:eastAsia="zh-CN"/>
        </w:rPr>
        <w:t>4</w:t>
      </w:r>
      <w:r>
        <w:rPr>
          <w:color w:val="auto"/>
        </w:rPr>
        <w:t>.</w:t>
      </w:r>
      <w:r>
        <w:rPr>
          <w:rFonts w:hint="eastAsia"/>
          <w:color w:val="auto"/>
          <w:lang w:val="en-US" w:eastAsia="zh-CN"/>
        </w:rPr>
        <w:t>5</w:t>
      </w:r>
      <w:r>
        <w:rPr>
          <w:rFonts w:hint="eastAsia"/>
          <w:color w:val="auto"/>
        </w:rPr>
        <w:t>原辅材料</w:t>
      </w:r>
    </w:p>
    <w:p>
      <w:pPr>
        <w:bidi w:val="0"/>
        <w:rPr>
          <w:color w:val="auto"/>
        </w:rPr>
      </w:pPr>
      <w:r>
        <w:rPr>
          <w:rFonts w:hint="eastAsia"/>
          <w:color w:val="auto"/>
        </w:rPr>
        <w:t>在建工程原辅材料及动力消耗见表</w:t>
      </w:r>
      <w:r>
        <w:rPr>
          <w:color w:val="auto"/>
        </w:rPr>
        <w:t>3.</w:t>
      </w:r>
      <w:r>
        <w:rPr>
          <w:rFonts w:hint="eastAsia"/>
          <w:color w:val="auto"/>
          <w:lang w:val="en-US" w:eastAsia="zh-CN"/>
        </w:rPr>
        <w:t>4</w:t>
      </w:r>
      <w:r>
        <w:rPr>
          <w:color w:val="auto"/>
        </w:rPr>
        <w:t>-4</w:t>
      </w:r>
      <w:r>
        <w:rPr>
          <w:rFonts w:hint="eastAsia"/>
          <w:color w:val="auto"/>
        </w:rPr>
        <w:t>。</w:t>
      </w:r>
    </w:p>
    <w:p>
      <w:pPr>
        <w:pStyle w:val="181"/>
        <w:bidi w:val="0"/>
        <w:rPr>
          <w:color w:val="auto"/>
        </w:rPr>
      </w:pPr>
      <w:r>
        <w:rPr>
          <w:rFonts w:hint="eastAsia"/>
          <w:color w:val="auto"/>
        </w:rPr>
        <w:t>表</w:t>
      </w:r>
      <w:r>
        <w:rPr>
          <w:color w:val="auto"/>
        </w:rPr>
        <w:t>3.</w:t>
      </w:r>
      <w:r>
        <w:rPr>
          <w:rFonts w:hint="eastAsia"/>
          <w:color w:val="auto"/>
          <w:lang w:val="en-US" w:eastAsia="zh-CN"/>
        </w:rPr>
        <w:t>4</w:t>
      </w:r>
      <w:r>
        <w:rPr>
          <w:color w:val="auto"/>
        </w:rPr>
        <w:t xml:space="preserve">-4 </w:t>
      </w:r>
      <w:r>
        <w:rPr>
          <w:rFonts w:hint="eastAsia"/>
          <w:color w:val="auto"/>
          <w:lang w:val="en-US" w:eastAsia="zh-CN"/>
        </w:rPr>
        <w:t xml:space="preserve">           </w:t>
      </w:r>
      <w:r>
        <w:rPr>
          <w:rFonts w:hint="eastAsia"/>
          <w:color w:val="auto"/>
        </w:rPr>
        <w:t>原辅材料及能源消耗一览表</w:t>
      </w:r>
    </w:p>
    <w:tbl>
      <w:tblPr>
        <w:tblStyle w:val="32"/>
        <w:tblW w:w="906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1"/>
        <w:gridCol w:w="2755"/>
        <w:gridCol w:w="1797"/>
        <w:gridCol w:w="1420"/>
        <w:gridCol w:w="21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b/>
                <w:bCs/>
                <w:color w:val="auto"/>
              </w:rPr>
            </w:pPr>
            <w:r>
              <w:rPr>
                <w:rFonts w:hint="eastAsia"/>
                <w:b/>
                <w:bCs/>
                <w:color w:val="auto"/>
              </w:rPr>
              <w:t>序号</w:t>
            </w:r>
          </w:p>
        </w:tc>
        <w:tc>
          <w:tcPr>
            <w:tcW w:w="2755" w:type="dxa"/>
            <w:tcBorders>
              <w:tl2br w:val="nil"/>
              <w:tr2bl w:val="nil"/>
            </w:tcBorders>
            <w:vAlign w:val="center"/>
          </w:tcPr>
          <w:p>
            <w:pPr>
              <w:pStyle w:val="182"/>
              <w:bidi w:val="0"/>
              <w:rPr>
                <w:b/>
                <w:bCs/>
                <w:color w:val="auto"/>
              </w:rPr>
            </w:pPr>
            <w:r>
              <w:rPr>
                <w:rFonts w:hint="eastAsia"/>
                <w:b/>
                <w:bCs/>
                <w:color w:val="auto"/>
              </w:rPr>
              <w:t>名称</w:t>
            </w:r>
          </w:p>
        </w:tc>
        <w:tc>
          <w:tcPr>
            <w:tcW w:w="1797" w:type="dxa"/>
            <w:tcBorders>
              <w:tl2br w:val="nil"/>
              <w:tr2bl w:val="nil"/>
            </w:tcBorders>
            <w:vAlign w:val="center"/>
          </w:tcPr>
          <w:p>
            <w:pPr>
              <w:pStyle w:val="182"/>
              <w:bidi w:val="0"/>
              <w:rPr>
                <w:b/>
                <w:bCs/>
                <w:color w:val="auto"/>
              </w:rPr>
            </w:pPr>
            <w:r>
              <w:rPr>
                <w:rFonts w:hint="eastAsia"/>
                <w:b/>
                <w:bCs/>
                <w:color w:val="auto"/>
              </w:rPr>
              <w:t>吨产品消耗（</w:t>
            </w:r>
            <w:r>
              <w:rPr>
                <w:b/>
                <w:bCs/>
                <w:color w:val="auto"/>
              </w:rPr>
              <w:t>kg/t</w:t>
            </w:r>
            <w:r>
              <w:rPr>
                <w:rFonts w:hint="eastAsia"/>
                <w:b/>
                <w:bCs/>
                <w:color w:val="auto"/>
              </w:rPr>
              <w:t>）</w:t>
            </w:r>
          </w:p>
        </w:tc>
        <w:tc>
          <w:tcPr>
            <w:tcW w:w="1420" w:type="dxa"/>
            <w:tcBorders>
              <w:tl2br w:val="nil"/>
              <w:tr2bl w:val="nil"/>
            </w:tcBorders>
            <w:vAlign w:val="center"/>
          </w:tcPr>
          <w:p>
            <w:pPr>
              <w:pStyle w:val="182"/>
              <w:bidi w:val="0"/>
              <w:rPr>
                <w:rFonts w:hint="eastAsia"/>
                <w:b/>
                <w:bCs/>
                <w:color w:val="auto"/>
              </w:rPr>
            </w:pPr>
            <w:r>
              <w:rPr>
                <w:rFonts w:hint="eastAsia"/>
                <w:b/>
                <w:bCs/>
                <w:color w:val="auto"/>
              </w:rPr>
              <w:t>年用量</w:t>
            </w:r>
          </w:p>
          <w:p>
            <w:pPr>
              <w:pStyle w:val="182"/>
              <w:bidi w:val="0"/>
              <w:rPr>
                <w:b/>
                <w:bCs/>
                <w:color w:val="auto"/>
              </w:rPr>
            </w:pPr>
            <w:r>
              <w:rPr>
                <w:rFonts w:hint="eastAsia"/>
                <w:b/>
                <w:bCs/>
                <w:color w:val="auto"/>
              </w:rPr>
              <w:t>（</w:t>
            </w:r>
            <w:r>
              <w:rPr>
                <w:b/>
                <w:bCs/>
                <w:color w:val="auto"/>
              </w:rPr>
              <w:t>t/a</w:t>
            </w:r>
            <w:r>
              <w:rPr>
                <w:rFonts w:hint="eastAsia"/>
                <w:b/>
                <w:bCs/>
                <w:color w:val="auto"/>
              </w:rPr>
              <w:t>）</w:t>
            </w:r>
          </w:p>
        </w:tc>
        <w:tc>
          <w:tcPr>
            <w:tcW w:w="2169" w:type="dxa"/>
            <w:tcBorders>
              <w:tl2br w:val="nil"/>
              <w:tr2bl w:val="nil"/>
            </w:tcBorders>
            <w:vAlign w:val="center"/>
          </w:tcPr>
          <w:p>
            <w:pPr>
              <w:pStyle w:val="182"/>
              <w:bidi w:val="0"/>
              <w:rPr>
                <w:b/>
                <w:bCs/>
                <w:color w:val="auto"/>
              </w:rPr>
            </w:pPr>
            <w:r>
              <w:rPr>
                <w:rFonts w:hint="eastAsia"/>
                <w:b/>
                <w:bCs/>
                <w:color w:val="auto"/>
              </w:rPr>
              <w:t>储存方式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97" w:hRule="atLeast"/>
          <w:jc w:val="center"/>
        </w:trPr>
        <w:tc>
          <w:tcPr>
            <w:tcW w:w="9062" w:type="dxa"/>
            <w:gridSpan w:val="5"/>
            <w:tcBorders>
              <w:tl2br w:val="nil"/>
              <w:tr2bl w:val="nil"/>
            </w:tcBorders>
            <w:vAlign w:val="center"/>
          </w:tcPr>
          <w:p>
            <w:pPr>
              <w:pStyle w:val="182"/>
              <w:bidi w:val="0"/>
              <w:rPr>
                <w:color w:val="auto"/>
              </w:rPr>
            </w:pPr>
            <w:r>
              <w:rPr>
                <w:color w:val="auto"/>
              </w:rPr>
              <w:t>年产2×2万吨超细旦氨纶纤维项目（年产3×2万吨超细旦氨纶纤维项目二期三期工程）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1</w:t>
            </w:r>
          </w:p>
        </w:tc>
        <w:tc>
          <w:tcPr>
            <w:tcW w:w="2755" w:type="dxa"/>
            <w:tcBorders>
              <w:tl2br w:val="nil"/>
              <w:tr2bl w:val="nil"/>
            </w:tcBorders>
            <w:vAlign w:val="center"/>
          </w:tcPr>
          <w:p>
            <w:pPr>
              <w:pStyle w:val="182"/>
              <w:bidi w:val="0"/>
              <w:rPr>
                <w:color w:val="auto"/>
              </w:rPr>
            </w:pPr>
            <w:r>
              <w:rPr>
                <w:rFonts w:hint="eastAsia"/>
                <w:color w:val="auto"/>
              </w:rPr>
              <w:t>聚四亚甲基醚二醇（</w:t>
            </w:r>
            <w:r>
              <w:rPr>
                <w:color w:val="auto"/>
              </w:rPr>
              <w:t>PTMG</w:t>
            </w:r>
            <w:r>
              <w:rPr>
                <w:rFonts w:hint="eastAsia"/>
                <w:color w:val="auto"/>
              </w:rPr>
              <w:t>）</w:t>
            </w:r>
          </w:p>
        </w:tc>
        <w:tc>
          <w:tcPr>
            <w:tcW w:w="1797" w:type="dxa"/>
            <w:tcBorders>
              <w:tl2br w:val="nil"/>
              <w:tr2bl w:val="nil"/>
            </w:tcBorders>
            <w:vAlign w:val="center"/>
          </w:tcPr>
          <w:p>
            <w:pPr>
              <w:pStyle w:val="182"/>
              <w:bidi w:val="0"/>
              <w:rPr>
                <w:color w:val="auto"/>
              </w:rPr>
            </w:pPr>
            <w:r>
              <w:rPr>
                <w:color w:val="auto"/>
              </w:rPr>
              <w:t>781</w:t>
            </w:r>
          </w:p>
        </w:tc>
        <w:tc>
          <w:tcPr>
            <w:tcW w:w="1420" w:type="dxa"/>
            <w:tcBorders>
              <w:tl2br w:val="nil"/>
              <w:tr2bl w:val="nil"/>
            </w:tcBorders>
            <w:vAlign w:val="center"/>
          </w:tcPr>
          <w:p>
            <w:pPr>
              <w:pStyle w:val="182"/>
              <w:bidi w:val="0"/>
              <w:rPr>
                <w:color w:val="auto"/>
              </w:rPr>
            </w:pPr>
            <w:r>
              <w:rPr>
                <w:color w:val="auto"/>
              </w:rPr>
              <w:t>15620</w:t>
            </w:r>
          </w:p>
        </w:tc>
        <w:tc>
          <w:tcPr>
            <w:tcW w:w="2169" w:type="dxa"/>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2</w:t>
            </w:r>
          </w:p>
        </w:tc>
        <w:tc>
          <w:tcPr>
            <w:tcW w:w="2755" w:type="dxa"/>
            <w:tcBorders>
              <w:tl2br w:val="nil"/>
              <w:tr2bl w:val="nil"/>
            </w:tcBorders>
            <w:vAlign w:val="center"/>
          </w:tcPr>
          <w:p>
            <w:pPr>
              <w:pStyle w:val="182"/>
              <w:bidi w:val="0"/>
              <w:rPr>
                <w:color w:val="auto"/>
              </w:rPr>
            </w:pPr>
            <w:r>
              <w:rPr>
                <w:color w:val="auto"/>
              </w:rPr>
              <w:t>4,4</w:t>
            </w:r>
            <w:r>
              <w:rPr>
                <w:rFonts w:hint="eastAsia"/>
                <w:color w:val="auto"/>
                <w:lang w:eastAsia="zh-CN"/>
              </w:rPr>
              <w:t>－</w:t>
            </w:r>
            <w:r>
              <w:rPr>
                <w:rFonts w:hint="eastAsia"/>
                <w:color w:val="auto"/>
              </w:rPr>
              <w:t>二苯基甲烷二异氰酸酯（</w:t>
            </w:r>
            <w:r>
              <w:rPr>
                <w:color w:val="auto"/>
              </w:rPr>
              <w:t>MDI</w:t>
            </w:r>
            <w:r>
              <w:rPr>
                <w:rFonts w:hint="eastAsia"/>
                <w:color w:val="auto"/>
              </w:rPr>
              <w:t>）</w:t>
            </w:r>
          </w:p>
        </w:tc>
        <w:tc>
          <w:tcPr>
            <w:tcW w:w="1797" w:type="dxa"/>
            <w:tcBorders>
              <w:tl2br w:val="nil"/>
              <w:tr2bl w:val="nil"/>
            </w:tcBorders>
            <w:vAlign w:val="center"/>
          </w:tcPr>
          <w:p>
            <w:pPr>
              <w:pStyle w:val="182"/>
              <w:bidi w:val="0"/>
              <w:rPr>
                <w:color w:val="auto"/>
              </w:rPr>
            </w:pPr>
            <w:r>
              <w:rPr>
                <w:color w:val="auto"/>
              </w:rPr>
              <w:t>180.4</w:t>
            </w:r>
          </w:p>
        </w:tc>
        <w:tc>
          <w:tcPr>
            <w:tcW w:w="1420" w:type="dxa"/>
            <w:tcBorders>
              <w:tl2br w:val="nil"/>
              <w:tr2bl w:val="nil"/>
            </w:tcBorders>
            <w:vAlign w:val="center"/>
          </w:tcPr>
          <w:p>
            <w:pPr>
              <w:pStyle w:val="182"/>
              <w:bidi w:val="0"/>
              <w:rPr>
                <w:color w:val="auto"/>
              </w:rPr>
            </w:pPr>
            <w:r>
              <w:rPr>
                <w:color w:val="auto"/>
              </w:rPr>
              <w:t>3608</w:t>
            </w:r>
          </w:p>
        </w:tc>
        <w:tc>
          <w:tcPr>
            <w:tcW w:w="2169" w:type="dxa"/>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3</w:t>
            </w:r>
          </w:p>
        </w:tc>
        <w:tc>
          <w:tcPr>
            <w:tcW w:w="2755" w:type="dxa"/>
            <w:tcBorders>
              <w:tl2br w:val="nil"/>
              <w:tr2bl w:val="nil"/>
            </w:tcBorders>
            <w:vAlign w:val="center"/>
          </w:tcPr>
          <w:p>
            <w:pPr>
              <w:pStyle w:val="182"/>
              <w:bidi w:val="0"/>
              <w:rPr>
                <w:color w:val="auto"/>
              </w:rPr>
            </w:pPr>
            <w:r>
              <w:rPr>
                <w:color w:val="auto"/>
              </w:rPr>
              <w:t>N,N</w:t>
            </w:r>
            <w:r>
              <w:rPr>
                <w:rFonts w:hint="eastAsia"/>
                <w:color w:val="auto"/>
                <w:lang w:eastAsia="zh-CN"/>
              </w:rPr>
              <w:t>－</w:t>
            </w:r>
            <w:r>
              <w:rPr>
                <w:rFonts w:hint="eastAsia"/>
                <w:color w:val="auto"/>
              </w:rPr>
              <w:t>二甲基乙酰胺（</w:t>
            </w:r>
            <w:r>
              <w:rPr>
                <w:color w:val="auto"/>
              </w:rPr>
              <w:t>DMAC</w:t>
            </w:r>
            <w:r>
              <w:rPr>
                <w:rFonts w:hint="eastAsia"/>
                <w:color w:val="auto"/>
              </w:rPr>
              <w:t>）</w:t>
            </w:r>
          </w:p>
        </w:tc>
        <w:tc>
          <w:tcPr>
            <w:tcW w:w="1797" w:type="dxa"/>
            <w:tcBorders>
              <w:tl2br w:val="nil"/>
              <w:tr2bl w:val="nil"/>
            </w:tcBorders>
            <w:vAlign w:val="center"/>
          </w:tcPr>
          <w:p>
            <w:pPr>
              <w:pStyle w:val="182"/>
              <w:bidi w:val="0"/>
              <w:rPr>
                <w:color w:val="auto"/>
              </w:rPr>
            </w:pPr>
            <w:r>
              <w:rPr>
                <w:color w:val="auto"/>
              </w:rPr>
              <w:t>20</w:t>
            </w:r>
          </w:p>
        </w:tc>
        <w:tc>
          <w:tcPr>
            <w:tcW w:w="1420" w:type="dxa"/>
            <w:tcBorders>
              <w:tl2br w:val="nil"/>
              <w:tr2bl w:val="nil"/>
            </w:tcBorders>
            <w:vAlign w:val="center"/>
          </w:tcPr>
          <w:p>
            <w:pPr>
              <w:pStyle w:val="182"/>
              <w:bidi w:val="0"/>
              <w:rPr>
                <w:color w:val="auto"/>
              </w:rPr>
            </w:pPr>
            <w:r>
              <w:rPr>
                <w:color w:val="auto"/>
              </w:rPr>
              <w:t>400</w:t>
            </w:r>
          </w:p>
        </w:tc>
        <w:tc>
          <w:tcPr>
            <w:tcW w:w="2169" w:type="dxa"/>
            <w:tcBorders>
              <w:tl2br w:val="nil"/>
              <w:tr2bl w:val="nil"/>
            </w:tcBorders>
            <w:vAlign w:val="center"/>
          </w:tcPr>
          <w:p>
            <w:pPr>
              <w:pStyle w:val="182"/>
              <w:bidi w:val="0"/>
              <w:rPr>
                <w:color w:val="auto"/>
              </w:rPr>
            </w:pPr>
            <w:r>
              <w:rPr>
                <w:rFonts w:hint="eastAsia"/>
                <w:color w:val="auto"/>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4</w:t>
            </w:r>
          </w:p>
        </w:tc>
        <w:tc>
          <w:tcPr>
            <w:tcW w:w="2755" w:type="dxa"/>
            <w:tcBorders>
              <w:tl2br w:val="nil"/>
              <w:tr2bl w:val="nil"/>
            </w:tcBorders>
            <w:vAlign w:val="center"/>
          </w:tcPr>
          <w:p>
            <w:pPr>
              <w:pStyle w:val="182"/>
              <w:bidi w:val="0"/>
              <w:rPr>
                <w:color w:val="auto"/>
              </w:rPr>
            </w:pPr>
            <w:r>
              <w:rPr>
                <w:rFonts w:hint="eastAsia"/>
                <w:color w:val="auto"/>
              </w:rPr>
              <w:t>扩链剂（乙二胺、丙二胺）</w:t>
            </w:r>
          </w:p>
        </w:tc>
        <w:tc>
          <w:tcPr>
            <w:tcW w:w="1797" w:type="dxa"/>
            <w:tcBorders>
              <w:tl2br w:val="nil"/>
              <w:tr2bl w:val="nil"/>
            </w:tcBorders>
            <w:vAlign w:val="center"/>
          </w:tcPr>
          <w:p>
            <w:pPr>
              <w:pStyle w:val="182"/>
              <w:bidi w:val="0"/>
              <w:rPr>
                <w:color w:val="auto"/>
              </w:rPr>
            </w:pPr>
            <w:r>
              <w:rPr>
                <w:color w:val="auto"/>
              </w:rPr>
              <w:t>33</w:t>
            </w:r>
          </w:p>
        </w:tc>
        <w:tc>
          <w:tcPr>
            <w:tcW w:w="1420" w:type="dxa"/>
            <w:tcBorders>
              <w:tl2br w:val="nil"/>
              <w:tr2bl w:val="nil"/>
            </w:tcBorders>
            <w:vAlign w:val="center"/>
          </w:tcPr>
          <w:p>
            <w:pPr>
              <w:pStyle w:val="182"/>
              <w:bidi w:val="0"/>
              <w:rPr>
                <w:color w:val="auto"/>
              </w:rPr>
            </w:pPr>
            <w:r>
              <w:rPr>
                <w:color w:val="auto"/>
              </w:rPr>
              <w:t>660</w:t>
            </w:r>
          </w:p>
        </w:tc>
        <w:tc>
          <w:tcPr>
            <w:tcW w:w="2169" w:type="dxa"/>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5</w:t>
            </w:r>
          </w:p>
        </w:tc>
        <w:tc>
          <w:tcPr>
            <w:tcW w:w="2755" w:type="dxa"/>
            <w:tcBorders>
              <w:tl2br w:val="nil"/>
              <w:tr2bl w:val="nil"/>
            </w:tcBorders>
            <w:vAlign w:val="center"/>
          </w:tcPr>
          <w:p>
            <w:pPr>
              <w:pStyle w:val="182"/>
              <w:bidi w:val="0"/>
              <w:rPr>
                <w:color w:val="auto"/>
              </w:rPr>
            </w:pPr>
            <w:r>
              <w:rPr>
                <w:rFonts w:hint="eastAsia"/>
                <w:color w:val="auto"/>
              </w:rPr>
              <w:t>添加剂（黄变防止剂）</w:t>
            </w:r>
          </w:p>
        </w:tc>
        <w:tc>
          <w:tcPr>
            <w:tcW w:w="1797" w:type="dxa"/>
            <w:tcBorders>
              <w:tl2br w:val="nil"/>
              <w:tr2bl w:val="nil"/>
            </w:tcBorders>
            <w:vAlign w:val="center"/>
          </w:tcPr>
          <w:p>
            <w:pPr>
              <w:pStyle w:val="182"/>
              <w:bidi w:val="0"/>
              <w:rPr>
                <w:color w:val="auto"/>
              </w:rPr>
            </w:pPr>
            <w:r>
              <w:rPr>
                <w:color w:val="auto"/>
              </w:rPr>
              <w:t>28</w:t>
            </w:r>
          </w:p>
        </w:tc>
        <w:tc>
          <w:tcPr>
            <w:tcW w:w="1420" w:type="dxa"/>
            <w:tcBorders>
              <w:tl2br w:val="nil"/>
              <w:tr2bl w:val="nil"/>
            </w:tcBorders>
            <w:vAlign w:val="center"/>
          </w:tcPr>
          <w:p>
            <w:pPr>
              <w:pStyle w:val="182"/>
              <w:bidi w:val="0"/>
              <w:rPr>
                <w:color w:val="auto"/>
              </w:rPr>
            </w:pPr>
            <w:r>
              <w:rPr>
                <w:color w:val="auto"/>
              </w:rPr>
              <w:t>560</w:t>
            </w:r>
          </w:p>
        </w:tc>
        <w:tc>
          <w:tcPr>
            <w:tcW w:w="2169" w:type="dxa"/>
            <w:tcBorders>
              <w:tl2br w:val="nil"/>
              <w:tr2bl w:val="nil"/>
            </w:tcBorders>
            <w:vAlign w:val="center"/>
          </w:tcPr>
          <w:p>
            <w:pPr>
              <w:pStyle w:val="182"/>
              <w:bidi w:val="0"/>
              <w:rPr>
                <w:color w:val="auto"/>
              </w:rPr>
            </w:pPr>
            <w:r>
              <w:rPr>
                <w:rFonts w:hint="eastAsia"/>
                <w:color w:val="auto"/>
              </w:rPr>
              <w:t>箱、桶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6</w:t>
            </w:r>
          </w:p>
        </w:tc>
        <w:tc>
          <w:tcPr>
            <w:tcW w:w="2755" w:type="dxa"/>
            <w:tcBorders>
              <w:tl2br w:val="nil"/>
              <w:tr2bl w:val="nil"/>
            </w:tcBorders>
            <w:vAlign w:val="center"/>
          </w:tcPr>
          <w:p>
            <w:pPr>
              <w:pStyle w:val="182"/>
              <w:bidi w:val="0"/>
              <w:rPr>
                <w:color w:val="auto"/>
              </w:rPr>
            </w:pPr>
            <w:r>
              <w:rPr>
                <w:rFonts w:hint="eastAsia"/>
                <w:color w:val="auto"/>
              </w:rPr>
              <w:t>油剂（白油等，进口）</w:t>
            </w:r>
          </w:p>
        </w:tc>
        <w:tc>
          <w:tcPr>
            <w:tcW w:w="1797" w:type="dxa"/>
            <w:tcBorders>
              <w:tl2br w:val="nil"/>
              <w:tr2bl w:val="nil"/>
            </w:tcBorders>
            <w:vAlign w:val="center"/>
          </w:tcPr>
          <w:p>
            <w:pPr>
              <w:pStyle w:val="182"/>
              <w:bidi w:val="0"/>
              <w:rPr>
                <w:color w:val="auto"/>
              </w:rPr>
            </w:pPr>
            <w:r>
              <w:rPr>
                <w:color w:val="auto"/>
              </w:rPr>
              <w:t>40</w:t>
            </w:r>
          </w:p>
        </w:tc>
        <w:tc>
          <w:tcPr>
            <w:tcW w:w="1420" w:type="dxa"/>
            <w:tcBorders>
              <w:tl2br w:val="nil"/>
              <w:tr2bl w:val="nil"/>
            </w:tcBorders>
            <w:vAlign w:val="center"/>
          </w:tcPr>
          <w:p>
            <w:pPr>
              <w:pStyle w:val="182"/>
              <w:bidi w:val="0"/>
              <w:rPr>
                <w:color w:val="auto"/>
              </w:rPr>
            </w:pPr>
            <w:r>
              <w:rPr>
                <w:color w:val="auto"/>
              </w:rPr>
              <w:t>800</w:t>
            </w:r>
          </w:p>
        </w:tc>
        <w:tc>
          <w:tcPr>
            <w:tcW w:w="2169" w:type="dxa"/>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7</w:t>
            </w:r>
          </w:p>
        </w:tc>
        <w:tc>
          <w:tcPr>
            <w:tcW w:w="2755" w:type="dxa"/>
            <w:tcBorders>
              <w:tl2br w:val="nil"/>
              <w:tr2bl w:val="nil"/>
            </w:tcBorders>
            <w:vAlign w:val="center"/>
          </w:tcPr>
          <w:p>
            <w:pPr>
              <w:pStyle w:val="182"/>
              <w:bidi w:val="0"/>
              <w:rPr>
                <w:color w:val="auto"/>
              </w:rPr>
            </w:pPr>
            <w:r>
              <w:rPr>
                <w:rFonts w:hint="eastAsia"/>
                <w:color w:val="auto"/>
              </w:rPr>
              <w:t>蒸汽（平均）</w:t>
            </w:r>
          </w:p>
        </w:tc>
        <w:tc>
          <w:tcPr>
            <w:tcW w:w="1797" w:type="dxa"/>
            <w:tcBorders>
              <w:tl2br w:val="nil"/>
              <w:tr2bl w:val="nil"/>
            </w:tcBorders>
            <w:vAlign w:val="center"/>
          </w:tcPr>
          <w:p>
            <w:pPr>
              <w:pStyle w:val="182"/>
              <w:bidi w:val="0"/>
              <w:rPr>
                <w:color w:val="auto"/>
              </w:rPr>
            </w:pPr>
            <w:r>
              <w:rPr>
                <w:color w:val="auto"/>
              </w:rPr>
              <w:t>10.875t/h</w:t>
            </w:r>
          </w:p>
        </w:tc>
        <w:tc>
          <w:tcPr>
            <w:tcW w:w="1420" w:type="dxa"/>
            <w:tcBorders>
              <w:tl2br w:val="nil"/>
              <w:tr2bl w:val="nil"/>
            </w:tcBorders>
            <w:vAlign w:val="center"/>
          </w:tcPr>
          <w:p>
            <w:pPr>
              <w:pStyle w:val="182"/>
              <w:bidi w:val="0"/>
              <w:rPr>
                <w:color w:val="auto"/>
              </w:rPr>
            </w:pPr>
            <w:r>
              <w:rPr>
                <w:color w:val="auto"/>
              </w:rPr>
              <w:t>8.7万</w:t>
            </w:r>
          </w:p>
        </w:tc>
        <w:tc>
          <w:tcPr>
            <w:tcW w:w="2169" w:type="dxa"/>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8</w:t>
            </w:r>
          </w:p>
        </w:tc>
        <w:tc>
          <w:tcPr>
            <w:tcW w:w="2755" w:type="dxa"/>
            <w:tcBorders>
              <w:tl2br w:val="nil"/>
              <w:tr2bl w:val="nil"/>
            </w:tcBorders>
            <w:vAlign w:val="center"/>
          </w:tcPr>
          <w:p>
            <w:pPr>
              <w:pStyle w:val="182"/>
              <w:bidi w:val="0"/>
              <w:rPr>
                <w:color w:val="auto"/>
              </w:rPr>
            </w:pPr>
            <w:r>
              <w:rPr>
                <w:rFonts w:hint="eastAsia"/>
                <w:color w:val="auto"/>
              </w:rPr>
              <w:t>电（万</w:t>
            </w:r>
            <w:r>
              <w:rPr>
                <w:color w:val="auto"/>
              </w:rPr>
              <w:t>kwh</w:t>
            </w:r>
            <w:r>
              <w:rPr>
                <w:rFonts w:hint="eastAsia"/>
                <w:color w:val="auto"/>
              </w:rPr>
              <w:t>）</w:t>
            </w:r>
          </w:p>
        </w:tc>
        <w:tc>
          <w:tcPr>
            <w:tcW w:w="1797" w:type="dxa"/>
            <w:tcBorders>
              <w:tl2br w:val="nil"/>
              <w:tr2bl w:val="nil"/>
            </w:tcBorders>
            <w:vAlign w:val="center"/>
          </w:tcPr>
          <w:p>
            <w:pPr>
              <w:pStyle w:val="182"/>
              <w:bidi w:val="0"/>
              <w:rPr>
                <w:color w:val="auto"/>
              </w:rPr>
            </w:pPr>
            <w:r>
              <w:rPr>
                <w:color w:val="auto"/>
              </w:rPr>
              <w:t>0.4123</w:t>
            </w:r>
          </w:p>
        </w:tc>
        <w:tc>
          <w:tcPr>
            <w:tcW w:w="1420" w:type="dxa"/>
            <w:tcBorders>
              <w:tl2br w:val="nil"/>
              <w:tr2bl w:val="nil"/>
            </w:tcBorders>
            <w:vAlign w:val="center"/>
          </w:tcPr>
          <w:p>
            <w:pPr>
              <w:pStyle w:val="182"/>
              <w:bidi w:val="0"/>
              <w:rPr>
                <w:color w:val="auto"/>
              </w:rPr>
            </w:pPr>
            <w:r>
              <w:rPr>
                <w:color w:val="auto"/>
              </w:rPr>
              <w:t>16492</w:t>
            </w:r>
          </w:p>
        </w:tc>
        <w:tc>
          <w:tcPr>
            <w:tcW w:w="2169" w:type="dxa"/>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9</w:t>
            </w:r>
          </w:p>
        </w:tc>
        <w:tc>
          <w:tcPr>
            <w:tcW w:w="2755" w:type="dxa"/>
            <w:tcBorders>
              <w:tl2br w:val="nil"/>
              <w:tr2bl w:val="nil"/>
            </w:tcBorders>
            <w:vAlign w:val="center"/>
          </w:tcPr>
          <w:p>
            <w:pPr>
              <w:pStyle w:val="182"/>
              <w:bidi w:val="0"/>
              <w:rPr>
                <w:color w:val="auto"/>
              </w:rPr>
            </w:pPr>
            <w:r>
              <w:rPr>
                <w:rFonts w:hint="eastAsia"/>
                <w:color w:val="auto"/>
              </w:rPr>
              <w:t>脱盐水</w:t>
            </w:r>
          </w:p>
        </w:tc>
        <w:tc>
          <w:tcPr>
            <w:tcW w:w="1797" w:type="dxa"/>
            <w:tcBorders>
              <w:tl2br w:val="nil"/>
              <w:tr2bl w:val="nil"/>
            </w:tcBorders>
            <w:vAlign w:val="center"/>
          </w:tcPr>
          <w:p>
            <w:pPr>
              <w:pStyle w:val="182"/>
              <w:bidi w:val="0"/>
              <w:rPr>
                <w:color w:val="auto"/>
              </w:rPr>
            </w:pPr>
            <w:r>
              <w:rPr>
                <w:color w:val="auto"/>
              </w:rPr>
              <w:t>1.2 m</w:t>
            </w:r>
            <w:r>
              <w:rPr>
                <w:color w:val="auto"/>
                <w:vertAlign w:val="superscript"/>
              </w:rPr>
              <w:t>3</w:t>
            </w:r>
          </w:p>
        </w:tc>
        <w:tc>
          <w:tcPr>
            <w:tcW w:w="1420" w:type="dxa"/>
            <w:tcBorders>
              <w:tl2br w:val="nil"/>
              <w:tr2bl w:val="nil"/>
            </w:tcBorders>
            <w:vAlign w:val="center"/>
          </w:tcPr>
          <w:p>
            <w:pPr>
              <w:pStyle w:val="182"/>
              <w:bidi w:val="0"/>
              <w:rPr>
                <w:color w:val="auto"/>
              </w:rPr>
            </w:pPr>
            <w:r>
              <w:rPr>
                <w:color w:val="auto"/>
              </w:rPr>
              <w:t>4.8万</w:t>
            </w:r>
          </w:p>
        </w:tc>
        <w:tc>
          <w:tcPr>
            <w:tcW w:w="2169" w:type="dxa"/>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97" w:hRule="atLeast"/>
          <w:jc w:val="center"/>
        </w:trPr>
        <w:tc>
          <w:tcPr>
            <w:tcW w:w="921" w:type="dxa"/>
            <w:tcBorders>
              <w:tl2br w:val="nil"/>
              <w:tr2bl w:val="nil"/>
            </w:tcBorders>
            <w:vAlign w:val="center"/>
          </w:tcPr>
          <w:p>
            <w:pPr>
              <w:pStyle w:val="182"/>
              <w:bidi w:val="0"/>
              <w:rPr>
                <w:color w:val="auto"/>
              </w:rPr>
            </w:pPr>
            <w:r>
              <w:rPr>
                <w:color w:val="auto"/>
              </w:rPr>
              <w:t>10</w:t>
            </w:r>
          </w:p>
        </w:tc>
        <w:tc>
          <w:tcPr>
            <w:tcW w:w="2755" w:type="dxa"/>
            <w:tcBorders>
              <w:tl2br w:val="nil"/>
              <w:tr2bl w:val="nil"/>
            </w:tcBorders>
            <w:vAlign w:val="center"/>
          </w:tcPr>
          <w:p>
            <w:pPr>
              <w:pStyle w:val="182"/>
              <w:bidi w:val="0"/>
              <w:rPr>
                <w:color w:val="auto"/>
              </w:rPr>
            </w:pPr>
            <w:r>
              <w:rPr>
                <w:rFonts w:hint="eastAsia"/>
                <w:color w:val="auto"/>
              </w:rPr>
              <w:t>制冷量</w:t>
            </w:r>
          </w:p>
        </w:tc>
        <w:tc>
          <w:tcPr>
            <w:tcW w:w="1797" w:type="dxa"/>
            <w:tcBorders>
              <w:tl2br w:val="nil"/>
              <w:tr2bl w:val="nil"/>
            </w:tcBorders>
            <w:vAlign w:val="center"/>
          </w:tcPr>
          <w:p>
            <w:pPr>
              <w:pStyle w:val="182"/>
              <w:bidi w:val="0"/>
              <w:rPr>
                <w:color w:val="auto"/>
              </w:rPr>
            </w:pPr>
            <w:r>
              <w:rPr>
                <w:color w:val="auto"/>
              </w:rPr>
              <w:t>/</w:t>
            </w:r>
          </w:p>
        </w:tc>
        <w:tc>
          <w:tcPr>
            <w:tcW w:w="1420" w:type="dxa"/>
            <w:tcBorders>
              <w:tl2br w:val="nil"/>
              <w:tr2bl w:val="nil"/>
            </w:tcBorders>
            <w:vAlign w:val="center"/>
          </w:tcPr>
          <w:p>
            <w:pPr>
              <w:pStyle w:val="182"/>
              <w:bidi w:val="0"/>
              <w:rPr>
                <w:color w:val="auto"/>
              </w:rPr>
            </w:pPr>
            <w:r>
              <w:rPr>
                <w:color w:val="auto"/>
              </w:rPr>
              <w:t>18600kW</w:t>
            </w:r>
          </w:p>
        </w:tc>
        <w:tc>
          <w:tcPr>
            <w:tcW w:w="2169" w:type="dxa"/>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11</w:t>
            </w:r>
          </w:p>
        </w:tc>
        <w:tc>
          <w:tcPr>
            <w:tcW w:w="2755" w:type="dxa"/>
            <w:tcBorders>
              <w:tl2br w:val="nil"/>
              <w:tr2bl w:val="nil"/>
            </w:tcBorders>
            <w:vAlign w:val="center"/>
          </w:tcPr>
          <w:p>
            <w:pPr>
              <w:pStyle w:val="182"/>
              <w:bidi w:val="0"/>
              <w:rPr>
                <w:color w:val="auto"/>
              </w:rPr>
            </w:pPr>
            <w:r>
              <w:rPr>
                <w:rFonts w:hint="eastAsia"/>
                <w:color w:val="auto"/>
              </w:rPr>
              <w:t>压缩空气</w:t>
            </w:r>
          </w:p>
        </w:tc>
        <w:tc>
          <w:tcPr>
            <w:tcW w:w="1797" w:type="dxa"/>
            <w:tcBorders>
              <w:tl2br w:val="nil"/>
              <w:tr2bl w:val="nil"/>
            </w:tcBorders>
            <w:vAlign w:val="center"/>
          </w:tcPr>
          <w:p>
            <w:pPr>
              <w:pStyle w:val="182"/>
              <w:bidi w:val="0"/>
              <w:rPr>
                <w:color w:val="auto"/>
              </w:rPr>
            </w:pPr>
            <w:r>
              <w:rPr>
                <w:color w:val="auto"/>
              </w:rPr>
              <w:t>/</w:t>
            </w:r>
          </w:p>
        </w:tc>
        <w:tc>
          <w:tcPr>
            <w:tcW w:w="1420" w:type="dxa"/>
            <w:tcBorders>
              <w:tl2br w:val="nil"/>
              <w:tr2bl w:val="nil"/>
            </w:tcBorders>
            <w:vAlign w:val="center"/>
          </w:tcPr>
          <w:p>
            <w:pPr>
              <w:pStyle w:val="182"/>
              <w:bidi w:val="0"/>
              <w:rPr>
                <w:rFonts w:hint="eastAsia" w:eastAsia="宋体"/>
                <w:color w:val="auto"/>
                <w:lang w:val="en-US" w:eastAsia="zh-CN"/>
              </w:rPr>
            </w:pPr>
            <w:r>
              <w:rPr>
                <w:color w:val="auto"/>
              </w:rPr>
              <w:t>180Nm</w:t>
            </w:r>
            <w:r>
              <w:rPr>
                <w:color w:val="auto"/>
                <w:vertAlign w:val="superscript"/>
              </w:rPr>
              <w:t>3</w:t>
            </w:r>
            <w:r>
              <w:rPr>
                <w:color w:val="auto"/>
              </w:rPr>
              <w:t>/</w:t>
            </w:r>
            <w:r>
              <w:rPr>
                <w:rFonts w:hint="eastAsia"/>
                <w:color w:val="auto"/>
                <w:lang w:val="en-US" w:eastAsia="zh-CN"/>
              </w:rPr>
              <w:t>min</w:t>
            </w:r>
          </w:p>
        </w:tc>
        <w:tc>
          <w:tcPr>
            <w:tcW w:w="2169" w:type="dxa"/>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12</w:t>
            </w:r>
          </w:p>
        </w:tc>
        <w:tc>
          <w:tcPr>
            <w:tcW w:w="2755" w:type="dxa"/>
            <w:tcBorders>
              <w:tl2br w:val="nil"/>
              <w:tr2bl w:val="nil"/>
            </w:tcBorders>
            <w:vAlign w:val="center"/>
          </w:tcPr>
          <w:p>
            <w:pPr>
              <w:pStyle w:val="182"/>
              <w:bidi w:val="0"/>
              <w:rPr>
                <w:color w:val="auto"/>
              </w:rPr>
            </w:pPr>
            <w:r>
              <w:rPr>
                <w:rFonts w:hint="eastAsia"/>
                <w:color w:val="auto"/>
              </w:rPr>
              <w:t>氮气</w:t>
            </w:r>
          </w:p>
        </w:tc>
        <w:tc>
          <w:tcPr>
            <w:tcW w:w="1797" w:type="dxa"/>
            <w:tcBorders>
              <w:tl2br w:val="nil"/>
              <w:tr2bl w:val="nil"/>
            </w:tcBorders>
            <w:vAlign w:val="center"/>
          </w:tcPr>
          <w:p>
            <w:pPr>
              <w:pStyle w:val="182"/>
              <w:bidi w:val="0"/>
              <w:rPr>
                <w:color w:val="auto"/>
              </w:rPr>
            </w:pPr>
            <w:r>
              <w:rPr>
                <w:color w:val="auto"/>
              </w:rPr>
              <w:t>/</w:t>
            </w:r>
          </w:p>
        </w:tc>
        <w:tc>
          <w:tcPr>
            <w:tcW w:w="1420" w:type="dxa"/>
            <w:tcBorders>
              <w:tl2br w:val="nil"/>
              <w:tr2bl w:val="nil"/>
            </w:tcBorders>
            <w:vAlign w:val="center"/>
          </w:tcPr>
          <w:p>
            <w:pPr>
              <w:pStyle w:val="182"/>
              <w:bidi w:val="0"/>
              <w:rPr>
                <w:color w:val="auto"/>
              </w:rPr>
            </w:pPr>
            <w:r>
              <w:rPr>
                <w:color w:val="auto"/>
              </w:rPr>
              <w:t>300Nm</w:t>
            </w:r>
            <w:r>
              <w:rPr>
                <w:color w:val="auto"/>
                <w:vertAlign w:val="superscript"/>
              </w:rPr>
              <w:t>3</w:t>
            </w:r>
            <w:r>
              <w:rPr>
                <w:color w:val="auto"/>
              </w:rPr>
              <w:t>/min</w:t>
            </w:r>
          </w:p>
        </w:tc>
        <w:tc>
          <w:tcPr>
            <w:tcW w:w="2169" w:type="dxa"/>
            <w:tcBorders>
              <w:tl2br w:val="nil"/>
              <w:tr2bl w:val="nil"/>
            </w:tcBorders>
            <w:vAlign w:val="center"/>
          </w:tcPr>
          <w:p>
            <w:pPr>
              <w:pStyle w:val="182"/>
              <w:bidi w:val="0"/>
              <w:rPr>
                <w:color w:val="auto"/>
              </w:rPr>
            </w:pPr>
            <w:r>
              <w:rPr>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1</w:t>
            </w:r>
            <w:r>
              <w:rPr>
                <w:rFonts w:hint="eastAsia"/>
                <w:color w:val="auto"/>
              </w:rPr>
              <w:t>3</w:t>
            </w:r>
          </w:p>
        </w:tc>
        <w:tc>
          <w:tcPr>
            <w:tcW w:w="2755" w:type="dxa"/>
            <w:tcBorders>
              <w:tl2br w:val="nil"/>
              <w:tr2bl w:val="nil"/>
            </w:tcBorders>
            <w:vAlign w:val="center"/>
          </w:tcPr>
          <w:p>
            <w:pPr>
              <w:pStyle w:val="182"/>
              <w:bidi w:val="0"/>
              <w:rPr>
                <w:color w:val="auto"/>
              </w:rPr>
            </w:pPr>
            <w:r>
              <w:rPr>
                <w:rFonts w:hint="eastAsia"/>
                <w:color w:val="auto"/>
              </w:rPr>
              <w:t>碱液（</w:t>
            </w:r>
            <w:r>
              <w:rPr>
                <w:color w:val="auto"/>
              </w:rPr>
              <w:t>32%</w:t>
            </w:r>
            <w:r>
              <w:rPr>
                <w:rFonts w:hint="eastAsia"/>
                <w:color w:val="auto"/>
              </w:rPr>
              <w:t>）</w:t>
            </w:r>
          </w:p>
        </w:tc>
        <w:tc>
          <w:tcPr>
            <w:tcW w:w="1797" w:type="dxa"/>
            <w:tcBorders>
              <w:tl2br w:val="nil"/>
              <w:tr2bl w:val="nil"/>
            </w:tcBorders>
            <w:vAlign w:val="center"/>
          </w:tcPr>
          <w:p>
            <w:pPr>
              <w:pStyle w:val="182"/>
              <w:bidi w:val="0"/>
              <w:rPr>
                <w:color w:val="auto"/>
              </w:rPr>
            </w:pPr>
            <w:r>
              <w:rPr>
                <w:color w:val="auto"/>
              </w:rPr>
              <w:t>0.3</w:t>
            </w:r>
          </w:p>
        </w:tc>
        <w:tc>
          <w:tcPr>
            <w:tcW w:w="1420" w:type="dxa"/>
            <w:tcBorders>
              <w:tl2br w:val="nil"/>
              <w:tr2bl w:val="nil"/>
            </w:tcBorders>
            <w:vAlign w:val="center"/>
          </w:tcPr>
          <w:p>
            <w:pPr>
              <w:pStyle w:val="182"/>
              <w:bidi w:val="0"/>
              <w:rPr>
                <w:color w:val="auto"/>
              </w:rPr>
            </w:pPr>
            <w:r>
              <w:rPr>
                <w:color w:val="auto"/>
              </w:rPr>
              <w:t>12</w:t>
            </w:r>
          </w:p>
        </w:tc>
        <w:tc>
          <w:tcPr>
            <w:tcW w:w="2169" w:type="dxa"/>
            <w:tcBorders>
              <w:tl2br w:val="nil"/>
              <w:tr2bl w:val="nil"/>
            </w:tcBorders>
            <w:vAlign w:val="center"/>
          </w:tcPr>
          <w:p>
            <w:pPr>
              <w:pStyle w:val="182"/>
              <w:bidi w:val="0"/>
              <w:rPr>
                <w:color w:val="auto"/>
              </w:rPr>
            </w:pPr>
            <w:r>
              <w:rPr>
                <w:rFonts w:hint="eastAsia"/>
                <w:color w:val="auto"/>
              </w:rPr>
              <w:t>利用公司其他项目产生的废碱液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062" w:type="dxa"/>
            <w:gridSpan w:val="5"/>
            <w:tcBorders>
              <w:tl2br w:val="nil"/>
              <w:tr2bl w:val="nil"/>
            </w:tcBorders>
            <w:vAlign w:val="center"/>
          </w:tcPr>
          <w:p>
            <w:pPr>
              <w:pStyle w:val="182"/>
              <w:bidi w:val="0"/>
              <w:rPr>
                <w:color w:val="auto"/>
              </w:rPr>
            </w:pPr>
            <w:r>
              <w:rPr>
                <w:rFonts w:hint="eastAsia"/>
                <w:color w:val="auto"/>
              </w:rPr>
              <w:t>年产2万吨生物质纤维素项目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1</w:t>
            </w:r>
          </w:p>
        </w:tc>
        <w:tc>
          <w:tcPr>
            <w:tcW w:w="2755" w:type="dxa"/>
            <w:tcBorders>
              <w:tl2br w:val="nil"/>
              <w:tr2bl w:val="nil"/>
            </w:tcBorders>
            <w:vAlign w:val="center"/>
          </w:tcPr>
          <w:p>
            <w:pPr>
              <w:pStyle w:val="182"/>
              <w:bidi w:val="0"/>
              <w:rPr>
                <w:color w:val="auto"/>
              </w:rPr>
            </w:pPr>
            <w:r>
              <w:rPr>
                <w:rFonts w:hint="eastAsia"/>
                <w:color w:val="auto"/>
              </w:rPr>
              <w:t>浆粕</w:t>
            </w:r>
          </w:p>
        </w:tc>
        <w:tc>
          <w:tcPr>
            <w:tcW w:w="1797" w:type="dxa"/>
            <w:tcBorders>
              <w:tl2br w:val="nil"/>
              <w:tr2bl w:val="nil"/>
            </w:tcBorders>
            <w:vAlign w:val="center"/>
          </w:tcPr>
          <w:p>
            <w:pPr>
              <w:pStyle w:val="182"/>
              <w:bidi w:val="0"/>
              <w:rPr>
                <w:color w:val="auto"/>
              </w:rPr>
            </w:pPr>
            <w:r>
              <w:rPr>
                <w:color w:val="auto"/>
              </w:rPr>
              <w:t>1023</w:t>
            </w:r>
          </w:p>
        </w:tc>
        <w:tc>
          <w:tcPr>
            <w:tcW w:w="1420" w:type="dxa"/>
            <w:tcBorders>
              <w:tl2br w:val="nil"/>
              <w:tr2bl w:val="nil"/>
            </w:tcBorders>
            <w:vAlign w:val="center"/>
          </w:tcPr>
          <w:p>
            <w:pPr>
              <w:pStyle w:val="182"/>
              <w:bidi w:val="0"/>
              <w:rPr>
                <w:color w:val="auto"/>
              </w:rPr>
            </w:pPr>
            <w:r>
              <w:rPr>
                <w:color w:val="auto"/>
              </w:rPr>
              <w:t>20460</w:t>
            </w:r>
          </w:p>
        </w:tc>
        <w:tc>
          <w:tcPr>
            <w:tcW w:w="2169" w:type="dxa"/>
            <w:tcBorders>
              <w:tl2br w:val="nil"/>
              <w:tr2bl w:val="nil"/>
            </w:tcBorders>
            <w:vAlign w:val="center"/>
          </w:tcPr>
          <w:p>
            <w:pPr>
              <w:pStyle w:val="182"/>
              <w:bidi w:val="0"/>
              <w:rPr>
                <w:color w:val="auto"/>
              </w:rPr>
            </w:pPr>
            <w:r>
              <w:rPr>
                <w:color w:val="auto"/>
              </w:rPr>
              <w:t>250m³</w:t>
            </w:r>
            <w:r>
              <w:rPr>
                <w:rFonts w:hint="eastAsia"/>
                <w:color w:val="auto"/>
              </w:rPr>
              <w:t>储罐</w:t>
            </w:r>
            <w:r>
              <w:rPr>
                <w:color w:val="auto"/>
              </w:rPr>
              <w:t>4</w:t>
            </w:r>
            <w:r>
              <w:rPr>
                <w:rFonts w:hint="eastAsia"/>
                <w:color w:val="auto"/>
              </w:rPr>
              <w:t>个，采用</w:t>
            </w:r>
            <w:r>
              <w:rPr>
                <w:color w:val="auto"/>
              </w:rPr>
              <w:t>N2</w:t>
            </w:r>
            <w:r>
              <w:rPr>
                <w:rFonts w:hint="eastAsia"/>
                <w:color w:val="auto"/>
              </w:rPr>
              <w:t>密封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2</w:t>
            </w:r>
          </w:p>
        </w:tc>
        <w:tc>
          <w:tcPr>
            <w:tcW w:w="2755" w:type="dxa"/>
            <w:tcBorders>
              <w:tl2br w:val="nil"/>
              <w:tr2bl w:val="nil"/>
            </w:tcBorders>
            <w:vAlign w:val="center"/>
          </w:tcPr>
          <w:p>
            <w:pPr>
              <w:pStyle w:val="182"/>
              <w:bidi w:val="0"/>
              <w:rPr>
                <w:color w:val="auto"/>
              </w:rPr>
            </w:pPr>
            <w:r>
              <w:rPr>
                <w:color w:val="auto"/>
              </w:rPr>
              <w:t>92.5%</w:t>
            </w:r>
            <w:r>
              <w:rPr>
                <w:rFonts w:hint="eastAsia"/>
                <w:color w:val="auto"/>
              </w:rPr>
              <w:t>浓硫酸</w:t>
            </w:r>
          </w:p>
        </w:tc>
        <w:tc>
          <w:tcPr>
            <w:tcW w:w="1797" w:type="dxa"/>
            <w:tcBorders>
              <w:tl2br w:val="nil"/>
              <w:tr2bl w:val="nil"/>
            </w:tcBorders>
            <w:vAlign w:val="center"/>
          </w:tcPr>
          <w:p>
            <w:pPr>
              <w:pStyle w:val="182"/>
              <w:bidi w:val="0"/>
              <w:rPr>
                <w:color w:val="auto"/>
              </w:rPr>
            </w:pPr>
            <w:r>
              <w:rPr>
                <w:color w:val="auto"/>
              </w:rPr>
              <w:t>1390</w:t>
            </w:r>
          </w:p>
        </w:tc>
        <w:tc>
          <w:tcPr>
            <w:tcW w:w="1420" w:type="dxa"/>
            <w:tcBorders>
              <w:tl2br w:val="nil"/>
              <w:tr2bl w:val="nil"/>
            </w:tcBorders>
            <w:vAlign w:val="center"/>
          </w:tcPr>
          <w:p>
            <w:pPr>
              <w:pStyle w:val="182"/>
              <w:bidi w:val="0"/>
              <w:rPr>
                <w:color w:val="auto"/>
              </w:rPr>
            </w:pPr>
            <w:r>
              <w:rPr>
                <w:color w:val="auto"/>
              </w:rPr>
              <w:t>27800</w:t>
            </w:r>
          </w:p>
        </w:tc>
        <w:tc>
          <w:tcPr>
            <w:tcW w:w="2169" w:type="dxa"/>
            <w:tcBorders>
              <w:tl2br w:val="nil"/>
              <w:tr2bl w:val="nil"/>
            </w:tcBorders>
            <w:vAlign w:val="center"/>
          </w:tcPr>
          <w:p>
            <w:pPr>
              <w:pStyle w:val="182"/>
              <w:bidi w:val="0"/>
              <w:rPr>
                <w:rFonts w:hint="eastAsia" w:eastAsia="宋体"/>
                <w:color w:val="auto"/>
                <w:lang w:eastAsia="zh-CN"/>
              </w:rPr>
            </w:pPr>
            <w:r>
              <w:rPr>
                <w:rFonts w:hint="eastAsia"/>
                <w:color w:val="auto"/>
                <w:lang w:val="en-US" w:eastAsia="zh-CN"/>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3</w:t>
            </w:r>
          </w:p>
        </w:tc>
        <w:tc>
          <w:tcPr>
            <w:tcW w:w="2755" w:type="dxa"/>
            <w:tcBorders>
              <w:tl2br w:val="nil"/>
              <w:tr2bl w:val="nil"/>
            </w:tcBorders>
            <w:vAlign w:val="center"/>
          </w:tcPr>
          <w:p>
            <w:pPr>
              <w:pStyle w:val="182"/>
              <w:bidi w:val="0"/>
              <w:rPr>
                <w:color w:val="auto"/>
              </w:rPr>
            </w:pPr>
            <w:r>
              <w:rPr>
                <w:color w:val="auto"/>
              </w:rPr>
              <w:t>45%氢氧化钠溶液</w:t>
            </w:r>
          </w:p>
        </w:tc>
        <w:tc>
          <w:tcPr>
            <w:tcW w:w="1797" w:type="dxa"/>
            <w:tcBorders>
              <w:tl2br w:val="nil"/>
              <w:tr2bl w:val="nil"/>
            </w:tcBorders>
            <w:vAlign w:val="center"/>
          </w:tcPr>
          <w:p>
            <w:pPr>
              <w:pStyle w:val="182"/>
              <w:bidi w:val="0"/>
              <w:rPr>
                <w:color w:val="auto"/>
              </w:rPr>
            </w:pPr>
            <w:r>
              <w:rPr>
                <w:color w:val="auto"/>
              </w:rPr>
              <w:t>1589</w:t>
            </w:r>
          </w:p>
        </w:tc>
        <w:tc>
          <w:tcPr>
            <w:tcW w:w="1420" w:type="dxa"/>
            <w:tcBorders>
              <w:tl2br w:val="nil"/>
              <w:tr2bl w:val="nil"/>
            </w:tcBorders>
            <w:vAlign w:val="center"/>
          </w:tcPr>
          <w:p>
            <w:pPr>
              <w:pStyle w:val="182"/>
              <w:bidi w:val="0"/>
              <w:rPr>
                <w:color w:val="auto"/>
              </w:rPr>
            </w:pPr>
            <w:r>
              <w:rPr>
                <w:color w:val="auto"/>
              </w:rPr>
              <w:t>31780</w:t>
            </w:r>
          </w:p>
        </w:tc>
        <w:tc>
          <w:tcPr>
            <w:tcW w:w="2169" w:type="dxa"/>
            <w:tcBorders>
              <w:tl2br w:val="nil"/>
              <w:tr2bl w:val="nil"/>
            </w:tcBorders>
            <w:vAlign w:val="center"/>
          </w:tcPr>
          <w:p>
            <w:pPr>
              <w:pStyle w:val="182"/>
              <w:bidi w:val="0"/>
              <w:rPr>
                <w:rFonts w:hint="eastAsia" w:eastAsia="宋体"/>
                <w:color w:val="auto"/>
                <w:lang w:eastAsia="zh-CN"/>
              </w:rPr>
            </w:pPr>
            <w:r>
              <w:rPr>
                <w:rFonts w:hint="eastAsia"/>
                <w:color w:val="auto"/>
                <w:lang w:val="en-US" w:eastAsia="zh-CN"/>
              </w:rPr>
              <w:t>罐装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4</w:t>
            </w:r>
          </w:p>
        </w:tc>
        <w:tc>
          <w:tcPr>
            <w:tcW w:w="2755" w:type="dxa"/>
            <w:tcBorders>
              <w:tl2br w:val="nil"/>
              <w:tr2bl w:val="nil"/>
            </w:tcBorders>
            <w:vAlign w:val="center"/>
          </w:tcPr>
          <w:p>
            <w:pPr>
              <w:pStyle w:val="182"/>
              <w:bidi w:val="0"/>
              <w:rPr>
                <w:color w:val="auto"/>
              </w:rPr>
            </w:pPr>
            <w:r>
              <w:rPr>
                <w:color w:val="auto"/>
              </w:rPr>
              <w:t>二硫化碳</w:t>
            </w:r>
          </w:p>
          <w:p>
            <w:pPr>
              <w:pStyle w:val="182"/>
              <w:bidi w:val="0"/>
              <w:rPr>
                <w:color w:val="auto"/>
              </w:rPr>
            </w:pPr>
            <w:r>
              <w:rPr>
                <w:color w:val="auto"/>
              </w:rPr>
              <w:t>（纯度为98.5%）</w:t>
            </w:r>
          </w:p>
        </w:tc>
        <w:tc>
          <w:tcPr>
            <w:tcW w:w="1797" w:type="dxa"/>
            <w:tcBorders>
              <w:tl2br w:val="nil"/>
              <w:tr2bl w:val="nil"/>
            </w:tcBorders>
            <w:vAlign w:val="center"/>
          </w:tcPr>
          <w:p>
            <w:pPr>
              <w:pStyle w:val="182"/>
              <w:bidi w:val="0"/>
              <w:rPr>
                <w:color w:val="auto"/>
              </w:rPr>
            </w:pPr>
            <w:r>
              <w:rPr>
                <w:color w:val="auto"/>
              </w:rPr>
              <w:t>132.244</w:t>
            </w:r>
          </w:p>
        </w:tc>
        <w:tc>
          <w:tcPr>
            <w:tcW w:w="1420" w:type="dxa"/>
            <w:tcBorders>
              <w:tl2br w:val="nil"/>
              <w:tr2bl w:val="nil"/>
            </w:tcBorders>
            <w:vAlign w:val="center"/>
          </w:tcPr>
          <w:p>
            <w:pPr>
              <w:pStyle w:val="182"/>
              <w:bidi w:val="0"/>
              <w:rPr>
                <w:color w:val="auto"/>
              </w:rPr>
            </w:pPr>
            <w:r>
              <w:rPr>
                <w:color w:val="auto"/>
              </w:rPr>
              <w:t>2644.88</w:t>
            </w:r>
          </w:p>
        </w:tc>
        <w:tc>
          <w:tcPr>
            <w:tcW w:w="2169" w:type="dxa"/>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5</w:t>
            </w:r>
          </w:p>
        </w:tc>
        <w:tc>
          <w:tcPr>
            <w:tcW w:w="2755" w:type="dxa"/>
            <w:tcBorders>
              <w:tl2br w:val="nil"/>
              <w:tr2bl w:val="nil"/>
            </w:tcBorders>
            <w:vAlign w:val="center"/>
          </w:tcPr>
          <w:p>
            <w:pPr>
              <w:pStyle w:val="182"/>
              <w:bidi w:val="0"/>
              <w:rPr>
                <w:color w:val="auto"/>
              </w:rPr>
            </w:pPr>
            <w:r>
              <w:rPr>
                <w:color w:val="auto"/>
              </w:rPr>
              <w:t>硫酸锌（纯度为98%）</w:t>
            </w:r>
          </w:p>
        </w:tc>
        <w:tc>
          <w:tcPr>
            <w:tcW w:w="1797" w:type="dxa"/>
            <w:tcBorders>
              <w:tl2br w:val="nil"/>
              <w:tr2bl w:val="nil"/>
            </w:tcBorders>
            <w:vAlign w:val="center"/>
          </w:tcPr>
          <w:p>
            <w:pPr>
              <w:pStyle w:val="182"/>
              <w:bidi w:val="0"/>
              <w:rPr>
                <w:color w:val="auto"/>
              </w:rPr>
            </w:pPr>
            <w:r>
              <w:rPr>
                <w:color w:val="auto"/>
              </w:rPr>
              <w:t>17.1</w:t>
            </w:r>
          </w:p>
        </w:tc>
        <w:tc>
          <w:tcPr>
            <w:tcW w:w="1420" w:type="dxa"/>
            <w:tcBorders>
              <w:tl2br w:val="nil"/>
              <w:tr2bl w:val="nil"/>
            </w:tcBorders>
            <w:vAlign w:val="center"/>
          </w:tcPr>
          <w:p>
            <w:pPr>
              <w:pStyle w:val="182"/>
              <w:bidi w:val="0"/>
              <w:rPr>
                <w:color w:val="auto"/>
              </w:rPr>
            </w:pPr>
            <w:r>
              <w:rPr>
                <w:color w:val="auto"/>
              </w:rPr>
              <w:t>342</w:t>
            </w:r>
          </w:p>
        </w:tc>
        <w:tc>
          <w:tcPr>
            <w:tcW w:w="2169" w:type="dxa"/>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6</w:t>
            </w:r>
          </w:p>
        </w:tc>
        <w:tc>
          <w:tcPr>
            <w:tcW w:w="2755" w:type="dxa"/>
            <w:tcBorders>
              <w:tl2br w:val="nil"/>
              <w:tr2bl w:val="nil"/>
            </w:tcBorders>
            <w:vAlign w:val="center"/>
          </w:tcPr>
          <w:p>
            <w:pPr>
              <w:pStyle w:val="182"/>
              <w:bidi w:val="0"/>
              <w:rPr>
                <w:color w:val="auto"/>
              </w:rPr>
            </w:pPr>
            <w:r>
              <w:rPr>
                <w:color w:val="auto"/>
              </w:rPr>
              <w:t>浆料</w:t>
            </w:r>
          </w:p>
        </w:tc>
        <w:tc>
          <w:tcPr>
            <w:tcW w:w="1797" w:type="dxa"/>
            <w:tcBorders>
              <w:tl2br w:val="nil"/>
              <w:tr2bl w:val="nil"/>
            </w:tcBorders>
            <w:vAlign w:val="center"/>
          </w:tcPr>
          <w:p>
            <w:pPr>
              <w:pStyle w:val="182"/>
              <w:bidi w:val="0"/>
              <w:rPr>
                <w:color w:val="auto"/>
              </w:rPr>
            </w:pPr>
            <w:r>
              <w:rPr>
                <w:color w:val="auto"/>
              </w:rPr>
              <w:t>12</w:t>
            </w:r>
          </w:p>
        </w:tc>
        <w:tc>
          <w:tcPr>
            <w:tcW w:w="1420" w:type="dxa"/>
            <w:tcBorders>
              <w:tl2br w:val="nil"/>
              <w:tr2bl w:val="nil"/>
            </w:tcBorders>
            <w:vAlign w:val="center"/>
          </w:tcPr>
          <w:p>
            <w:pPr>
              <w:pStyle w:val="182"/>
              <w:bidi w:val="0"/>
              <w:rPr>
                <w:color w:val="auto"/>
              </w:rPr>
            </w:pPr>
            <w:r>
              <w:rPr>
                <w:color w:val="auto"/>
              </w:rPr>
              <w:t>240</w:t>
            </w:r>
          </w:p>
        </w:tc>
        <w:tc>
          <w:tcPr>
            <w:tcW w:w="2169" w:type="dxa"/>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7</w:t>
            </w:r>
          </w:p>
        </w:tc>
        <w:tc>
          <w:tcPr>
            <w:tcW w:w="2755" w:type="dxa"/>
            <w:tcBorders>
              <w:tl2br w:val="nil"/>
              <w:tr2bl w:val="nil"/>
            </w:tcBorders>
            <w:vAlign w:val="center"/>
          </w:tcPr>
          <w:p>
            <w:pPr>
              <w:pStyle w:val="182"/>
              <w:bidi w:val="0"/>
              <w:rPr>
                <w:color w:val="auto"/>
              </w:rPr>
            </w:pPr>
            <w:r>
              <w:rPr>
                <w:rFonts w:hint="eastAsia"/>
                <w:color w:val="auto"/>
              </w:rPr>
              <w:t>油剂</w:t>
            </w:r>
          </w:p>
        </w:tc>
        <w:tc>
          <w:tcPr>
            <w:tcW w:w="1797" w:type="dxa"/>
            <w:tcBorders>
              <w:tl2br w:val="nil"/>
              <w:tr2bl w:val="nil"/>
            </w:tcBorders>
            <w:vAlign w:val="center"/>
          </w:tcPr>
          <w:p>
            <w:pPr>
              <w:pStyle w:val="182"/>
              <w:bidi w:val="0"/>
              <w:rPr>
                <w:color w:val="auto"/>
              </w:rPr>
            </w:pPr>
            <w:r>
              <w:rPr>
                <w:color w:val="auto"/>
              </w:rPr>
              <w:t>2.4</w:t>
            </w:r>
          </w:p>
        </w:tc>
        <w:tc>
          <w:tcPr>
            <w:tcW w:w="1420" w:type="dxa"/>
            <w:tcBorders>
              <w:tl2br w:val="nil"/>
              <w:tr2bl w:val="nil"/>
            </w:tcBorders>
            <w:vAlign w:val="center"/>
          </w:tcPr>
          <w:p>
            <w:pPr>
              <w:pStyle w:val="182"/>
              <w:bidi w:val="0"/>
              <w:rPr>
                <w:color w:val="auto"/>
              </w:rPr>
            </w:pPr>
            <w:r>
              <w:rPr>
                <w:color w:val="auto"/>
              </w:rPr>
              <w:t>48</w:t>
            </w:r>
          </w:p>
        </w:tc>
        <w:tc>
          <w:tcPr>
            <w:tcW w:w="2169" w:type="dxa"/>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8</w:t>
            </w:r>
          </w:p>
        </w:tc>
        <w:tc>
          <w:tcPr>
            <w:tcW w:w="2755" w:type="dxa"/>
            <w:tcBorders>
              <w:tl2br w:val="nil"/>
              <w:tr2bl w:val="nil"/>
            </w:tcBorders>
            <w:vAlign w:val="center"/>
          </w:tcPr>
          <w:p>
            <w:pPr>
              <w:pStyle w:val="182"/>
              <w:bidi w:val="0"/>
              <w:rPr>
                <w:color w:val="auto"/>
              </w:rPr>
            </w:pPr>
            <w:r>
              <w:rPr>
                <w:color w:val="auto"/>
              </w:rPr>
              <w:t>蒸汽</w:t>
            </w:r>
            <w:r>
              <w:rPr>
                <w:rFonts w:hint="eastAsia"/>
                <w:color w:val="auto"/>
                <w:lang w:eastAsia="zh-CN"/>
              </w:rPr>
              <w:t>（</w:t>
            </w:r>
            <w:r>
              <w:rPr>
                <w:color w:val="auto"/>
              </w:rPr>
              <w:t>平均</w:t>
            </w:r>
            <w:r>
              <w:rPr>
                <w:rFonts w:hint="eastAsia"/>
                <w:color w:val="auto"/>
                <w:lang w:eastAsia="zh-CN"/>
              </w:rPr>
              <w:t>）</w:t>
            </w:r>
          </w:p>
        </w:tc>
        <w:tc>
          <w:tcPr>
            <w:tcW w:w="1797" w:type="dxa"/>
            <w:tcBorders>
              <w:tl2br w:val="nil"/>
              <w:tr2bl w:val="nil"/>
            </w:tcBorders>
            <w:vAlign w:val="center"/>
          </w:tcPr>
          <w:p>
            <w:pPr>
              <w:pStyle w:val="182"/>
              <w:bidi w:val="0"/>
              <w:rPr>
                <w:color w:val="auto"/>
              </w:rPr>
            </w:pPr>
            <w:r>
              <w:rPr>
                <w:color w:val="auto"/>
              </w:rPr>
              <w:t>52.24t/h</w:t>
            </w:r>
          </w:p>
        </w:tc>
        <w:tc>
          <w:tcPr>
            <w:tcW w:w="1420" w:type="dxa"/>
            <w:tcBorders>
              <w:tl2br w:val="nil"/>
              <w:tr2bl w:val="nil"/>
            </w:tcBorders>
            <w:vAlign w:val="center"/>
          </w:tcPr>
          <w:p>
            <w:pPr>
              <w:pStyle w:val="182"/>
              <w:bidi w:val="0"/>
              <w:rPr>
                <w:color w:val="auto"/>
              </w:rPr>
            </w:pPr>
            <w:r>
              <w:rPr>
                <w:color w:val="auto"/>
              </w:rPr>
              <w:t>41.79万</w:t>
            </w:r>
          </w:p>
        </w:tc>
        <w:tc>
          <w:tcPr>
            <w:tcW w:w="2169" w:type="dxa"/>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9</w:t>
            </w:r>
          </w:p>
        </w:tc>
        <w:tc>
          <w:tcPr>
            <w:tcW w:w="2755" w:type="dxa"/>
            <w:tcBorders>
              <w:tl2br w:val="nil"/>
              <w:tr2bl w:val="nil"/>
            </w:tcBorders>
            <w:vAlign w:val="center"/>
          </w:tcPr>
          <w:p>
            <w:pPr>
              <w:pStyle w:val="182"/>
              <w:bidi w:val="0"/>
              <w:rPr>
                <w:color w:val="auto"/>
              </w:rPr>
            </w:pPr>
            <w:r>
              <w:rPr>
                <w:color w:val="auto"/>
              </w:rPr>
              <w:t>电（万kwh）</w:t>
            </w:r>
          </w:p>
        </w:tc>
        <w:tc>
          <w:tcPr>
            <w:tcW w:w="1797" w:type="dxa"/>
            <w:tcBorders>
              <w:tl2br w:val="nil"/>
              <w:tr2bl w:val="nil"/>
            </w:tcBorders>
            <w:vAlign w:val="center"/>
          </w:tcPr>
          <w:p>
            <w:pPr>
              <w:pStyle w:val="182"/>
              <w:bidi w:val="0"/>
              <w:rPr>
                <w:color w:val="auto"/>
              </w:rPr>
            </w:pPr>
            <w:r>
              <w:rPr>
                <w:color w:val="auto"/>
              </w:rPr>
              <w:t>0.166</w:t>
            </w:r>
          </w:p>
        </w:tc>
        <w:tc>
          <w:tcPr>
            <w:tcW w:w="1420" w:type="dxa"/>
            <w:tcBorders>
              <w:tl2br w:val="nil"/>
              <w:tr2bl w:val="nil"/>
            </w:tcBorders>
            <w:vAlign w:val="center"/>
          </w:tcPr>
          <w:p>
            <w:pPr>
              <w:pStyle w:val="182"/>
              <w:bidi w:val="0"/>
              <w:rPr>
                <w:color w:val="auto"/>
              </w:rPr>
            </w:pPr>
            <w:r>
              <w:rPr>
                <w:color w:val="auto"/>
              </w:rPr>
              <w:t>3320</w:t>
            </w:r>
          </w:p>
        </w:tc>
        <w:tc>
          <w:tcPr>
            <w:tcW w:w="2169" w:type="dxa"/>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10</w:t>
            </w:r>
          </w:p>
        </w:tc>
        <w:tc>
          <w:tcPr>
            <w:tcW w:w="2755" w:type="dxa"/>
            <w:tcBorders>
              <w:tl2br w:val="nil"/>
              <w:tr2bl w:val="nil"/>
            </w:tcBorders>
            <w:vAlign w:val="center"/>
          </w:tcPr>
          <w:p>
            <w:pPr>
              <w:pStyle w:val="182"/>
              <w:bidi w:val="0"/>
              <w:rPr>
                <w:color w:val="auto"/>
              </w:rPr>
            </w:pPr>
            <w:r>
              <w:rPr>
                <w:color w:val="auto"/>
              </w:rPr>
              <w:t>新鲜水</w:t>
            </w:r>
          </w:p>
        </w:tc>
        <w:tc>
          <w:tcPr>
            <w:tcW w:w="1797" w:type="dxa"/>
            <w:tcBorders>
              <w:tl2br w:val="nil"/>
              <w:tr2bl w:val="nil"/>
            </w:tcBorders>
            <w:vAlign w:val="center"/>
          </w:tcPr>
          <w:p>
            <w:pPr>
              <w:pStyle w:val="182"/>
              <w:bidi w:val="0"/>
              <w:rPr>
                <w:color w:val="auto"/>
              </w:rPr>
            </w:pPr>
            <w:r>
              <w:rPr>
                <w:color w:val="auto"/>
              </w:rPr>
              <w:t>161.8m3</w:t>
            </w:r>
          </w:p>
        </w:tc>
        <w:tc>
          <w:tcPr>
            <w:tcW w:w="1420" w:type="dxa"/>
            <w:tcBorders>
              <w:tl2br w:val="nil"/>
              <w:tr2bl w:val="nil"/>
            </w:tcBorders>
            <w:vAlign w:val="center"/>
          </w:tcPr>
          <w:p>
            <w:pPr>
              <w:pStyle w:val="182"/>
              <w:bidi w:val="0"/>
              <w:rPr>
                <w:color w:val="auto"/>
              </w:rPr>
            </w:pPr>
            <w:r>
              <w:rPr>
                <w:color w:val="auto"/>
              </w:rPr>
              <w:t>323.6万m</w:t>
            </w:r>
            <w:r>
              <w:rPr>
                <w:color w:val="auto"/>
                <w:vertAlign w:val="superscript"/>
              </w:rPr>
              <w:t>3</w:t>
            </w:r>
          </w:p>
        </w:tc>
        <w:tc>
          <w:tcPr>
            <w:tcW w:w="2169" w:type="dxa"/>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062" w:type="dxa"/>
            <w:gridSpan w:val="5"/>
            <w:tcBorders>
              <w:tl2br w:val="nil"/>
              <w:tr2bl w:val="nil"/>
            </w:tcBorders>
            <w:vAlign w:val="center"/>
          </w:tcPr>
          <w:p>
            <w:pPr>
              <w:pStyle w:val="182"/>
              <w:bidi w:val="0"/>
              <w:rPr>
                <w:rFonts w:hint="eastAsia"/>
                <w:color w:val="auto"/>
              </w:rPr>
            </w:pPr>
            <w:r>
              <w:rPr>
                <w:rFonts w:hint="eastAsia"/>
                <w:b/>
                <w:bCs/>
                <w:color w:val="auto"/>
                <w:u w:val="single"/>
              </w:rPr>
              <w:t>年产六千吨再生氨纶纤维项目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1</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废</w:t>
            </w:r>
            <w:r>
              <w:rPr>
                <w:rFonts w:hint="eastAsia"/>
                <w:b/>
                <w:bCs/>
                <w:color w:val="auto"/>
                <w:u w:val="single"/>
              </w:rPr>
              <w:t>氨纶</w:t>
            </w:r>
            <w:r>
              <w:rPr>
                <w:b/>
                <w:bCs/>
                <w:color w:val="auto"/>
                <w:u w:val="single"/>
              </w:rPr>
              <w:t>丝</w:t>
            </w:r>
          </w:p>
        </w:tc>
        <w:tc>
          <w:tcPr>
            <w:tcW w:w="1797"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944.16</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5664.96</w:t>
            </w:r>
          </w:p>
        </w:tc>
        <w:tc>
          <w:tcPr>
            <w:tcW w:w="2169" w:type="dxa"/>
            <w:tcBorders>
              <w:tl2br w:val="nil"/>
              <w:tr2bl w:val="nil"/>
            </w:tcBorders>
            <w:vAlign w:val="center"/>
          </w:tcPr>
          <w:p>
            <w:pPr>
              <w:pStyle w:val="182"/>
              <w:bidi w:val="0"/>
              <w:ind w:firstLine="0" w:firstLineChars="0"/>
              <w:rPr>
                <w:rFonts w:hint="eastAsia"/>
                <w:b/>
                <w:bCs/>
                <w:color w:val="auto"/>
                <w:u w:val="single"/>
              </w:rPr>
            </w:pPr>
            <w:r>
              <w:rPr>
                <w:rFonts w:hint="eastAsia"/>
                <w:b/>
                <w:bCs/>
                <w:color w:val="auto"/>
                <w:u w:val="singl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2</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废</w:t>
            </w:r>
            <w:r>
              <w:rPr>
                <w:rFonts w:hint="eastAsia"/>
                <w:b/>
                <w:bCs/>
                <w:color w:val="auto"/>
                <w:u w:val="single"/>
              </w:rPr>
              <w:t>聚合</w:t>
            </w:r>
            <w:r>
              <w:rPr>
                <w:b/>
                <w:bCs/>
                <w:color w:val="auto"/>
                <w:u w:val="single"/>
              </w:rPr>
              <w:t>液</w:t>
            </w:r>
            <w:r>
              <w:rPr>
                <w:rFonts w:hint="eastAsia"/>
                <w:b/>
                <w:bCs/>
                <w:color w:val="auto"/>
                <w:u w:val="single"/>
              </w:rPr>
              <w:t>、</w:t>
            </w:r>
            <w:r>
              <w:rPr>
                <w:b/>
                <w:bCs/>
                <w:color w:val="auto"/>
                <w:u w:val="single"/>
              </w:rPr>
              <w:t>废纺丝液</w:t>
            </w:r>
          </w:p>
        </w:tc>
        <w:tc>
          <w:tcPr>
            <w:tcW w:w="1797"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14.5</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87</w:t>
            </w:r>
          </w:p>
        </w:tc>
        <w:tc>
          <w:tcPr>
            <w:tcW w:w="2169" w:type="dxa"/>
            <w:tcBorders>
              <w:tl2br w:val="nil"/>
              <w:tr2bl w:val="nil"/>
            </w:tcBorders>
            <w:vAlign w:val="center"/>
          </w:tcPr>
          <w:p>
            <w:pPr>
              <w:pStyle w:val="182"/>
              <w:bidi w:val="0"/>
              <w:ind w:firstLine="0" w:firstLineChars="0"/>
              <w:rPr>
                <w:rFonts w:hint="eastAsia"/>
                <w:b/>
                <w:bCs/>
                <w:color w:val="auto"/>
                <w:u w:val="single"/>
              </w:rPr>
            </w:pPr>
            <w:r>
              <w:rPr>
                <w:rFonts w:hint="eastAsia"/>
                <w:b/>
                <w:bCs/>
                <w:color w:val="auto"/>
                <w:u w:val="singl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3</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N,N</w:t>
            </w:r>
            <w:r>
              <w:rPr>
                <w:rFonts w:hint="eastAsia"/>
                <w:b/>
                <w:bCs/>
                <w:color w:val="auto"/>
                <w:u w:val="single"/>
                <w:lang w:eastAsia="zh-CN"/>
              </w:rPr>
              <w:t>－</w:t>
            </w:r>
            <w:r>
              <w:rPr>
                <w:b/>
                <w:bCs/>
                <w:color w:val="auto"/>
                <w:u w:val="single"/>
              </w:rPr>
              <w:t>二甲基乙酰胺</w:t>
            </w:r>
            <w:r>
              <w:rPr>
                <w:rFonts w:hint="eastAsia"/>
                <w:b/>
                <w:bCs/>
                <w:color w:val="auto"/>
                <w:u w:val="single"/>
              </w:rPr>
              <w:t>（</w:t>
            </w:r>
            <w:r>
              <w:rPr>
                <w:b/>
                <w:bCs/>
                <w:color w:val="auto"/>
                <w:u w:val="single"/>
              </w:rPr>
              <w:t>DMAC</w:t>
            </w:r>
            <w:r>
              <w:rPr>
                <w:rFonts w:hint="eastAsia"/>
                <w:b/>
                <w:bCs/>
                <w:color w:val="auto"/>
                <w:u w:val="single"/>
              </w:rPr>
              <w:t>）</w:t>
            </w:r>
          </w:p>
        </w:tc>
        <w:tc>
          <w:tcPr>
            <w:tcW w:w="1797"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5.03</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30.18</w:t>
            </w:r>
          </w:p>
        </w:tc>
        <w:tc>
          <w:tcPr>
            <w:tcW w:w="2169" w:type="dxa"/>
            <w:tcBorders>
              <w:tl2br w:val="nil"/>
              <w:tr2bl w:val="nil"/>
            </w:tcBorders>
            <w:vAlign w:val="center"/>
          </w:tcPr>
          <w:p>
            <w:pPr>
              <w:pStyle w:val="182"/>
              <w:bidi w:val="0"/>
              <w:ind w:firstLine="0" w:firstLineChars="0"/>
              <w:rPr>
                <w:rFonts w:hint="eastAsia"/>
                <w:b/>
                <w:bCs/>
                <w:color w:val="auto"/>
                <w:u w:val="single"/>
              </w:rPr>
            </w:pPr>
            <w:r>
              <w:rPr>
                <w:b/>
                <w:bCs/>
                <w:color w:val="auto"/>
                <w:u w:val="single"/>
              </w:rPr>
              <w:t>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4</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油剂（白油等，进口）</w:t>
            </w:r>
          </w:p>
        </w:tc>
        <w:tc>
          <w:tcPr>
            <w:tcW w:w="1797"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40</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240</w:t>
            </w:r>
          </w:p>
        </w:tc>
        <w:tc>
          <w:tcPr>
            <w:tcW w:w="2169" w:type="dxa"/>
            <w:tcBorders>
              <w:tl2br w:val="nil"/>
              <w:tr2bl w:val="nil"/>
            </w:tcBorders>
            <w:vAlign w:val="center"/>
          </w:tcPr>
          <w:p>
            <w:pPr>
              <w:pStyle w:val="182"/>
              <w:bidi w:val="0"/>
              <w:ind w:firstLine="0" w:firstLineChars="0"/>
              <w:rPr>
                <w:rFonts w:hint="eastAsia"/>
                <w:b/>
                <w:bCs/>
                <w:color w:val="auto"/>
                <w:u w:val="single"/>
              </w:rPr>
            </w:pPr>
            <w:r>
              <w:rPr>
                <w:b/>
                <w:bCs/>
                <w:color w:val="auto"/>
                <w:u w:val="single"/>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5</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蒸汽（平均）</w:t>
            </w:r>
          </w:p>
        </w:tc>
        <w:tc>
          <w:tcPr>
            <w:tcW w:w="1797"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6</w:t>
            </w:r>
            <w:r>
              <w:rPr>
                <w:b/>
                <w:bCs/>
                <w:color w:val="auto"/>
                <w:u w:val="single"/>
              </w:rPr>
              <w:t>t/h</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41760</w:t>
            </w:r>
          </w:p>
        </w:tc>
        <w:tc>
          <w:tcPr>
            <w:tcW w:w="2169" w:type="dxa"/>
            <w:tcBorders>
              <w:tl2br w:val="nil"/>
              <w:tr2bl w:val="nil"/>
            </w:tcBorders>
            <w:vAlign w:val="center"/>
          </w:tcPr>
          <w:p>
            <w:pPr>
              <w:pStyle w:val="182"/>
              <w:bidi w:val="0"/>
              <w:ind w:firstLine="0" w:firstLineChars="0"/>
              <w:rPr>
                <w:rFonts w:hint="eastAsia"/>
                <w:b/>
                <w:bCs/>
                <w:color w:val="auto"/>
                <w:u w:val="single"/>
              </w:rPr>
            </w:pPr>
            <w:r>
              <w:rPr>
                <w:b/>
                <w:bCs/>
                <w:color w:val="auto"/>
                <w:u w:val="singl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6</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电（万kwh）</w:t>
            </w:r>
          </w:p>
        </w:tc>
        <w:tc>
          <w:tcPr>
            <w:tcW w:w="1797"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416.7</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2500</w:t>
            </w:r>
          </w:p>
        </w:tc>
        <w:tc>
          <w:tcPr>
            <w:tcW w:w="2169" w:type="dxa"/>
            <w:tcBorders>
              <w:tl2br w:val="nil"/>
              <w:tr2bl w:val="nil"/>
            </w:tcBorders>
            <w:vAlign w:val="center"/>
          </w:tcPr>
          <w:p>
            <w:pPr>
              <w:pStyle w:val="182"/>
              <w:bidi w:val="0"/>
              <w:ind w:firstLine="0" w:firstLineChars="0"/>
              <w:rPr>
                <w:rFonts w:hint="eastAsia"/>
                <w:b/>
                <w:bCs/>
                <w:color w:val="auto"/>
                <w:u w:val="single"/>
              </w:rPr>
            </w:pPr>
            <w:r>
              <w:rPr>
                <w:b/>
                <w:bCs/>
                <w:color w:val="auto"/>
                <w:u w:val="singl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7</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脱盐水</w:t>
            </w:r>
          </w:p>
        </w:tc>
        <w:tc>
          <w:tcPr>
            <w:tcW w:w="1797"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0.58</w:t>
            </w:r>
            <w:r>
              <w:rPr>
                <w:b/>
                <w:bCs/>
                <w:color w:val="auto"/>
                <w:u w:val="single"/>
              </w:rPr>
              <w:t>m</w:t>
            </w:r>
            <w:r>
              <w:rPr>
                <w:b/>
                <w:bCs/>
                <w:color w:val="auto"/>
                <w:u w:val="single"/>
                <w:vertAlign w:val="superscript"/>
              </w:rPr>
              <w:t>3</w:t>
            </w:r>
            <w:r>
              <w:rPr>
                <w:rFonts w:hint="eastAsia"/>
                <w:b/>
                <w:bCs/>
                <w:color w:val="auto"/>
                <w:u w:val="single"/>
              </w:rPr>
              <w:t>/t</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3480</w:t>
            </w:r>
            <w:r>
              <w:rPr>
                <w:b/>
                <w:bCs/>
                <w:color w:val="auto"/>
                <w:u w:val="single"/>
              </w:rPr>
              <w:t>m</w:t>
            </w:r>
            <w:r>
              <w:rPr>
                <w:b/>
                <w:bCs/>
                <w:color w:val="auto"/>
                <w:u w:val="single"/>
                <w:vertAlign w:val="superscript"/>
              </w:rPr>
              <w:t>3</w:t>
            </w:r>
          </w:p>
        </w:tc>
        <w:tc>
          <w:tcPr>
            <w:tcW w:w="2169" w:type="dxa"/>
            <w:tcBorders>
              <w:tl2br w:val="nil"/>
              <w:tr2bl w:val="nil"/>
            </w:tcBorders>
            <w:vAlign w:val="center"/>
          </w:tcPr>
          <w:p>
            <w:pPr>
              <w:pStyle w:val="182"/>
              <w:bidi w:val="0"/>
              <w:ind w:firstLine="0" w:firstLineChars="0"/>
              <w:rPr>
                <w:rFonts w:hint="eastAsia"/>
                <w:b/>
                <w:bCs/>
                <w:color w:val="auto"/>
                <w:u w:val="single"/>
              </w:rPr>
            </w:pPr>
            <w:r>
              <w:rPr>
                <w:b/>
                <w:bCs/>
                <w:color w:val="auto"/>
                <w:u w:val="singl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8</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制冷量</w:t>
            </w:r>
          </w:p>
        </w:tc>
        <w:tc>
          <w:tcPr>
            <w:tcW w:w="1797" w:type="dxa"/>
            <w:tcBorders>
              <w:tl2br w:val="nil"/>
              <w:tr2bl w:val="nil"/>
            </w:tcBorders>
            <w:vAlign w:val="center"/>
          </w:tcPr>
          <w:p>
            <w:pPr>
              <w:pStyle w:val="182"/>
              <w:bidi w:val="0"/>
              <w:ind w:firstLine="0" w:firstLineChars="0"/>
              <w:rPr>
                <w:b/>
                <w:bCs/>
                <w:color w:val="auto"/>
                <w:u w:val="single"/>
              </w:rPr>
            </w:pPr>
            <w:r>
              <w:rPr>
                <w:b/>
                <w:bCs/>
                <w:color w:val="auto"/>
                <w:u w:val="single"/>
              </w:rPr>
              <w:t>/</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600</w:t>
            </w:r>
            <w:r>
              <w:rPr>
                <w:b/>
                <w:bCs/>
                <w:color w:val="auto"/>
                <w:u w:val="single"/>
              </w:rPr>
              <w:t>kW</w:t>
            </w:r>
          </w:p>
        </w:tc>
        <w:tc>
          <w:tcPr>
            <w:tcW w:w="2169" w:type="dxa"/>
            <w:tcBorders>
              <w:tl2br w:val="nil"/>
              <w:tr2bl w:val="nil"/>
            </w:tcBorders>
            <w:vAlign w:val="center"/>
          </w:tcPr>
          <w:p>
            <w:pPr>
              <w:pStyle w:val="182"/>
              <w:bidi w:val="0"/>
              <w:ind w:firstLine="0" w:firstLineChars="0"/>
              <w:rPr>
                <w:rFonts w:hint="eastAsia"/>
                <w:b/>
                <w:bCs/>
                <w:color w:val="auto"/>
                <w:u w:val="single"/>
              </w:rPr>
            </w:pPr>
            <w:r>
              <w:rPr>
                <w:b/>
                <w:bCs/>
                <w:color w:val="auto"/>
                <w:u w:val="singl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9</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压缩空气</w:t>
            </w:r>
          </w:p>
        </w:tc>
        <w:tc>
          <w:tcPr>
            <w:tcW w:w="1797" w:type="dxa"/>
            <w:tcBorders>
              <w:tl2br w:val="nil"/>
              <w:tr2bl w:val="nil"/>
            </w:tcBorders>
            <w:vAlign w:val="center"/>
          </w:tcPr>
          <w:p>
            <w:pPr>
              <w:pStyle w:val="182"/>
              <w:bidi w:val="0"/>
              <w:ind w:firstLine="0" w:firstLineChars="0"/>
              <w:rPr>
                <w:b/>
                <w:bCs/>
                <w:color w:val="auto"/>
                <w:u w:val="single"/>
              </w:rPr>
            </w:pPr>
            <w:r>
              <w:rPr>
                <w:b/>
                <w:bCs/>
                <w:color w:val="auto"/>
                <w:u w:val="single"/>
              </w:rPr>
              <w:t>/</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80</w:t>
            </w:r>
            <w:r>
              <w:rPr>
                <w:b/>
                <w:bCs/>
                <w:color w:val="auto"/>
                <w:u w:val="single"/>
              </w:rPr>
              <w:t>Nm</w:t>
            </w:r>
            <w:r>
              <w:rPr>
                <w:b/>
                <w:bCs/>
                <w:color w:val="auto"/>
                <w:u w:val="single"/>
                <w:vertAlign w:val="superscript"/>
              </w:rPr>
              <w:t>3</w:t>
            </w:r>
            <w:r>
              <w:rPr>
                <w:b/>
                <w:bCs/>
                <w:color w:val="auto"/>
                <w:u w:val="single"/>
              </w:rPr>
              <w:t>/min</w:t>
            </w:r>
          </w:p>
        </w:tc>
        <w:tc>
          <w:tcPr>
            <w:tcW w:w="2169" w:type="dxa"/>
            <w:tcBorders>
              <w:tl2br w:val="nil"/>
              <w:tr2bl w:val="nil"/>
            </w:tcBorders>
            <w:vAlign w:val="center"/>
          </w:tcPr>
          <w:p>
            <w:pPr>
              <w:pStyle w:val="182"/>
              <w:bidi w:val="0"/>
              <w:ind w:firstLine="0" w:firstLineChars="0"/>
              <w:rPr>
                <w:rFonts w:hint="eastAsia"/>
                <w:b/>
                <w:bCs/>
                <w:color w:val="auto"/>
                <w:u w:val="single"/>
              </w:rPr>
            </w:pPr>
            <w:r>
              <w:rPr>
                <w:b/>
                <w:bCs/>
                <w:color w:val="auto"/>
                <w:u w:val="singl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21" w:type="dxa"/>
            <w:tcBorders>
              <w:tl2br w:val="nil"/>
              <w:tr2bl w:val="nil"/>
            </w:tcBorders>
            <w:vAlign w:val="center"/>
          </w:tcPr>
          <w:p>
            <w:pPr>
              <w:pStyle w:val="182"/>
              <w:bidi w:val="0"/>
              <w:ind w:firstLine="0" w:firstLineChars="0"/>
              <w:rPr>
                <w:b/>
                <w:bCs/>
                <w:color w:val="auto"/>
                <w:u w:val="single"/>
              </w:rPr>
            </w:pPr>
            <w:r>
              <w:rPr>
                <w:b/>
                <w:bCs/>
                <w:color w:val="auto"/>
                <w:u w:val="single"/>
              </w:rPr>
              <w:t>10</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氮气</w:t>
            </w:r>
          </w:p>
        </w:tc>
        <w:tc>
          <w:tcPr>
            <w:tcW w:w="1797" w:type="dxa"/>
            <w:tcBorders>
              <w:tl2br w:val="nil"/>
              <w:tr2bl w:val="nil"/>
            </w:tcBorders>
            <w:vAlign w:val="center"/>
          </w:tcPr>
          <w:p>
            <w:pPr>
              <w:pStyle w:val="182"/>
              <w:bidi w:val="0"/>
              <w:ind w:firstLine="0" w:firstLineChars="0"/>
              <w:rPr>
                <w:b/>
                <w:bCs/>
                <w:color w:val="auto"/>
                <w:u w:val="single"/>
              </w:rPr>
            </w:pPr>
            <w:r>
              <w:rPr>
                <w:b/>
                <w:bCs/>
                <w:color w:val="auto"/>
                <w:u w:val="single"/>
              </w:rPr>
              <w:t>/</w:t>
            </w:r>
          </w:p>
        </w:tc>
        <w:tc>
          <w:tcPr>
            <w:tcW w:w="1420" w:type="dxa"/>
            <w:tcBorders>
              <w:tl2br w:val="nil"/>
              <w:tr2bl w:val="nil"/>
            </w:tcBorders>
            <w:vAlign w:val="center"/>
          </w:tcPr>
          <w:p>
            <w:pPr>
              <w:pStyle w:val="182"/>
              <w:bidi w:val="0"/>
              <w:ind w:firstLine="0" w:firstLineChars="0"/>
              <w:rPr>
                <w:b/>
                <w:bCs/>
                <w:color w:val="auto"/>
                <w:u w:val="single"/>
              </w:rPr>
            </w:pPr>
            <w:r>
              <w:rPr>
                <w:b/>
                <w:bCs/>
                <w:color w:val="auto"/>
                <w:u w:val="single"/>
              </w:rPr>
              <w:t>50Nm</w:t>
            </w:r>
            <w:r>
              <w:rPr>
                <w:b/>
                <w:bCs/>
                <w:color w:val="auto"/>
                <w:u w:val="single"/>
                <w:vertAlign w:val="superscript"/>
              </w:rPr>
              <w:t>3</w:t>
            </w:r>
            <w:r>
              <w:rPr>
                <w:b/>
                <w:bCs/>
                <w:color w:val="auto"/>
                <w:u w:val="single"/>
              </w:rPr>
              <w:t>/min</w:t>
            </w:r>
          </w:p>
        </w:tc>
        <w:tc>
          <w:tcPr>
            <w:tcW w:w="2169" w:type="dxa"/>
            <w:tcBorders>
              <w:tl2br w:val="nil"/>
              <w:tr2bl w:val="nil"/>
            </w:tcBorders>
            <w:vAlign w:val="center"/>
          </w:tcPr>
          <w:p>
            <w:pPr>
              <w:pStyle w:val="182"/>
              <w:bidi w:val="0"/>
              <w:ind w:firstLine="0" w:firstLineChars="0"/>
              <w:rPr>
                <w:rFonts w:hint="eastAsia"/>
                <w:b/>
                <w:bCs/>
                <w:color w:val="auto"/>
                <w:u w:val="single"/>
              </w:rPr>
            </w:pPr>
            <w:r>
              <w:rPr>
                <w:b/>
                <w:bCs/>
                <w:color w:val="auto"/>
                <w:u w:val="singl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11</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浓硫酸</w:t>
            </w:r>
          </w:p>
        </w:tc>
        <w:tc>
          <w:tcPr>
            <w:tcW w:w="1797"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w:t>
            </w:r>
          </w:p>
        </w:tc>
        <w:tc>
          <w:tcPr>
            <w:tcW w:w="1420" w:type="dxa"/>
            <w:tcBorders>
              <w:tl2br w:val="nil"/>
              <w:tr2bl w:val="nil"/>
            </w:tcBorders>
            <w:vAlign w:val="center"/>
          </w:tcPr>
          <w:p>
            <w:pPr>
              <w:pStyle w:val="182"/>
              <w:bidi w:val="0"/>
              <w:ind w:firstLine="0" w:firstLineChars="0"/>
              <w:rPr>
                <w:rFonts w:hint="default"/>
                <w:b/>
                <w:bCs/>
                <w:color w:val="auto"/>
                <w:u w:val="single"/>
              </w:rPr>
            </w:pPr>
            <w:r>
              <w:rPr>
                <w:rFonts w:hint="default"/>
                <w:b/>
                <w:bCs/>
                <w:color w:val="auto"/>
                <w:u w:val="single"/>
              </w:rPr>
              <w:t>4.2</w:t>
            </w:r>
            <w:r>
              <w:rPr>
                <w:rFonts w:hint="eastAsia"/>
                <w:b/>
                <w:bCs/>
                <w:color w:val="auto"/>
                <w:u w:val="single"/>
                <w:lang w:eastAsia="zh-CN"/>
              </w:rPr>
              <w:t>1</w:t>
            </w:r>
          </w:p>
        </w:tc>
        <w:tc>
          <w:tcPr>
            <w:tcW w:w="2169" w:type="dxa"/>
            <w:tcBorders>
              <w:tl2br w:val="nil"/>
              <w:tr2bl w:val="nil"/>
            </w:tcBorders>
            <w:vAlign w:val="center"/>
          </w:tcPr>
          <w:p>
            <w:pPr>
              <w:pStyle w:val="182"/>
              <w:bidi w:val="0"/>
              <w:ind w:firstLine="0" w:firstLineChars="0"/>
              <w:rPr>
                <w:rFonts w:hint="eastAsia"/>
                <w:b/>
                <w:bCs/>
                <w:color w:val="auto"/>
                <w:u w:val="single"/>
              </w:rPr>
            </w:pPr>
            <w:r>
              <w:rPr>
                <w:rFonts w:hint="eastAsia"/>
                <w:b/>
                <w:bCs/>
                <w:color w:val="auto"/>
                <w:u w:val="singl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12</w:t>
            </w:r>
          </w:p>
        </w:tc>
        <w:tc>
          <w:tcPr>
            <w:tcW w:w="2755" w:type="dxa"/>
            <w:tcBorders>
              <w:tl2br w:val="nil"/>
              <w:tr2bl w:val="nil"/>
            </w:tcBorders>
            <w:vAlign w:val="center"/>
          </w:tcPr>
          <w:p>
            <w:pPr>
              <w:pStyle w:val="182"/>
              <w:bidi w:val="0"/>
              <w:ind w:firstLine="0" w:firstLineChars="0"/>
              <w:rPr>
                <w:b/>
                <w:bCs/>
                <w:color w:val="auto"/>
                <w:u w:val="single"/>
              </w:rPr>
            </w:pPr>
            <w:r>
              <w:rPr>
                <w:b/>
                <w:bCs/>
                <w:color w:val="auto"/>
                <w:u w:val="single"/>
              </w:rPr>
              <w:t>碱液（32%）</w:t>
            </w:r>
          </w:p>
        </w:tc>
        <w:tc>
          <w:tcPr>
            <w:tcW w:w="1797"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13.3</w:t>
            </w:r>
          </w:p>
        </w:tc>
        <w:tc>
          <w:tcPr>
            <w:tcW w:w="1420" w:type="dxa"/>
            <w:tcBorders>
              <w:tl2br w:val="nil"/>
              <w:tr2bl w:val="nil"/>
            </w:tcBorders>
            <w:vAlign w:val="center"/>
          </w:tcPr>
          <w:p>
            <w:pPr>
              <w:pStyle w:val="182"/>
              <w:bidi w:val="0"/>
              <w:ind w:firstLine="0" w:firstLineChars="0"/>
              <w:rPr>
                <w:b/>
                <w:bCs/>
                <w:color w:val="auto"/>
                <w:u w:val="single"/>
              </w:rPr>
            </w:pPr>
            <w:r>
              <w:rPr>
                <w:rFonts w:hint="eastAsia"/>
                <w:b/>
                <w:bCs/>
                <w:color w:val="auto"/>
                <w:u w:val="single"/>
              </w:rPr>
              <w:t>80</w:t>
            </w:r>
          </w:p>
        </w:tc>
        <w:tc>
          <w:tcPr>
            <w:tcW w:w="2169" w:type="dxa"/>
            <w:tcBorders>
              <w:tl2br w:val="nil"/>
              <w:tr2bl w:val="nil"/>
            </w:tcBorders>
            <w:vAlign w:val="center"/>
          </w:tcPr>
          <w:p>
            <w:pPr>
              <w:pStyle w:val="182"/>
              <w:bidi w:val="0"/>
              <w:ind w:firstLine="0" w:firstLineChars="0"/>
              <w:rPr>
                <w:rFonts w:hint="eastAsia"/>
                <w:b/>
                <w:bCs/>
                <w:color w:val="auto"/>
                <w:u w:val="single"/>
              </w:rPr>
            </w:pPr>
            <w:r>
              <w:rPr>
                <w:rFonts w:hint="eastAsia"/>
                <w:b/>
                <w:bCs/>
                <w:color w:val="auto"/>
                <w:u w:val="single"/>
              </w:rPr>
              <w:t>利用公司其他项目产生的废碱液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062" w:type="dxa"/>
            <w:gridSpan w:val="5"/>
            <w:tcBorders>
              <w:tl2br w:val="nil"/>
              <w:tr2bl w:val="nil"/>
            </w:tcBorders>
            <w:vAlign w:val="center"/>
          </w:tcPr>
          <w:p>
            <w:pPr>
              <w:pStyle w:val="182"/>
              <w:bidi w:val="0"/>
              <w:rPr>
                <w:color w:val="auto"/>
              </w:rPr>
            </w:pPr>
            <w:r>
              <w:rPr>
                <w:rFonts w:hint="eastAsia"/>
                <w:color w:val="auto"/>
              </w:rPr>
              <w:t>年产10万吨高品质超细旦氨纶纤维项目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1</w:t>
            </w:r>
          </w:p>
        </w:tc>
        <w:tc>
          <w:tcPr>
            <w:tcW w:w="2755" w:type="dxa"/>
            <w:tcBorders>
              <w:tl2br w:val="nil"/>
              <w:tr2bl w:val="nil"/>
            </w:tcBorders>
            <w:vAlign w:val="center"/>
          </w:tcPr>
          <w:p>
            <w:pPr>
              <w:pStyle w:val="182"/>
              <w:bidi w:val="0"/>
              <w:rPr>
                <w:color w:val="auto"/>
              </w:rPr>
            </w:pPr>
            <w:r>
              <w:rPr>
                <w:rFonts w:hint="eastAsia"/>
                <w:color w:val="auto"/>
              </w:rPr>
              <w:t>聚四亚甲基醚二醇（PTMG）</w:t>
            </w:r>
          </w:p>
        </w:tc>
        <w:tc>
          <w:tcPr>
            <w:tcW w:w="1797" w:type="dxa"/>
            <w:tcBorders>
              <w:tl2br w:val="nil"/>
              <w:tr2bl w:val="nil"/>
            </w:tcBorders>
            <w:vAlign w:val="center"/>
          </w:tcPr>
          <w:p>
            <w:pPr>
              <w:pStyle w:val="182"/>
              <w:bidi w:val="0"/>
              <w:rPr>
                <w:color w:val="auto"/>
              </w:rPr>
            </w:pPr>
            <w:r>
              <w:rPr>
                <w:rFonts w:hint="eastAsia"/>
                <w:color w:val="auto"/>
              </w:rPr>
              <w:t>7</w:t>
            </w:r>
            <w:r>
              <w:rPr>
                <w:color w:val="auto"/>
              </w:rPr>
              <w:t>81</w:t>
            </w:r>
          </w:p>
        </w:tc>
        <w:tc>
          <w:tcPr>
            <w:tcW w:w="1420" w:type="dxa"/>
            <w:tcBorders>
              <w:tl2br w:val="nil"/>
              <w:tr2bl w:val="nil"/>
            </w:tcBorders>
            <w:vAlign w:val="center"/>
          </w:tcPr>
          <w:p>
            <w:pPr>
              <w:pStyle w:val="182"/>
              <w:bidi w:val="0"/>
              <w:rPr>
                <w:color w:val="auto"/>
              </w:rPr>
            </w:pPr>
            <w:r>
              <w:rPr>
                <w:rFonts w:hint="eastAsia"/>
                <w:color w:val="auto"/>
              </w:rPr>
              <w:t>7</w:t>
            </w:r>
            <w:r>
              <w:rPr>
                <w:color w:val="auto"/>
              </w:rPr>
              <w:t>8100</w:t>
            </w:r>
          </w:p>
        </w:tc>
        <w:tc>
          <w:tcPr>
            <w:tcW w:w="2169" w:type="dxa"/>
            <w:tcBorders>
              <w:tl2br w:val="nil"/>
              <w:tr2bl w:val="nil"/>
            </w:tcBorders>
            <w:vAlign w:val="center"/>
          </w:tcPr>
          <w:p>
            <w:pPr>
              <w:pStyle w:val="182"/>
              <w:bidi w:val="0"/>
              <w:rPr>
                <w:color w:val="auto"/>
              </w:rPr>
            </w:pPr>
            <w:r>
              <w:rPr>
                <w:rFonts w:hint="eastAsia"/>
                <w:color w:val="auto"/>
              </w:rPr>
              <w:t>储罐，60℃保温，氮封储存，压力2000pa。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2</w:t>
            </w:r>
          </w:p>
        </w:tc>
        <w:tc>
          <w:tcPr>
            <w:tcW w:w="2755" w:type="dxa"/>
            <w:tcBorders>
              <w:tl2br w:val="nil"/>
              <w:tr2bl w:val="nil"/>
            </w:tcBorders>
            <w:vAlign w:val="center"/>
          </w:tcPr>
          <w:p>
            <w:pPr>
              <w:pStyle w:val="182"/>
              <w:bidi w:val="0"/>
              <w:rPr>
                <w:color w:val="auto"/>
              </w:rPr>
            </w:pPr>
            <w:r>
              <w:rPr>
                <w:rFonts w:hint="eastAsia"/>
                <w:color w:val="auto"/>
              </w:rPr>
              <w:t>4,4</w:t>
            </w:r>
            <w:r>
              <w:rPr>
                <w:rFonts w:hint="eastAsia"/>
                <w:color w:val="auto"/>
                <w:lang w:eastAsia="zh-CN"/>
              </w:rPr>
              <w:t>－</w:t>
            </w:r>
            <w:r>
              <w:rPr>
                <w:rFonts w:hint="eastAsia"/>
                <w:color w:val="auto"/>
              </w:rPr>
              <w:t>二苯基甲烷二异氰酸酯（</w:t>
            </w:r>
            <w:r>
              <w:rPr>
                <w:color w:val="auto"/>
              </w:rPr>
              <w:t>MDI</w:t>
            </w:r>
            <w:r>
              <w:rPr>
                <w:rFonts w:hint="eastAsia"/>
                <w:color w:val="auto"/>
              </w:rPr>
              <w:t>）</w:t>
            </w:r>
          </w:p>
        </w:tc>
        <w:tc>
          <w:tcPr>
            <w:tcW w:w="1797" w:type="dxa"/>
            <w:tcBorders>
              <w:tl2br w:val="nil"/>
              <w:tr2bl w:val="nil"/>
            </w:tcBorders>
            <w:vAlign w:val="center"/>
          </w:tcPr>
          <w:p>
            <w:pPr>
              <w:pStyle w:val="182"/>
              <w:bidi w:val="0"/>
              <w:rPr>
                <w:color w:val="auto"/>
              </w:rPr>
            </w:pPr>
            <w:r>
              <w:rPr>
                <w:rFonts w:hint="eastAsia"/>
                <w:color w:val="auto"/>
              </w:rPr>
              <w:t>1</w:t>
            </w:r>
            <w:r>
              <w:rPr>
                <w:color w:val="auto"/>
              </w:rPr>
              <w:t>80.4</w:t>
            </w:r>
          </w:p>
        </w:tc>
        <w:tc>
          <w:tcPr>
            <w:tcW w:w="1420" w:type="dxa"/>
            <w:tcBorders>
              <w:tl2br w:val="nil"/>
              <w:tr2bl w:val="nil"/>
            </w:tcBorders>
            <w:vAlign w:val="center"/>
          </w:tcPr>
          <w:p>
            <w:pPr>
              <w:pStyle w:val="182"/>
              <w:bidi w:val="0"/>
              <w:rPr>
                <w:color w:val="auto"/>
              </w:rPr>
            </w:pPr>
            <w:r>
              <w:rPr>
                <w:rFonts w:hint="eastAsia"/>
                <w:color w:val="auto"/>
              </w:rPr>
              <w:t>1</w:t>
            </w:r>
            <w:r>
              <w:rPr>
                <w:color w:val="auto"/>
              </w:rPr>
              <w:t>8040</w:t>
            </w:r>
          </w:p>
        </w:tc>
        <w:tc>
          <w:tcPr>
            <w:tcW w:w="2169" w:type="dxa"/>
            <w:tcBorders>
              <w:tl2br w:val="nil"/>
              <w:tr2bl w:val="nil"/>
            </w:tcBorders>
            <w:vAlign w:val="center"/>
          </w:tcPr>
          <w:p>
            <w:pPr>
              <w:pStyle w:val="182"/>
              <w:bidi w:val="0"/>
              <w:rPr>
                <w:color w:val="auto"/>
              </w:rPr>
            </w:pPr>
            <w:r>
              <w:rPr>
                <w:rFonts w:hint="eastAsia"/>
                <w:color w:val="auto"/>
              </w:rPr>
              <w:t>储罐，</w:t>
            </w:r>
            <w:r>
              <w:rPr>
                <w:color w:val="auto"/>
              </w:rPr>
              <w:t>45</w:t>
            </w:r>
            <w:r>
              <w:rPr>
                <w:rFonts w:hint="eastAsia"/>
                <w:color w:val="auto"/>
              </w:rPr>
              <w:t>℃保温，氮封储存，压力2000pa。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3</w:t>
            </w:r>
          </w:p>
        </w:tc>
        <w:tc>
          <w:tcPr>
            <w:tcW w:w="2755" w:type="dxa"/>
            <w:tcBorders>
              <w:tl2br w:val="nil"/>
              <w:tr2bl w:val="nil"/>
            </w:tcBorders>
            <w:vAlign w:val="center"/>
          </w:tcPr>
          <w:p>
            <w:pPr>
              <w:pStyle w:val="182"/>
              <w:bidi w:val="0"/>
              <w:rPr>
                <w:color w:val="auto"/>
              </w:rPr>
            </w:pPr>
            <w:r>
              <w:rPr>
                <w:rFonts w:hint="eastAsia"/>
                <w:color w:val="auto"/>
              </w:rPr>
              <w:t>扩链剂（乙二胺、丙二胺）</w:t>
            </w:r>
          </w:p>
        </w:tc>
        <w:tc>
          <w:tcPr>
            <w:tcW w:w="1797" w:type="dxa"/>
            <w:tcBorders>
              <w:tl2br w:val="nil"/>
              <w:tr2bl w:val="nil"/>
            </w:tcBorders>
            <w:vAlign w:val="center"/>
          </w:tcPr>
          <w:p>
            <w:pPr>
              <w:pStyle w:val="182"/>
              <w:bidi w:val="0"/>
              <w:rPr>
                <w:color w:val="auto"/>
              </w:rPr>
            </w:pPr>
            <w:r>
              <w:rPr>
                <w:color w:val="auto"/>
              </w:rPr>
              <w:t>20</w:t>
            </w:r>
          </w:p>
        </w:tc>
        <w:tc>
          <w:tcPr>
            <w:tcW w:w="1420" w:type="dxa"/>
            <w:tcBorders>
              <w:tl2br w:val="nil"/>
              <w:tr2bl w:val="nil"/>
            </w:tcBorders>
            <w:vAlign w:val="center"/>
          </w:tcPr>
          <w:p>
            <w:pPr>
              <w:pStyle w:val="182"/>
              <w:bidi w:val="0"/>
              <w:rPr>
                <w:color w:val="auto"/>
              </w:rPr>
            </w:pPr>
            <w:r>
              <w:rPr>
                <w:rFonts w:hint="eastAsia"/>
                <w:color w:val="auto"/>
              </w:rPr>
              <w:t>2</w:t>
            </w:r>
            <w:r>
              <w:rPr>
                <w:color w:val="auto"/>
              </w:rPr>
              <w:t>000</w:t>
            </w:r>
          </w:p>
        </w:tc>
        <w:tc>
          <w:tcPr>
            <w:tcW w:w="2169" w:type="dxa"/>
            <w:tcBorders>
              <w:tl2br w:val="nil"/>
              <w:tr2bl w:val="nil"/>
            </w:tcBorders>
            <w:vAlign w:val="center"/>
          </w:tcPr>
          <w:p>
            <w:pPr>
              <w:pStyle w:val="182"/>
              <w:bidi w:val="0"/>
              <w:rPr>
                <w:color w:val="auto"/>
              </w:rPr>
            </w:pPr>
            <w:r>
              <w:rPr>
                <w:rFonts w:hint="eastAsia"/>
                <w:color w:val="auto"/>
              </w:rPr>
              <w:t>依托现有乙二胺储罐，丙二胺为桶装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4</w:t>
            </w:r>
          </w:p>
        </w:tc>
        <w:tc>
          <w:tcPr>
            <w:tcW w:w="2755" w:type="dxa"/>
            <w:tcBorders>
              <w:tl2br w:val="nil"/>
              <w:tr2bl w:val="nil"/>
            </w:tcBorders>
            <w:vAlign w:val="center"/>
          </w:tcPr>
          <w:p>
            <w:pPr>
              <w:pStyle w:val="182"/>
              <w:bidi w:val="0"/>
              <w:rPr>
                <w:color w:val="auto"/>
              </w:rPr>
            </w:pPr>
            <w:r>
              <w:rPr>
                <w:rFonts w:hint="eastAsia"/>
                <w:color w:val="auto"/>
              </w:rPr>
              <w:t>添加剂（黄变防止剂）</w:t>
            </w:r>
          </w:p>
        </w:tc>
        <w:tc>
          <w:tcPr>
            <w:tcW w:w="1797" w:type="dxa"/>
            <w:tcBorders>
              <w:tl2br w:val="nil"/>
              <w:tr2bl w:val="nil"/>
            </w:tcBorders>
            <w:vAlign w:val="center"/>
          </w:tcPr>
          <w:p>
            <w:pPr>
              <w:pStyle w:val="182"/>
              <w:bidi w:val="0"/>
              <w:rPr>
                <w:color w:val="auto"/>
              </w:rPr>
            </w:pPr>
            <w:r>
              <w:rPr>
                <w:color w:val="auto"/>
              </w:rPr>
              <w:t>33</w:t>
            </w:r>
          </w:p>
        </w:tc>
        <w:tc>
          <w:tcPr>
            <w:tcW w:w="1420" w:type="dxa"/>
            <w:tcBorders>
              <w:tl2br w:val="nil"/>
              <w:tr2bl w:val="nil"/>
            </w:tcBorders>
            <w:vAlign w:val="center"/>
          </w:tcPr>
          <w:p>
            <w:pPr>
              <w:pStyle w:val="182"/>
              <w:bidi w:val="0"/>
              <w:rPr>
                <w:color w:val="auto"/>
              </w:rPr>
            </w:pPr>
            <w:r>
              <w:rPr>
                <w:rFonts w:hint="eastAsia"/>
                <w:color w:val="auto"/>
              </w:rPr>
              <w:t>3</w:t>
            </w:r>
            <w:r>
              <w:rPr>
                <w:color w:val="auto"/>
              </w:rPr>
              <w:t>300</w:t>
            </w:r>
          </w:p>
        </w:tc>
        <w:tc>
          <w:tcPr>
            <w:tcW w:w="2169" w:type="dxa"/>
            <w:tcBorders>
              <w:tl2br w:val="nil"/>
              <w:tr2bl w:val="nil"/>
            </w:tcBorders>
            <w:vAlign w:val="center"/>
          </w:tcPr>
          <w:p>
            <w:pPr>
              <w:pStyle w:val="182"/>
              <w:bidi w:val="0"/>
              <w:rPr>
                <w:color w:val="auto"/>
              </w:rPr>
            </w:pPr>
            <w:r>
              <w:rPr>
                <w:rFonts w:hint="eastAsia"/>
                <w:color w:val="auto"/>
              </w:rPr>
              <w:t>箱、桶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5</w:t>
            </w:r>
          </w:p>
        </w:tc>
        <w:tc>
          <w:tcPr>
            <w:tcW w:w="2755" w:type="dxa"/>
            <w:tcBorders>
              <w:tl2br w:val="nil"/>
              <w:tr2bl w:val="nil"/>
            </w:tcBorders>
            <w:vAlign w:val="center"/>
          </w:tcPr>
          <w:p>
            <w:pPr>
              <w:pStyle w:val="182"/>
              <w:bidi w:val="0"/>
              <w:rPr>
                <w:color w:val="auto"/>
              </w:rPr>
            </w:pPr>
            <w:r>
              <w:rPr>
                <w:rFonts w:hint="eastAsia"/>
                <w:color w:val="auto"/>
              </w:rPr>
              <w:t>N,N</w:t>
            </w:r>
            <w:r>
              <w:rPr>
                <w:rFonts w:hint="eastAsia"/>
                <w:color w:val="auto"/>
                <w:lang w:eastAsia="zh-CN"/>
              </w:rPr>
              <w:t>－</w:t>
            </w:r>
            <w:r>
              <w:rPr>
                <w:rFonts w:hint="eastAsia"/>
                <w:color w:val="auto"/>
              </w:rPr>
              <w:t>二甲基乙酰胺（DMAC）</w:t>
            </w:r>
          </w:p>
        </w:tc>
        <w:tc>
          <w:tcPr>
            <w:tcW w:w="1797" w:type="dxa"/>
            <w:tcBorders>
              <w:tl2br w:val="nil"/>
              <w:tr2bl w:val="nil"/>
            </w:tcBorders>
            <w:vAlign w:val="center"/>
          </w:tcPr>
          <w:p>
            <w:pPr>
              <w:pStyle w:val="182"/>
              <w:bidi w:val="0"/>
              <w:rPr>
                <w:color w:val="auto"/>
              </w:rPr>
            </w:pPr>
            <w:r>
              <w:rPr>
                <w:rFonts w:hint="eastAsia"/>
                <w:color w:val="auto"/>
              </w:rPr>
              <w:t>28</w:t>
            </w:r>
          </w:p>
        </w:tc>
        <w:tc>
          <w:tcPr>
            <w:tcW w:w="1420" w:type="dxa"/>
            <w:tcBorders>
              <w:tl2br w:val="nil"/>
              <w:tr2bl w:val="nil"/>
            </w:tcBorders>
            <w:vAlign w:val="center"/>
          </w:tcPr>
          <w:p>
            <w:pPr>
              <w:pStyle w:val="182"/>
              <w:bidi w:val="0"/>
              <w:rPr>
                <w:color w:val="auto"/>
              </w:rPr>
            </w:pPr>
            <w:r>
              <w:rPr>
                <w:rFonts w:hint="eastAsia"/>
                <w:color w:val="auto"/>
              </w:rPr>
              <w:t>2800</w:t>
            </w:r>
          </w:p>
        </w:tc>
        <w:tc>
          <w:tcPr>
            <w:tcW w:w="2169" w:type="dxa"/>
            <w:tcBorders>
              <w:tl2br w:val="nil"/>
              <w:tr2bl w:val="nil"/>
            </w:tcBorders>
            <w:vAlign w:val="center"/>
          </w:tcPr>
          <w:p>
            <w:pPr>
              <w:pStyle w:val="182"/>
              <w:bidi w:val="0"/>
              <w:rPr>
                <w:color w:val="auto"/>
              </w:rPr>
            </w:pPr>
            <w:r>
              <w:rPr>
                <w:rFonts w:hint="eastAsia"/>
                <w:color w:val="auto"/>
              </w:rPr>
              <w:t>依托现有DMAC储罐，氮封储存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6</w:t>
            </w:r>
          </w:p>
        </w:tc>
        <w:tc>
          <w:tcPr>
            <w:tcW w:w="2755" w:type="dxa"/>
            <w:tcBorders>
              <w:tl2br w:val="nil"/>
              <w:tr2bl w:val="nil"/>
            </w:tcBorders>
            <w:vAlign w:val="center"/>
          </w:tcPr>
          <w:p>
            <w:pPr>
              <w:pStyle w:val="182"/>
              <w:bidi w:val="0"/>
              <w:rPr>
                <w:color w:val="auto"/>
              </w:rPr>
            </w:pPr>
            <w:r>
              <w:rPr>
                <w:rFonts w:hint="eastAsia"/>
                <w:color w:val="auto"/>
              </w:rPr>
              <w:t>油剂（白油等，进口）</w:t>
            </w:r>
          </w:p>
        </w:tc>
        <w:tc>
          <w:tcPr>
            <w:tcW w:w="1797" w:type="dxa"/>
            <w:tcBorders>
              <w:tl2br w:val="nil"/>
              <w:tr2bl w:val="nil"/>
            </w:tcBorders>
            <w:vAlign w:val="center"/>
          </w:tcPr>
          <w:p>
            <w:pPr>
              <w:pStyle w:val="182"/>
              <w:bidi w:val="0"/>
              <w:rPr>
                <w:color w:val="auto"/>
              </w:rPr>
            </w:pPr>
            <w:r>
              <w:rPr>
                <w:color w:val="auto"/>
              </w:rPr>
              <w:t>40</w:t>
            </w:r>
          </w:p>
        </w:tc>
        <w:tc>
          <w:tcPr>
            <w:tcW w:w="1420" w:type="dxa"/>
            <w:tcBorders>
              <w:tl2br w:val="nil"/>
              <w:tr2bl w:val="nil"/>
            </w:tcBorders>
            <w:vAlign w:val="center"/>
          </w:tcPr>
          <w:p>
            <w:pPr>
              <w:pStyle w:val="182"/>
              <w:bidi w:val="0"/>
              <w:rPr>
                <w:color w:val="auto"/>
              </w:rPr>
            </w:pPr>
            <w:r>
              <w:rPr>
                <w:rFonts w:hint="eastAsia"/>
                <w:color w:val="auto"/>
              </w:rPr>
              <w:t>4</w:t>
            </w:r>
            <w:r>
              <w:rPr>
                <w:color w:val="auto"/>
              </w:rPr>
              <w:t>000</w:t>
            </w:r>
          </w:p>
        </w:tc>
        <w:tc>
          <w:tcPr>
            <w:tcW w:w="2169" w:type="dxa"/>
            <w:tcBorders>
              <w:tl2br w:val="nil"/>
              <w:tr2bl w:val="nil"/>
            </w:tcBorders>
            <w:vAlign w:val="center"/>
          </w:tcPr>
          <w:p>
            <w:pPr>
              <w:pStyle w:val="182"/>
              <w:bidi w:val="0"/>
              <w:rPr>
                <w:color w:val="auto"/>
              </w:rPr>
            </w:pPr>
            <w:r>
              <w:rPr>
                <w:rFonts w:hint="eastAsia"/>
                <w:color w:val="auto"/>
              </w:rPr>
              <w:t>桶装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7</w:t>
            </w:r>
          </w:p>
        </w:tc>
        <w:tc>
          <w:tcPr>
            <w:tcW w:w="2755" w:type="dxa"/>
            <w:tcBorders>
              <w:tl2br w:val="nil"/>
              <w:tr2bl w:val="nil"/>
            </w:tcBorders>
            <w:vAlign w:val="center"/>
          </w:tcPr>
          <w:p>
            <w:pPr>
              <w:pStyle w:val="182"/>
              <w:bidi w:val="0"/>
              <w:rPr>
                <w:color w:val="auto"/>
              </w:rPr>
            </w:pPr>
            <w:r>
              <w:rPr>
                <w:color w:val="auto"/>
              </w:rPr>
              <w:t>蒸汽（平均）</w:t>
            </w:r>
          </w:p>
        </w:tc>
        <w:tc>
          <w:tcPr>
            <w:tcW w:w="1797" w:type="dxa"/>
            <w:tcBorders>
              <w:tl2br w:val="nil"/>
              <w:tr2bl w:val="nil"/>
            </w:tcBorders>
            <w:vAlign w:val="center"/>
          </w:tcPr>
          <w:p>
            <w:pPr>
              <w:pStyle w:val="182"/>
              <w:bidi w:val="0"/>
              <w:rPr>
                <w:color w:val="auto"/>
              </w:rPr>
            </w:pPr>
            <w:r>
              <w:rPr>
                <w:rFonts w:hint="eastAsia"/>
                <w:color w:val="auto"/>
              </w:rPr>
              <w:t>106.25</w:t>
            </w:r>
          </w:p>
        </w:tc>
        <w:tc>
          <w:tcPr>
            <w:tcW w:w="1420" w:type="dxa"/>
            <w:tcBorders>
              <w:tl2br w:val="nil"/>
              <w:tr2bl w:val="nil"/>
            </w:tcBorders>
            <w:vAlign w:val="center"/>
          </w:tcPr>
          <w:p>
            <w:pPr>
              <w:pStyle w:val="182"/>
              <w:bidi w:val="0"/>
              <w:rPr>
                <w:color w:val="auto"/>
              </w:rPr>
            </w:pPr>
            <w:r>
              <w:rPr>
                <w:rFonts w:hint="eastAsia"/>
                <w:color w:val="auto"/>
              </w:rPr>
              <w:t>85万</w:t>
            </w:r>
          </w:p>
        </w:tc>
        <w:tc>
          <w:tcPr>
            <w:tcW w:w="2169" w:type="dxa"/>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8</w:t>
            </w:r>
          </w:p>
        </w:tc>
        <w:tc>
          <w:tcPr>
            <w:tcW w:w="2755" w:type="dxa"/>
            <w:tcBorders>
              <w:tl2br w:val="nil"/>
              <w:tr2bl w:val="nil"/>
            </w:tcBorders>
            <w:vAlign w:val="center"/>
          </w:tcPr>
          <w:p>
            <w:pPr>
              <w:pStyle w:val="182"/>
              <w:bidi w:val="0"/>
              <w:rPr>
                <w:color w:val="auto"/>
              </w:rPr>
            </w:pPr>
            <w:r>
              <w:rPr>
                <w:color w:val="auto"/>
              </w:rPr>
              <w:t>电（万kwh）</w:t>
            </w:r>
          </w:p>
        </w:tc>
        <w:tc>
          <w:tcPr>
            <w:tcW w:w="1797" w:type="dxa"/>
            <w:tcBorders>
              <w:tl2br w:val="nil"/>
              <w:tr2bl w:val="nil"/>
            </w:tcBorders>
            <w:vAlign w:val="center"/>
          </w:tcPr>
          <w:p>
            <w:pPr>
              <w:pStyle w:val="182"/>
              <w:bidi w:val="0"/>
              <w:rPr>
                <w:color w:val="auto"/>
              </w:rPr>
            </w:pPr>
            <w:r>
              <w:rPr>
                <w:color w:val="auto"/>
              </w:rPr>
              <w:t>0.4123</w:t>
            </w:r>
          </w:p>
        </w:tc>
        <w:tc>
          <w:tcPr>
            <w:tcW w:w="1420" w:type="dxa"/>
            <w:tcBorders>
              <w:tl2br w:val="nil"/>
              <w:tr2bl w:val="nil"/>
            </w:tcBorders>
            <w:vAlign w:val="center"/>
          </w:tcPr>
          <w:p>
            <w:pPr>
              <w:pStyle w:val="182"/>
              <w:bidi w:val="0"/>
              <w:rPr>
                <w:color w:val="auto"/>
              </w:rPr>
            </w:pPr>
            <w:r>
              <w:rPr>
                <w:color w:val="auto"/>
              </w:rPr>
              <w:t>41230</w:t>
            </w:r>
          </w:p>
        </w:tc>
        <w:tc>
          <w:tcPr>
            <w:tcW w:w="2169" w:type="dxa"/>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9</w:t>
            </w:r>
          </w:p>
        </w:tc>
        <w:tc>
          <w:tcPr>
            <w:tcW w:w="2755" w:type="dxa"/>
            <w:tcBorders>
              <w:tl2br w:val="nil"/>
              <w:tr2bl w:val="nil"/>
            </w:tcBorders>
            <w:vAlign w:val="center"/>
          </w:tcPr>
          <w:p>
            <w:pPr>
              <w:pStyle w:val="182"/>
              <w:bidi w:val="0"/>
              <w:rPr>
                <w:color w:val="auto"/>
              </w:rPr>
            </w:pPr>
            <w:r>
              <w:rPr>
                <w:color w:val="auto"/>
              </w:rPr>
              <w:t>脱盐水</w:t>
            </w:r>
          </w:p>
        </w:tc>
        <w:tc>
          <w:tcPr>
            <w:tcW w:w="1797" w:type="dxa"/>
            <w:tcBorders>
              <w:tl2br w:val="nil"/>
              <w:tr2bl w:val="nil"/>
            </w:tcBorders>
            <w:vAlign w:val="center"/>
          </w:tcPr>
          <w:p>
            <w:pPr>
              <w:pStyle w:val="182"/>
              <w:bidi w:val="0"/>
              <w:rPr>
                <w:color w:val="auto"/>
              </w:rPr>
            </w:pPr>
            <w:r>
              <w:rPr>
                <w:color w:val="auto"/>
              </w:rPr>
              <w:t>2.06m3</w:t>
            </w:r>
            <w:r>
              <w:rPr>
                <w:rFonts w:hint="eastAsia"/>
                <w:color w:val="auto"/>
              </w:rPr>
              <w:t>/t</w:t>
            </w:r>
          </w:p>
        </w:tc>
        <w:tc>
          <w:tcPr>
            <w:tcW w:w="1420" w:type="dxa"/>
            <w:tcBorders>
              <w:tl2br w:val="nil"/>
              <w:tr2bl w:val="nil"/>
            </w:tcBorders>
            <w:vAlign w:val="center"/>
          </w:tcPr>
          <w:p>
            <w:pPr>
              <w:pStyle w:val="182"/>
              <w:bidi w:val="0"/>
              <w:rPr>
                <w:color w:val="auto"/>
              </w:rPr>
            </w:pPr>
            <w:r>
              <w:rPr>
                <w:color w:val="auto"/>
              </w:rPr>
              <w:t>20600m</w:t>
            </w:r>
            <w:r>
              <w:rPr>
                <w:color w:val="auto"/>
                <w:vertAlign w:val="superscript"/>
              </w:rPr>
              <w:t>3</w:t>
            </w:r>
          </w:p>
        </w:tc>
        <w:tc>
          <w:tcPr>
            <w:tcW w:w="2169" w:type="dxa"/>
            <w:tcBorders>
              <w:tl2br w:val="nil"/>
              <w:tr2bl w:val="nil"/>
            </w:tcBorders>
            <w:vAlign w:val="center"/>
          </w:tcPr>
          <w:p>
            <w:pPr>
              <w:pStyle w:val="182"/>
              <w:bidi w:val="0"/>
              <w:rPr>
                <w:color w:val="auto"/>
              </w:rPr>
            </w:pPr>
            <w:r>
              <w:rPr>
                <w:rFonts w:hint="eastAsia"/>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1</w:t>
            </w:r>
            <w:r>
              <w:rPr>
                <w:color w:val="auto"/>
              </w:rPr>
              <w:t>0</w:t>
            </w:r>
          </w:p>
        </w:tc>
        <w:tc>
          <w:tcPr>
            <w:tcW w:w="2755" w:type="dxa"/>
            <w:tcBorders>
              <w:tl2br w:val="nil"/>
              <w:tr2bl w:val="nil"/>
            </w:tcBorders>
            <w:vAlign w:val="center"/>
          </w:tcPr>
          <w:p>
            <w:pPr>
              <w:pStyle w:val="182"/>
              <w:bidi w:val="0"/>
              <w:rPr>
                <w:color w:val="auto"/>
              </w:rPr>
            </w:pPr>
            <w:r>
              <w:rPr>
                <w:color w:val="auto"/>
              </w:rPr>
              <w:t>碱液（32%）</w:t>
            </w:r>
          </w:p>
        </w:tc>
        <w:tc>
          <w:tcPr>
            <w:tcW w:w="1797" w:type="dxa"/>
            <w:tcBorders>
              <w:tl2br w:val="nil"/>
              <w:tr2bl w:val="nil"/>
            </w:tcBorders>
            <w:vAlign w:val="center"/>
          </w:tcPr>
          <w:p>
            <w:pPr>
              <w:pStyle w:val="182"/>
              <w:bidi w:val="0"/>
              <w:rPr>
                <w:color w:val="auto"/>
              </w:rPr>
            </w:pPr>
            <w:r>
              <w:rPr>
                <w:color w:val="auto"/>
              </w:rPr>
              <w:t>0.3</w:t>
            </w:r>
          </w:p>
        </w:tc>
        <w:tc>
          <w:tcPr>
            <w:tcW w:w="1420" w:type="dxa"/>
            <w:tcBorders>
              <w:tl2br w:val="nil"/>
              <w:tr2bl w:val="nil"/>
            </w:tcBorders>
            <w:vAlign w:val="center"/>
          </w:tcPr>
          <w:p>
            <w:pPr>
              <w:pStyle w:val="182"/>
              <w:bidi w:val="0"/>
              <w:rPr>
                <w:color w:val="auto"/>
              </w:rPr>
            </w:pPr>
            <w:r>
              <w:rPr>
                <w:color w:val="auto"/>
              </w:rPr>
              <w:t>30</w:t>
            </w:r>
          </w:p>
        </w:tc>
        <w:tc>
          <w:tcPr>
            <w:tcW w:w="2169" w:type="dxa"/>
            <w:tcBorders>
              <w:tl2br w:val="nil"/>
              <w:tr2bl w:val="nil"/>
            </w:tcBorders>
            <w:vAlign w:val="center"/>
          </w:tcPr>
          <w:p>
            <w:pPr>
              <w:pStyle w:val="182"/>
              <w:bidi w:val="0"/>
              <w:rPr>
                <w:color w:val="auto"/>
              </w:rPr>
            </w:pPr>
            <w:r>
              <w:rPr>
                <w:rFonts w:hint="eastAsia"/>
                <w:color w:val="auto"/>
              </w:rPr>
              <w:t>利用公司其他项目产生的废碱液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062" w:type="dxa"/>
            <w:gridSpan w:val="5"/>
            <w:tcBorders>
              <w:tl2br w:val="nil"/>
              <w:tr2bl w:val="nil"/>
            </w:tcBorders>
            <w:vAlign w:val="center"/>
          </w:tcPr>
          <w:p>
            <w:pPr>
              <w:pStyle w:val="182"/>
              <w:bidi w:val="0"/>
              <w:rPr>
                <w:color w:val="auto"/>
              </w:rPr>
            </w:pPr>
            <w:r>
              <w:rPr>
                <w:rFonts w:hint="eastAsia"/>
                <w:color w:val="auto"/>
              </w:rPr>
              <w:t>1×360t/h锅炉及2×B25MW热电联产项目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1</w:t>
            </w:r>
          </w:p>
        </w:tc>
        <w:tc>
          <w:tcPr>
            <w:tcW w:w="2755" w:type="dxa"/>
            <w:tcBorders>
              <w:tl2br w:val="nil"/>
              <w:tr2bl w:val="nil"/>
            </w:tcBorders>
            <w:vAlign w:val="center"/>
          </w:tcPr>
          <w:p>
            <w:pPr>
              <w:pStyle w:val="182"/>
              <w:bidi w:val="0"/>
              <w:rPr>
                <w:color w:val="auto"/>
              </w:rPr>
            </w:pPr>
            <w:r>
              <w:rPr>
                <w:rFonts w:hint="eastAsia"/>
                <w:color w:val="auto"/>
              </w:rPr>
              <w:t>燃煤</w:t>
            </w:r>
          </w:p>
        </w:tc>
        <w:tc>
          <w:tcPr>
            <w:tcW w:w="1797" w:type="dxa"/>
            <w:tcBorders>
              <w:tl2br w:val="nil"/>
              <w:tr2bl w:val="nil"/>
            </w:tcBorders>
            <w:vAlign w:val="center"/>
          </w:tcPr>
          <w:p>
            <w:pPr>
              <w:pStyle w:val="182"/>
              <w:bidi w:val="0"/>
              <w:rPr>
                <w:color w:val="auto"/>
              </w:rPr>
            </w:pPr>
            <w:r>
              <w:rPr>
                <w:color w:val="auto"/>
              </w:rPr>
              <w:t>/</w:t>
            </w:r>
          </w:p>
        </w:tc>
        <w:tc>
          <w:tcPr>
            <w:tcW w:w="1420" w:type="dxa"/>
            <w:tcBorders>
              <w:tl2br w:val="nil"/>
              <w:tr2bl w:val="nil"/>
            </w:tcBorders>
            <w:vAlign w:val="center"/>
          </w:tcPr>
          <w:p>
            <w:pPr>
              <w:pStyle w:val="182"/>
              <w:bidi w:val="0"/>
              <w:rPr>
                <w:color w:val="auto"/>
              </w:rPr>
            </w:pPr>
            <w:r>
              <w:rPr>
                <w:color w:val="auto"/>
              </w:rPr>
              <w:t>39.744</w:t>
            </w:r>
            <w:r>
              <w:rPr>
                <w:rFonts w:hint="eastAsia"/>
                <w:color w:val="auto"/>
              </w:rPr>
              <w:t>万</w:t>
            </w:r>
          </w:p>
        </w:tc>
        <w:tc>
          <w:tcPr>
            <w:tcW w:w="2169" w:type="dxa"/>
            <w:tcBorders>
              <w:tl2br w:val="nil"/>
              <w:tr2bl w:val="nil"/>
            </w:tcBorders>
            <w:vAlign w:val="center"/>
          </w:tcPr>
          <w:p>
            <w:pPr>
              <w:pStyle w:val="182"/>
              <w:bidi w:val="0"/>
              <w:rPr>
                <w:color w:val="auto"/>
              </w:rPr>
            </w:pPr>
            <w:r>
              <w:rPr>
                <w:rFonts w:hint="eastAsia"/>
                <w:color w:val="auto"/>
              </w:rPr>
              <w:t>封闭煤库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2</w:t>
            </w:r>
          </w:p>
        </w:tc>
        <w:tc>
          <w:tcPr>
            <w:tcW w:w="2755" w:type="dxa"/>
            <w:tcBorders>
              <w:tl2br w:val="nil"/>
              <w:tr2bl w:val="nil"/>
            </w:tcBorders>
            <w:vAlign w:val="center"/>
          </w:tcPr>
          <w:p>
            <w:pPr>
              <w:pStyle w:val="182"/>
              <w:bidi w:val="0"/>
              <w:rPr>
                <w:color w:val="auto"/>
              </w:rPr>
            </w:pPr>
            <w:r>
              <w:rPr>
                <w:rFonts w:hint="eastAsia"/>
                <w:color w:val="auto"/>
              </w:rPr>
              <w:t>氨水（1</w:t>
            </w:r>
            <w:r>
              <w:rPr>
                <w:color w:val="auto"/>
              </w:rPr>
              <w:t>5%</w:t>
            </w:r>
            <w:r>
              <w:rPr>
                <w:rFonts w:hint="eastAsia"/>
                <w:color w:val="auto"/>
              </w:rPr>
              <w:t>）</w:t>
            </w:r>
          </w:p>
        </w:tc>
        <w:tc>
          <w:tcPr>
            <w:tcW w:w="1797" w:type="dxa"/>
            <w:tcBorders>
              <w:tl2br w:val="nil"/>
              <w:tr2bl w:val="nil"/>
            </w:tcBorders>
            <w:vAlign w:val="center"/>
          </w:tcPr>
          <w:p>
            <w:pPr>
              <w:pStyle w:val="182"/>
              <w:bidi w:val="0"/>
              <w:rPr>
                <w:color w:val="auto"/>
              </w:rPr>
            </w:pPr>
            <w:r>
              <w:rPr>
                <w:color w:val="auto"/>
              </w:rPr>
              <w:t>/</w:t>
            </w:r>
          </w:p>
        </w:tc>
        <w:tc>
          <w:tcPr>
            <w:tcW w:w="1420" w:type="dxa"/>
            <w:tcBorders>
              <w:tl2br w:val="nil"/>
              <w:tr2bl w:val="nil"/>
            </w:tcBorders>
            <w:vAlign w:val="center"/>
          </w:tcPr>
          <w:p>
            <w:pPr>
              <w:pStyle w:val="182"/>
              <w:bidi w:val="0"/>
              <w:rPr>
                <w:color w:val="auto"/>
              </w:rPr>
            </w:pPr>
            <w:r>
              <w:rPr>
                <w:color w:val="auto"/>
              </w:rPr>
              <w:t>3146.4</w:t>
            </w:r>
          </w:p>
        </w:tc>
        <w:tc>
          <w:tcPr>
            <w:tcW w:w="2169" w:type="dxa"/>
            <w:tcBorders>
              <w:tl2br w:val="nil"/>
              <w:tr2bl w:val="nil"/>
            </w:tcBorders>
            <w:vAlign w:val="center"/>
          </w:tcPr>
          <w:p>
            <w:pPr>
              <w:pStyle w:val="182"/>
              <w:bidi w:val="0"/>
              <w:rPr>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color w:val="auto"/>
              </w:rPr>
              <w:t>3</w:t>
            </w:r>
          </w:p>
        </w:tc>
        <w:tc>
          <w:tcPr>
            <w:tcW w:w="2755" w:type="dxa"/>
            <w:tcBorders>
              <w:tl2br w:val="nil"/>
              <w:tr2bl w:val="nil"/>
            </w:tcBorders>
            <w:vAlign w:val="center"/>
          </w:tcPr>
          <w:p>
            <w:pPr>
              <w:pStyle w:val="182"/>
              <w:bidi w:val="0"/>
              <w:rPr>
                <w:color w:val="auto"/>
              </w:rPr>
            </w:pPr>
            <w:r>
              <w:rPr>
                <w:rFonts w:hint="eastAsia"/>
                <w:color w:val="auto"/>
              </w:rPr>
              <w:t>脱硫剂（废碱液）</w:t>
            </w:r>
          </w:p>
        </w:tc>
        <w:tc>
          <w:tcPr>
            <w:tcW w:w="1797" w:type="dxa"/>
            <w:tcBorders>
              <w:tl2br w:val="nil"/>
              <w:tr2bl w:val="nil"/>
            </w:tcBorders>
            <w:vAlign w:val="center"/>
          </w:tcPr>
          <w:p>
            <w:pPr>
              <w:pStyle w:val="182"/>
              <w:bidi w:val="0"/>
              <w:rPr>
                <w:color w:val="auto"/>
              </w:rPr>
            </w:pPr>
            <w:r>
              <w:rPr>
                <w:color w:val="auto"/>
              </w:rPr>
              <w:t>/</w:t>
            </w:r>
          </w:p>
        </w:tc>
        <w:tc>
          <w:tcPr>
            <w:tcW w:w="1420" w:type="dxa"/>
            <w:tcBorders>
              <w:tl2br w:val="nil"/>
              <w:tr2bl w:val="nil"/>
            </w:tcBorders>
            <w:vAlign w:val="center"/>
          </w:tcPr>
          <w:p>
            <w:pPr>
              <w:pStyle w:val="182"/>
              <w:bidi w:val="0"/>
              <w:rPr>
                <w:color w:val="auto"/>
              </w:rPr>
            </w:pPr>
            <w:r>
              <w:rPr>
                <w:color w:val="auto"/>
              </w:rPr>
              <w:t>10740</w:t>
            </w:r>
            <w:r>
              <w:rPr>
                <w:rFonts w:hint="eastAsia"/>
                <w:color w:val="auto"/>
              </w:rPr>
              <w:t>m</w:t>
            </w:r>
            <w:r>
              <w:rPr>
                <w:color w:val="auto"/>
                <w:vertAlign w:val="superscript"/>
              </w:rPr>
              <w:t>3</w:t>
            </w:r>
          </w:p>
        </w:tc>
        <w:tc>
          <w:tcPr>
            <w:tcW w:w="2169" w:type="dxa"/>
            <w:tcBorders>
              <w:tl2br w:val="nil"/>
              <w:tr2bl w:val="nil"/>
            </w:tcBorders>
            <w:vAlign w:val="center"/>
          </w:tcPr>
          <w:p>
            <w:pPr>
              <w:pStyle w:val="182"/>
              <w:bidi w:val="0"/>
              <w:rPr>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1" w:type="dxa"/>
            <w:tcBorders>
              <w:tl2br w:val="nil"/>
              <w:tr2bl w:val="nil"/>
            </w:tcBorders>
            <w:vAlign w:val="center"/>
          </w:tcPr>
          <w:p>
            <w:pPr>
              <w:pStyle w:val="182"/>
              <w:bidi w:val="0"/>
              <w:rPr>
                <w:color w:val="auto"/>
              </w:rPr>
            </w:pPr>
            <w:r>
              <w:rPr>
                <w:rFonts w:hint="eastAsia"/>
                <w:color w:val="auto"/>
              </w:rPr>
              <w:t>4</w:t>
            </w:r>
          </w:p>
        </w:tc>
        <w:tc>
          <w:tcPr>
            <w:tcW w:w="2755" w:type="dxa"/>
            <w:tcBorders>
              <w:tl2br w:val="nil"/>
              <w:tr2bl w:val="nil"/>
            </w:tcBorders>
            <w:vAlign w:val="center"/>
          </w:tcPr>
          <w:p>
            <w:pPr>
              <w:pStyle w:val="182"/>
              <w:bidi w:val="0"/>
              <w:rPr>
                <w:color w:val="auto"/>
              </w:rPr>
            </w:pPr>
            <w:r>
              <w:rPr>
                <w:rFonts w:hint="eastAsia"/>
                <w:color w:val="auto"/>
              </w:rPr>
              <w:t>醇基燃料（点火）</w:t>
            </w:r>
          </w:p>
        </w:tc>
        <w:tc>
          <w:tcPr>
            <w:tcW w:w="1797" w:type="dxa"/>
            <w:tcBorders>
              <w:tl2br w:val="nil"/>
              <w:tr2bl w:val="nil"/>
            </w:tcBorders>
            <w:vAlign w:val="center"/>
          </w:tcPr>
          <w:p>
            <w:pPr>
              <w:pStyle w:val="182"/>
              <w:bidi w:val="0"/>
              <w:rPr>
                <w:color w:val="auto"/>
              </w:rPr>
            </w:pPr>
            <w:r>
              <w:rPr>
                <w:rFonts w:hint="eastAsia"/>
                <w:color w:val="auto"/>
              </w:rPr>
              <w:t>/</w:t>
            </w:r>
          </w:p>
        </w:tc>
        <w:tc>
          <w:tcPr>
            <w:tcW w:w="1420" w:type="dxa"/>
            <w:tcBorders>
              <w:tl2br w:val="nil"/>
              <w:tr2bl w:val="nil"/>
            </w:tcBorders>
            <w:vAlign w:val="center"/>
          </w:tcPr>
          <w:p>
            <w:pPr>
              <w:pStyle w:val="182"/>
              <w:bidi w:val="0"/>
              <w:rPr>
                <w:color w:val="auto"/>
              </w:rPr>
            </w:pPr>
            <w:r>
              <w:rPr>
                <w:rFonts w:hint="eastAsia"/>
                <w:color w:val="auto"/>
              </w:rPr>
              <w:t>1</w:t>
            </w:r>
            <w:r>
              <w:rPr>
                <w:color w:val="auto"/>
              </w:rPr>
              <w:t>50</w:t>
            </w:r>
          </w:p>
        </w:tc>
        <w:tc>
          <w:tcPr>
            <w:tcW w:w="2169" w:type="dxa"/>
            <w:tcBorders>
              <w:tl2br w:val="nil"/>
              <w:tr2bl w:val="nil"/>
            </w:tcBorders>
            <w:vAlign w:val="center"/>
          </w:tcPr>
          <w:p>
            <w:pPr>
              <w:pStyle w:val="182"/>
              <w:bidi w:val="0"/>
              <w:rPr>
                <w:color w:val="auto"/>
              </w:rPr>
            </w:pPr>
            <w:r>
              <w:rPr>
                <w:rFonts w:hint="eastAsia"/>
                <w:color w:val="auto"/>
              </w:rPr>
              <w:t>储罐</w:t>
            </w:r>
          </w:p>
        </w:tc>
      </w:tr>
    </w:tbl>
    <w:p>
      <w:pPr>
        <w:pStyle w:val="9"/>
        <w:bidi w:val="0"/>
        <w:rPr>
          <w:rFonts w:hint="eastAsia"/>
          <w:color w:val="auto"/>
        </w:rPr>
      </w:pPr>
      <w:r>
        <w:rPr>
          <w:rFonts w:hint="eastAsia"/>
          <w:color w:val="auto"/>
        </w:rPr>
        <w:t>3.4.6 在建项目污染物产排及达标情况</w:t>
      </w:r>
    </w:p>
    <w:p>
      <w:pPr>
        <w:pStyle w:val="10"/>
        <w:bidi w:val="0"/>
        <w:rPr>
          <w:rFonts w:hint="eastAsia"/>
          <w:color w:val="auto"/>
        </w:rPr>
      </w:pPr>
      <w:r>
        <w:rPr>
          <w:rFonts w:hint="eastAsia"/>
          <w:color w:val="auto"/>
        </w:rPr>
        <w:t>3.4.6.1 废气</w:t>
      </w:r>
    </w:p>
    <w:p>
      <w:pPr>
        <w:bidi w:val="0"/>
        <w:rPr>
          <w:color w:val="auto"/>
        </w:rPr>
      </w:pPr>
      <w:r>
        <w:rPr>
          <w:color w:val="auto"/>
        </w:rPr>
        <w:t>依据建设单位提供资料及在建工程已批复的环评文件，在建工程废气产生及排放情况见表3</w:t>
      </w:r>
      <w:r>
        <w:rPr>
          <w:rFonts w:hint="eastAsia"/>
          <w:color w:val="auto"/>
          <w:lang w:val="en-US" w:eastAsia="zh-CN"/>
        </w:rPr>
        <w:t>.4</w:t>
      </w:r>
      <w:r>
        <w:rPr>
          <w:color w:val="auto"/>
        </w:rPr>
        <w:t>-</w:t>
      </w:r>
      <w:r>
        <w:rPr>
          <w:rFonts w:hint="eastAsia"/>
          <w:color w:val="auto"/>
          <w:lang w:val="en-US" w:eastAsia="zh-CN"/>
        </w:rPr>
        <w:t>5</w:t>
      </w:r>
      <w:r>
        <w:rPr>
          <w:color w:val="auto"/>
        </w:rPr>
        <w:t>。</w:t>
      </w:r>
    </w:p>
    <w:p>
      <w:pPr>
        <w:pStyle w:val="181"/>
        <w:bidi w:val="0"/>
        <w:rPr>
          <w:rFonts w:hint="eastAsia"/>
          <w:color w:val="auto"/>
        </w:rPr>
      </w:pPr>
      <w:r>
        <w:rPr>
          <w:rFonts w:hint="eastAsia"/>
          <w:color w:val="auto"/>
        </w:rPr>
        <w:t>表3</w:t>
      </w:r>
      <w:r>
        <w:rPr>
          <w:rFonts w:hint="eastAsia"/>
          <w:color w:val="auto"/>
          <w:lang w:val="en-US" w:eastAsia="zh-CN"/>
        </w:rPr>
        <w:t>.4</w:t>
      </w:r>
      <w:r>
        <w:rPr>
          <w:rFonts w:hint="eastAsia"/>
          <w:color w:val="auto"/>
        </w:rPr>
        <w:t>-</w:t>
      </w:r>
      <w:r>
        <w:rPr>
          <w:rFonts w:hint="eastAsia"/>
          <w:color w:val="auto"/>
          <w:lang w:val="en-US" w:eastAsia="zh-CN"/>
        </w:rPr>
        <w:t xml:space="preserve">5           </w:t>
      </w:r>
      <w:r>
        <w:rPr>
          <w:rFonts w:hint="eastAsia"/>
          <w:color w:val="auto"/>
        </w:rPr>
        <w:t>在建工程废气污染物产排情况一览表</w:t>
      </w:r>
    </w:p>
    <w:tbl>
      <w:tblPr>
        <w:tblStyle w:val="32"/>
        <w:tblW w:w="515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920"/>
        <w:gridCol w:w="679"/>
        <w:gridCol w:w="569"/>
        <w:gridCol w:w="640"/>
        <w:gridCol w:w="1702"/>
        <w:gridCol w:w="64"/>
        <w:gridCol w:w="855"/>
        <w:gridCol w:w="1198"/>
        <w:gridCol w:w="196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3" w:hRule="atLeast"/>
          <w:jc w:val="center"/>
        </w:trPr>
        <w:tc>
          <w:tcPr>
            <w:tcW w:w="535" w:type="pct"/>
            <w:vMerge w:val="restart"/>
            <w:tcBorders>
              <w:tl2br w:val="nil"/>
              <w:tr2bl w:val="nil"/>
            </w:tcBorders>
            <w:vAlign w:val="center"/>
          </w:tcPr>
          <w:p>
            <w:pPr>
              <w:pStyle w:val="182"/>
              <w:bidi w:val="0"/>
              <w:rPr>
                <w:color w:val="auto"/>
              </w:rPr>
            </w:pPr>
            <w:r>
              <w:rPr>
                <w:color w:val="auto"/>
              </w:rPr>
              <w:t>污染源名称</w:t>
            </w:r>
          </w:p>
        </w:tc>
        <w:tc>
          <w:tcPr>
            <w:tcW w:w="395" w:type="pct"/>
            <w:vMerge w:val="restart"/>
            <w:tcBorders>
              <w:tl2br w:val="nil"/>
              <w:tr2bl w:val="nil"/>
            </w:tcBorders>
            <w:vAlign w:val="center"/>
          </w:tcPr>
          <w:p>
            <w:pPr>
              <w:pStyle w:val="182"/>
              <w:bidi w:val="0"/>
              <w:rPr>
                <w:color w:val="auto"/>
              </w:rPr>
            </w:pPr>
            <w:r>
              <w:rPr>
                <w:color w:val="auto"/>
              </w:rPr>
              <w:t>污染物</w:t>
            </w:r>
          </w:p>
        </w:tc>
        <w:tc>
          <w:tcPr>
            <w:tcW w:w="703" w:type="pct"/>
            <w:gridSpan w:val="2"/>
            <w:tcBorders>
              <w:tl2br w:val="nil"/>
              <w:tr2bl w:val="nil"/>
            </w:tcBorders>
            <w:vAlign w:val="center"/>
          </w:tcPr>
          <w:p>
            <w:pPr>
              <w:pStyle w:val="182"/>
              <w:bidi w:val="0"/>
              <w:rPr>
                <w:color w:val="auto"/>
              </w:rPr>
            </w:pPr>
            <w:r>
              <w:rPr>
                <w:color w:val="auto"/>
              </w:rPr>
              <w:t>产生源强</w:t>
            </w:r>
          </w:p>
        </w:tc>
        <w:tc>
          <w:tcPr>
            <w:tcW w:w="1028" w:type="pct"/>
            <w:gridSpan w:val="2"/>
            <w:tcBorders>
              <w:tl2br w:val="nil"/>
              <w:tr2bl w:val="nil"/>
            </w:tcBorders>
            <w:vAlign w:val="center"/>
          </w:tcPr>
          <w:p>
            <w:pPr>
              <w:pStyle w:val="182"/>
              <w:bidi w:val="0"/>
              <w:rPr>
                <w:color w:val="auto"/>
              </w:rPr>
            </w:pPr>
            <w:r>
              <w:rPr>
                <w:color w:val="auto"/>
              </w:rPr>
              <w:t>排放源强</w:t>
            </w:r>
          </w:p>
        </w:tc>
        <w:tc>
          <w:tcPr>
            <w:tcW w:w="1195" w:type="pct"/>
            <w:gridSpan w:val="2"/>
            <w:vMerge w:val="restart"/>
            <w:tcBorders>
              <w:tl2br w:val="nil"/>
              <w:tr2bl w:val="nil"/>
            </w:tcBorders>
            <w:vAlign w:val="center"/>
          </w:tcPr>
          <w:p>
            <w:pPr>
              <w:pStyle w:val="182"/>
              <w:bidi w:val="0"/>
              <w:rPr>
                <w:color w:val="auto"/>
              </w:rPr>
            </w:pPr>
            <w:r>
              <w:rPr>
                <w:color w:val="auto"/>
              </w:rPr>
              <w:t>处理措施</w:t>
            </w:r>
          </w:p>
        </w:tc>
        <w:tc>
          <w:tcPr>
            <w:tcW w:w="1141" w:type="pct"/>
            <w:vMerge w:val="restart"/>
            <w:tcBorders>
              <w:tl2br w:val="nil"/>
              <w:tr2bl w:val="nil"/>
            </w:tcBorders>
            <w:vAlign w:val="center"/>
          </w:tcPr>
          <w:p>
            <w:pPr>
              <w:pStyle w:val="182"/>
              <w:bidi w:val="0"/>
              <w:rPr>
                <w:color w:val="auto"/>
              </w:rPr>
            </w:pPr>
            <w:r>
              <w:rPr>
                <w:color w:val="auto"/>
              </w:rPr>
              <w:t>标准要求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3" w:hRule="atLeast"/>
          <w:jc w:val="center"/>
        </w:trPr>
        <w:tc>
          <w:tcPr>
            <w:tcW w:w="535" w:type="pct"/>
            <w:vMerge w:val="continue"/>
            <w:tcBorders>
              <w:tl2br w:val="nil"/>
              <w:tr2bl w:val="nil"/>
            </w:tcBorders>
            <w:vAlign w:val="center"/>
          </w:tcPr>
          <w:p>
            <w:pPr>
              <w:pStyle w:val="182"/>
              <w:bidi w:val="0"/>
              <w:rPr>
                <w:color w:val="auto"/>
              </w:rPr>
            </w:pPr>
          </w:p>
        </w:tc>
        <w:tc>
          <w:tcPr>
            <w:tcW w:w="395" w:type="pct"/>
            <w:vMerge w:val="continue"/>
            <w:tcBorders>
              <w:tl2br w:val="nil"/>
              <w:tr2bl w:val="nil"/>
            </w:tcBorders>
            <w:vAlign w:val="center"/>
          </w:tcPr>
          <w:p>
            <w:pPr>
              <w:pStyle w:val="182"/>
              <w:bidi w:val="0"/>
              <w:rPr>
                <w:color w:val="auto"/>
              </w:rPr>
            </w:pPr>
          </w:p>
        </w:tc>
        <w:tc>
          <w:tcPr>
            <w:tcW w:w="331" w:type="pct"/>
            <w:tcBorders>
              <w:tl2br w:val="nil"/>
              <w:tr2bl w:val="nil"/>
            </w:tcBorders>
            <w:vAlign w:val="center"/>
          </w:tcPr>
          <w:p>
            <w:pPr>
              <w:pStyle w:val="182"/>
              <w:bidi w:val="0"/>
              <w:rPr>
                <w:color w:val="auto"/>
              </w:rPr>
            </w:pPr>
            <w:r>
              <w:rPr>
                <w:color w:val="auto"/>
              </w:rPr>
              <w:t>mg/m</w:t>
            </w:r>
            <w:r>
              <w:rPr>
                <w:color w:val="auto"/>
                <w:vertAlign w:val="superscript"/>
              </w:rPr>
              <w:t>3</w:t>
            </w:r>
          </w:p>
        </w:tc>
        <w:tc>
          <w:tcPr>
            <w:tcW w:w="372" w:type="pct"/>
            <w:tcBorders>
              <w:tl2br w:val="nil"/>
              <w:tr2bl w:val="nil"/>
            </w:tcBorders>
            <w:vAlign w:val="center"/>
          </w:tcPr>
          <w:p>
            <w:pPr>
              <w:pStyle w:val="182"/>
              <w:bidi w:val="0"/>
              <w:rPr>
                <w:color w:val="auto"/>
              </w:rPr>
            </w:pPr>
            <w:r>
              <w:rPr>
                <w:color w:val="auto"/>
              </w:rPr>
              <w:t>kg/h</w:t>
            </w:r>
          </w:p>
        </w:tc>
        <w:tc>
          <w:tcPr>
            <w:tcW w:w="1028" w:type="pct"/>
            <w:gridSpan w:val="2"/>
            <w:tcBorders>
              <w:tl2br w:val="nil"/>
              <w:tr2bl w:val="nil"/>
            </w:tcBorders>
            <w:vAlign w:val="center"/>
          </w:tcPr>
          <w:p>
            <w:pPr>
              <w:pStyle w:val="182"/>
              <w:bidi w:val="0"/>
              <w:rPr>
                <w:color w:val="auto"/>
              </w:rPr>
            </w:pPr>
            <w:r>
              <w:rPr>
                <w:color w:val="auto"/>
              </w:rPr>
              <w:t>mg/m</w:t>
            </w:r>
            <w:r>
              <w:rPr>
                <w:color w:val="auto"/>
                <w:vertAlign w:val="superscript"/>
              </w:rPr>
              <w:t>3</w:t>
            </w:r>
          </w:p>
        </w:tc>
        <w:tc>
          <w:tcPr>
            <w:tcW w:w="1195" w:type="pct"/>
            <w:gridSpan w:val="2"/>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0" w:hRule="atLeast"/>
          <w:jc w:val="center"/>
        </w:trPr>
        <w:tc>
          <w:tcPr>
            <w:tcW w:w="5000" w:type="pct"/>
            <w:gridSpan w:val="9"/>
            <w:tcBorders>
              <w:tl2br w:val="nil"/>
              <w:tr2bl w:val="nil"/>
            </w:tcBorders>
            <w:vAlign w:val="center"/>
          </w:tcPr>
          <w:p>
            <w:pPr>
              <w:pStyle w:val="182"/>
              <w:bidi w:val="0"/>
              <w:rPr>
                <w:color w:val="auto"/>
              </w:rPr>
            </w:pPr>
            <w:r>
              <w:rPr>
                <w:color w:val="auto"/>
              </w:rPr>
              <w:t>年产2×2万吨超细旦氨纶纤维项目</w:t>
            </w:r>
          </w:p>
          <w:p>
            <w:pPr>
              <w:pStyle w:val="182"/>
              <w:bidi w:val="0"/>
              <w:rPr>
                <w:color w:val="auto"/>
              </w:rPr>
            </w:pPr>
            <w:r>
              <w:rPr>
                <w:color w:val="auto"/>
              </w:rPr>
              <w:t>（年产3×2万吨超细旦氨纶纤维项目二期三期工程）（三期）</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13" w:hRule="atLeast"/>
          <w:jc w:val="center"/>
        </w:trPr>
        <w:tc>
          <w:tcPr>
            <w:tcW w:w="535" w:type="pct"/>
            <w:tcBorders>
              <w:tl2br w:val="nil"/>
              <w:tr2bl w:val="nil"/>
            </w:tcBorders>
            <w:vAlign w:val="center"/>
          </w:tcPr>
          <w:p>
            <w:pPr>
              <w:pStyle w:val="182"/>
              <w:bidi w:val="0"/>
              <w:rPr>
                <w:color w:val="auto"/>
              </w:rPr>
            </w:pPr>
            <w:r>
              <w:rPr>
                <w:color w:val="auto"/>
              </w:rPr>
              <w:t>DMAC精</w:t>
            </w:r>
          </w:p>
          <w:p>
            <w:pPr>
              <w:pStyle w:val="182"/>
              <w:bidi w:val="0"/>
              <w:rPr>
                <w:color w:val="auto"/>
              </w:rPr>
            </w:pPr>
            <w:r>
              <w:rPr>
                <w:color w:val="auto"/>
              </w:rPr>
              <w:t>制回收系统尾气</w:t>
            </w:r>
          </w:p>
        </w:tc>
        <w:tc>
          <w:tcPr>
            <w:tcW w:w="395" w:type="pct"/>
            <w:tcBorders>
              <w:tl2br w:val="nil"/>
              <w:tr2bl w:val="nil"/>
            </w:tcBorders>
            <w:vAlign w:val="center"/>
          </w:tcPr>
          <w:p>
            <w:pPr>
              <w:pStyle w:val="182"/>
              <w:bidi w:val="0"/>
              <w:rPr>
                <w:color w:val="auto"/>
              </w:rPr>
            </w:pPr>
            <w:r>
              <w:rPr>
                <w:color w:val="auto"/>
              </w:rPr>
              <w:t>DMAC</w:t>
            </w:r>
          </w:p>
        </w:tc>
        <w:tc>
          <w:tcPr>
            <w:tcW w:w="331" w:type="pct"/>
            <w:tcBorders>
              <w:tl2br w:val="nil"/>
              <w:tr2bl w:val="nil"/>
            </w:tcBorders>
            <w:vAlign w:val="center"/>
          </w:tcPr>
          <w:p>
            <w:pPr>
              <w:pStyle w:val="182"/>
              <w:bidi w:val="0"/>
              <w:rPr>
                <w:color w:val="auto"/>
              </w:rPr>
            </w:pPr>
            <w:r>
              <w:rPr>
                <w:color w:val="auto"/>
              </w:rPr>
              <w:t>416</w:t>
            </w:r>
          </w:p>
        </w:tc>
        <w:tc>
          <w:tcPr>
            <w:tcW w:w="372" w:type="pct"/>
            <w:tcBorders>
              <w:tl2br w:val="nil"/>
              <w:tr2bl w:val="nil"/>
            </w:tcBorders>
            <w:vAlign w:val="center"/>
          </w:tcPr>
          <w:p>
            <w:pPr>
              <w:pStyle w:val="182"/>
              <w:bidi w:val="0"/>
              <w:rPr>
                <w:color w:val="auto"/>
              </w:rPr>
            </w:pPr>
            <w:r>
              <w:rPr>
                <w:color w:val="auto"/>
              </w:rPr>
              <w:t>1.664</w:t>
            </w:r>
          </w:p>
        </w:tc>
        <w:tc>
          <w:tcPr>
            <w:tcW w:w="990" w:type="pct"/>
            <w:tcBorders>
              <w:tl2br w:val="nil"/>
              <w:tr2bl w:val="nil"/>
            </w:tcBorders>
            <w:vAlign w:val="center"/>
          </w:tcPr>
          <w:p>
            <w:pPr>
              <w:pStyle w:val="182"/>
              <w:bidi w:val="0"/>
              <w:rPr>
                <w:color w:val="auto"/>
              </w:rPr>
            </w:pPr>
            <w:r>
              <w:rPr>
                <w:color w:val="auto"/>
              </w:rPr>
              <w:t>8.32</w:t>
            </w:r>
          </w:p>
        </w:tc>
        <w:tc>
          <w:tcPr>
            <w:tcW w:w="1232" w:type="pct"/>
            <w:gridSpan w:val="3"/>
            <w:vMerge w:val="restart"/>
            <w:tcBorders>
              <w:tl2br w:val="nil"/>
              <w:tr2bl w:val="nil"/>
            </w:tcBorders>
            <w:vAlign w:val="center"/>
          </w:tcPr>
          <w:p>
            <w:pPr>
              <w:pStyle w:val="182"/>
              <w:bidi w:val="0"/>
              <w:rPr>
                <w:color w:val="auto"/>
              </w:rPr>
            </w:pPr>
            <w:r>
              <w:rPr>
                <w:color w:val="auto"/>
              </w:rPr>
              <w:t>原环评批复DMAC精制废气、纺丝工艺废气经各自二级水喷淋处理后和经收集的组件清洗废气引至末端天然气导热油炉燃烧；因导热油炉已拆除，实际将建设为纺丝工艺废气经各自二级水喷淋和收集的组件清洗废气经三级喷淋处理后经30m高排气筒排放，DMAC精制废气经管道引入170t/h燃煤锅炉炉膛燃烧处理后经80m高3#排气筒排放</w:t>
            </w:r>
          </w:p>
        </w:tc>
        <w:tc>
          <w:tcPr>
            <w:tcW w:w="1141" w:type="pct"/>
            <w:vMerge w:val="restart"/>
            <w:tcBorders>
              <w:tl2br w:val="nil"/>
              <w:tr2bl w:val="nil"/>
            </w:tcBorders>
            <w:vAlign w:val="center"/>
          </w:tcPr>
          <w:p>
            <w:pPr>
              <w:pStyle w:val="182"/>
              <w:bidi w:val="0"/>
              <w:rPr>
                <w:color w:val="auto"/>
              </w:rPr>
            </w:pPr>
            <w:r>
              <w:rPr>
                <w:color w:val="auto"/>
              </w:rPr>
              <w:t>非甲烷总烃（DMAC）80mg/m</w:t>
            </w:r>
            <w:r>
              <w:rPr>
                <w:color w:val="auto"/>
                <w:vertAlign w:val="superscript"/>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11" w:hRule="atLeast"/>
          <w:jc w:val="center"/>
        </w:trPr>
        <w:tc>
          <w:tcPr>
            <w:tcW w:w="535" w:type="pct"/>
            <w:tcBorders>
              <w:tl2br w:val="nil"/>
              <w:tr2bl w:val="nil"/>
            </w:tcBorders>
            <w:vAlign w:val="center"/>
          </w:tcPr>
          <w:p>
            <w:pPr>
              <w:pStyle w:val="182"/>
              <w:bidi w:val="0"/>
              <w:rPr>
                <w:color w:val="auto"/>
              </w:rPr>
            </w:pPr>
            <w:r>
              <w:rPr>
                <w:color w:val="auto"/>
              </w:rPr>
              <w:t>纺丝工艺废气</w:t>
            </w:r>
          </w:p>
        </w:tc>
        <w:tc>
          <w:tcPr>
            <w:tcW w:w="395" w:type="pct"/>
            <w:tcBorders>
              <w:tl2br w:val="nil"/>
              <w:tr2bl w:val="nil"/>
            </w:tcBorders>
            <w:vAlign w:val="center"/>
          </w:tcPr>
          <w:p>
            <w:pPr>
              <w:pStyle w:val="182"/>
              <w:bidi w:val="0"/>
              <w:rPr>
                <w:color w:val="auto"/>
              </w:rPr>
            </w:pPr>
            <w:r>
              <w:rPr>
                <w:color w:val="auto"/>
              </w:rPr>
              <w:t>DMAC</w:t>
            </w:r>
          </w:p>
        </w:tc>
        <w:tc>
          <w:tcPr>
            <w:tcW w:w="331" w:type="pct"/>
            <w:tcBorders>
              <w:tl2br w:val="nil"/>
              <w:tr2bl w:val="nil"/>
            </w:tcBorders>
            <w:vAlign w:val="center"/>
          </w:tcPr>
          <w:p>
            <w:pPr>
              <w:pStyle w:val="182"/>
              <w:bidi w:val="0"/>
              <w:rPr>
                <w:color w:val="auto"/>
              </w:rPr>
            </w:pPr>
            <w:r>
              <w:rPr>
                <w:color w:val="auto"/>
              </w:rPr>
              <w:t>500</w:t>
            </w:r>
          </w:p>
        </w:tc>
        <w:tc>
          <w:tcPr>
            <w:tcW w:w="372" w:type="pct"/>
            <w:tcBorders>
              <w:tl2br w:val="nil"/>
              <w:tr2bl w:val="nil"/>
            </w:tcBorders>
            <w:vAlign w:val="center"/>
          </w:tcPr>
          <w:p>
            <w:pPr>
              <w:pStyle w:val="182"/>
              <w:bidi w:val="0"/>
              <w:rPr>
                <w:color w:val="auto"/>
              </w:rPr>
            </w:pPr>
            <w:r>
              <w:rPr>
                <w:color w:val="auto"/>
              </w:rPr>
              <w:t>10</w:t>
            </w:r>
          </w:p>
        </w:tc>
        <w:tc>
          <w:tcPr>
            <w:tcW w:w="990" w:type="pct"/>
            <w:vMerge w:val="restart"/>
            <w:tcBorders>
              <w:tl2br w:val="nil"/>
              <w:tr2bl w:val="nil"/>
            </w:tcBorders>
            <w:vAlign w:val="center"/>
          </w:tcPr>
          <w:p>
            <w:pPr>
              <w:pStyle w:val="182"/>
              <w:bidi w:val="0"/>
              <w:rPr>
                <w:color w:val="auto"/>
              </w:rPr>
            </w:pPr>
            <w:r>
              <w:rPr>
                <w:color w:val="auto"/>
              </w:rPr>
              <w:t>26.6</w:t>
            </w:r>
          </w:p>
        </w:tc>
        <w:tc>
          <w:tcPr>
            <w:tcW w:w="1232" w:type="pct"/>
            <w:gridSpan w:val="3"/>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95" w:hRule="atLeast"/>
          <w:jc w:val="center"/>
        </w:trPr>
        <w:tc>
          <w:tcPr>
            <w:tcW w:w="535" w:type="pct"/>
            <w:tcBorders>
              <w:tl2br w:val="nil"/>
              <w:tr2bl w:val="nil"/>
            </w:tcBorders>
            <w:vAlign w:val="center"/>
          </w:tcPr>
          <w:p>
            <w:pPr>
              <w:pStyle w:val="182"/>
              <w:bidi w:val="0"/>
              <w:rPr>
                <w:color w:val="auto"/>
              </w:rPr>
            </w:pPr>
            <w:r>
              <w:rPr>
                <w:color w:val="auto"/>
              </w:rPr>
              <w:t>组件清洗</w:t>
            </w:r>
          </w:p>
        </w:tc>
        <w:tc>
          <w:tcPr>
            <w:tcW w:w="395" w:type="pct"/>
            <w:tcBorders>
              <w:tl2br w:val="nil"/>
              <w:tr2bl w:val="nil"/>
            </w:tcBorders>
            <w:vAlign w:val="center"/>
          </w:tcPr>
          <w:p>
            <w:pPr>
              <w:pStyle w:val="182"/>
              <w:bidi w:val="0"/>
              <w:rPr>
                <w:color w:val="auto"/>
              </w:rPr>
            </w:pPr>
            <w:r>
              <w:rPr>
                <w:color w:val="auto"/>
              </w:rPr>
              <w:t>DMAC</w:t>
            </w:r>
          </w:p>
        </w:tc>
        <w:tc>
          <w:tcPr>
            <w:tcW w:w="331" w:type="pct"/>
            <w:tcBorders>
              <w:tl2br w:val="nil"/>
              <w:tr2bl w:val="nil"/>
            </w:tcBorders>
            <w:vAlign w:val="center"/>
          </w:tcPr>
          <w:p>
            <w:pPr>
              <w:pStyle w:val="182"/>
              <w:bidi w:val="0"/>
              <w:rPr>
                <w:color w:val="auto"/>
              </w:rPr>
            </w:pPr>
            <w:r>
              <w:rPr>
                <w:color w:val="auto"/>
              </w:rPr>
              <w:t>312.5</w:t>
            </w:r>
          </w:p>
        </w:tc>
        <w:tc>
          <w:tcPr>
            <w:tcW w:w="372" w:type="pct"/>
            <w:tcBorders>
              <w:tl2br w:val="nil"/>
              <w:tr2bl w:val="nil"/>
            </w:tcBorders>
            <w:vAlign w:val="center"/>
          </w:tcPr>
          <w:p>
            <w:pPr>
              <w:pStyle w:val="182"/>
              <w:bidi w:val="0"/>
              <w:rPr>
                <w:color w:val="auto"/>
              </w:rPr>
            </w:pPr>
            <w:r>
              <w:rPr>
                <w:color w:val="auto"/>
              </w:rPr>
              <w:t>0.625</w:t>
            </w:r>
          </w:p>
        </w:tc>
        <w:tc>
          <w:tcPr>
            <w:tcW w:w="990" w:type="pct"/>
            <w:vMerge w:val="continue"/>
            <w:tcBorders>
              <w:tl2br w:val="nil"/>
              <w:tr2bl w:val="nil"/>
            </w:tcBorders>
            <w:vAlign w:val="center"/>
          </w:tcPr>
          <w:p>
            <w:pPr>
              <w:pStyle w:val="182"/>
              <w:bidi w:val="0"/>
              <w:rPr>
                <w:color w:val="auto"/>
              </w:rPr>
            </w:pPr>
          </w:p>
        </w:tc>
        <w:tc>
          <w:tcPr>
            <w:tcW w:w="1232" w:type="pct"/>
            <w:gridSpan w:val="3"/>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0" w:hRule="atLeast"/>
          <w:jc w:val="center"/>
        </w:trPr>
        <w:tc>
          <w:tcPr>
            <w:tcW w:w="535" w:type="pct"/>
            <w:tcBorders>
              <w:tl2br w:val="nil"/>
              <w:tr2bl w:val="nil"/>
            </w:tcBorders>
            <w:vAlign w:val="center"/>
          </w:tcPr>
          <w:p>
            <w:pPr>
              <w:pStyle w:val="182"/>
              <w:bidi w:val="0"/>
              <w:rPr>
                <w:color w:val="auto"/>
              </w:rPr>
            </w:pPr>
            <w:r>
              <w:rPr>
                <w:color w:val="auto"/>
              </w:rPr>
              <w:t>纺丝卷绕车间</w:t>
            </w:r>
          </w:p>
        </w:tc>
        <w:tc>
          <w:tcPr>
            <w:tcW w:w="395" w:type="pct"/>
            <w:tcBorders>
              <w:tl2br w:val="nil"/>
              <w:tr2bl w:val="nil"/>
            </w:tcBorders>
            <w:vAlign w:val="center"/>
          </w:tcPr>
          <w:p>
            <w:pPr>
              <w:pStyle w:val="182"/>
              <w:bidi w:val="0"/>
              <w:rPr>
                <w:color w:val="auto"/>
              </w:rPr>
            </w:pPr>
            <w:r>
              <w:rPr>
                <w:color w:val="auto"/>
              </w:rPr>
              <w:t>DMAC</w:t>
            </w:r>
          </w:p>
        </w:tc>
        <w:tc>
          <w:tcPr>
            <w:tcW w:w="331" w:type="pct"/>
            <w:tcBorders>
              <w:tl2br w:val="nil"/>
              <w:tr2bl w:val="nil"/>
            </w:tcBorders>
            <w:vAlign w:val="center"/>
          </w:tcPr>
          <w:p>
            <w:pPr>
              <w:pStyle w:val="182"/>
              <w:bidi w:val="0"/>
              <w:rPr>
                <w:color w:val="auto"/>
              </w:rPr>
            </w:pPr>
            <w:r>
              <w:rPr>
                <w:color w:val="auto"/>
              </w:rPr>
              <w:t>58</w:t>
            </w:r>
          </w:p>
        </w:tc>
        <w:tc>
          <w:tcPr>
            <w:tcW w:w="372" w:type="pct"/>
            <w:tcBorders>
              <w:tl2br w:val="nil"/>
              <w:tr2bl w:val="nil"/>
            </w:tcBorders>
            <w:vAlign w:val="center"/>
          </w:tcPr>
          <w:p>
            <w:pPr>
              <w:pStyle w:val="182"/>
              <w:bidi w:val="0"/>
              <w:rPr>
                <w:color w:val="auto"/>
              </w:rPr>
            </w:pPr>
            <w:r>
              <w:rPr>
                <w:color w:val="auto"/>
              </w:rPr>
              <w:t>5.8</w:t>
            </w:r>
          </w:p>
        </w:tc>
        <w:tc>
          <w:tcPr>
            <w:tcW w:w="990" w:type="pct"/>
            <w:tcBorders>
              <w:tl2br w:val="nil"/>
              <w:tr2bl w:val="nil"/>
            </w:tcBorders>
            <w:vAlign w:val="center"/>
          </w:tcPr>
          <w:p>
            <w:pPr>
              <w:pStyle w:val="182"/>
              <w:bidi w:val="0"/>
              <w:rPr>
                <w:color w:val="auto"/>
              </w:rPr>
            </w:pPr>
            <w:r>
              <w:rPr>
                <w:color w:val="auto"/>
              </w:rPr>
              <w:t>11.6</w:t>
            </w:r>
          </w:p>
        </w:tc>
        <w:tc>
          <w:tcPr>
            <w:tcW w:w="1232" w:type="pct"/>
            <w:gridSpan w:val="3"/>
            <w:tcBorders>
              <w:tl2br w:val="nil"/>
              <w:tr2bl w:val="nil"/>
            </w:tcBorders>
            <w:vAlign w:val="center"/>
          </w:tcPr>
          <w:p>
            <w:pPr>
              <w:pStyle w:val="182"/>
              <w:bidi w:val="0"/>
              <w:rPr>
                <w:color w:val="auto"/>
              </w:rPr>
            </w:pPr>
            <w:r>
              <w:rPr>
                <w:color w:val="auto"/>
              </w:rPr>
              <w:t>经水喷淋后经27m排气筒排放</w:t>
            </w: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2" w:hRule="atLeast"/>
          <w:jc w:val="center"/>
        </w:trPr>
        <w:tc>
          <w:tcPr>
            <w:tcW w:w="5000" w:type="pct"/>
            <w:gridSpan w:val="9"/>
            <w:tcBorders>
              <w:tl2br w:val="nil"/>
              <w:tr2bl w:val="nil"/>
            </w:tcBorders>
            <w:vAlign w:val="center"/>
          </w:tcPr>
          <w:p>
            <w:pPr>
              <w:pStyle w:val="182"/>
              <w:bidi w:val="0"/>
              <w:rPr>
                <w:color w:val="auto"/>
              </w:rPr>
            </w:pPr>
            <w:r>
              <w:rPr>
                <w:color w:val="auto"/>
              </w:rPr>
              <w:t>年产2万吨生物质纤维素项目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9" w:hRule="atLeast"/>
          <w:jc w:val="center"/>
        </w:trPr>
        <w:tc>
          <w:tcPr>
            <w:tcW w:w="535" w:type="pct"/>
            <w:vMerge w:val="restart"/>
            <w:tcBorders>
              <w:tl2br w:val="nil"/>
              <w:tr2bl w:val="nil"/>
            </w:tcBorders>
            <w:vAlign w:val="center"/>
          </w:tcPr>
          <w:p>
            <w:pPr>
              <w:pStyle w:val="182"/>
              <w:bidi w:val="0"/>
              <w:rPr>
                <w:color w:val="auto"/>
              </w:rPr>
            </w:pPr>
            <w:r>
              <w:rPr>
                <w:color w:val="auto"/>
              </w:rPr>
              <w:t>原液、纺丝车间（东）</w:t>
            </w:r>
          </w:p>
        </w:tc>
        <w:tc>
          <w:tcPr>
            <w:tcW w:w="395" w:type="pct"/>
            <w:tcBorders>
              <w:tl2br w:val="nil"/>
              <w:tr2bl w:val="nil"/>
            </w:tcBorders>
            <w:vAlign w:val="center"/>
          </w:tcPr>
          <w:p>
            <w:pPr>
              <w:pStyle w:val="182"/>
              <w:bidi w:val="0"/>
              <w:rPr>
                <w:color w:val="auto"/>
              </w:rPr>
            </w:pPr>
            <w:r>
              <w:rPr>
                <w:color w:val="auto"/>
              </w:rPr>
              <w:t>CS</w:t>
            </w:r>
            <w:r>
              <w:rPr>
                <w:color w:val="auto"/>
                <w:vertAlign w:val="subscript"/>
              </w:rPr>
              <w:t>2</w:t>
            </w:r>
          </w:p>
        </w:tc>
        <w:tc>
          <w:tcPr>
            <w:tcW w:w="331" w:type="pct"/>
            <w:tcBorders>
              <w:tl2br w:val="nil"/>
              <w:tr2bl w:val="nil"/>
            </w:tcBorders>
            <w:vAlign w:val="center"/>
          </w:tcPr>
          <w:p>
            <w:pPr>
              <w:pStyle w:val="182"/>
              <w:bidi w:val="0"/>
              <w:rPr>
                <w:color w:val="auto"/>
              </w:rPr>
            </w:pPr>
            <w:r>
              <w:rPr>
                <w:color w:val="auto"/>
              </w:rPr>
              <w:t>32</w:t>
            </w:r>
          </w:p>
        </w:tc>
        <w:tc>
          <w:tcPr>
            <w:tcW w:w="372" w:type="pct"/>
            <w:tcBorders>
              <w:tl2br w:val="nil"/>
              <w:tr2bl w:val="nil"/>
            </w:tcBorders>
            <w:vAlign w:val="center"/>
          </w:tcPr>
          <w:p>
            <w:pPr>
              <w:pStyle w:val="182"/>
              <w:bidi w:val="0"/>
              <w:rPr>
                <w:color w:val="auto"/>
              </w:rPr>
            </w:pPr>
            <w:r>
              <w:rPr>
                <w:color w:val="auto"/>
              </w:rPr>
              <w:t>45.1</w:t>
            </w:r>
          </w:p>
        </w:tc>
        <w:tc>
          <w:tcPr>
            <w:tcW w:w="990" w:type="pct"/>
            <w:vMerge w:val="restart"/>
            <w:tcBorders>
              <w:tl2br w:val="nil"/>
              <w:tr2bl w:val="nil"/>
            </w:tcBorders>
            <w:vAlign w:val="center"/>
          </w:tcPr>
          <w:p>
            <w:pPr>
              <w:pStyle w:val="182"/>
              <w:bidi w:val="0"/>
              <w:rPr>
                <w:color w:val="auto"/>
              </w:rPr>
            </w:pPr>
            <w:r>
              <w:rPr>
                <w:color w:val="auto"/>
              </w:rPr>
              <w:t>CS</w:t>
            </w:r>
            <w:r>
              <w:rPr>
                <w:color w:val="auto"/>
                <w:vertAlign w:val="subscript"/>
              </w:rPr>
              <w:t>2</w:t>
            </w:r>
            <w:r>
              <w:rPr>
                <w:color w:val="auto"/>
              </w:rPr>
              <w:t>：45.1kg/h，32mg/m³；H</w:t>
            </w:r>
            <w:r>
              <w:rPr>
                <w:color w:val="auto"/>
                <w:vertAlign w:val="subscript"/>
              </w:rPr>
              <w:t>2</w:t>
            </w:r>
            <w:r>
              <w:rPr>
                <w:color w:val="auto"/>
              </w:rPr>
              <w:t>S：3.584kg/h，2.32mg/m</w:t>
            </w:r>
            <w:r>
              <w:rPr>
                <w:color w:val="auto"/>
                <w:vertAlign w:val="superscript"/>
              </w:rPr>
              <w:t>3</w:t>
            </w:r>
            <w:r>
              <w:rPr>
                <w:rFonts w:hint="eastAsia"/>
                <w:color w:val="auto"/>
                <w:lang w:eastAsia="zh-CN"/>
              </w:rPr>
              <w:t>；</w:t>
            </w:r>
            <w:r>
              <w:rPr>
                <w:color w:val="auto"/>
              </w:rPr>
              <w:t>非甲烷总烃0.5kg/h、0.3mg/m</w:t>
            </w:r>
            <w:r>
              <w:rPr>
                <w:color w:val="auto"/>
                <w:vertAlign w:val="subscript"/>
              </w:rPr>
              <w:t>3</w:t>
            </w:r>
          </w:p>
        </w:tc>
        <w:tc>
          <w:tcPr>
            <w:tcW w:w="1232" w:type="pct"/>
            <w:gridSpan w:val="3"/>
            <w:vMerge w:val="restart"/>
            <w:tcBorders>
              <w:tl2br w:val="nil"/>
              <w:tr2bl w:val="nil"/>
            </w:tcBorders>
            <w:vAlign w:val="center"/>
          </w:tcPr>
          <w:p>
            <w:pPr>
              <w:pStyle w:val="182"/>
              <w:bidi w:val="0"/>
              <w:rPr>
                <w:color w:val="auto"/>
              </w:rPr>
            </w:pPr>
            <w:r>
              <w:rPr>
                <w:color w:val="auto"/>
              </w:rPr>
              <w:t>碱液喷淋+120m高5#排气塔</w:t>
            </w:r>
          </w:p>
        </w:tc>
        <w:tc>
          <w:tcPr>
            <w:tcW w:w="1141" w:type="pct"/>
            <w:vMerge w:val="restart"/>
            <w:tcBorders>
              <w:tl2br w:val="nil"/>
              <w:tr2bl w:val="nil"/>
            </w:tcBorders>
            <w:vAlign w:val="center"/>
          </w:tcPr>
          <w:p>
            <w:pPr>
              <w:pStyle w:val="182"/>
              <w:bidi w:val="0"/>
              <w:rPr>
                <w:color w:val="auto"/>
              </w:rPr>
            </w:pPr>
            <w:r>
              <w:rPr>
                <w:color w:val="auto"/>
              </w:rPr>
              <w:t>H</w:t>
            </w:r>
            <w:r>
              <w:rPr>
                <w:color w:val="auto"/>
                <w:vertAlign w:val="subscript"/>
              </w:rPr>
              <w:t>2</w:t>
            </w:r>
            <w:r>
              <w:rPr>
                <w:color w:val="auto"/>
              </w:rPr>
              <w:t>S：21kg/h、CS</w:t>
            </w:r>
            <w:r>
              <w:rPr>
                <w:color w:val="auto"/>
                <w:vertAlign w:val="subscript"/>
              </w:rPr>
              <w:t>2</w:t>
            </w:r>
            <w:r>
              <w:rPr>
                <w:color w:val="auto"/>
              </w:rPr>
              <w:t>：97kg/h、非甲烷总烃80mg/m</w:t>
            </w:r>
            <w:r>
              <w:rPr>
                <w:color w:val="auto"/>
                <w:vertAlign w:val="superscript"/>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2"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color w:val="auto"/>
              </w:rPr>
            </w:pPr>
            <w:r>
              <w:rPr>
                <w:color w:val="auto"/>
              </w:rPr>
              <w:t>H</w:t>
            </w:r>
            <w:r>
              <w:rPr>
                <w:color w:val="auto"/>
                <w:vertAlign w:val="subscript"/>
              </w:rPr>
              <w:t>2</w:t>
            </w:r>
            <w:r>
              <w:rPr>
                <w:color w:val="auto"/>
              </w:rPr>
              <w:t>S</w:t>
            </w:r>
          </w:p>
        </w:tc>
        <w:tc>
          <w:tcPr>
            <w:tcW w:w="331" w:type="pct"/>
            <w:tcBorders>
              <w:tl2br w:val="nil"/>
              <w:tr2bl w:val="nil"/>
            </w:tcBorders>
            <w:vAlign w:val="center"/>
          </w:tcPr>
          <w:p>
            <w:pPr>
              <w:pStyle w:val="182"/>
              <w:bidi w:val="0"/>
              <w:rPr>
                <w:color w:val="auto"/>
              </w:rPr>
            </w:pPr>
            <w:r>
              <w:rPr>
                <w:color w:val="auto"/>
              </w:rPr>
              <w:t>5.8</w:t>
            </w:r>
          </w:p>
        </w:tc>
        <w:tc>
          <w:tcPr>
            <w:tcW w:w="372" w:type="pct"/>
            <w:tcBorders>
              <w:tl2br w:val="nil"/>
              <w:tr2bl w:val="nil"/>
            </w:tcBorders>
            <w:vAlign w:val="center"/>
          </w:tcPr>
          <w:p>
            <w:pPr>
              <w:pStyle w:val="182"/>
              <w:bidi w:val="0"/>
              <w:rPr>
                <w:color w:val="auto"/>
              </w:rPr>
            </w:pPr>
            <w:r>
              <w:rPr>
                <w:color w:val="auto"/>
              </w:rPr>
              <w:t>8.96</w:t>
            </w:r>
          </w:p>
        </w:tc>
        <w:tc>
          <w:tcPr>
            <w:tcW w:w="990" w:type="pct"/>
            <w:vMerge w:val="continue"/>
            <w:tcBorders>
              <w:tl2br w:val="nil"/>
              <w:tr2bl w:val="nil"/>
            </w:tcBorders>
            <w:vAlign w:val="center"/>
          </w:tcPr>
          <w:p>
            <w:pPr>
              <w:pStyle w:val="182"/>
              <w:bidi w:val="0"/>
              <w:rPr>
                <w:color w:val="auto"/>
              </w:rPr>
            </w:pPr>
          </w:p>
        </w:tc>
        <w:tc>
          <w:tcPr>
            <w:tcW w:w="1232" w:type="pct"/>
            <w:gridSpan w:val="3"/>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color w:val="auto"/>
              </w:rPr>
            </w:pPr>
            <w:r>
              <w:rPr>
                <w:color w:val="auto"/>
              </w:rPr>
              <w:t>非甲烷</w:t>
            </w:r>
          </w:p>
          <w:p>
            <w:pPr>
              <w:pStyle w:val="182"/>
              <w:bidi w:val="0"/>
              <w:rPr>
                <w:color w:val="auto"/>
              </w:rPr>
            </w:pPr>
            <w:r>
              <w:rPr>
                <w:color w:val="auto"/>
              </w:rPr>
              <w:t>总烃</w:t>
            </w:r>
          </w:p>
        </w:tc>
        <w:tc>
          <w:tcPr>
            <w:tcW w:w="331" w:type="pct"/>
            <w:tcBorders>
              <w:tl2br w:val="nil"/>
              <w:tr2bl w:val="nil"/>
            </w:tcBorders>
            <w:vAlign w:val="center"/>
          </w:tcPr>
          <w:p>
            <w:pPr>
              <w:pStyle w:val="182"/>
              <w:bidi w:val="0"/>
              <w:rPr>
                <w:color w:val="auto"/>
              </w:rPr>
            </w:pPr>
            <w:r>
              <w:rPr>
                <w:color w:val="auto"/>
              </w:rPr>
              <w:t>0.3</w:t>
            </w:r>
          </w:p>
        </w:tc>
        <w:tc>
          <w:tcPr>
            <w:tcW w:w="372" w:type="pct"/>
            <w:tcBorders>
              <w:tl2br w:val="nil"/>
              <w:tr2bl w:val="nil"/>
            </w:tcBorders>
            <w:vAlign w:val="center"/>
          </w:tcPr>
          <w:p>
            <w:pPr>
              <w:pStyle w:val="182"/>
              <w:bidi w:val="0"/>
              <w:rPr>
                <w:color w:val="auto"/>
              </w:rPr>
            </w:pPr>
            <w:r>
              <w:rPr>
                <w:color w:val="auto"/>
              </w:rPr>
              <w:t>0.50</w:t>
            </w:r>
          </w:p>
        </w:tc>
        <w:tc>
          <w:tcPr>
            <w:tcW w:w="990" w:type="pct"/>
            <w:vMerge w:val="continue"/>
            <w:tcBorders>
              <w:tl2br w:val="nil"/>
              <w:tr2bl w:val="nil"/>
            </w:tcBorders>
            <w:vAlign w:val="center"/>
          </w:tcPr>
          <w:p>
            <w:pPr>
              <w:pStyle w:val="182"/>
              <w:bidi w:val="0"/>
              <w:rPr>
                <w:color w:val="auto"/>
              </w:rPr>
            </w:pPr>
          </w:p>
        </w:tc>
        <w:tc>
          <w:tcPr>
            <w:tcW w:w="1232" w:type="pct"/>
            <w:gridSpan w:val="3"/>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1" w:hRule="atLeast"/>
          <w:jc w:val="center"/>
        </w:trPr>
        <w:tc>
          <w:tcPr>
            <w:tcW w:w="535" w:type="pct"/>
            <w:vMerge w:val="restart"/>
            <w:tcBorders>
              <w:tl2br w:val="nil"/>
              <w:tr2bl w:val="nil"/>
            </w:tcBorders>
            <w:vAlign w:val="center"/>
          </w:tcPr>
          <w:p>
            <w:pPr>
              <w:pStyle w:val="182"/>
              <w:bidi w:val="0"/>
              <w:rPr>
                <w:color w:val="auto"/>
              </w:rPr>
            </w:pPr>
            <w:r>
              <w:rPr>
                <w:color w:val="auto"/>
              </w:rPr>
              <w:t>原液、纺丝车间（南）</w:t>
            </w:r>
          </w:p>
        </w:tc>
        <w:tc>
          <w:tcPr>
            <w:tcW w:w="395" w:type="pct"/>
            <w:tcBorders>
              <w:tl2br w:val="nil"/>
              <w:tr2bl w:val="nil"/>
            </w:tcBorders>
            <w:vAlign w:val="center"/>
          </w:tcPr>
          <w:p>
            <w:pPr>
              <w:pStyle w:val="182"/>
              <w:bidi w:val="0"/>
              <w:rPr>
                <w:color w:val="auto"/>
              </w:rPr>
            </w:pPr>
            <w:r>
              <w:rPr>
                <w:color w:val="auto"/>
              </w:rPr>
              <w:t>CS</w:t>
            </w:r>
            <w:r>
              <w:rPr>
                <w:color w:val="auto"/>
                <w:vertAlign w:val="subscript"/>
              </w:rPr>
              <w:t>2</w:t>
            </w:r>
          </w:p>
        </w:tc>
        <w:tc>
          <w:tcPr>
            <w:tcW w:w="331" w:type="pct"/>
            <w:tcBorders>
              <w:tl2br w:val="nil"/>
              <w:tr2bl w:val="nil"/>
            </w:tcBorders>
            <w:vAlign w:val="center"/>
          </w:tcPr>
          <w:p>
            <w:pPr>
              <w:pStyle w:val="182"/>
              <w:bidi w:val="0"/>
              <w:rPr>
                <w:color w:val="auto"/>
              </w:rPr>
            </w:pPr>
            <w:r>
              <w:rPr>
                <w:color w:val="auto"/>
              </w:rPr>
              <w:t>45.5</w:t>
            </w:r>
          </w:p>
        </w:tc>
        <w:tc>
          <w:tcPr>
            <w:tcW w:w="372" w:type="pct"/>
            <w:tcBorders>
              <w:tl2br w:val="nil"/>
              <w:tr2bl w:val="nil"/>
            </w:tcBorders>
            <w:vAlign w:val="center"/>
          </w:tcPr>
          <w:p>
            <w:pPr>
              <w:pStyle w:val="182"/>
              <w:bidi w:val="0"/>
              <w:rPr>
                <w:color w:val="auto"/>
              </w:rPr>
            </w:pPr>
            <w:r>
              <w:rPr>
                <w:color w:val="auto"/>
              </w:rPr>
              <w:t>31.87</w:t>
            </w:r>
          </w:p>
        </w:tc>
        <w:tc>
          <w:tcPr>
            <w:tcW w:w="990" w:type="pct"/>
            <w:vMerge w:val="restart"/>
            <w:tcBorders>
              <w:tl2br w:val="nil"/>
              <w:tr2bl w:val="nil"/>
            </w:tcBorders>
            <w:vAlign w:val="center"/>
          </w:tcPr>
          <w:p>
            <w:pPr>
              <w:pStyle w:val="182"/>
              <w:bidi w:val="0"/>
              <w:rPr>
                <w:color w:val="auto"/>
              </w:rPr>
            </w:pPr>
            <w:r>
              <w:rPr>
                <w:color w:val="auto"/>
              </w:rPr>
              <w:t>CS</w:t>
            </w:r>
            <w:r>
              <w:rPr>
                <w:color w:val="auto"/>
                <w:vertAlign w:val="subscript"/>
              </w:rPr>
              <w:t>2</w:t>
            </w:r>
            <w:r>
              <w:rPr>
                <w:color w:val="auto"/>
              </w:rPr>
              <w:t>：31.87kg/h，45.5mg/m³；H</w:t>
            </w:r>
            <w:r>
              <w:rPr>
                <w:color w:val="auto"/>
                <w:vertAlign w:val="subscript"/>
              </w:rPr>
              <w:t>2</w:t>
            </w:r>
            <w:r>
              <w:rPr>
                <w:color w:val="auto"/>
              </w:rPr>
              <w:t>S：2.192kg/h，3.12mg/m</w:t>
            </w:r>
            <w:r>
              <w:rPr>
                <w:color w:val="auto"/>
                <w:vertAlign w:val="superscript"/>
              </w:rPr>
              <w:t>3</w:t>
            </w:r>
            <w:r>
              <w:rPr>
                <w:color w:val="auto"/>
              </w:rPr>
              <w:t>非甲烷总烃0.5kg/h、0.7mg/m</w:t>
            </w:r>
            <w:r>
              <w:rPr>
                <w:color w:val="auto"/>
                <w:vertAlign w:val="superscript"/>
              </w:rPr>
              <w:t>3</w:t>
            </w:r>
          </w:p>
        </w:tc>
        <w:tc>
          <w:tcPr>
            <w:tcW w:w="1232" w:type="pct"/>
            <w:gridSpan w:val="3"/>
            <w:vMerge w:val="restart"/>
            <w:tcBorders>
              <w:tl2br w:val="nil"/>
              <w:tr2bl w:val="nil"/>
            </w:tcBorders>
            <w:vAlign w:val="center"/>
          </w:tcPr>
          <w:p>
            <w:pPr>
              <w:pStyle w:val="182"/>
              <w:bidi w:val="0"/>
              <w:rPr>
                <w:color w:val="auto"/>
              </w:rPr>
            </w:pPr>
            <w:r>
              <w:rPr>
                <w:color w:val="auto"/>
              </w:rPr>
              <w:t>碱液喷淋+120m高7#排气塔</w:t>
            </w: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color w:val="auto"/>
              </w:rPr>
            </w:pPr>
            <w:r>
              <w:rPr>
                <w:color w:val="auto"/>
              </w:rPr>
              <w:t>H</w:t>
            </w:r>
            <w:r>
              <w:rPr>
                <w:color w:val="auto"/>
                <w:vertAlign w:val="subscript"/>
              </w:rPr>
              <w:t>2</w:t>
            </w:r>
            <w:r>
              <w:rPr>
                <w:color w:val="auto"/>
              </w:rPr>
              <w:t>S</w:t>
            </w:r>
          </w:p>
        </w:tc>
        <w:tc>
          <w:tcPr>
            <w:tcW w:w="331" w:type="pct"/>
            <w:tcBorders>
              <w:tl2br w:val="nil"/>
              <w:tr2bl w:val="nil"/>
            </w:tcBorders>
            <w:vAlign w:val="center"/>
          </w:tcPr>
          <w:p>
            <w:pPr>
              <w:pStyle w:val="182"/>
              <w:bidi w:val="0"/>
              <w:rPr>
                <w:color w:val="auto"/>
              </w:rPr>
            </w:pPr>
            <w:r>
              <w:rPr>
                <w:color w:val="auto"/>
              </w:rPr>
              <w:t>7.8</w:t>
            </w:r>
          </w:p>
        </w:tc>
        <w:tc>
          <w:tcPr>
            <w:tcW w:w="372" w:type="pct"/>
            <w:tcBorders>
              <w:tl2br w:val="nil"/>
              <w:tr2bl w:val="nil"/>
            </w:tcBorders>
            <w:vAlign w:val="center"/>
          </w:tcPr>
          <w:p>
            <w:pPr>
              <w:pStyle w:val="182"/>
              <w:bidi w:val="0"/>
              <w:rPr>
                <w:color w:val="auto"/>
              </w:rPr>
            </w:pPr>
            <w:r>
              <w:rPr>
                <w:color w:val="auto"/>
              </w:rPr>
              <w:t>5.48</w:t>
            </w:r>
          </w:p>
        </w:tc>
        <w:tc>
          <w:tcPr>
            <w:tcW w:w="990" w:type="pct"/>
            <w:vMerge w:val="continue"/>
            <w:tcBorders>
              <w:tl2br w:val="nil"/>
              <w:tr2bl w:val="nil"/>
            </w:tcBorders>
            <w:vAlign w:val="center"/>
          </w:tcPr>
          <w:p>
            <w:pPr>
              <w:pStyle w:val="182"/>
              <w:bidi w:val="0"/>
              <w:rPr>
                <w:color w:val="auto"/>
              </w:rPr>
            </w:pPr>
          </w:p>
        </w:tc>
        <w:tc>
          <w:tcPr>
            <w:tcW w:w="1232" w:type="pct"/>
            <w:gridSpan w:val="3"/>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2"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color w:val="auto"/>
              </w:rPr>
            </w:pPr>
            <w:r>
              <w:rPr>
                <w:color w:val="auto"/>
              </w:rPr>
              <w:t>非甲烷总烃</w:t>
            </w:r>
          </w:p>
        </w:tc>
        <w:tc>
          <w:tcPr>
            <w:tcW w:w="331" w:type="pct"/>
            <w:tcBorders>
              <w:tl2br w:val="nil"/>
              <w:tr2bl w:val="nil"/>
            </w:tcBorders>
            <w:vAlign w:val="center"/>
          </w:tcPr>
          <w:p>
            <w:pPr>
              <w:pStyle w:val="182"/>
              <w:bidi w:val="0"/>
              <w:rPr>
                <w:color w:val="auto"/>
              </w:rPr>
            </w:pPr>
            <w:r>
              <w:rPr>
                <w:color w:val="auto"/>
              </w:rPr>
              <w:t>0.7</w:t>
            </w:r>
          </w:p>
        </w:tc>
        <w:tc>
          <w:tcPr>
            <w:tcW w:w="372" w:type="pct"/>
            <w:tcBorders>
              <w:tl2br w:val="nil"/>
              <w:tr2bl w:val="nil"/>
            </w:tcBorders>
            <w:vAlign w:val="center"/>
          </w:tcPr>
          <w:p>
            <w:pPr>
              <w:pStyle w:val="182"/>
              <w:bidi w:val="0"/>
              <w:rPr>
                <w:color w:val="auto"/>
              </w:rPr>
            </w:pPr>
            <w:r>
              <w:rPr>
                <w:color w:val="auto"/>
              </w:rPr>
              <w:t>0.50</w:t>
            </w:r>
          </w:p>
        </w:tc>
        <w:tc>
          <w:tcPr>
            <w:tcW w:w="990" w:type="pct"/>
            <w:vMerge w:val="continue"/>
            <w:tcBorders>
              <w:tl2br w:val="nil"/>
              <w:tr2bl w:val="nil"/>
            </w:tcBorders>
            <w:vAlign w:val="center"/>
          </w:tcPr>
          <w:p>
            <w:pPr>
              <w:pStyle w:val="182"/>
              <w:bidi w:val="0"/>
              <w:rPr>
                <w:color w:val="auto"/>
              </w:rPr>
            </w:pPr>
          </w:p>
        </w:tc>
        <w:tc>
          <w:tcPr>
            <w:tcW w:w="1232" w:type="pct"/>
            <w:gridSpan w:val="3"/>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1" w:hRule="atLeast"/>
          <w:jc w:val="center"/>
        </w:trPr>
        <w:tc>
          <w:tcPr>
            <w:tcW w:w="535" w:type="pct"/>
            <w:tcBorders>
              <w:tl2br w:val="nil"/>
              <w:tr2bl w:val="nil"/>
            </w:tcBorders>
            <w:vAlign w:val="center"/>
          </w:tcPr>
          <w:p>
            <w:pPr>
              <w:pStyle w:val="182"/>
              <w:bidi w:val="0"/>
              <w:rPr>
                <w:color w:val="auto"/>
              </w:rPr>
            </w:pPr>
            <w:r>
              <w:rPr>
                <w:color w:val="auto"/>
              </w:rPr>
              <w:t>黄化废气</w:t>
            </w:r>
          </w:p>
        </w:tc>
        <w:tc>
          <w:tcPr>
            <w:tcW w:w="395" w:type="pct"/>
            <w:tcBorders>
              <w:tl2br w:val="nil"/>
              <w:tr2bl w:val="nil"/>
            </w:tcBorders>
            <w:vAlign w:val="center"/>
          </w:tcPr>
          <w:p>
            <w:pPr>
              <w:pStyle w:val="182"/>
              <w:bidi w:val="0"/>
              <w:rPr>
                <w:color w:val="auto"/>
              </w:rPr>
            </w:pPr>
            <w:r>
              <w:rPr>
                <w:color w:val="auto"/>
              </w:rPr>
              <w:t>CS</w:t>
            </w:r>
            <w:r>
              <w:rPr>
                <w:color w:val="auto"/>
                <w:vertAlign w:val="subscript"/>
              </w:rPr>
              <w:t>2</w:t>
            </w:r>
          </w:p>
        </w:tc>
        <w:tc>
          <w:tcPr>
            <w:tcW w:w="331" w:type="pct"/>
            <w:tcBorders>
              <w:tl2br w:val="nil"/>
              <w:tr2bl w:val="nil"/>
            </w:tcBorders>
            <w:vAlign w:val="center"/>
          </w:tcPr>
          <w:p>
            <w:pPr>
              <w:pStyle w:val="182"/>
              <w:bidi w:val="0"/>
              <w:rPr>
                <w:color w:val="auto"/>
              </w:rPr>
            </w:pPr>
            <w:r>
              <w:rPr>
                <w:color w:val="auto"/>
              </w:rPr>
              <w:t>5712</w:t>
            </w:r>
          </w:p>
        </w:tc>
        <w:tc>
          <w:tcPr>
            <w:tcW w:w="372" w:type="pct"/>
            <w:tcBorders>
              <w:tl2br w:val="nil"/>
              <w:tr2bl w:val="nil"/>
            </w:tcBorders>
            <w:vAlign w:val="center"/>
          </w:tcPr>
          <w:p>
            <w:pPr>
              <w:pStyle w:val="182"/>
              <w:bidi w:val="0"/>
              <w:rPr>
                <w:color w:val="auto"/>
              </w:rPr>
            </w:pPr>
            <w:r>
              <w:rPr>
                <w:color w:val="auto"/>
              </w:rPr>
              <w:t>85.68</w:t>
            </w:r>
          </w:p>
        </w:tc>
        <w:tc>
          <w:tcPr>
            <w:tcW w:w="990" w:type="pct"/>
            <w:vMerge w:val="restart"/>
            <w:tcBorders>
              <w:tl2br w:val="nil"/>
              <w:tr2bl w:val="nil"/>
            </w:tcBorders>
            <w:vAlign w:val="center"/>
          </w:tcPr>
          <w:p>
            <w:pPr>
              <w:pStyle w:val="182"/>
              <w:bidi w:val="0"/>
              <w:rPr>
                <w:color w:val="auto"/>
              </w:rPr>
            </w:pPr>
            <w:r>
              <w:rPr>
                <w:color w:val="auto"/>
              </w:rPr>
              <w:t>CS</w:t>
            </w:r>
            <w:r>
              <w:rPr>
                <w:color w:val="auto"/>
                <w:vertAlign w:val="subscript"/>
              </w:rPr>
              <w:t>2</w:t>
            </w:r>
            <w:r>
              <w:rPr>
                <w:color w:val="auto"/>
              </w:rPr>
              <w:t>：7.07kg/h，128.5mg/m³；H</w:t>
            </w:r>
            <w:r>
              <w:rPr>
                <w:color w:val="auto"/>
                <w:vertAlign w:val="subscript"/>
              </w:rPr>
              <w:t>2</w:t>
            </w:r>
            <w:r>
              <w:rPr>
                <w:color w:val="auto"/>
              </w:rPr>
              <w:t>S：3.44kg/h，86mg/m</w:t>
            </w:r>
            <w:r>
              <w:rPr>
                <w:color w:val="auto"/>
                <w:vertAlign w:val="superscript"/>
              </w:rPr>
              <w:t>3</w:t>
            </w:r>
          </w:p>
        </w:tc>
        <w:tc>
          <w:tcPr>
            <w:tcW w:w="1232" w:type="pct"/>
            <w:gridSpan w:val="3"/>
            <w:vMerge w:val="restart"/>
            <w:tcBorders>
              <w:tl2br w:val="nil"/>
              <w:tr2bl w:val="nil"/>
            </w:tcBorders>
            <w:vAlign w:val="center"/>
          </w:tcPr>
          <w:p>
            <w:pPr>
              <w:pStyle w:val="182"/>
              <w:bidi w:val="0"/>
              <w:rPr>
                <w:color w:val="auto"/>
              </w:rPr>
            </w:pPr>
            <w:r>
              <w:rPr>
                <w:color w:val="auto"/>
              </w:rPr>
              <w:t>碱液喷淋+活性炭吸附</w:t>
            </w:r>
          </w:p>
          <w:p>
            <w:pPr>
              <w:pStyle w:val="182"/>
              <w:bidi w:val="0"/>
              <w:rPr>
                <w:color w:val="auto"/>
              </w:rPr>
            </w:pPr>
            <w:r>
              <w:rPr>
                <w:color w:val="auto"/>
              </w:rPr>
              <w:t>+120m高6#排气塔</w:t>
            </w: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4" w:hRule="atLeast"/>
          <w:jc w:val="center"/>
        </w:trPr>
        <w:tc>
          <w:tcPr>
            <w:tcW w:w="535" w:type="pct"/>
            <w:vMerge w:val="restart"/>
            <w:tcBorders>
              <w:tl2br w:val="nil"/>
              <w:tr2bl w:val="nil"/>
            </w:tcBorders>
            <w:vAlign w:val="center"/>
          </w:tcPr>
          <w:p>
            <w:pPr>
              <w:pStyle w:val="182"/>
              <w:bidi w:val="0"/>
              <w:rPr>
                <w:color w:val="auto"/>
              </w:rPr>
            </w:pPr>
            <w:r>
              <w:rPr>
                <w:color w:val="auto"/>
              </w:rPr>
              <w:t>酸站</w:t>
            </w:r>
          </w:p>
        </w:tc>
        <w:tc>
          <w:tcPr>
            <w:tcW w:w="395" w:type="pct"/>
            <w:tcBorders>
              <w:tl2br w:val="nil"/>
              <w:tr2bl w:val="nil"/>
            </w:tcBorders>
            <w:vAlign w:val="center"/>
          </w:tcPr>
          <w:p>
            <w:pPr>
              <w:pStyle w:val="182"/>
              <w:bidi w:val="0"/>
              <w:rPr>
                <w:color w:val="auto"/>
              </w:rPr>
            </w:pPr>
            <w:r>
              <w:rPr>
                <w:color w:val="auto"/>
              </w:rPr>
              <w:t>CS</w:t>
            </w:r>
            <w:r>
              <w:rPr>
                <w:color w:val="auto"/>
                <w:vertAlign w:val="subscript"/>
              </w:rPr>
              <w:t>2</w:t>
            </w:r>
          </w:p>
        </w:tc>
        <w:tc>
          <w:tcPr>
            <w:tcW w:w="331" w:type="pct"/>
            <w:tcBorders>
              <w:tl2br w:val="nil"/>
              <w:tr2bl w:val="nil"/>
            </w:tcBorders>
            <w:vAlign w:val="center"/>
          </w:tcPr>
          <w:p>
            <w:pPr>
              <w:pStyle w:val="182"/>
              <w:bidi w:val="0"/>
              <w:rPr>
                <w:color w:val="auto"/>
              </w:rPr>
            </w:pPr>
            <w:r>
              <w:rPr>
                <w:color w:val="auto"/>
              </w:rPr>
              <w:t>6700</w:t>
            </w:r>
          </w:p>
        </w:tc>
        <w:tc>
          <w:tcPr>
            <w:tcW w:w="372" w:type="pct"/>
            <w:tcBorders>
              <w:tl2br w:val="nil"/>
              <w:tr2bl w:val="nil"/>
            </w:tcBorders>
            <w:vAlign w:val="center"/>
          </w:tcPr>
          <w:p>
            <w:pPr>
              <w:pStyle w:val="182"/>
              <w:bidi w:val="0"/>
              <w:rPr>
                <w:color w:val="auto"/>
              </w:rPr>
            </w:pPr>
            <w:r>
              <w:rPr>
                <w:color w:val="auto"/>
              </w:rPr>
              <w:t>268</w:t>
            </w:r>
          </w:p>
        </w:tc>
        <w:tc>
          <w:tcPr>
            <w:tcW w:w="990" w:type="pct"/>
            <w:vMerge w:val="continue"/>
            <w:tcBorders>
              <w:tl2br w:val="nil"/>
              <w:tr2bl w:val="nil"/>
            </w:tcBorders>
            <w:vAlign w:val="center"/>
          </w:tcPr>
          <w:p>
            <w:pPr>
              <w:pStyle w:val="182"/>
              <w:bidi w:val="0"/>
              <w:rPr>
                <w:color w:val="auto"/>
              </w:rPr>
            </w:pPr>
          </w:p>
        </w:tc>
        <w:tc>
          <w:tcPr>
            <w:tcW w:w="1232" w:type="pct"/>
            <w:gridSpan w:val="3"/>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2"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color w:val="auto"/>
              </w:rPr>
            </w:pPr>
            <w:r>
              <w:rPr>
                <w:color w:val="auto"/>
              </w:rPr>
              <w:t>H</w:t>
            </w:r>
            <w:r>
              <w:rPr>
                <w:color w:val="auto"/>
                <w:vertAlign w:val="subscript"/>
              </w:rPr>
              <w:t>2</w:t>
            </w:r>
            <w:r>
              <w:rPr>
                <w:color w:val="auto"/>
              </w:rPr>
              <w:t>S</w:t>
            </w:r>
          </w:p>
        </w:tc>
        <w:tc>
          <w:tcPr>
            <w:tcW w:w="331" w:type="pct"/>
            <w:tcBorders>
              <w:tl2br w:val="nil"/>
              <w:tr2bl w:val="nil"/>
            </w:tcBorders>
            <w:vAlign w:val="center"/>
          </w:tcPr>
          <w:p>
            <w:pPr>
              <w:pStyle w:val="182"/>
              <w:bidi w:val="0"/>
              <w:rPr>
                <w:color w:val="auto"/>
              </w:rPr>
            </w:pPr>
            <w:r>
              <w:rPr>
                <w:color w:val="auto"/>
              </w:rPr>
              <w:t>4300</w:t>
            </w:r>
          </w:p>
        </w:tc>
        <w:tc>
          <w:tcPr>
            <w:tcW w:w="372" w:type="pct"/>
            <w:tcBorders>
              <w:tl2br w:val="nil"/>
              <w:tr2bl w:val="nil"/>
            </w:tcBorders>
            <w:vAlign w:val="center"/>
          </w:tcPr>
          <w:p>
            <w:pPr>
              <w:pStyle w:val="182"/>
              <w:bidi w:val="0"/>
              <w:rPr>
                <w:color w:val="auto"/>
              </w:rPr>
            </w:pPr>
            <w:r>
              <w:rPr>
                <w:color w:val="auto"/>
              </w:rPr>
              <w:t>172.2</w:t>
            </w:r>
          </w:p>
        </w:tc>
        <w:tc>
          <w:tcPr>
            <w:tcW w:w="990" w:type="pct"/>
            <w:vMerge w:val="continue"/>
            <w:tcBorders>
              <w:tl2br w:val="nil"/>
              <w:tr2bl w:val="nil"/>
            </w:tcBorders>
            <w:vAlign w:val="center"/>
          </w:tcPr>
          <w:p>
            <w:pPr>
              <w:pStyle w:val="182"/>
              <w:bidi w:val="0"/>
              <w:rPr>
                <w:color w:val="auto"/>
              </w:rPr>
            </w:pPr>
          </w:p>
        </w:tc>
        <w:tc>
          <w:tcPr>
            <w:tcW w:w="1232" w:type="pct"/>
            <w:gridSpan w:val="3"/>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3" w:hRule="atLeast"/>
          <w:jc w:val="center"/>
        </w:trPr>
        <w:tc>
          <w:tcPr>
            <w:tcW w:w="5000" w:type="pct"/>
            <w:gridSpan w:val="9"/>
            <w:tcBorders>
              <w:tl2br w:val="nil"/>
              <w:tr2bl w:val="nil"/>
            </w:tcBorders>
            <w:vAlign w:val="center"/>
          </w:tcPr>
          <w:p>
            <w:pPr>
              <w:pStyle w:val="182"/>
              <w:bidi w:val="0"/>
              <w:rPr>
                <w:b/>
                <w:bCs/>
                <w:color w:val="auto"/>
                <w:u w:val="single"/>
              </w:rPr>
            </w:pPr>
            <w:r>
              <w:rPr>
                <w:rFonts w:hint="eastAsia"/>
                <w:b/>
                <w:bCs/>
                <w:color w:val="auto"/>
                <w:u w:val="single"/>
              </w:rPr>
              <w:t>年产六千吨再生氨纶纤维项目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45" w:hRule="atLeast"/>
          <w:jc w:val="center"/>
        </w:trPr>
        <w:tc>
          <w:tcPr>
            <w:tcW w:w="535"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切丝、称量</w:t>
            </w:r>
          </w:p>
        </w:tc>
        <w:tc>
          <w:tcPr>
            <w:tcW w:w="395"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颗粒物</w:t>
            </w:r>
          </w:p>
        </w:tc>
        <w:tc>
          <w:tcPr>
            <w:tcW w:w="331" w:type="pct"/>
            <w:tcBorders>
              <w:tl2br w:val="nil"/>
              <w:tr2bl w:val="nil"/>
            </w:tcBorders>
            <w:vAlign w:val="center"/>
          </w:tcPr>
          <w:p>
            <w:pPr>
              <w:pStyle w:val="182"/>
              <w:bidi w:val="0"/>
              <w:rPr>
                <w:b/>
                <w:bCs/>
                <w:color w:val="auto"/>
                <w:u w:val="single"/>
              </w:rPr>
            </w:pPr>
            <w:r>
              <w:rPr>
                <w:rFonts w:hint="default"/>
                <w:b/>
                <w:bCs/>
                <w:color w:val="auto"/>
                <w:u w:val="single"/>
                <w:lang w:val="en-US" w:eastAsia="zh-CN"/>
              </w:rPr>
              <w:t>42.5</w:t>
            </w:r>
          </w:p>
        </w:tc>
        <w:tc>
          <w:tcPr>
            <w:tcW w:w="372" w:type="pct"/>
            <w:tcBorders>
              <w:tl2br w:val="nil"/>
              <w:tr2bl w:val="nil"/>
            </w:tcBorders>
            <w:vAlign w:val="center"/>
          </w:tcPr>
          <w:p>
            <w:pPr>
              <w:pStyle w:val="182"/>
              <w:bidi w:val="0"/>
              <w:rPr>
                <w:b/>
                <w:bCs/>
                <w:color w:val="auto"/>
                <w:u w:val="single"/>
              </w:rPr>
            </w:pPr>
            <w:r>
              <w:rPr>
                <w:rFonts w:hint="default"/>
                <w:b/>
                <w:bCs/>
                <w:color w:val="auto"/>
                <w:u w:val="single"/>
                <w:lang w:val="en-US" w:eastAsia="zh-CN"/>
              </w:rPr>
              <w:t>0.255</w:t>
            </w:r>
          </w:p>
        </w:tc>
        <w:tc>
          <w:tcPr>
            <w:tcW w:w="990" w:type="pct"/>
            <w:tcBorders>
              <w:tl2br w:val="nil"/>
              <w:tr2bl w:val="nil"/>
            </w:tcBorders>
            <w:vAlign w:val="center"/>
          </w:tcPr>
          <w:p>
            <w:pPr>
              <w:pStyle w:val="182"/>
              <w:bidi w:val="0"/>
              <w:rPr>
                <w:rFonts w:hint="default"/>
                <w:b/>
                <w:bCs/>
                <w:color w:val="auto"/>
                <w:u w:val="single"/>
              </w:rPr>
            </w:pPr>
            <w:r>
              <w:rPr>
                <w:rFonts w:hint="default"/>
                <w:b/>
                <w:bCs/>
                <w:color w:val="auto"/>
                <w:u w:val="single"/>
              </w:rPr>
              <w:t>0.425mg/m³，</w:t>
            </w:r>
          </w:p>
          <w:p>
            <w:pPr>
              <w:pStyle w:val="182"/>
              <w:bidi w:val="0"/>
              <w:rPr>
                <w:b/>
                <w:bCs/>
                <w:color w:val="auto"/>
                <w:u w:val="single"/>
              </w:rPr>
            </w:pPr>
            <w:r>
              <w:rPr>
                <w:rFonts w:hint="default"/>
                <w:b/>
                <w:bCs/>
                <w:color w:val="auto"/>
                <w:u w:val="single"/>
              </w:rPr>
              <w:t>0.0255kg/h</w:t>
            </w:r>
          </w:p>
        </w:tc>
        <w:tc>
          <w:tcPr>
            <w:tcW w:w="1232" w:type="pct"/>
            <w:gridSpan w:val="3"/>
            <w:tcBorders>
              <w:tl2br w:val="nil"/>
              <w:tr2bl w:val="nil"/>
            </w:tcBorders>
            <w:vAlign w:val="center"/>
          </w:tcPr>
          <w:p>
            <w:pPr>
              <w:pStyle w:val="182"/>
              <w:bidi w:val="0"/>
              <w:rPr>
                <w:rFonts w:hint="default"/>
                <w:b/>
                <w:bCs/>
                <w:color w:val="auto"/>
                <w:u w:val="single"/>
              </w:rPr>
            </w:pPr>
            <w:r>
              <w:rPr>
                <w:rFonts w:hint="default"/>
                <w:b/>
                <w:bCs/>
                <w:color w:val="auto"/>
                <w:u w:val="single"/>
              </w:rPr>
              <w:t>密闭车间负压收集+</w:t>
            </w:r>
          </w:p>
          <w:p>
            <w:pPr>
              <w:pStyle w:val="182"/>
              <w:bidi w:val="0"/>
              <w:rPr>
                <w:rFonts w:hint="default"/>
                <w:b/>
                <w:bCs/>
                <w:color w:val="auto"/>
                <w:u w:val="single"/>
              </w:rPr>
            </w:pPr>
            <w:r>
              <w:rPr>
                <w:rFonts w:hint="default"/>
                <w:b/>
                <w:bCs/>
                <w:color w:val="auto"/>
                <w:u w:val="single"/>
              </w:rPr>
              <w:t>袋式除尘器+21m高</w:t>
            </w:r>
          </w:p>
          <w:p>
            <w:pPr>
              <w:pStyle w:val="182"/>
              <w:bidi w:val="0"/>
              <w:rPr>
                <w:b/>
                <w:bCs/>
                <w:color w:val="auto"/>
                <w:u w:val="single"/>
              </w:rPr>
            </w:pPr>
            <w:r>
              <w:rPr>
                <w:rFonts w:hint="default"/>
                <w:b/>
                <w:bCs/>
                <w:color w:val="auto"/>
                <w:u w:val="single"/>
              </w:rPr>
              <w:t>排气筒</w:t>
            </w:r>
          </w:p>
        </w:tc>
        <w:tc>
          <w:tcPr>
            <w:tcW w:w="1141" w:type="pct"/>
            <w:tcBorders>
              <w:tl2br w:val="nil"/>
              <w:tr2bl w:val="nil"/>
            </w:tcBorders>
            <w:vAlign w:val="center"/>
          </w:tcPr>
          <w:p>
            <w:pPr>
              <w:pStyle w:val="182"/>
              <w:bidi w:val="0"/>
              <w:rPr>
                <w:b/>
                <w:bCs/>
                <w:color w:val="auto"/>
                <w:u w:val="single"/>
              </w:rPr>
            </w:pPr>
            <w:r>
              <w:rPr>
                <w:rFonts w:hint="default"/>
                <w:b/>
                <w:bCs/>
                <w:color w:val="auto"/>
                <w:u w:val="single"/>
              </w:rPr>
              <w:t>《新乡市生态环境局关于进一步规范工业企业颗粒物排放限值的通知》有组织颗粒物10mg/m</w:t>
            </w:r>
            <w:r>
              <w:rPr>
                <w:rFonts w:hint="default"/>
                <w:b/>
                <w:bCs/>
                <w:color w:val="auto"/>
                <w:u w:val="single"/>
                <w:vertAlign w:val="superscript"/>
              </w:rPr>
              <w:t>3</w:t>
            </w:r>
            <w:r>
              <w:rPr>
                <w:rFonts w:hint="default"/>
                <w:b/>
                <w:bCs/>
                <w:color w:val="auto"/>
                <w:u w:val="single"/>
              </w:rPr>
              <w:t>，《大气污染物综合排放标准》(GB16297-1996)二级颗粒物排放速率6.5kg/h(21m)</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45" w:hRule="atLeast"/>
          <w:jc w:val="center"/>
        </w:trPr>
        <w:tc>
          <w:tcPr>
            <w:tcW w:w="535" w:type="pct"/>
            <w:tcBorders>
              <w:tl2br w:val="nil"/>
              <w:tr2bl w:val="nil"/>
            </w:tcBorders>
            <w:vAlign w:val="center"/>
          </w:tcPr>
          <w:p>
            <w:pPr>
              <w:pStyle w:val="182"/>
              <w:bidi w:val="0"/>
              <w:rPr>
                <w:b/>
                <w:bCs/>
                <w:color w:val="auto"/>
                <w:u w:val="single"/>
              </w:rPr>
            </w:pPr>
            <w:r>
              <w:rPr>
                <w:rFonts w:hint="default"/>
                <w:b/>
                <w:bCs/>
                <w:color w:val="auto"/>
                <w:u w:val="single"/>
              </w:rPr>
              <w:t>DMAC精制回收系统尾气</w:t>
            </w:r>
          </w:p>
        </w:tc>
        <w:tc>
          <w:tcPr>
            <w:tcW w:w="395" w:type="pct"/>
            <w:tcBorders>
              <w:tl2br w:val="nil"/>
              <w:tr2bl w:val="nil"/>
            </w:tcBorders>
            <w:vAlign w:val="center"/>
          </w:tcPr>
          <w:p>
            <w:pPr>
              <w:pStyle w:val="182"/>
              <w:bidi w:val="0"/>
              <w:rPr>
                <w:b/>
                <w:bCs/>
                <w:color w:val="auto"/>
                <w:u w:val="single"/>
              </w:rPr>
            </w:pPr>
            <w:r>
              <w:rPr>
                <w:rFonts w:hint="default"/>
                <w:b/>
                <w:bCs/>
                <w:color w:val="auto"/>
                <w:u w:val="single"/>
              </w:rPr>
              <w:t>DMAC</w:t>
            </w:r>
          </w:p>
        </w:tc>
        <w:tc>
          <w:tcPr>
            <w:tcW w:w="331" w:type="pct"/>
            <w:tcBorders>
              <w:tl2br w:val="nil"/>
              <w:tr2bl w:val="nil"/>
            </w:tcBorders>
            <w:vAlign w:val="center"/>
          </w:tcPr>
          <w:p>
            <w:pPr>
              <w:pStyle w:val="182"/>
              <w:bidi w:val="0"/>
              <w:rPr>
                <w:b/>
                <w:bCs/>
                <w:color w:val="auto"/>
                <w:u w:val="single"/>
              </w:rPr>
            </w:pPr>
            <w:r>
              <w:rPr>
                <w:rFonts w:hint="default"/>
                <w:b/>
                <w:bCs/>
                <w:color w:val="auto"/>
                <w:u w:val="single"/>
                <w:lang w:val="en-US" w:eastAsia="zh-CN"/>
              </w:rPr>
              <w:t>218</w:t>
            </w:r>
          </w:p>
        </w:tc>
        <w:tc>
          <w:tcPr>
            <w:tcW w:w="372" w:type="pct"/>
            <w:tcBorders>
              <w:tl2br w:val="nil"/>
              <w:tr2bl w:val="nil"/>
            </w:tcBorders>
            <w:vAlign w:val="center"/>
          </w:tcPr>
          <w:p>
            <w:pPr>
              <w:pStyle w:val="182"/>
              <w:bidi w:val="0"/>
              <w:rPr>
                <w:b/>
                <w:bCs/>
                <w:color w:val="auto"/>
                <w:u w:val="single"/>
              </w:rPr>
            </w:pPr>
            <w:r>
              <w:rPr>
                <w:rFonts w:hint="default"/>
                <w:b/>
                <w:bCs/>
                <w:color w:val="auto"/>
                <w:u w:val="single"/>
              </w:rPr>
              <w:t>0.218</w:t>
            </w:r>
          </w:p>
        </w:tc>
        <w:tc>
          <w:tcPr>
            <w:tcW w:w="990" w:type="pct"/>
            <w:vMerge w:val="restart"/>
            <w:tcBorders>
              <w:tl2br w:val="nil"/>
              <w:tr2bl w:val="nil"/>
            </w:tcBorders>
            <w:vAlign w:val="center"/>
          </w:tcPr>
          <w:p>
            <w:pPr>
              <w:pStyle w:val="182"/>
              <w:bidi w:val="0"/>
              <w:rPr>
                <w:b/>
                <w:bCs/>
                <w:color w:val="auto"/>
                <w:u w:val="single"/>
              </w:rPr>
            </w:pPr>
            <w:r>
              <w:rPr>
                <w:rFonts w:hint="default"/>
                <w:b/>
                <w:bCs/>
                <w:color w:val="auto"/>
                <w:u w:val="single"/>
              </w:rPr>
              <w:t>≤5.09mg/m</w:t>
            </w:r>
            <w:r>
              <w:rPr>
                <w:rFonts w:hint="eastAsia"/>
                <w:b/>
                <w:bCs/>
                <w:color w:val="auto"/>
                <w:u w:val="single"/>
                <w:vertAlign w:val="superscript"/>
                <w:lang w:val="en-US" w:eastAsia="zh-CN"/>
              </w:rPr>
              <w:t>3</w:t>
            </w:r>
            <w:r>
              <w:rPr>
                <w:rFonts w:hint="eastAsia"/>
                <w:b/>
                <w:bCs/>
                <w:color w:val="auto"/>
                <w:u w:val="single"/>
                <w:lang w:val="en-US" w:eastAsia="zh-CN"/>
              </w:rPr>
              <w:t>，</w:t>
            </w:r>
            <w:r>
              <w:rPr>
                <w:rFonts w:hint="default"/>
                <w:b/>
                <w:bCs/>
                <w:color w:val="auto"/>
                <w:u w:val="single"/>
              </w:rPr>
              <w:t>0.1424kg/h</w:t>
            </w:r>
          </w:p>
        </w:tc>
        <w:tc>
          <w:tcPr>
            <w:tcW w:w="535" w:type="pct"/>
            <w:gridSpan w:val="2"/>
            <w:vMerge w:val="restart"/>
            <w:tcBorders>
              <w:tl2br w:val="nil"/>
              <w:tr2bl w:val="nil"/>
            </w:tcBorders>
            <w:vAlign w:val="center"/>
          </w:tcPr>
          <w:p>
            <w:pPr>
              <w:pStyle w:val="182"/>
              <w:bidi w:val="0"/>
              <w:rPr>
                <w:rFonts w:hint="default"/>
                <w:b/>
                <w:bCs/>
                <w:color w:val="auto"/>
                <w:u w:val="single"/>
              </w:rPr>
            </w:pPr>
            <w:r>
              <w:rPr>
                <w:rFonts w:hint="default"/>
                <w:b/>
                <w:bCs/>
                <w:color w:val="auto"/>
                <w:u w:val="single"/>
              </w:rPr>
              <w:t>二级水喷</w:t>
            </w:r>
          </w:p>
          <w:p>
            <w:pPr>
              <w:pStyle w:val="182"/>
              <w:bidi w:val="0"/>
              <w:rPr>
                <w:b/>
                <w:bCs/>
                <w:color w:val="auto"/>
                <w:u w:val="single"/>
              </w:rPr>
            </w:pPr>
            <w:r>
              <w:rPr>
                <w:rFonts w:hint="default"/>
                <w:b/>
                <w:bCs/>
                <w:color w:val="auto"/>
                <w:u w:val="single"/>
              </w:rPr>
              <w:t>淋+末端二级水喷淋</w:t>
            </w:r>
          </w:p>
        </w:tc>
        <w:tc>
          <w:tcPr>
            <w:tcW w:w="697" w:type="pct"/>
            <w:vMerge w:val="restart"/>
            <w:tcBorders>
              <w:tl2br w:val="nil"/>
              <w:tr2bl w:val="nil"/>
            </w:tcBorders>
            <w:vAlign w:val="center"/>
          </w:tcPr>
          <w:p>
            <w:pPr>
              <w:pStyle w:val="182"/>
              <w:bidi w:val="0"/>
              <w:rPr>
                <w:b/>
                <w:bCs/>
                <w:color w:val="auto"/>
                <w:u w:val="single"/>
              </w:rPr>
            </w:pPr>
            <w:r>
              <w:rPr>
                <w:rFonts w:hint="default"/>
                <w:b/>
                <w:bCs/>
                <w:color w:val="auto"/>
                <w:u w:val="single"/>
              </w:rPr>
              <w:t>+处理后经50m高8#排气筒排放</w:t>
            </w:r>
          </w:p>
        </w:tc>
        <w:tc>
          <w:tcPr>
            <w:tcW w:w="1141" w:type="pct"/>
            <w:vMerge w:val="restart"/>
            <w:tcBorders>
              <w:tl2br w:val="nil"/>
              <w:tr2bl w:val="nil"/>
            </w:tcBorders>
            <w:vAlign w:val="center"/>
          </w:tcPr>
          <w:p>
            <w:pPr>
              <w:pStyle w:val="182"/>
              <w:bidi w:val="0"/>
              <w:rPr>
                <w:b/>
                <w:bCs/>
                <w:color w:val="auto"/>
                <w:u w:val="single"/>
              </w:rPr>
            </w:pPr>
            <w:r>
              <w:rPr>
                <w:rFonts w:hint="default"/>
                <w:b/>
                <w:bCs/>
                <w:color w:val="auto"/>
                <w:u w:val="single"/>
              </w:rPr>
              <w:t>《关于全省开展工业企业挥发性有机物专项治理工作中排放建议值的通知》（豫环攻坚办（2017）162号）附件1 其他行业非甲烷总烃排放浓度80mg/m</w:t>
            </w:r>
            <w:r>
              <w:rPr>
                <w:rFonts w:hint="default"/>
                <w:b/>
                <w:bCs/>
                <w:color w:val="auto"/>
                <w:u w:val="single"/>
                <w:vertAlign w:val="superscript"/>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8" w:hRule="atLeast"/>
          <w:jc w:val="center"/>
        </w:trPr>
        <w:tc>
          <w:tcPr>
            <w:tcW w:w="535" w:type="pct"/>
            <w:tcBorders>
              <w:tl2br w:val="nil"/>
              <w:tr2bl w:val="nil"/>
            </w:tcBorders>
            <w:vAlign w:val="center"/>
          </w:tcPr>
          <w:p>
            <w:pPr>
              <w:pStyle w:val="182"/>
              <w:bidi w:val="0"/>
              <w:rPr>
                <w:b/>
                <w:bCs/>
                <w:color w:val="auto"/>
                <w:u w:val="single"/>
              </w:rPr>
            </w:pPr>
            <w:r>
              <w:rPr>
                <w:rFonts w:hint="default"/>
                <w:b/>
                <w:bCs/>
                <w:color w:val="auto"/>
                <w:u w:val="single"/>
              </w:rPr>
              <w:t>纺丝工艺废气</w:t>
            </w:r>
          </w:p>
        </w:tc>
        <w:tc>
          <w:tcPr>
            <w:tcW w:w="395" w:type="pct"/>
            <w:tcBorders>
              <w:tl2br w:val="nil"/>
              <w:tr2bl w:val="nil"/>
            </w:tcBorders>
            <w:vAlign w:val="center"/>
          </w:tcPr>
          <w:p>
            <w:pPr>
              <w:pStyle w:val="182"/>
              <w:bidi w:val="0"/>
              <w:rPr>
                <w:b/>
                <w:bCs/>
                <w:color w:val="auto"/>
                <w:u w:val="single"/>
              </w:rPr>
            </w:pPr>
            <w:r>
              <w:rPr>
                <w:rFonts w:hint="eastAsia"/>
                <w:b/>
                <w:bCs/>
                <w:color w:val="auto"/>
                <w:u w:val="single"/>
              </w:rPr>
              <w:t>DMAC</w:t>
            </w:r>
          </w:p>
        </w:tc>
        <w:tc>
          <w:tcPr>
            <w:tcW w:w="331" w:type="pct"/>
            <w:tcBorders>
              <w:tl2br w:val="nil"/>
              <w:tr2bl w:val="nil"/>
            </w:tcBorders>
            <w:vAlign w:val="center"/>
          </w:tcPr>
          <w:p>
            <w:pPr>
              <w:pStyle w:val="182"/>
              <w:bidi w:val="0"/>
              <w:rPr>
                <w:b/>
                <w:bCs/>
                <w:color w:val="auto"/>
                <w:u w:val="single"/>
              </w:rPr>
            </w:pPr>
            <w:r>
              <w:rPr>
                <w:rFonts w:hint="default"/>
                <w:b/>
                <w:bCs/>
                <w:color w:val="auto"/>
                <w:u w:val="single"/>
              </w:rPr>
              <w:t>281.6</w:t>
            </w:r>
          </w:p>
        </w:tc>
        <w:tc>
          <w:tcPr>
            <w:tcW w:w="372" w:type="pct"/>
            <w:tcBorders>
              <w:tl2br w:val="nil"/>
              <w:tr2bl w:val="nil"/>
            </w:tcBorders>
            <w:vAlign w:val="center"/>
          </w:tcPr>
          <w:p>
            <w:pPr>
              <w:pStyle w:val="182"/>
              <w:bidi w:val="0"/>
              <w:rPr>
                <w:b/>
                <w:bCs/>
                <w:color w:val="auto"/>
                <w:u w:val="single"/>
              </w:rPr>
            </w:pPr>
            <w:r>
              <w:rPr>
                <w:rFonts w:hint="default"/>
                <w:b/>
                <w:bCs/>
                <w:color w:val="auto"/>
                <w:u w:val="single"/>
              </w:rPr>
              <w:t>2.816</w:t>
            </w:r>
          </w:p>
        </w:tc>
        <w:tc>
          <w:tcPr>
            <w:tcW w:w="990" w:type="pct"/>
            <w:vMerge w:val="continue"/>
            <w:tcBorders>
              <w:tl2br w:val="nil"/>
              <w:tr2bl w:val="nil"/>
            </w:tcBorders>
            <w:vAlign w:val="center"/>
          </w:tcPr>
          <w:p>
            <w:pPr>
              <w:pStyle w:val="182"/>
              <w:bidi w:val="0"/>
              <w:rPr>
                <w:b/>
                <w:bCs/>
                <w:color w:val="auto"/>
                <w:u w:val="single"/>
              </w:rPr>
            </w:pPr>
          </w:p>
        </w:tc>
        <w:tc>
          <w:tcPr>
            <w:tcW w:w="535" w:type="pct"/>
            <w:gridSpan w:val="2"/>
            <w:vMerge w:val="continue"/>
            <w:tcBorders>
              <w:tl2br w:val="nil"/>
              <w:tr2bl w:val="nil"/>
            </w:tcBorders>
            <w:vAlign w:val="center"/>
          </w:tcPr>
          <w:p>
            <w:pPr>
              <w:pStyle w:val="182"/>
              <w:bidi w:val="0"/>
              <w:rPr>
                <w:b/>
                <w:bCs/>
                <w:color w:val="auto"/>
                <w:u w:val="single"/>
              </w:rPr>
            </w:pPr>
          </w:p>
        </w:tc>
        <w:tc>
          <w:tcPr>
            <w:tcW w:w="697" w:type="pct"/>
            <w:vMerge w:val="continue"/>
            <w:tcBorders>
              <w:tl2br w:val="nil"/>
              <w:tr2bl w:val="nil"/>
            </w:tcBorders>
            <w:vAlign w:val="center"/>
          </w:tcPr>
          <w:p>
            <w:pPr>
              <w:pStyle w:val="182"/>
              <w:bidi w:val="0"/>
              <w:rPr>
                <w:b/>
                <w:bCs/>
                <w:color w:val="auto"/>
                <w:u w:val="single"/>
              </w:rPr>
            </w:pPr>
          </w:p>
        </w:tc>
        <w:tc>
          <w:tcPr>
            <w:tcW w:w="1141" w:type="pct"/>
            <w:vMerge w:val="continue"/>
            <w:tcBorders>
              <w:tl2br w:val="nil"/>
              <w:tr2bl w:val="nil"/>
            </w:tcBorders>
            <w:vAlign w:val="center"/>
          </w:tcPr>
          <w:p>
            <w:pPr>
              <w:pStyle w:val="182"/>
              <w:bidi w:val="0"/>
              <w:rPr>
                <w:b/>
                <w:bCs/>
                <w:color w:val="auto"/>
                <w:u w:val="singl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57" w:hRule="atLeast"/>
          <w:jc w:val="center"/>
        </w:trPr>
        <w:tc>
          <w:tcPr>
            <w:tcW w:w="535" w:type="pct"/>
            <w:tcBorders>
              <w:tl2br w:val="nil"/>
              <w:tr2bl w:val="nil"/>
            </w:tcBorders>
            <w:vAlign w:val="center"/>
          </w:tcPr>
          <w:p>
            <w:pPr>
              <w:pStyle w:val="182"/>
              <w:bidi w:val="0"/>
              <w:rPr>
                <w:b/>
                <w:bCs/>
                <w:color w:val="auto"/>
                <w:u w:val="single"/>
              </w:rPr>
            </w:pPr>
            <w:r>
              <w:rPr>
                <w:rFonts w:hint="default"/>
                <w:b/>
                <w:bCs/>
                <w:color w:val="auto"/>
                <w:u w:val="single"/>
              </w:rPr>
              <w:t>组件清洗</w:t>
            </w:r>
          </w:p>
        </w:tc>
        <w:tc>
          <w:tcPr>
            <w:tcW w:w="395" w:type="pct"/>
            <w:tcBorders>
              <w:tl2br w:val="nil"/>
              <w:tr2bl w:val="nil"/>
            </w:tcBorders>
            <w:vAlign w:val="center"/>
          </w:tcPr>
          <w:p>
            <w:pPr>
              <w:pStyle w:val="182"/>
              <w:bidi w:val="0"/>
              <w:rPr>
                <w:b/>
                <w:bCs/>
                <w:color w:val="auto"/>
                <w:u w:val="single"/>
              </w:rPr>
            </w:pPr>
            <w:r>
              <w:rPr>
                <w:rFonts w:hint="eastAsia"/>
                <w:b/>
                <w:bCs/>
                <w:color w:val="auto"/>
                <w:u w:val="single"/>
              </w:rPr>
              <w:t>DMAC</w:t>
            </w:r>
          </w:p>
        </w:tc>
        <w:tc>
          <w:tcPr>
            <w:tcW w:w="331" w:type="pct"/>
            <w:tcBorders>
              <w:tl2br w:val="nil"/>
              <w:tr2bl w:val="nil"/>
            </w:tcBorders>
            <w:vAlign w:val="center"/>
          </w:tcPr>
          <w:p>
            <w:pPr>
              <w:pStyle w:val="182"/>
              <w:bidi w:val="0"/>
              <w:rPr>
                <w:b/>
                <w:bCs/>
                <w:color w:val="auto"/>
                <w:u w:val="single"/>
              </w:rPr>
            </w:pPr>
            <w:r>
              <w:rPr>
                <w:rFonts w:hint="default"/>
                <w:b/>
                <w:bCs/>
                <w:color w:val="auto"/>
                <w:u w:val="single"/>
              </w:rPr>
              <w:t>103.5</w:t>
            </w:r>
          </w:p>
        </w:tc>
        <w:tc>
          <w:tcPr>
            <w:tcW w:w="372" w:type="pct"/>
            <w:tcBorders>
              <w:tl2br w:val="nil"/>
              <w:tr2bl w:val="nil"/>
            </w:tcBorders>
            <w:vAlign w:val="center"/>
          </w:tcPr>
          <w:p>
            <w:pPr>
              <w:pStyle w:val="182"/>
              <w:bidi w:val="0"/>
              <w:rPr>
                <w:b/>
                <w:bCs/>
                <w:color w:val="auto"/>
                <w:u w:val="single"/>
              </w:rPr>
            </w:pPr>
            <w:r>
              <w:rPr>
                <w:rFonts w:hint="default"/>
                <w:b/>
                <w:bCs/>
                <w:color w:val="auto"/>
                <w:u w:val="single"/>
              </w:rPr>
              <w:t>0.207</w:t>
            </w:r>
          </w:p>
        </w:tc>
        <w:tc>
          <w:tcPr>
            <w:tcW w:w="990" w:type="pct"/>
            <w:vMerge w:val="continue"/>
            <w:tcBorders>
              <w:tl2br w:val="nil"/>
              <w:tr2bl w:val="nil"/>
            </w:tcBorders>
            <w:vAlign w:val="center"/>
          </w:tcPr>
          <w:p>
            <w:pPr>
              <w:pStyle w:val="182"/>
              <w:bidi w:val="0"/>
              <w:rPr>
                <w:b/>
                <w:bCs/>
                <w:color w:val="auto"/>
                <w:u w:val="single"/>
              </w:rPr>
            </w:pPr>
          </w:p>
        </w:tc>
        <w:tc>
          <w:tcPr>
            <w:tcW w:w="535" w:type="pct"/>
            <w:gridSpan w:val="2"/>
            <w:vMerge w:val="restart"/>
            <w:tcBorders>
              <w:tl2br w:val="nil"/>
              <w:tr2bl w:val="nil"/>
            </w:tcBorders>
            <w:vAlign w:val="center"/>
          </w:tcPr>
          <w:p>
            <w:pPr>
              <w:pStyle w:val="182"/>
              <w:bidi w:val="0"/>
              <w:rPr>
                <w:b/>
                <w:bCs/>
                <w:color w:val="auto"/>
                <w:u w:val="single"/>
              </w:rPr>
            </w:pPr>
            <w:r>
              <w:rPr>
                <w:rFonts w:hint="default"/>
                <w:b/>
                <w:bCs/>
                <w:color w:val="auto"/>
                <w:u w:val="single"/>
              </w:rPr>
              <w:t>末端二级水喷淋</w:t>
            </w:r>
          </w:p>
        </w:tc>
        <w:tc>
          <w:tcPr>
            <w:tcW w:w="697" w:type="pct"/>
            <w:vMerge w:val="continue"/>
            <w:tcBorders>
              <w:tl2br w:val="nil"/>
              <w:tr2bl w:val="nil"/>
            </w:tcBorders>
            <w:vAlign w:val="center"/>
          </w:tcPr>
          <w:p>
            <w:pPr>
              <w:pStyle w:val="182"/>
              <w:bidi w:val="0"/>
              <w:rPr>
                <w:b/>
                <w:bCs/>
                <w:color w:val="auto"/>
                <w:u w:val="single"/>
              </w:rPr>
            </w:pPr>
          </w:p>
        </w:tc>
        <w:tc>
          <w:tcPr>
            <w:tcW w:w="1141" w:type="pct"/>
            <w:vMerge w:val="continue"/>
            <w:tcBorders>
              <w:tl2br w:val="nil"/>
              <w:tr2bl w:val="nil"/>
            </w:tcBorders>
            <w:vAlign w:val="center"/>
          </w:tcPr>
          <w:p>
            <w:pPr>
              <w:pStyle w:val="182"/>
              <w:bidi w:val="0"/>
              <w:rPr>
                <w:b/>
                <w:bCs/>
                <w:color w:val="auto"/>
                <w:u w:val="singl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9" w:hRule="atLeast"/>
          <w:jc w:val="center"/>
        </w:trPr>
        <w:tc>
          <w:tcPr>
            <w:tcW w:w="535" w:type="pct"/>
            <w:tcBorders>
              <w:tl2br w:val="nil"/>
              <w:tr2bl w:val="nil"/>
            </w:tcBorders>
            <w:vAlign w:val="center"/>
          </w:tcPr>
          <w:p>
            <w:pPr>
              <w:pStyle w:val="182"/>
              <w:bidi w:val="0"/>
              <w:rPr>
                <w:b/>
                <w:bCs/>
                <w:color w:val="auto"/>
                <w:u w:val="single"/>
              </w:rPr>
            </w:pPr>
            <w:r>
              <w:rPr>
                <w:rFonts w:hint="default"/>
                <w:b/>
                <w:bCs/>
                <w:color w:val="auto"/>
                <w:u w:val="single"/>
              </w:rPr>
              <w:t>纺丝卷绕车间</w:t>
            </w:r>
          </w:p>
        </w:tc>
        <w:tc>
          <w:tcPr>
            <w:tcW w:w="395" w:type="pct"/>
            <w:tcBorders>
              <w:tl2br w:val="nil"/>
              <w:tr2bl w:val="nil"/>
            </w:tcBorders>
            <w:vAlign w:val="center"/>
          </w:tcPr>
          <w:p>
            <w:pPr>
              <w:pStyle w:val="182"/>
              <w:bidi w:val="0"/>
              <w:rPr>
                <w:b/>
                <w:bCs/>
                <w:color w:val="auto"/>
                <w:u w:val="single"/>
              </w:rPr>
            </w:pPr>
            <w:r>
              <w:rPr>
                <w:rFonts w:hint="eastAsia"/>
                <w:b/>
                <w:bCs/>
                <w:color w:val="auto"/>
                <w:u w:val="single"/>
              </w:rPr>
              <w:t>DMAC</w:t>
            </w:r>
          </w:p>
        </w:tc>
        <w:tc>
          <w:tcPr>
            <w:tcW w:w="331" w:type="pct"/>
            <w:tcBorders>
              <w:tl2br w:val="nil"/>
              <w:tr2bl w:val="nil"/>
            </w:tcBorders>
            <w:vAlign w:val="center"/>
          </w:tcPr>
          <w:p>
            <w:pPr>
              <w:pStyle w:val="182"/>
              <w:bidi w:val="0"/>
              <w:rPr>
                <w:b/>
                <w:bCs/>
                <w:color w:val="auto"/>
                <w:u w:val="single"/>
              </w:rPr>
            </w:pPr>
            <w:r>
              <w:rPr>
                <w:rFonts w:hint="default"/>
                <w:b/>
                <w:bCs/>
                <w:color w:val="auto"/>
                <w:u w:val="single"/>
              </w:rPr>
              <w:t>60.9</w:t>
            </w:r>
          </w:p>
        </w:tc>
        <w:tc>
          <w:tcPr>
            <w:tcW w:w="372" w:type="pct"/>
            <w:tcBorders>
              <w:tl2br w:val="nil"/>
              <w:tr2bl w:val="nil"/>
            </w:tcBorders>
            <w:vAlign w:val="center"/>
          </w:tcPr>
          <w:p>
            <w:pPr>
              <w:pStyle w:val="182"/>
              <w:bidi w:val="0"/>
              <w:rPr>
                <w:b/>
                <w:bCs/>
                <w:color w:val="auto"/>
                <w:u w:val="single"/>
              </w:rPr>
            </w:pPr>
            <w:r>
              <w:rPr>
                <w:rFonts w:hint="default"/>
                <w:b/>
                <w:bCs/>
                <w:color w:val="auto"/>
                <w:u w:val="single"/>
              </w:rPr>
              <w:t>0.914</w:t>
            </w:r>
          </w:p>
        </w:tc>
        <w:tc>
          <w:tcPr>
            <w:tcW w:w="990" w:type="pct"/>
            <w:vMerge w:val="continue"/>
            <w:tcBorders>
              <w:tl2br w:val="nil"/>
              <w:tr2bl w:val="nil"/>
            </w:tcBorders>
            <w:vAlign w:val="center"/>
          </w:tcPr>
          <w:p>
            <w:pPr>
              <w:pStyle w:val="182"/>
              <w:bidi w:val="0"/>
              <w:rPr>
                <w:b/>
                <w:bCs/>
                <w:color w:val="auto"/>
                <w:u w:val="single"/>
              </w:rPr>
            </w:pPr>
          </w:p>
        </w:tc>
        <w:tc>
          <w:tcPr>
            <w:tcW w:w="535" w:type="pct"/>
            <w:gridSpan w:val="2"/>
            <w:vMerge w:val="continue"/>
            <w:tcBorders>
              <w:tl2br w:val="nil"/>
              <w:tr2bl w:val="nil"/>
            </w:tcBorders>
            <w:vAlign w:val="center"/>
          </w:tcPr>
          <w:p>
            <w:pPr>
              <w:pStyle w:val="182"/>
              <w:bidi w:val="0"/>
              <w:rPr>
                <w:b/>
                <w:bCs/>
                <w:color w:val="auto"/>
                <w:u w:val="single"/>
              </w:rPr>
            </w:pPr>
          </w:p>
        </w:tc>
        <w:tc>
          <w:tcPr>
            <w:tcW w:w="697" w:type="pct"/>
            <w:vMerge w:val="continue"/>
            <w:tcBorders>
              <w:tl2br w:val="nil"/>
              <w:tr2bl w:val="nil"/>
            </w:tcBorders>
            <w:vAlign w:val="center"/>
          </w:tcPr>
          <w:p>
            <w:pPr>
              <w:pStyle w:val="182"/>
              <w:bidi w:val="0"/>
              <w:rPr>
                <w:b/>
                <w:bCs/>
                <w:color w:val="auto"/>
                <w:u w:val="single"/>
              </w:rPr>
            </w:pPr>
          </w:p>
        </w:tc>
        <w:tc>
          <w:tcPr>
            <w:tcW w:w="1141" w:type="pct"/>
            <w:vMerge w:val="continue"/>
            <w:tcBorders>
              <w:tl2br w:val="nil"/>
              <w:tr2bl w:val="nil"/>
            </w:tcBorders>
            <w:vAlign w:val="center"/>
          </w:tcPr>
          <w:p>
            <w:pPr>
              <w:pStyle w:val="182"/>
              <w:bidi w:val="0"/>
              <w:rPr>
                <w:b/>
                <w:bCs/>
                <w:color w:val="auto"/>
                <w:u w:val="singl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82" w:hRule="atLeast"/>
          <w:jc w:val="center"/>
        </w:trPr>
        <w:tc>
          <w:tcPr>
            <w:tcW w:w="5000" w:type="pct"/>
            <w:gridSpan w:val="9"/>
            <w:tcBorders>
              <w:tl2br w:val="nil"/>
              <w:tr2bl w:val="nil"/>
            </w:tcBorders>
            <w:vAlign w:val="center"/>
          </w:tcPr>
          <w:p>
            <w:pPr>
              <w:pStyle w:val="182"/>
              <w:bidi w:val="0"/>
              <w:rPr>
                <w:b/>
                <w:bCs/>
                <w:color w:val="auto"/>
                <w:u w:val="single"/>
              </w:rPr>
            </w:pPr>
            <w:r>
              <w:rPr>
                <w:b/>
                <w:bCs/>
                <w:color w:val="auto"/>
                <w:u w:val="single"/>
              </w:rPr>
              <w:t>年产10万吨高品质超细旦氨纶纤维项目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45" w:hRule="atLeast"/>
          <w:jc w:val="center"/>
        </w:trPr>
        <w:tc>
          <w:tcPr>
            <w:tcW w:w="535" w:type="pct"/>
            <w:vMerge w:val="restart"/>
            <w:tcBorders>
              <w:tl2br w:val="nil"/>
              <w:tr2bl w:val="nil"/>
            </w:tcBorders>
            <w:vAlign w:val="center"/>
          </w:tcPr>
          <w:p>
            <w:pPr>
              <w:pStyle w:val="182"/>
              <w:bidi w:val="0"/>
              <w:rPr>
                <w:color w:val="auto"/>
              </w:rPr>
            </w:pPr>
            <w:r>
              <w:rPr>
                <w:color w:val="auto"/>
              </w:rPr>
              <w:t>添加剂投料粉尘</w:t>
            </w:r>
          </w:p>
        </w:tc>
        <w:tc>
          <w:tcPr>
            <w:tcW w:w="395" w:type="pct"/>
            <w:tcBorders>
              <w:tl2br w:val="nil"/>
              <w:tr2bl w:val="nil"/>
            </w:tcBorders>
            <w:vAlign w:val="center"/>
          </w:tcPr>
          <w:p>
            <w:pPr>
              <w:pStyle w:val="182"/>
              <w:bidi w:val="0"/>
              <w:rPr>
                <w:color w:val="auto"/>
              </w:rPr>
            </w:pPr>
            <w:r>
              <w:rPr>
                <w:color w:val="auto"/>
              </w:rPr>
              <w:t>颗粒物</w:t>
            </w:r>
            <w:r>
              <w:rPr>
                <w:rFonts w:hint="eastAsia"/>
                <w:color w:val="auto"/>
                <w:lang w:eastAsia="zh-CN"/>
              </w:rPr>
              <w:t>（</w:t>
            </w:r>
            <w:r>
              <w:rPr>
                <w:color w:val="auto"/>
              </w:rPr>
              <w:t>一期</w:t>
            </w:r>
            <w:r>
              <w:rPr>
                <w:rFonts w:hint="eastAsia"/>
                <w:color w:val="auto"/>
                <w:lang w:eastAsia="zh-CN"/>
              </w:rPr>
              <w:t>）</w:t>
            </w:r>
          </w:p>
        </w:tc>
        <w:tc>
          <w:tcPr>
            <w:tcW w:w="331" w:type="pct"/>
            <w:tcBorders>
              <w:tl2br w:val="nil"/>
              <w:tr2bl w:val="nil"/>
            </w:tcBorders>
            <w:vAlign w:val="center"/>
          </w:tcPr>
          <w:p>
            <w:pPr>
              <w:pStyle w:val="182"/>
              <w:bidi w:val="0"/>
              <w:rPr>
                <w:color w:val="auto"/>
              </w:rPr>
            </w:pPr>
            <w:r>
              <w:rPr>
                <w:color w:val="auto"/>
              </w:rPr>
              <w:t>891.89</w:t>
            </w:r>
          </w:p>
        </w:tc>
        <w:tc>
          <w:tcPr>
            <w:tcW w:w="372" w:type="pct"/>
            <w:tcBorders>
              <w:tl2br w:val="nil"/>
              <w:tr2bl w:val="nil"/>
            </w:tcBorders>
            <w:vAlign w:val="center"/>
          </w:tcPr>
          <w:p>
            <w:pPr>
              <w:pStyle w:val="182"/>
              <w:bidi w:val="0"/>
              <w:rPr>
                <w:color w:val="auto"/>
              </w:rPr>
            </w:pPr>
            <w:r>
              <w:rPr>
                <w:color w:val="auto"/>
              </w:rPr>
              <w:t>2.6757</w:t>
            </w:r>
          </w:p>
        </w:tc>
        <w:tc>
          <w:tcPr>
            <w:tcW w:w="990" w:type="pct"/>
            <w:tcBorders>
              <w:tl2br w:val="nil"/>
              <w:tr2bl w:val="nil"/>
            </w:tcBorders>
            <w:vAlign w:val="center"/>
          </w:tcPr>
          <w:p>
            <w:pPr>
              <w:pStyle w:val="182"/>
              <w:bidi w:val="0"/>
              <w:rPr>
                <w:color w:val="auto"/>
              </w:rPr>
            </w:pPr>
            <w:r>
              <w:rPr>
                <w:color w:val="auto"/>
              </w:rPr>
              <w:t>8.92</w:t>
            </w:r>
          </w:p>
        </w:tc>
        <w:tc>
          <w:tcPr>
            <w:tcW w:w="1232" w:type="pct"/>
            <w:gridSpan w:val="3"/>
            <w:tcBorders>
              <w:tl2br w:val="nil"/>
              <w:tr2bl w:val="nil"/>
            </w:tcBorders>
            <w:vAlign w:val="center"/>
          </w:tcPr>
          <w:p>
            <w:pPr>
              <w:pStyle w:val="182"/>
              <w:bidi w:val="0"/>
              <w:rPr>
                <w:color w:val="auto"/>
              </w:rPr>
            </w:pPr>
            <w:r>
              <w:rPr>
                <w:color w:val="auto"/>
              </w:rPr>
              <w:t>集气罩+袋式除尘器</w:t>
            </w:r>
          </w:p>
          <w:p>
            <w:pPr>
              <w:pStyle w:val="182"/>
              <w:bidi w:val="0"/>
              <w:rPr>
                <w:color w:val="auto"/>
              </w:rPr>
            </w:pPr>
            <w:r>
              <w:rPr>
                <w:color w:val="auto"/>
              </w:rPr>
              <w:t>+15m高排气筒P16</w:t>
            </w:r>
          </w:p>
        </w:tc>
        <w:tc>
          <w:tcPr>
            <w:tcW w:w="1141" w:type="pct"/>
            <w:vMerge w:val="restart"/>
            <w:tcBorders>
              <w:tl2br w:val="nil"/>
              <w:tr2bl w:val="nil"/>
            </w:tcBorders>
            <w:vAlign w:val="center"/>
          </w:tcPr>
          <w:p>
            <w:pPr>
              <w:pStyle w:val="182"/>
              <w:bidi w:val="0"/>
              <w:rPr>
                <w:color w:val="auto"/>
              </w:rPr>
            </w:pPr>
            <w:r>
              <w:rPr>
                <w:color w:val="auto"/>
              </w:rPr>
              <w:t>《大气污染物综合排放标准》(GB16297-1996)</w:t>
            </w:r>
          </w:p>
          <w:p>
            <w:pPr>
              <w:pStyle w:val="182"/>
              <w:bidi w:val="0"/>
              <w:rPr>
                <w:color w:val="auto"/>
              </w:rPr>
            </w:pPr>
            <w:r>
              <w:rPr>
                <w:color w:val="auto"/>
              </w:rPr>
              <w:t>二级15m排气筒排放速率3.5kg/h</w:t>
            </w:r>
          </w:p>
          <w:p>
            <w:pPr>
              <w:pStyle w:val="182"/>
              <w:bidi w:val="0"/>
              <w:rPr>
                <w:color w:val="auto"/>
              </w:rPr>
            </w:pPr>
            <w:r>
              <w:rPr>
                <w:color w:val="auto"/>
              </w:rPr>
              <w:t>《新乡市生态环境局关于进一步规范工业企业颗粒物排放限值的通知》有组织颗粒物10mg/m</w:t>
            </w:r>
            <w:r>
              <w:rPr>
                <w:color w:val="auto"/>
                <w:vertAlign w:val="superscript"/>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93"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color w:val="auto"/>
              </w:rPr>
            </w:pPr>
            <w:r>
              <w:rPr>
                <w:color w:val="auto"/>
              </w:rPr>
              <w:t>颗粒物</w:t>
            </w:r>
            <w:r>
              <w:rPr>
                <w:rFonts w:hint="eastAsia"/>
                <w:color w:val="auto"/>
                <w:lang w:eastAsia="zh-CN"/>
              </w:rPr>
              <w:t>（</w:t>
            </w:r>
            <w:r>
              <w:rPr>
                <w:color w:val="auto"/>
              </w:rPr>
              <w:t>二期</w:t>
            </w:r>
            <w:r>
              <w:rPr>
                <w:rFonts w:hint="eastAsia"/>
                <w:color w:val="auto"/>
                <w:lang w:eastAsia="zh-CN"/>
              </w:rPr>
              <w:t>）</w:t>
            </w:r>
          </w:p>
        </w:tc>
        <w:tc>
          <w:tcPr>
            <w:tcW w:w="331" w:type="pct"/>
            <w:tcBorders>
              <w:tl2br w:val="nil"/>
              <w:tr2bl w:val="nil"/>
            </w:tcBorders>
            <w:vAlign w:val="center"/>
          </w:tcPr>
          <w:p>
            <w:pPr>
              <w:pStyle w:val="182"/>
              <w:bidi w:val="0"/>
              <w:rPr>
                <w:color w:val="auto"/>
              </w:rPr>
            </w:pPr>
            <w:r>
              <w:rPr>
                <w:color w:val="auto"/>
              </w:rPr>
              <w:t>891.89</w:t>
            </w:r>
          </w:p>
        </w:tc>
        <w:tc>
          <w:tcPr>
            <w:tcW w:w="372" w:type="pct"/>
            <w:tcBorders>
              <w:tl2br w:val="nil"/>
              <w:tr2bl w:val="nil"/>
            </w:tcBorders>
            <w:vAlign w:val="center"/>
          </w:tcPr>
          <w:p>
            <w:pPr>
              <w:pStyle w:val="182"/>
              <w:bidi w:val="0"/>
              <w:rPr>
                <w:color w:val="auto"/>
              </w:rPr>
            </w:pPr>
            <w:r>
              <w:rPr>
                <w:color w:val="auto"/>
              </w:rPr>
              <w:t>2.6757</w:t>
            </w:r>
          </w:p>
        </w:tc>
        <w:tc>
          <w:tcPr>
            <w:tcW w:w="990" w:type="pct"/>
            <w:tcBorders>
              <w:tl2br w:val="nil"/>
              <w:tr2bl w:val="nil"/>
            </w:tcBorders>
            <w:vAlign w:val="center"/>
          </w:tcPr>
          <w:p>
            <w:pPr>
              <w:pStyle w:val="182"/>
              <w:bidi w:val="0"/>
              <w:rPr>
                <w:color w:val="auto"/>
              </w:rPr>
            </w:pPr>
            <w:r>
              <w:rPr>
                <w:color w:val="auto"/>
              </w:rPr>
              <w:t>8.92</w:t>
            </w:r>
          </w:p>
        </w:tc>
        <w:tc>
          <w:tcPr>
            <w:tcW w:w="1232" w:type="pct"/>
            <w:gridSpan w:val="3"/>
            <w:tcBorders>
              <w:tl2br w:val="nil"/>
              <w:tr2bl w:val="nil"/>
            </w:tcBorders>
            <w:vAlign w:val="center"/>
          </w:tcPr>
          <w:p>
            <w:pPr>
              <w:pStyle w:val="182"/>
              <w:bidi w:val="0"/>
              <w:rPr>
                <w:color w:val="auto"/>
              </w:rPr>
            </w:pPr>
            <w:r>
              <w:rPr>
                <w:color w:val="auto"/>
              </w:rPr>
              <w:t>集气罩+袋式除尘器</w:t>
            </w:r>
          </w:p>
          <w:p>
            <w:pPr>
              <w:pStyle w:val="182"/>
              <w:bidi w:val="0"/>
              <w:rPr>
                <w:color w:val="auto"/>
              </w:rPr>
            </w:pPr>
            <w:r>
              <w:rPr>
                <w:color w:val="auto"/>
              </w:rPr>
              <w:t>+15m高排气筒P17</w:t>
            </w: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34"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color w:val="auto"/>
              </w:rPr>
            </w:pPr>
            <w:r>
              <w:rPr>
                <w:color w:val="auto"/>
              </w:rPr>
              <w:t>颗粒物</w:t>
            </w:r>
            <w:r>
              <w:rPr>
                <w:rFonts w:hint="eastAsia"/>
                <w:color w:val="auto"/>
                <w:lang w:eastAsia="zh-CN"/>
              </w:rPr>
              <w:t>（</w:t>
            </w:r>
            <w:r>
              <w:rPr>
                <w:color w:val="auto"/>
              </w:rPr>
              <w:t>三期</w:t>
            </w:r>
            <w:r>
              <w:rPr>
                <w:rFonts w:hint="eastAsia"/>
                <w:color w:val="auto"/>
                <w:lang w:eastAsia="zh-CN"/>
              </w:rPr>
              <w:t>）</w:t>
            </w:r>
          </w:p>
        </w:tc>
        <w:tc>
          <w:tcPr>
            <w:tcW w:w="331" w:type="pct"/>
            <w:tcBorders>
              <w:tl2br w:val="nil"/>
              <w:tr2bl w:val="nil"/>
            </w:tcBorders>
            <w:vAlign w:val="center"/>
          </w:tcPr>
          <w:p>
            <w:pPr>
              <w:pStyle w:val="182"/>
              <w:bidi w:val="0"/>
              <w:rPr>
                <w:color w:val="auto"/>
              </w:rPr>
            </w:pPr>
            <w:r>
              <w:rPr>
                <w:color w:val="auto"/>
              </w:rPr>
              <w:t>891.89</w:t>
            </w:r>
          </w:p>
        </w:tc>
        <w:tc>
          <w:tcPr>
            <w:tcW w:w="372" w:type="pct"/>
            <w:tcBorders>
              <w:tl2br w:val="nil"/>
              <w:tr2bl w:val="nil"/>
            </w:tcBorders>
            <w:vAlign w:val="center"/>
          </w:tcPr>
          <w:p>
            <w:pPr>
              <w:pStyle w:val="182"/>
              <w:bidi w:val="0"/>
              <w:rPr>
                <w:color w:val="auto"/>
              </w:rPr>
            </w:pPr>
            <w:r>
              <w:rPr>
                <w:color w:val="auto"/>
              </w:rPr>
              <w:t>3.5676</w:t>
            </w:r>
          </w:p>
        </w:tc>
        <w:tc>
          <w:tcPr>
            <w:tcW w:w="990" w:type="pct"/>
            <w:tcBorders>
              <w:tl2br w:val="nil"/>
              <w:tr2bl w:val="nil"/>
            </w:tcBorders>
            <w:vAlign w:val="center"/>
          </w:tcPr>
          <w:p>
            <w:pPr>
              <w:pStyle w:val="182"/>
              <w:bidi w:val="0"/>
              <w:rPr>
                <w:color w:val="auto"/>
              </w:rPr>
            </w:pPr>
            <w:r>
              <w:rPr>
                <w:color w:val="auto"/>
              </w:rPr>
              <w:t>8.92</w:t>
            </w:r>
          </w:p>
        </w:tc>
        <w:tc>
          <w:tcPr>
            <w:tcW w:w="1232" w:type="pct"/>
            <w:gridSpan w:val="3"/>
            <w:tcBorders>
              <w:tl2br w:val="nil"/>
              <w:tr2bl w:val="nil"/>
            </w:tcBorders>
            <w:vAlign w:val="center"/>
          </w:tcPr>
          <w:p>
            <w:pPr>
              <w:pStyle w:val="182"/>
              <w:bidi w:val="0"/>
              <w:rPr>
                <w:color w:val="auto"/>
              </w:rPr>
            </w:pPr>
            <w:r>
              <w:rPr>
                <w:color w:val="auto"/>
              </w:rPr>
              <w:t>集气罩+袋式除尘器</w:t>
            </w:r>
          </w:p>
          <w:p>
            <w:pPr>
              <w:pStyle w:val="182"/>
              <w:bidi w:val="0"/>
              <w:rPr>
                <w:color w:val="auto"/>
              </w:rPr>
            </w:pPr>
            <w:r>
              <w:rPr>
                <w:color w:val="auto"/>
              </w:rPr>
              <w:t>+15m高排气筒P18</w:t>
            </w: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535" w:type="pct"/>
            <w:vMerge w:val="restart"/>
            <w:tcBorders>
              <w:tl2br w:val="nil"/>
              <w:tr2bl w:val="nil"/>
            </w:tcBorders>
            <w:vAlign w:val="center"/>
          </w:tcPr>
          <w:p>
            <w:pPr>
              <w:pStyle w:val="182"/>
              <w:bidi w:val="0"/>
              <w:rPr>
                <w:color w:val="auto"/>
              </w:rPr>
            </w:pPr>
            <w:r>
              <w:rPr>
                <w:color w:val="auto"/>
              </w:rPr>
              <w:t>DMAC精</w:t>
            </w:r>
          </w:p>
          <w:p>
            <w:pPr>
              <w:pStyle w:val="182"/>
              <w:bidi w:val="0"/>
              <w:rPr>
                <w:color w:val="auto"/>
              </w:rPr>
            </w:pPr>
            <w:r>
              <w:rPr>
                <w:color w:val="auto"/>
              </w:rPr>
              <w:t>制工序真空泵尾气</w:t>
            </w:r>
          </w:p>
        </w:tc>
        <w:tc>
          <w:tcPr>
            <w:tcW w:w="395" w:type="pct"/>
            <w:tcBorders>
              <w:tl2br w:val="nil"/>
              <w:tr2bl w:val="nil"/>
            </w:tcBorders>
            <w:vAlign w:val="center"/>
          </w:tcPr>
          <w:p>
            <w:pPr>
              <w:pStyle w:val="182"/>
              <w:bidi w:val="0"/>
              <w:rPr>
                <w:color w:val="auto"/>
              </w:rPr>
            </w:pPr>
            <w:r>
              <w:rPr>
                <w:color w:val="auto"/>
              </w:rPr>
              <w:t>DMAC</w:t>
            </w:r>
          </w:p>
          <w:p>
            <w:pPr>
              <w:pStyle w:val="182"/>
              <w:bidi w:val="0"/>
              <w:rPr>
                <w:color w:val="auto"/>
              </w:rPr>
            </w:pPr>
            <w:r>
              <w:rPr>
                <w:rFonts w:hint="eastAsia"/>
                <w:color w:val="auto"/>
                <w:lang w:eastAsia="zh-CN"/>
              </w:rPr>
              <w:t>（</w:t>
            </w:r>
            <w:r>
              <w:rPr>
                <w:color w:val="auto"/>
              </w:rPr>
              <w:t>一期</w:t>
            </w:r>
            <w:r>
              <w:rPr>
                <w:rFonts w:hint="eastAsia"/>
                <w:color w:val="auto"/>
                <w:lang w:eastAsia="zh-CN"/>
              </w:rPr>
              <w:t>）</w:t>
            </w:r>
          </w:p>
        </w:tc>
        <w:tc>
          <w:tcPr>
            <w:tcW w:w="331" w:type="pct"/>
            <w:tcBorders>
              <w:tl2br w:val="nil"/>
              <w:tr2bl w:val="nil"/>
            </w:tcBorders>
            <w:vAlign w:val="center"/>
          </w:tcPr>
          <w:p>
            <w:pPr>
              <w:pStyle w:val="182"/>
              <w:bidi w:val="0"/>
              <w:rPr>
                <w:color w:val="auto"/>
              </w:rPr>
            </w:pPr>
            <w:r>
              <w:rPr>
                <w:color w:val="auto"/>
              </w:rPr>
              <w:t>5.01</w:t>
            </w:r>
          </w:p>
        </w:tc>
        <w:tc>
          <w:tcPr>
            <w:tcW w:w="372" w:type="pct"/>
            <w:tcBorders>
              <w:tl2br w:val="nil"/>
              <w:tr2bl w:val="nil"/>
            </w:tcBorders>
            <w:vAlign w:val="center"/>
          </w:tcPr>
          <w:p>
            <w:pPr>
              <w:pStyle w:val="182"/>
              <w:bidi w:val="0"/>
              <w:rPr>
                <w:color w:val="auto"/>
              </w:rPr>
            </w:pPr>
            <w:r>
              <w:rPr>
                <w:color w:val="auto"/>
              </w:rPr>
              <w:t>0.951</w:t>
            </w:r>
          </w:p>
        </w:tc>
        <w:tc>
          <w:tcPr>
            <w:tcW w:w="990" w:type="pct"/>
            <w:tcBorders>
              <w:tl2br w:val="nil"/>
              <w:tr2bl w:val="nil"/>
            </w:tcBorders>
            <w:vAlign w:val="center"/>
          </w:tcPr>
          <w:p>
            <w:pPr>
              <w:pStyle w:val="182"/>
              <w:bidi w:val="0"/>
              <w:rPr>
                <w:color w:val="auto"/>
              </w:rPr>
            </w:pPr>
            <w:r>
              <w:rPr>
                <w:color w:val="auto"/>
              </w:rPr>
              <w:t>0.15</w:t>
            </w:r>
          </w:p>
        </w:tc>
        <w:tc>
          <w:tcPr>
            <w:tcW w:w="1232" w:type="pct"/>
            <w:gridSpan w:val="3"/>
            <w:vMerge w:val="restart"/>
            <w:tcBorders>
              <w:tl2br w:val="nil"/>
              <w:tr2bl w:val="nil"/>
            </w:tcBorders>
            <w:vAlign w:val="center"/>
          </w:tcPr>
          <w:p>
            <w:pPr>
              <w:pStyle w:val="182"/>
              <w:bidi w:val="0"/>
              <w:rPr>
                <w:color w:val="auto"/>
              </w:rPr>
            </w:pPr>
            <w:r>
              <w:rPr>
                <w:color w:val="auto"/>
              </w:rPr>
              <w:t>经管道引入170t/h锅炉炉膛燃烧+80m高烟囱排放P3</w:t>
            </w:r>
          </w:p>
        </w:tc>
        <w:tc>
          <w:tcPr>
            <w:tcW w:w="1141" w:type="pct"/>
            <w:vMerge w:val="restart"/>
            <w:tcBorders>
              <w:tl2br w:val="nil"/>
              <w:tr2bl w:val="nil"/>
            </w:tcBorders>
            <w:vAlign w:val="center"/>
          </w:tcPr>
          <w:p>
            <w:pPr>
              <w:pStyle w:val="182"/>
              <w:bidi w:val="0"/>
              <w:rPr>
                <w:color w:val="auto"/>
              </w:rPr>
            </w:pPr>
            <w:r>
              <w:rPr>
                <w:color w:val="auto"/>
              </w:rPr>
              <w:t>非甲烷总烃</w:t>
            </w:r>
          </w:p>
          <w:p>
            <w:pPr>
              <w:pStyle w:val="182"/>
              <w:bidi w:val="0"/>
              <w:rPr>
                <w:color w:val="auto"/>
              </w:rPr>
            </w:pPr>
            <w:r>
              <w:rPr>
                <w:color w:val="auto"/>
              </w:rPr>
              <w:t>80mg/m</w:t>
            </w:r>
            <w:r>
              <w:rPr>
                <w:color w:val="auto"/>
                <w:vertAlign w:val="superscript"/>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5"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color w:val="auto"/>
              </w:rPr>
            </w:pPr>
            <w:r>
              <w:rPr>
                <w:color w:val="auto"/>
              </w:rPr>
              <w:t>DMAC</w:t>
            </w:r>
          </w:p>
          <w:p>
            <w:pPr>
              <w:pStyle w:val="182"/>
              <w:bidi w:val="0"/>
              <w:rPr>
                <w:color w:val="auto"/>
              </w:rPr>
            </w:pPr>
            <w:r>
              <w:rPr>
                <w:rFonts w:hint="eastAsia"/>
                <w:color w:val="auto"/>
                <w:lang w:eastAsia="zh-CN"/>
              </w:rPr>
              <w:t>（</w:t>
            </w:r>
            <w:r>
              <w:rPr>
                <w:color w:val="auto"/>
              </w:rPr>
              <w:t>二期</w:t>
            </w:r>
            <w:r>
              <w:rPr>
                <w:rFonts w:hint="eastAsia"/>
                <w:color w:val="auto"/>
                <w:lang w:eastAsia="zh-CN"/>
              </w:rPr>
              <w:t>）</w:t>
            </w:r>
          </w:p>
        </w:tc>
        <w:tc>
          <w:tcPr>
            <w:tcW w:w="331" w:type="pct"/>
            <w:tcBorders>
              <w:tl2br w:val="nil"/>
              <w:tr2bl w:val="nil"/>
            </w:tcBorders>
            <w:vAlign w:val="center"/>
          </w:tcPr>
          <w:p>
            <w:pPr>
              <w:pStyle w:val="182"/>
              <w:bidi w:val="0"/>
              <w:rPr>
                <w:color w:val="auto"/>
              </w:rPr>
            </w:pPr>
            <w:r>
              <w:rPr>
                <w:color w:val="auto"/>
              </w:rPr>
              <w:t>5.01</w:t>
            </w:r>
          </w:p>
        </w:tc>
        <w:tc>
          <w:tcPr>
            <w:tcW w:w="372" w:type="pct"/>
            <w:tcBorders>
              <w:tl2br w:val="nil"/>
              <w:tr2bl w:val="nil"/>
            </w:tcBorders>
            <w:vAlign w:val="center"/>
          </w:tcPr>
          <w:p>
            <w:pPr>
              <w:pStyle w:val="182"/>
              <w:bidi w:val="0"/>
              <w:rPr>
                <w:color w:val="auto"/>
              </w:rPr>
            </w:pPr>
            <w:r>
              <w:rPr>
                <w:color w:val="auto"/>
              </w:rPr>
              <w:t>0.951</w:t>
            </w:r>
          </w:p>
        </w:tc>
        <w:tc>
          <w:tcPr>
            <w:tcW w:w="990" w:type="pct"/>
            <w:tcBorders>
              <w:tl2br w:val="nil"/>
              <w:tr2bl w:val="nil"/>
            </w:tcBorders>
            <w:vAlign w:val="center"/>
          </w:tcPr>
          <w:p>
            <w:pPr>
              <w:pStyle w:val="182"/>
              <w:bidi w:val="0"/>
              <w:rPr>
                <w:color w:val="auto"/>
              </w:rPr>
            </w:pPr>
            <w:r>
              <w:rPr>
                <w:color w:val="auto"/>
              </w:rPr>
              <w:t>0.15</w:t>
            </w:r>
          </w:p>
        </w:tc>
        <w:tc>
          <w:tcPr>
            <w:tcW w:w="1232" w:type="pct"/>
            <w:gridSpan w:val="3"/>
            <w:vMerge w:val="continue"/>
            <w:tcBorders>
              <w:tl2br w:val="nil"/>
              <w:tr2bl w:val="nil"/>
            </w:tcBorders>
            <w:vAlign w:val="center"/>
          </w:tcPr>
          <w:p>
            <w:pPr>
              <w:pStyle w:val="182"/>
              <w:bidi w:val="0"/>
              <w:rPr>
                <w:color w:val="auto"/>
              </w:rPr>
            </w:pP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5" w:hRule="atLeast"/>
          <w:jc w:val="center"/>
        </w:trPr>
        <w:tc>
          <w:tcPr>
            <w:tcW w:w="5000" w:type="pct"/>
            <w:gridSpan w:val="9"/>
            <w:tcBorders>
              <w:tl2br w:val="nil"/>
              <w:tr2bl w:val="nil"/>
            </w:tcBorders>
            <w:vAlign w:val="center"/>
          </w:tcPr>
          <w:p>
            <w:pPr>
              <w:pStyle w:val="182"/>
              <w:bidi w:val="0"/>
              <w:rPr>
                <w:color w:val="auto"/>
              </w:rPr>
            </w:pPr>
            <w:r>
              <w:rPr>
                <w:rFonts w:hint="eastAsia"/>
                <w:color w:val="auto"/>
              </w:rPr>
              <w:t>1×360t/h锅炉及2×B25MW热电联产项目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5" w:hRule="atLeast"/>
          <w:jc w:val="center"/>
        </w:trPr>
        <w:tc>
          <w:tcPr>
            <w:tcW w:w="535" w:type="pct"/>
            <w:vMerge w:val="restart"/>
            <w:tcBorders>
              <w:tl2br w:val="nil"/>
              <w:tr2bl w:val="nil"/>
            </w:tcBorders>
            <w:vAlign w:val="center"/>
          </w:tcPr>
          <w:p>
            <w:pPr>
              <w:pStyle w:val="182"/>
              <w:bidi w:val="0"/>
              <w:rPr>
                <w:rFonts w:hint="eastAsia"/>
                <w:color w:val="auto"/>
                <w:lang w:val="en-US" w:eastAsia="zh-CN"/>
              </w:rPr>
            </w:pPr>
            <w:r>
              <w:rPr>
                <w:rFonts w:hint="eastAsia"/>
                <w:color w:val="auto"/>
                <w:lang w:val="en-US" w:eastAsia="zh-CN"/>
              </w:rPr>
              <w:t>锅炉尾气</w:t>
            </w:r>
          </w:p>
        </w:tc>
        <w:tc>
          <w:tcPr>
            <w:tcW w:w="395"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颗粒物</w:t>
            </w:r>
          </w:p>
        </w:tc>
        <w:tc>
          <w:tcPr>
            <w:tcW w:w="331" w:type="pct"/>
            <w:tcBorders>
              <w:tl2br w:val="nil"/>
              <w:tr2bl w:val="nil"/>
            </w:tcBorders>
            <w:vAlign w:val="center"/>
          </w:tcPr>
          <w:p>
            <w:pPr>
              <w:pStyle w:val="182"/>
              <w:bidi w:val="0"/>
              <w:rPr>
                <w:color w:val="auto"/>
              </w:rPr>
            </w:pPr>
            <w:r>
              <w:rPr>
                <w:rFonts w:hint="eastAsia"/>
                <w:color w:val="auto"/>
              </w:rPr>
              <w:t>40350</w:t>
            </w:r>
          </w:p>
        </w:tc>
        <w:tc>
          <w:tcPr>
            <w:tcW w:w="372" w:type="pct"/>
            <w:tcBorders>
              <w:tl2br w:val="nil"/>
              <w:tr2bl w:val="nil"/>
            </w:tcBorders>
            <w:vAlign w:val="center"/>
          </w:tcPr>
          <w:p>
            <w:pPr>
              <w:pStyle w:val="182"/>
              <w:bidi w:val="0"/>
              <w:rPr>
                <w:color w:val="auto"/>
              </w:rPr>
            </w:pPr>
            <w:r>
              <w:rPr>
                <w:rFonts w:hint="eastAsia"/>
                <w:color w:val="auto"/>
              </w:rPr>
              <w:t>17744.236</w:t>
            </w:r>
          </w:p>
        </w:tc>
        <w:tc>
          <w:tcPr>
            <w:tcW w:w="990"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10</w:t>
            </w:r>
          </w:p>
        </w:tc>
        <w:tc>
          <w:tcPr>
            <w:tcW w:w="1232" w:type="pct"/>
            <w:gridSpan w:val="3"/>
            <w:tcBorders>
              <w:tl2br w:val="nil"/>
              <w:tr2bl w:val="nil"/>
            </w:tcBorders>
            <w:vAlign w:val="center"/>
          </w:tcPr>
          <w:p>
            <w:pPr>
              <w:pStyle w:val="182"/>
              <w:bidi w:val="0"/>
              <w:rPr>
                <w:color w:val="auto"/>
              </w:rPr>
            </w:pPr>
            <w:r>
              <w:rPr>
                <w:rFonts w:hint="eastAsia"/>
                <w:color w:val="auto"/>
              </w:rPr>
              <w:t>电袋除尘+湿式脱硫附带除尘+湿式电除尘</w:t>
            </w:r>
          </w:p>
        </w:tc>
        <w:tc>
          <w:tcPr>
            <w:tcW w:w="1141" w:type="pct"/>
            <w:vMerge w:val="restart"/>
            <w:tcBorders>
              <w:tl2br w:val="nil"/>
              <w:tr2bl w:val="nil"/>
            </w:tcBorders>
            <w:vAlign w:val="center"/>
          </w:tcPr>
          <w:p>
            <w:pPr>
              <w:pStyle w:val="182"/>
              <w:bidi w:val="0"/>
              <w:rPr>
                <w:rFonts w:hint="default"/>
                <w:color w:val="auto"/>
                <w:lang w:val="en-US" w:eastAsia="zh-CN"/>
              </w:rPr>
            </w:pPr>
            <w:r>
              <w:rPr>
                <w:rFonts w:hint="eastAsia"/>
                <w:color w:val="auto"/>
                <w:lang w:eastAsia="zh-CN"/>
              </w:rPr>
              <w:t>《</w:t>
            </w:r>
            <w:r>
              <w:rPr>
                <w:rFonts w:hint="eastAsia"/>
                <w:color w:val="auto"/>
                <w:lang w:val="en-US" w:eastAsia="zh-CN"/>
              </w:rPr>
              <w:t>燃煤电厂大气污染物排放标准</w:t>
            </w:r>
            <w:r>
              <w:rPr>
                <w:rFonts w:hint="eastAsia"/>
                <w:color w:val="auto"/>
                <w:lang w:eastAsia="zh-CN"/>
              </w:rPr>
              <w:t>》（</w:t>
            </w:r>
            <w:r>
              <w:rPr>
                <w:rFonts w:hint="eastAsia"/>
                <w:color w:val="auto"/>
                <w:lang w:val="en-US" w:eastAsia="zh-CN"/>
              </w:rPr>
              <w:t>DB41/1424-2017</w:t>
            </w:r>
            <w:r>
              <w:rPr>
                <w:rFonts w:hint="eastAsia"/>
                <w:color w:val="auto"/>
                <w:lang w:eastAsia="zh-CN"/>
              </w:rPr>
              <w:t>）、《</w:t>
            </w:r>
            <w:r>
              <w:rPr>
                <w:rFonts w:hint="eastAsia"/>
                <w:color w:val="auto"/>
                <w:lang w:val="en-US" w:eastAsia="zh-CN"/>
              </w:rPr>
              <w:t>恶臭污染物排放标准</w:t>
            </w:r>
            <w:r>
              <w:rPr>
                <w:rFonts w:hint="eastAsia"/>
                <w:color w:val="auto"/>
                <w:lang w:eastAsia="zh-CN"/>
              </w:rPr>
              <w:t>》（</w:t>
            </w:r>
            <w:r>
              <w:rPr>
                <w:rFonts w:hint="eastAsia"/>
                <w:color w:val="auto"/>
                <w:lang w:val="en-US" w:eastAsia="zh-CN"/>
              </w:rPr>
              <w:t>GB14554-93</w:t>
            </w:r>
            <w:r>
              <w:rPr>
                <w:rFonts w:hint="eastAsia"/>
                <w:color w:val="auto"/>
                <w:lang w:eastAsia="zh-CN"/>
              </w:rPr>
              <w:t>）、《</w:t>
            </w:r>
            <w:r>
              <w:rPr>
                <w:color w:val="auto"/>
              </w:rPr>
              <w:t>新乡市生态环境局关于进一步规范工业企业颗粒物排放限值的通知》有组织颗粒物10mg/m</w:t>
            </w:r>
            <w:r>
              <w:rPr>
                <w:color w:val="auto"/>
                <w:vertAlign w:val="superscript"/>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5"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SO</w:t>
            </w:r>
            <w:r>
              <w:rPr>
                <w:rFonts w:hint="eastAsia"/>
                <w:color w:val="auto"/>
                <w:vertAlign w:val="subscript"/>
                <w:lang w:val="en-US" w:eastAsia="zh-CN"/>
              </w:rPr>
              <w:t>2</w:t>
            </w:r>
          </w:p>
        </w:tc>
        <w:tc>
          <w:tcPr>
            <w:tcW w:w="331" w:type="pct"/>
            <w:tcBorders>
              <w:tl2br w:val="nil"/>
              <w:tr2bl w:val="nil"/>
            </w:tcBorders>
            <w:vAlign w:val="center"/>
          </w:tcPr>
          <w:p>
            <w:pPr>
              <w:pStyle w:val="182"/>
              <w:bidi w:val="0"/>
              <w:rPr>
                <w:color w:val="auto"/>
              </w:rPr>
            </w:pPr>
            <w:r>
              <w:rPr>
                <w:rFonts w:hint="eastAsia"/>
                <w:color w:val="auto"/>
              </w:rPr>
              <w:t>1385.6</w:t>
            </w:r>
          </w:p>
        </w:tc>
        <w:tc>
          <w:tcPr>
            <w:tcW w:w="372" w:type="pct"/>
            <w:tcBorders>
              <w:tl2br w:val="nil"/>
              <w:tr2bl w:val="nil"/>
            </w:tcBorders>
            <w:vAlign w:val="center"/>
          </w:tcPr>
          <w:p>
            <w:pPr>
              <w:pStyle w:val="182"/>
              <w:bidi w:val="0"/>
              <w:rPr>
                <w:color w:val="auto"/>
              </w:rPr>
            </w:pPr>
            <w:r>
              <w:rPr>
                <w:rFonts w:hint="eastAsia"/>
                <w:color w:val="auto"/>
              </w:rPr>
              <w:t>609.638</w:t>
            </w:r>
          </w:p>
        </w:tc>
        <w:tc>
          <w:tcPr>
            <w:tcW w:w="990"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35</w:t>
            </w:r>
          </w:p>
        </w:tc>
        <w:tc>
          <w:tcPr>
            <w:tcW w:w="1232" w:type="pct"/>
            <w:gridSpan w:val="3"/>
            <w:tcBorders>
              <w:tl2br w:val="nil"/>
              <w:tr2bl w:val="nil"/>
            </w:tcBorders>
            <w:vAlign w:val="center"/>
          </w:tcPr>
          <w:p>
            <w:pPr>
              <w:pStyle w:val="182"/>
              <w:bidi w:val="0"/>
              <w:rPr>
                <w:color w:val="auto"/>
              </w:rPr>
            </w:pPr>
            <w:r>
              <w:rPr>
                <w:rFonts w:hint="eastAsia"/>
                <w:color w:val="auto"/>
              </w:rPr>
              <w:t>钠碱法湿式脱硫</w:t>
            </w: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5"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NO</w:t>
            </w:r>
            <w:r>
              <w:rPr>
                <w:rFonts w:hint="eastAsia"/>
                <w:color w:val="auto"/>
                <w:vertAlign w:val="subscript"/>
                <w:lang w:val="en-US" w:eastAsia="zh-CN"/>
              </w:rPr>
              <w:t>x</w:t>
            </w:r>
          </w:p>
        </w:tc>
        <w:tc>
          <w:tcPr>
            <w:tcW w:w="331" w:type="pct"/>
            <w:tcBorders>
              <w:tl2br w:val="nil"/>
              <w:tr2bl w:val="nil"/>
            </w:tcBorders>
            <w:vAlign w:val="center"/>
          </w:tcPr>
          <w:p>
            <w:pPr>
              <w:pStyle w:val="182"/>
              <w:bidi w:val="0"/>
              <w:rPr>
                <w:color w:val="auto"/>
              </w:rPr>
            </w:pPr>
            <w:r>
              <w:rPr>
                <w:rFonts w:hint="eastAsia"/>
                <w:color w:val="auto"/>
              </w:rPr>
              <w:t>450</w:t>
            </w:r>
          </w:p>
        </w:tc>
        <w:tc>
          <w:tcPr>
            <w:tcW w:w="372" w:type="pct"/>
            <w:tcBorders>
              <w:tl2br w:val="nil"/>
              <w:tr2bl w:val="nil"/>
            </w:tcBorders>
            <w:vAlign w:val="center"/>
          </w:tcPr>
          <w:p>
            <w:pPr>
              <w:pStyle w:val="182"/>
              <w:bidi w:val="0"/>
              <w:rPr>
                <w:color w:val="auto"/>
              </w:rPr>
            </w:pPr>
            <w:r>
              <w:rPr>
                <w:rFonts w:hint="eastAsia"/>
                <w:color w:val="auto"/>
              </w:rPr>
              <w:t>198</w:t>
            </w:r>
          </w:p>
        </w:tc>
        <w:tc>
          <w:tcPr>
            <w:tcW w:w="990"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50</w:t>
            </w:r>
          </w:p>
        </w:tc>
        <w:tc>
          <w:tcPr>
            <w:tcW w:w="1232" w:type="pct"/>
            <w:gridSpan w:val="3"/>
            <w:tcBorders>
              <w:tl2br w:val="nil"/>
              <w:tr2bl w:val="nil"/>
            </w:tcBorders>
            <w:vAlign w:val="center"/>
          </w:tcPr>
          <w:p>
            <w:pPr>
              <w:pStyle w:val="182"/>
              <w:bidi w:val="0"/>
              <w:rPr>
                <w:color w:val="auto"/>
              </w:rPr>
            </w:pPr>
            <w:r>
              <w:rPr>
                <w:rFonts w:hint="eastAsia"/>
                <w:color w:val="auto"/>
              </w:rPr>
              <w:t>低氮燃烧+SCR脱硝</w:t>
            </w: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5" w:hRule="atLeast"/>
          <w:jc w:val="center"/>
        </w:trPr>
        <w:tc>
          <w:tcPr>
            <w:tcW w:w="535" w:type="pct"/>
            <w:vMerge w:val="continue"/>
            <w:tcBorders>
              <w:tl2br w:val="nil"/>
              <w:tr2bl w:val="nil"/>
            </w:tcBorders>
            <w:vAlign w:val="center"/>
          </w:tcPr>
          <w:p>
            <w:pPr>
              <w:pStyle w:val="182"/>
              <w:bidi w:val="0"/>
              <w:rPr>
                <w:color w:val="auto"/>
              </w:rPr>
            </w:pPr>
          </w:p>
        </w:tc>
        <w:tc>
          <w:tcPr>
            <w:tcW w:w="395"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汞及其化合物</w:t>
            </w:r>
          </w:p>
        </w:tc>
        <w:tc>
          <w:tcPr>
            <w:tcW w:w="331" w:type="pct"/>
            <w:tcBorders>
              <w:tl2br w:val="nil"/>
              <w:tr2bl w:val="nil"/>
            </w:tcBorders>
            <w:vAlign w:val="center"/>
          </w:tcPr>
          <w:p>
            <w:pPr>
              <w:pStyle w:val="182"/>
              <w:bidi w:val="0"/>
              <w:rPr>
                <w:color w:val="auto"/>
              </w:rPr>
            </w:pPr>
            <w:r>
              <w:rPr>
                <w:rFonts w:hint="eastAsia"/>
                <w:color w:val="auto"/>
              </w:rPr>
              <w:t>0.0105</w:t>
            </w:r>
          </w:p>
        </w:tc>
        <w:tc>
          <w:tcPr>
            <w:tcW w:w="372" w:type="pct"/>
            <w:tcBorders>
              <w:tl2br w:val="nil"/>
              <w:tr2bl w:val="nil"/>
            </w:tcBorders>
            <w:vAlign w:val="center"/>
          </w:tcPr>
          <w:p>
            <w:pPr>
              <w:pStyle w:val="182"/>
              <w:bidi w:val="0"/>
              <w:rPr>
                <w:color w:val="auto"/>
              </w:rPr>
            </w:pPr>
            <w:r>
              <w:rPr>
                <w:rFonts w:hint="eastAsia"/>
                <w:color w:val="auto"/>
              </w:rPr>
              <w:t>0.0046</w:t>
            </w:r>
          </w:p>
        </w:tc>
        <w:tc>
          <w:tcPr>
            <w:tcW w:w="990"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0.03</w:t>
            </w:r>
          </w:p>
        </w:tc>
        <w:tc>
          <w:tcPr>
            <w:tcW w:w="1232" w:type="pct"/>
            <w:gridSpan w:val="3"/>
            <w:tcBorders>
              <w:tl2br w:val="nil"/>
              <w:tr2bl w:val="nil"/>
            </w:tcBorders>
            <w:vAlign w:val="center"/>
          </w:tcPr>
          <w:p>
            <w:pPr>
              <w:pStyle w:val="182"/>
              <w:bidi w:val="0"/>
              <w:rPr>
                <w:color w:val="auto"/>
              </w:rPr>
            </w:pPr>
            <w:r>
              <w:rPr>
                <w:rFonts w:hint="eastAsia"/>
                <w:color w:val="auto"/>
              </w:rPr>
              <w:t>脱硝、除尘和脱硫协同脱除</w:t>
            </w: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5" w:hRule="atLeast"/>
          <w:jc w:val="center"/>
        </w:trPr>
        <w:tc>
          <w:tcPr>
            <w:tcW w:w="535" w:type="pct"/>
            <w:tcBorders>
              <w:tl2br w:val="nil"/>
              <w:tr2bl w:val="nil"/>
            </w:tcBorders>
            <w:vAlign w:val="center"/>
          </w:tcPr>
          <w:p>
            <w:pPr>
              <w:pStyle w:val="182"/>
              <w:bidi w:val="0"/>
              <w:rPr>
                <w:color w:val="auto"/>
              </w:rPr>
            </w:pPr>
            <w:r>
              <w:rPr>
                <w:rFonts w:hint="eastAsia"/>
                <w:color w:val="auto"/>
              </w:rPr>
              <w:t>脱硝系统氨逃逸</w:t>
            </w:r>
          </w:p>
        </w:tc>
        <w:tc>
          <w:tcPr>
            <w:tcW w:w="395"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氨</w:t>
            </w:r>
          </w:p>
        </w:tc>
        <w:tc>
          <w:tcPr>
            <w:tcW w:w="331"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72"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990"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8</w:t>
            </w:r>
          </w:p>
        </w:tc>
        <w:tc>
          <w:tcPr>
            <w:tcW w:w="1232" w:type="pct"/>
            <w:gridSpan w:val="3"/>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1141" w:type="pct"/>
            <w:vMerge w:val="continue"/>
            <w:tcBorders>
              <w:tl2br w:val="nil"/>
              <w:tr2bl w:val="nil"/>
            </w:tcBorders>
            <w:vAlign w:val="center"/>
          </w:tcPr>
          <w:p>
            <w:pPr>
              <w:pStyle w:val="182"/>
              <w:bidi w:val="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5" w:hRule="atLeast"/>
          <w:jc w:val="center"/>
        </w:trPr>
        <w:tc>
          <w:tcPr>
            <w:tcW w:w="53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醇基燃料储罐</w:t>
            </w:r>
          </w:p>
        </w:tc>
        <w:tc>
          <w:tcPr>
            <w:tcW w:w="395" w:type="pct"/>
            <w:tcBorders>
              <w:tl2br w:val="nil"/>
              <w:tr2bl w:val="nil"/>
            </w:tcBorders>
            <w:vAlign w:val="center"/>
          </w:tcPr>
          <w:p>
            <w:pPr>
              <w:pStyle w:val="182"/>
              <w:bidi w:val="0"/>
              <w:rPr>
                <w:rFonts w:hint="default"/>
                <w:color w:val="auto"/>
                <w:lang w:val="en-US" w:eastAsia="zh-CN"/>
              </w:rPr>
            </w:pPr>
            <w:r>
              <w:rPr>
                <w:rFonts w:hint="eastAsia"/>
                <w:color w:val="auto"/>
                <w:lang w:val="en-US" w:eastAsia="zh-CN"/>
              </w:rPr>
              <w:t>非甲烷总烃</w:t>
            </w:r>
          </w:p>
        </w:tc>
        <w:tc>
          <w:tcPr>
            <w:tcW w:w="331"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w:t>
            </w:r>
          </w:p>
        </w:tc>
        <w:tc>
          <w:tcPr>
            <w:tcW w:w="372" w:type="pct"/>
            <w:tcBorders>
              <w:tl2br w:val="nil"/>
              <w:tr2bl w:val="nil"/>
            </w:tcBorders>
            <w:vAlign w:val="center"/>
          </w:tcPr>
          <w:p>
            <w:pPr>
              <w:pStyle w:val="182"/>
              <w:bidi w:val="0"/>
              <w:rPr>
                <w:rFonts w:hint="eastAsia"/>
                <w:color w:val="auto"/>
                <w:lang w:val="en-US" w:eastAsia="zh-CN"/>
              </w:rPr>
            </w:pPr>
            <w:r>
              <w:rPr>
                <w:rFonts w:hint="eastAsia"/>
                <w:color w:val="auto"/>
                <w:lang w:val="en-US" w:eastAsia="zh-CN"/>
              </w:rPr>
              <w:t>0.0023</w:t>
            </w:r>
          </w:p>
        </w:tc>
        <w:tc>
          <w:tcPr>
            <w:tcW w:w="990" w:type="pct"/>
            <w:tcBorders>
              <w:tl2br w:val="nil"/>
              <w:tr2bl w:val="nil"/>
            </w:tcBorders>
            <w:vAlign w:val="center"/>
          </w:tcPr>
          <w:p>
            <w:pPr>
              <w:pStyle w:val="182"/>
              <w:bidi w:val="0"/>
              <w:rPr>
                <w:color w:val="auto"/>
              </w:rPr>
            </w:pPr>
            <w:r>
              <w:rPr>
                <w:color w:val="auto"/>
              </w:rPr>
              <w:t>0.5kg/h、0.7mg/m</w:t>
            </w:r>
            <w:r>
              <w:rPr>
                <w:color w:val="auto"/>
                <w:vertAlign w:val="superscript"/>
              </w:rPr>
              <w:t>3</w:t>
            </w:r>
          </w:p>
        </w:tc>
        <w:tc>
          <w:tcPr>
            <w:tcW w:w="1232" w:type="pct"/>
            <w:gridSpan w:val="3"/>
            <w:tcBorders>
              <w:tl2br w:val="nil"/>
              <w:tr2bl w:val="nil"/>
            </w:tcBorders>
            <w:vAlign w:val="center"/>
          </w:tcPr>
          <w:p>
            <w:pPr>
              <w:pStyle w:val="182"/>
              <w:bidi w:val="0"/>
              <w:rPr>
                <w:color w:val="auto"/>
              </w:rPr>
            </w:pPr>
            <w:r>
              <w:rPr>
                <w:rFonts w:hint="eastAsia"/>
                <w:color w:val="auto"/>
              </w:rPr>
              <w:t>锅炉燃烧</w:t>
            </w:r>
          </w:p>
        </w:tc>
        <w:tc>
          <w:tcPr>
            <w:tcW w:w="1141" w:type="pct"/>
            <w:vMerge w:val="continue"/>
            <w:tcBorders>
              <w:tl2br w:val="nil"/>
              <w:tr2bl w:val="nil"/>
            </w:tcBorders>
            <w:vAlign w:val="center"/>
          </w:tcPr>
          <w:p>
            <w:pPr>
              <w:pStyle w:val="182"/>
              <w:bidi w:val="0"/>
              <w:rPr>
                <w:color w:val="auto"/>
              </w:rPr>
            </w:pPr>
          </w:p>
        </w:tc>
      </w:tr>
    </w:tbl>
    <w:p>
      <w:pPr>
        <w:bidi w:val="0"/>
        <w:rPr>
          <w:rFonts w:hint="eastAsia"/>
          <w:b/>
          <w:bCs/>
          <w:u w:val="single"/>
        </w:rPr>
      </w:pPr>
      <w:r>
        <w:rPr>
          <w:rFonts w:hint="eastAsia"/>
          <w:b/>
          <w:bCs/>
          <w:u w:val="single"/>
        </w:rPr>
        <w:t>在建项目包括：年产2×2万吨超细旦氨纶纤维项目（年产3×2万吨超细旦氨纶纤维项目二期三期工程）（三期）、年产2万吨生物质纤维素项目、新乡化纤股份有限公司年产六千吨再生氨纶纤维项目、年产10万吨高品质超细旦氨纶纤维项目、新乡化纤股份有限公司新区1×360t/h锅炉及2×B25MW热电联产项目。</w:t>
      </w:r>
    </w:p>
    <w:p>
      <w:pPr>
        <w:pStyle w:val="181"/>
        <w:bidi w:val="0"/>
        <w:rPr>
          <w:rFonts w:hint="eastAsia"/>
          <w:lang w:val="en-US" w:eastAsia="zh-CN"/>
        </w:rPr>
      </w:pPr>
      <w:r>
        <w:rPr>
          <w:rFonts w:hint="eastAsia"/>
          <w:lang w:val="en-US" w:eastAsia="zh-CN"/>
        </w:rPr>
        <w:t xml:space="preserve">表3.4-6        </w:t>
      </w:r>
      <w:r>
        <w:rPr>
          <w:rFonts w:hint="default"/>
          <w:lang w:val="en-US" w:eastAsia="zh-CN"/>
        </w:rPr>
        <w:t>新厂区</w:t>
      </w:r>
      <w:r>
        <w:rPr>
          <w:rFonts w:hint="eastAsia"/>
          <w:lang w:val="en-US" w:eastAsia="zh-CN"/>
        </w:rPr>
        <w:t>在建工程废气排放汇总表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2458"/>
        <w:gridCol w:w="1740"/>
        <w:gridCol w:w="1800"/>
        <w:gridCol w:w="1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blHeader/>
          <w:jc w:val="center"/>
        </w:trPr>
        <w:tc>
          <w:tcPr>
            <w:tcW w:w="2886" w:type="pct"/>
            <w:gridSpan w:val="3"/>
            <w:vAlign w:val="center"/>
          </w:tcPr>
          <w:p>
            <w:pPr>
              <w:pStyle w:val="182"/>
              <w:bidi w:val="0"/>
              <w:rPr>
                <w:b/>
                <w:bCs/>
                <w:u w:val="single"/>
              </w:rPr>
            </w:pPr>
            <w:r>
              <w:rPr>
                <w:rFonts w:hint="default"/>
                <w:b/>
                <w:bCs/>
                <w:u w:val="single"/>
              </w:rPr>
              <w:t>污染物</w:t>
            </w:r>
          </w:p>
        </w:tc>
        <w:tc>
          <w:tcPr>
            <w:tcW w:w="1056" w:type="pct"/>
            <w:vAlign w:val="center"/>
          </w:tcPr>
          <w:p>
            <w:pPr>
              <w:pStyle w:val="182"/>
              <w:bidi w:val="0"/>
              <w:rPr>
                <w:rFonts w:hint="eastAsia" w:eastAsia="宋体"/>
                <w:b/>
                <w:bCs/>
                <w:u w:val="single"/>
                <w:lang w:val="en-US" w:eastAsia="zh-CN"/>
              </w:rPr>
            </w:pPr>
            <w:r>
              <w:rPr>
                <w:rFonts w:hint="eastAsia"/>
                <w:b/>
                <w:bCs/>
                <w:u w:val="single"/>
                <w:lang w:val="en-US" w:eastAsia="zh-CN"/>
              </w:rPr>
              <w:t>单位</w:t>
            </w:r>
          </w:p>
        </w:tc>
        <w:tc>
          <w:tcPr>
            <w:tcW w:w="1056" w:type="pct"/>
            <w:vAlign w:val="center"/>
          </w:tcPr>
          <w:p>
            <w:pPr>
              <w:pStyle w:val="182"/>
              <w:bidi w:val="0"/>
              <w:rPr>
                <w:rFonts w:hint="default"/>
                <w:b/>
                <w:bCs/>
                <w:u w:val="single"/>
              </w:rPr>
            </w:pPr>
            <w:r>
              <w:rPr>
                <w:rFonts w:hint="default"/>
                <w:b/>
                <w:bCs/>
                <w:u w:val="single"/>
              </w:rPr>
              <w:t>在建工程排放量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restart"/>
            <w:vAlign w:val="center"/>
          </w:tcPr>
          <w:p>
            <w:pPr>
              <w:pStyle w:val="182"/>
              <w:bidi w:val="0"/>
              <w:rPr>
                <w:b/>
                <w:bCs/>
                <w:u w:val="single"/>
              </w:rPr>
            </w:pPr>
            <w:r>
              <w:rPr>
                <w:rFonts w:hint="default"/>
                <w:b/>
                <w:bCs/>
                <w:u w:val="single"/>
              </w:rPr>
              <w:t>废气</w:t>
            </w:r>
          </w:p>
        </w:tc>
        <w:tc>
          <w:tcPr>
            <w:tcW w:w="1442" w:type="pct"/>
            <w:vMerge w:val="restart"/>
            <w:vAlign w:val="center"/>
          </w:tcPr>
          <w:p>
            <w:pPr>
              <w:pStyle w:val="182"/>
              <w:bidi w:val="0"/>
              <w:rPr>
                <w:rFonts w:hint="eastAsia" w:eastAsia="宋体"/>
                <w:b/>
                <w:bCs/>
                <w:u w:val="single"/>
                <w:lang w:val="en-US" w:eastAsia="zh-CN"/>
              </w:rPr>
            </w:pPr>
            <w:r>
              <w:rPr>
                <w:rFonts w:hint="eastAsia"/>
                <w:b/>
                <w:bCs/>
                <w:u w:val="single"/>
                <w:lang w:val="en-US" w:eastAsia="zh-CN"/>
              </w:rPr>
              <w:t>有组织废气</w:t>
            </w:r>
          </w:p>
        </w:tc>
        <w:tc>
          <w:tcPr>
            <w:tcW w:w="1021" w:type="pct"/>
            <w:vAlign w:val="center"/>
          </w:tcPr>
          <w:p>
            <w:pPr>
              <w:pStyle w:val="182"/>
              <w:bidi w:val="0"/>
              <w:rPr>
                <w:b/>
                <w:bCs/>
                <w:u w:val="single"/>
              </w:rPr>
            </w:pPr>
            <w:r>
              <w:rPr>
                <w:rFonts w:hint="default"/>
                <w:b/>
                <w:bCs/>
                <w:u w:val="single"/>
              </w:rPr>
              <w:t>颗粒物</w:t>
            </w:r>
          </w:p>
        </w:tc>
        <w:tc>
          <w:tcPr>
            <w:tcW w:w="1056" w:type="pct"/>
            <w:vAlign w:val="center"/>
          </w:tcPr>
          <w:p>
            <w:pPr>
              <w:pStyle w:val="182"/>
              <w:bidi w:val="0"/>
              <w:rPr>
                <w:rFonts w:hint="default"/>
                <w:b/>
                <w:bCs/>
                <w:u w:val="single"/>
                <w:lang w:val="en-US" w:eastAsia="zh-CN"/>
              </w:rPr>
            </w:pPr>
            <w:r>
              <w:rPr>
                <w:rFonts w:hint="default"/>
                <w:lang w:val="en-US" w:eastAsia="zh-CN"/>
              </w:rPr>
              <w:t>t/a</w:t>
            </w:r>
          </w:p>
        </w:tc>
        <w:tc>
          <w:tcPr>
            <w:tcW w:w="1056" w:type="pct"/>
            <w:vAlign w:val="center"/>
          </w:tcPr>
          <w:p>
            <w:pPr>
              <w:pStyle w:val="182"/>
              <w:bidi w:val="0"/>
              <w:rPr>
                <w:rFonts w:hint="default"/>
                <w:b/>
                <w:bCs/>
                <w:u w:val="single"/>
                <w:lang w:val="en-US"/>
              </w:rPr>
            </w:pPr>
            <w:r>
              <w:rPr>
                <w:rFonts w:hint="default"/>
                <w:b/>
                <w:bCs/>
                <w:u w:val="single"/>
                <w:lang w:val="en-US" w:eastAsia="zh-CN"/>
              </w:rPr>
              <w:t>28.8131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vAlign w:val="center"/>
          </w:tcPr>
          <w:p>
            <w:pPr>
              <w:pStyle w:val="182"/>
              <w:bidi w:val="0"/>
              <w:rPr>
                <w:rFonts w:hint="eastAsia"/>
                <w:b/>
                <w:bCs/>
                <w:u w:val="single"/>
              </w:rPr>
            </w:pPr>
          </w:p>
        </w:tc>
        <w:tc>
          <w:tcPr>
            <w:tcW w:w="1442" w:type="pct"/>
            <w:vMerge w:val="continue"/>
            <w:vAlign w:val="center"/>
          </w:tcPr>
          <w:p>
            <w:pPr>
              <w:pStyle w:val="182"/>
              <w:bidi w:val="0"/>
              <w:rPr>
                <w:rFonts w:hint="default"/>
                <w:b/>
                <w:bCs/>
                <w:u w:val="single"/>
                <w:lang w:val="en-US" w:eastAsia="zh-CN"/>
              </w:rPr>
            </w:pPr>
          </w:p>
        </w:tc>
        <w:tc>
          <w:tcPr>
            <w:tcW w:w="1021" w:type="pct"/>
            <w:vAlign w:val="center"/>
          </w:tcPr>
          <w:p>
            <w:pPr>
              <w:pStyle w:val="182"/>
              <w:bidi w:val="0"/>
              <w:rPr>
                <w:rFonts w:hint="eastAsia"/>
                <w:b/>
                <w:bCs/>
                <w:u w:val="single"/>
              </w:rPr>
            </w:pPr>
            <w:r>
              <w:rPr>
                <w:rFonts w:hint="default"/>
                <w:b/>
                <w:bCs/>
                <w:u w:val="single"/>
                <w:lang w:val="en-US" w:eastAsia="zh-CN"/>
              </w:rPr>
              <w:t>SO</w:t>
            </w:r>
            <w:r>
              <w:rPr>
                <w:rFonts w:hint="default"/>
                <w:b/>
                <w:bCs/>
                <w:u w:val="single"/>
                <w:vertAlign w:val="subscript"/>
                <w:lang w:val="en-US" w:eastAsia="zh-CN"/>
              </w:rPr>
              <w:t>2</w:t>
            </w:r>
          </w:p>
        </w:tc>
        <w:tc>
          <w:tcPr>
            <w:tcW w:w="1056" w:type="pct"/>
            <w:vAlign w:val="center"/>
          </w:tcPr>
          <w:p>
            <w:pPr>
              <w:pStyle w:val="182"/>
              <w:bidi w:val="0"/>
              <w:rPr>
                <w:rFonts w:hint="default"/>
                <w:b/>
                <w:bCs/>
                <w:u w:val="single"/>
                <w:lang w:val="en-US" w:eastAsia="zh-CN"/>
              </w:rPr>
            </w:pPr>
            <w:r>
              <w:rPr>
                <w:rFonts w:hint="default"/>
                <w:lang w:val="en-US" w:eastAsia="zh-CN"/>
              </w:rPr>
              <w:t>t/a</w:t>
            </w:r>
          </w:p>
        </w:tc>
        <w:tc>
          <w:tcPr>
            <w:tcW w:w="1056" w:type="pct"/>
            <w:vAlign w:val="center"/>
          </w:tcPr>
          <w:p>
            <w:pPr>
              <w:pStyle w:val="182"/>
              <w:bidi w:val="0"/>
              <w:rPr>
                <w:rFonts w:hint="default"/>
                <w:b/>
                <w:bCs/>
                <w:u w:val="single"/>
                <w:lang w:val="en-US" w:eastAsia="zh-CN"/>
              </w:rPr>
            </w:pPr>
            <w:r>
              <w:rPr>
                <w:rFonts w:hint="default"/>
                <w:b/>
                <w:bCs/>
                <w:u w:val="single"/>
                <w:lang w:val="en-US" w:eastAsia="zh-CN"/>
              </w:rPr>
              <w:t>93.5155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vAlign w:val="center"/>
          </w:tcPr>
          <w:p>
            <w:pPr>
              <w:pStyle w:val="182"/>
              <w:bidi w:val="0"/>
              <w:rPr>
                <w:rFonts w:hint="eastAsia"/>
                <w:b/>
                <w:bCs/>
                <w:u w:val="single"/>
              </w:rPr>
            </w:pPr>
          </w:p>
        </w:tc>
        <w:tc>
          <w:tcPr>
            <w:tcW w:w="1442" w:type="pct"/>
            <w:vMerge w:val="continue"/>
            <w:vAlign w:val="center"/>
          </w:tcPr>
          <w:p>
            <w:pPr>
              <w:pStyle w:val="182"/>
              <w:bidi w:val="0"/>
              <w:rPr>
                <w:rFonts w:hint="default"/>
                <w:b/>
                <w:bCs/>
                <w:u w:val="single"/>
                <w:lang w:val="en-US" w:eastAsia="zh-CN"/>
              </w:rPr>
            </w:pPr>
          </w:p>
        </w:tc>
        <w:tc>
          <w:tcPr>
            <w:tcW w:w="1021" w:type="pct"/>
            <w:vAlign w:val="center"/>
          </w:tcPr>
          <w:p>
            <w:pPr>
              <w:pStyle w:val="182"/>
              <w:bidi w:val="0"/>
              <w:rPr>
                <w:rFonts w:hint="eastAsia"/>
                <w:b/>
                <w:bCs/>
                <w:u w:val="single"/>
              </w:rPr>
            </w:pPr>
            <w:r>
              <w:rPr>
                <w:rFonts w:hint="default"/>
                <w:b/>
                <w:bCs/>
                <w:u w:val="single"/>
                <w:lang w:val="en-US" w:eastAsia="zh-CN"/>
              </w:rPr>
              <w:t>NOx</w:t>
            </w:r>
          </w:p>
        </w:tc>
        <w:tc>
          <w:tcPr>
            <w:tcW w:w="1056" w:type="pct"/>
            <w:vAlign w:val="center"/>
          </w:tcPr>
          <w:p>
            <w:pPr>
              <w:pStyle w:val="182"/>
              <w:bidi w:val="0"/>
              <w:rPr>
                <w:rFonts w:hint="default"/>
                <w:b/>
                <w:bCs/>
                <w:u w:val="single"/>
                <w:lang w:val="en-US" w:eastAsia="zh-CN"/>
              </w:rPr>
            </w:pPr>
            <w:r>
              <w:rPr>
                <w:rFonts w:hint="default"/>
                <w:lang w:val="en-US" w:eastAsia="zh-CN"/>
              </w:rPr>
              <w:t>t/a</w:t>
            </w:r>
          </w:p>
        </w:tc>
        <w:tc>
          <w:tcPr>
            <w:tcW w:w="1056" w:type="pct"/>
            <w:vAlign w:val="center"/>
          </w:tcPr>
          <w:p>
            <w:pPr>
              <w:pStyle w:val="182"/>
              <w:bidi w:val="0"/>
              <w:rPr>
                <w:rFonts w:hint="default"/>
                <w:b/>
                <w:bCs/>
                <w:u w:val="single"/>
                <w:lang w:val="en-US" w:eastAsia="zh-CN"/>
              </w:rPr>
            </w:pPr>
            <w:r>
              <w:rPr>
                <w:rFonts w:hint="default"/>
                <w:b/>
                <w:bCs/>
                <w:u w:val="single"/>
                <w:lang w:val="en-US" w:eastAsia="zh-CN"/>
              </w:rPr>
              <w:t>154.5593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vAlign w:val="center"/>
          </w:tcPr>
          <w:p>
            <w:pPr>
              <w:pStyle w:val="182"/>
              <w:bidi w:val="0"/>
              <w:rPr>
                <w:rFonts w:hint="eastAsia"/>
                <w:b/>
                <w:bCs/>
                <w:u w:val="single"/>
              </w:rPr>
            </w:pPr>
          </w:p>
        </w:tc>
        <w:tc>
          <w:tcPr>
            <w:tcW w:w="1442" w:type="pct"/>
            <w:vMerge w:val="continue"/>
            <w:vAlign w:val="center"/>
          </w:tcPr>
          <w:p>
            <w:pPr>
              <w:pStyle w:val="182"/>
              <w:bidi w:val="0"/>
              <w:rPr>
                <w:rFonts w:hint="default"/>
                <w:b/>
                <w:bCs/>
                <w:u w:val="single"/>
                <w:lang w:val="en-US" w:eastAsia="zh-CN"/>
              </w:rPr>
            </w:pPr>
          </w:p>
        </w:tc>
        <w:tc>
          <w:tcPr>
            <w:tcW w:w="1021" w:type="pct"/>
            <w:vAlign w:val="center"/>
          </w:tcPr>
          <w:p>
            <w:pPr>
              <w:pStyle w:val="182"/>
              <w:bidi w:val="0"/>
              <w:rPr>
                <w:rFonts w:hint="eastAsia"/>
                <w:b/>
                <w:bCs/>
                <w:u w:val="single"/>
              </w:rPr>
            </w:pPr>
            <w:r>
              <w:rPr>
                <w:rFonts w:hint="default"/>
                <w:b/>
                <w:bCs/>
                <w:u w:val="single"/>
                <w:lang w:val="en-US" w:eastAsia="zh-CN"/>
              </w:rPr>
              <w:t>Hg</w:t>
            </w:r>
          </w:p>
        </w:tc>
        <w:tc>
          <w:tcPr>
            <w:tcW w:w="1056" w:type="pct"/>
            <w:vAlign w:val="center"/>
          </w:tcPr>
          <w:p>
            <w:pPr>
              <w:pStyle w:val="182"/>
              <w:bidi w:val="0"/>
              <w:rPr>
                <w:rFonts w:hint="default"/>
                <w:b/>
                <w:bCs/>
                <w:u w:val="single"/>
              </w:rPr>
            </w:pPr>
            <w:r>
              <w:rPr>
                <w:rFonts w:hint="default"/>
                <w:lang w:val="en-US" w:eastAsia="zh-CN"/>
              </w:rPr>
              <w:t>t/a</w:t>
            </w:r>
          </w:p>
        </w:tc>
        <w:tc>
          <w:tcPr>
            <w:tcW w:w="1056" w:type="pct"/>
            <w:vAlign w:val="center"/>
          </w:tcPr>
          <w:p>
            <w:pPr>
              <w:pStyle w:val="182"/>
              <w:bidi w:val="0"/>
              <w:rPr>
                <w:rFonts w:hint="default"/>
                <w:b/>
                <w:bCs/>
                <w:u w:val="single"/>
                <w:lang w:val="en-US" w:eastAsia="zh-CN"/>
              </w:rPr>
            </w:pPr>
            <w:r>
              <w:rPr>
                <w:rFonts w:hint="default"/>
                <w:b/>
                <w:bCs/>
                <w:u w:val="single"/>
              </w:rPr>
              <w:t>0.00</w:t>
            </w:r>
            <w:r>
              <w:rPr>
                <w:rFonts w:hint="eastAsia"/>
                <w:b/>
                <w:bCs/>
                <w:u w:val="single"/>
                <w:lang w:val="en-US" w:eastAsia="zh-CN"/>
              </w:rPr>
              <w:t>9</w:t>
            </w:r>
            <w:r>
              <w:rPr>
                <w:rFonts w:hint="default"/>
                <w:b/>
                <w:bCs/>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vAlign w:val="center"/>
          </w:tcPr>
          <w:p>
            <w:pPr>
              <w:pStyle w:val="182"/>
              <w:bidi w:val="0"/>
              <w:rPr>
                <w:rFonts w:hint="eastAsia"/>
                <w:b/>
                <w:bCs/>
                <w:u w:val="single"/>
              </w:rPr>
            </w:pPr>
          </w:p>
        </w:tc>
        <w:tc>
          <w:tcPr>
            <w:tcW w:w="1442" w:type="pct"/>
            <w:vMerge w:val="continue"/>
            <w:vAlign w:val="center"/>
          </w:tcPr>
          <w:p>
            <w:pPr>
              <w:pStyle w:val="182"/>
              <w:bidi w:val="0"/>
              <w:rPr>
                <w:rFonts w:hint="eastAsia"/>
                <w:b/>
                <w:bCs/>
                <w:u w:val="single"/>
                <w:lang w:val="en-US" w:eastAsia="zh-CN"/>
              </w:rPr>
            </w:pPr>
          </w:p>
        </w:tc>
        <w:tc>
          <w:tcPr>
            <w:tcW w:w="1021" w:type="pct"/>
            <w:vAlign w:val="center"/>
          </w:tcPr>
          <w:p>
            <w:pPr>
              <w:pStyle w:val="182"/>
              <w:bidi w:val="0"/>
              <w:rPr>
                <w:rFonts w:hint="eastAsia"/>
                <w:b/>
                <w:bCs/>
                <w:u w:val="single"/>
              </w:rPr>
            </w:pPr>
            <w:r>
              <w:rPr>
                <w:rFonts w:hint="eastAsia"/>
                <w:b/>
                <w:bCs/>
                <w:u w:val="single"/>
                <w:lang w:val="en-US" w:eastAsia="zh-CN"/>
              </w:rPr>
              <w:t>氨</w:t>
            </w:r>
          </w:p>
        </w:tc>
        <w:tc>
          <w:tcPr>
            <w:tcW w:w="1056" w:type="pct"/>
            <w:vAlign w:val="center"/>
          </w:tcPr>
          <w:p>
            <w:pPr>
              <w:pStyle w:val="182"/>
              <w:bidi w:val="0"/>
              <w:rPr>
                <w:rFonts w:hint="eastAsia"/>
                <w:b/>
                <w:bCs/>
                <w:u w:val="single"/>
                <w:lang w:val="en-US" w:eastAsia="zh-CN"/>
              </w:rPr>
            </w:pPr>
            <w:r>
              <w:rPr>
                <w:rFonts w:hint="default"/>
                <w:lang w:val="en-US" w:eastAsia="zh-CN"/>
              </w:rPr>
              <w:t>t/a</w:t>
            </w:r>
          </w:p>
        </w:tc>
        <w:tc>
          <w:tcPr>
            <w:tcW w:w="1056" w:type="pct"/>
            <w:vAlign w:val="center"/>
          </w:tcPr>
          <w:p>
            <w:pPr>
              <w:pStyle w:val="182"/>
              <w:bidi w:val="0"/>
              <w:rPr>
                <w:rFonts w:hint="default"/>
                <w:b/>
                <w:bCs/>
                <w:u w:val="single"/>
                <w:lang w:val="en-US" w:eastAsia="zh-CN"/>
              </w:rPr>
            </w:pPr>
            <w:r>
              <w:rPr>
                <w:rFonts w:hint="eastAsia"/>
                <w:b/>
                <w:bCs/>
                <w:u w:val="single"/>
                <w:lang w:val="en-US" w:eastAsia="zh-CN"/>
              </w:rPr>
              <w:t>12.829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vAlign w:val="center"/>
          </w:tcPr>
          <w:p>
            <w:pPr>
              <w:pStyle w:val="182"/>
              <w:bidi w:val="0"/>
              <w:rPr>
                <w:rFonts w:hint="eastAsia"/>
                <w:b/>
                <w:bCs/>
                <w:u w:val="single"/>
              </w:rPr>
            </w:pPr>
          </w:p>
        </w:tc>
        <w:tc>
          <w:tcPr>
            <w:tcW w:w="1442" w:type="pct"/>
            <w:vMerge w:val="continue"/>
            <w:vAlign w:val="center"/>
          </w:tcPr>
          <w:p>
            <w:pPr>
              <w:pStyle w:val="182"/>
              <w:bidi w:val="0"/>
              <w:rPr>
                <w:rFonts w:hint="default"/>
                <w:b/>
                <w:bCs/>
                <w:u w:val="single"/>
                <w:lang w:val="en-US" w:eastAsia="zh-CN"/>
              </w:rPr>
            </w:pPr>
          </w:p>
        </w:tc>
        <w:tc>
          <w:tcPr>
            <w:tcW w:w="1021" w:type="pct"/>
            <w:vAlign w:val="center"/>
          </w:tcPr>
          <w:p>
            <w:pPr>
              <w:pStyle w:val="182"/>
              <w:bidi w:val="0"/>
              <w:rPr>
                <w:rFonts w:hint="default"/>
                <w:b/>
                <w:bCs/>
                <w:u w:val="single"/>
                <w:lang w:val="en-US"/>
              </w:rPr>
            </w:pPr>
            <w:r>
              <w:rPr>
                <w:rFonts w:hint="eastAsia"/>
                <w:b/>
                <w:bCs/>
                <w:u w:val="single"/>
                <w:lang w:val="en-US" w:eastAsia="zh-CN"/>
              </w:rPr>
              <w:t>VOCs</w:t>
            </w:r>
          </w:p>
        </w:tc>
        <w:tc>
          <w:tcPr>
            <w:tcW w:w="1056" w:type="pct"/>
            <w:vAlign w:val="center"/>
          </w:tcPr>
          <w:p>
            <w:pPr>
              <w:pStyle w:val="182"/>
              <w:bidi w:val="0"/>
              <w:rPr>
                <w:rFonts w:hint="default"/>
                <w:b/>
                <w:bCs/>
                <w:u w:val="single"/>
                <w:lang w:val="en-US" w:eastAsia="zh-CN"/>
              </w:rPr>
            </w:pPr>
            <w:r>
              <w:rPr>
                <w:rFonts w:hint="default"/>
                <w:lang w:val="en-US" w:eastAsia="zh-CN"/>
              </w:rPr>
              <w:t>t/a</w:t>
            </w:r>
          </w:p>
        </w:tc>
        <w:tc>
          <w:tcPr>
            <w:tcW w:w="1056" w:type="pct"/>
            <w:vAlign w:val="center"/>
          </w:tcPr>
          <w:p>
            <w:pPr>
              <w:pStyle w:val="182"/>
              <w:bidi w:val="0"/>
              <w:rPr>
                <w:rFonts w:hint="default"/>
                <w:b/>
                <w:bCs/>
                <w:u w:val="single"/>
                <w:lang w:val="en-US" w:eastAsia="zh-CN"/>
              </w:rPr>
            </w:pPr>
            <w:r>
              <w:rPr>
                <w:rFonts w:hint="default"/>
                <w:b/>
                <w:bCs/>
                <w:u w:val="single"/>
                <w:lang w:val="en-US" w:eastAsia="zh-CN"/>
              </w:rPr>
              <w:t>20.174</w:t>
            </w:r>
          </w:p>
        </w:tc>
      </w:tr>
    </w:tbl>
    <w:p>
      <w:pPr>
        <w:pStyle w:val="4"/>
        <w:spacing w:before="7"/>
        <w:rPr>
          <w:b/>
          <w:color w:val="auto"/>
          <w:sz w:val="9"/>
          <w:u w:val="single"/>
        </w:rPr>
      </w:pPr>
    </w:p>
    <w:p>
      <w:pPr>
        <w:pStyle w:val="10"/>
        <w:bidi w:val="0"/>
        <w:rPr>
          <w:color w:val="auto"/>
        </w:rPr>
      </w:pPr>
      <w:r>
        <w:rPr>
          <w:rFonts w:hint="eastAsia"/>
          <w:color w:val="auto"/>
        </w:rPr>
        <w:t>3.4.6.2 废水</w:t>
      </w:r>
    </w:p>
    <w:p>
      <w:pPr>
        <w:bidi w:val="0"/>
        <w:rPr>
          <w:rFonts w:hint="eastAsia"/>
        </w:rPr>
      </w:pPr>
      <w:r>
        <w:rPr>
          <w:rFonts w:hint="eastAsia"/>
        </w:rPr>
        <w:t>根据在建项目的环评文件，在建项目外排废水主要是氨纶纤维、再生氨纶纤维生产废水和脱盐水制备废水。在建工程全部建成后全厂废水排放量为</w:t>
      </w:r>
      <w:r>
        <w:rPr>
          <w:rFonts w:hint="eastAsia"/>
          <w:lang w:val="en-US" w:eastAsia="zh-CN"/>
        </w:rPr>
        <w:t>20998.98</w:t>
      </w:r>
      <w:r>
        <w:rPr>
          <w:rFonts w:hint="eastAsia"/>
        </w:rPr>
        <w:t>m</w:t>
      </w:r>
      <w:r>
        <w:rPr>
          <w:rFonts w:hint="eastAsia"/>
          <w:vertAlign w:val="superscript"/>
        </w:rPr>
        <w:t>3</w:t>
      </w:r>
      <w:r>
        <w:rPr>
          <w:rFonts w:hint="eastAsia"/>
        </w:rPr>
        <w:t>/d，其中</w:t>
      </w:r>
      <w:r>
        <w:rPr>
          <w:rFonts w:hint="eastAsia"/>
          <w:lang w:val="en-US" w:eastAsia="zh-CN"/>
        </w:rPr>
        <w:t>生产</w:t>
      </w:r>
      <w:r>
        <w:rPr>
          <w:rFonts w:hint="eastAsia"/>
        </w:rPr>
        <w:t>废水</w:t>
      </w:r>
      <w:r>
        <w:rPr>
          <w:rFonts w:hint="eastAsia"/>
          <w:lang w:val="en-US" w:eastAsia="zh-CN"/>
        </w:rPr>
        <w:t>17352.16</w:t>
      </w:r>
      <w:r>
        <w:rPr>
          <w:rFonts w:hint="eastAsia"/>
        </w:rPr>
        <w:t>m</w:t>
      </w:r>
      <w:r>
        <w:rPr>
          <w:rFonts w:hint="eastAsia"/>
          <w:vertAlign w:val="superscript"/>
        </w:rPr>
        <w:t>3</w:t>
      </w:r>
      <w:r>
        <w:rPr>
          <w:rFonts w:hint="eastAsia"/>
        </w:rPr>
        <w:t>/d，脱盐水制备废水</w:t>
      </w:r>
      <w:r>
        <w:rPr>
          <w:rFonts w:hint="eastAsia"/>
          <w:lang w:val="en-US" w:eastAsia="zh-CN"/>
        </w:rPr>
        <w:t>3646.82</w:t>
      </w:r>
      <w:r>
        <w:rPr>
          <w:rFonts w:hint="eastAsia"/>
        </w:rPr>
        <w:t>m</w:t>
      </w:r>
      <w:r>
        <w:rPr>
          <w:rFonts w:hint="eastAsia"/>
          <w:vertAlign w:val="superscript"/>
        </w:rPr>
        <w:t>3</w:t>
      </w:r>
      <w:r>
        <w:rPr>
          <w:rFonts w:hint="eastAsia"/>
        </w:rPr>
        <w:t>/d。环评设计</w:t>
      </w:r>
      <w:r>
        <w:rPr>
          <w:rFonts w:hint="eastAsia"/>
          <w:lang w:eastAsia="zh-CN"/>
        </w:rPr>
        <w:t>：（</w:t>
      </w:r>
      <w:r>
        <w:rPr>
          <w:rFonts w:hint="eastAsia"/>
          <w:lang w:val="en-US" w:eastAsia="zh-CN"/>
        </w:rPr>
        <w:t>1</w:t>
      </w:r>
      <w:r>
        <w:rPr>
          <w:rFonts w:hint="eastAsia"/>
          <w:lang w:eastAsia="zh-CN"/>
        </w:rPr>
        <w:t>）</w:t>
      </w:r>
      <w:r>
        <w:rPr>
          <w:rFonts w:hint="eastAsia"/>
        </w:rPr>
        <w:t>将氨纶废水</w:t>
      </w:r>
      <w:r>
        <w:rPr>
          <w:rFonts w:hint="eastAsia"/>
          <w:lang w:val="en-US" w:eastAsia="zh-CN"/>
        </w:rPr>
        <w:t>排</w:t>
      </w:r>
      <w:r>
        <w:rPr>
          <w:rFonts w:hint="eastAsia"/>
        </w:rPr>
        <w:t>入现有厂区污水处理站“氨纶</w:t>
      </w:r>
      <w:r>
        <w:rPr>
          <w:rFonts w:hint="eastAsia"/>
          <w:lang w:eastAsia="zh-CN"/>
        </w:rPr>
        <w:t>、</w:t>
      </w:r>
      <w:r>
        <w:rPr>
          <w:rFonts w:hint="eastAsia"/>
        </w:rPr>
        <w:t>绿纤处理单元”进行处置，污水处理站处理工艺为“调节+混合池+沉淀+水解酸化+氧化沟+二沉池</w:t>
      </w:r>
      <w:r>
        <w:rPr>
          <w:rFonts w:hint="eastAsia"/>
          <w:lang w:val="en-US" w:eastAsia="zh-CN"/>
        </w:rPr>
        <w:t>+混凝池+终沉池</w:t>
      </w:r>
      <w:r>
        <w:rPr>
          <w:rFonts w:hint="eastAsia"/>
        </w:rPr>
        <w:t>”</w:t>
      </w:r>
      <w:r>
        <w:rPr>
          <w:rFonts w:hint="eastAsia"/>
          <w:lang w:eastAsia="zh-CN"/>
        </w:rPr>
        <w:t>；（</w:t>
      </w:r>
      <w:r>
        <w:rPr>
          <w:rFonts w:hint="eastAsia"/>
          <w:lang w:val="en-US" w:eastAsia="zh-CN"/>
        </w:rPr>
        <w:t>2</w:t>
      </w:r>
      <w:r>
        <w:rPr>
          <w:rFonts w:hint="eastAsia"/>
          <w:lang w:eastAsia="zh-CN"/>
        </w:rPr>
        <w:t>）</w:t>
      </w:r>
      <w:r>
        <w:rPr>
          <w:rFonts w:hint="eastAsia"/>
        </w:rPr>
        <w:t>将长丝工程废水采用分质分类处理，其中粘胶废水先进入酸化池内与少量酸性废水混合，经“调节+中和+沉淀+氧化沟+二沉池”处理</w:t>
      </w:r>
      <w:r>
        <w:rPr>
          <w:rFonts w:hint="eastAsia"/>
          <w:lang w:eastAsia="zh-CN"/>
        </w:rPr>
        <w:t>；（</w:t>
      </w:r>
      <w:r>
        <w:rPr>
          <w:rFonts w:hint="eastAsia"/>
          <w:lang w:val="en-US" w:eastAsia="zh-CN"/>
        </w:rPr>
        <w:t>3</w:t>
      </w:r>
      <w:r>
        <w:rPr>
          <w:rFonts w:hint="eastAsia"/>
          <w:lang w:eastAsia="zh-CN"/>
        </w:rPr>
        <w:t>）</w:t>
      </w:r>
      <w:r>
        <w:rPr>
          <w:rFonts w:hint="eastAsia"/>
        </w:rPr>
        <w:t>长丝酸性废水经“中和+沉淀”处理，处理后同厂区其他处理后的废水以及脱盐水制备废水、闪蒸</w:t>
      </w:r>
      <w:r>
        <w:rPr>
          <w:rFonts w:hint="eastAsia"/>
          <w:lang w:val="en-US" w:eastAsia="zh-CN"/>
        </w:rPr>
        <w:t>冷凝下</w:t>
      </w:r>
      <w:r>
        <w:rPr>
          <w:rFonts w:hint="eastAsia"/>
        </w:rPr>
        <w:t>水</w:t>
      </w:r>
      <w:r>
        <w:rPr>
          <w:rFonts w:hint="eastAsia"/>
          <w:lang w:val="en-US" w:eastAsia="zh-CN"/>
        </w:rPr>
        <w:t>等清净下水</w:t>
      </w:r>
      <w:r>
        <w:rPr>
          <w:rFonts w:hint="eastAsia"/>
        </w:rPr>
        <w:t>混合，外排进入厂外污水管网，最终进入小店污水处理厂进行处置；根据环评预测结果，外排废水水质可以满足新乡市小店污水处理厂收水标准、新乡市环境保护局文件及《污水综合排放标准》（GB8978-1996）</w:t>
      </w:r>
      <w:r>
        <w:rPr>
          <w:rFonts w:hint="eastAsia"/>
          <w:lang w:val="en-US" w:eastAsia="zh-CN"/>
        </w:rPr>
        <w:t>的</w:t>
      </w:r>
      <w:r>
        <w:rPr>
          <w:rFonts w:hint="eastAsia"/>
        </w:rPr>
        <w:t>要求。</w:t>
      </w:r>
    </w:p>
    <w:p>
      <w:pPr>
        <w:pStyle w:val="10"/>
        <w:bidi w:val="0"/>
        <w:rPr>
          <w:rFonts w:hint="eastAsia"/>
          <w:color w:val="auto"/>
        </w:rPr>
      </w:pPr>
      <w:r>
        <w:rPr>
          <w:rFonts w:hint="eastAsia"/>
          <w:color w:val="auto"/>
        </w:rPr>
        <w:t>3.4.6.3 噪声</w:t>
      </w:r>
    </w:p>
    <w:p>
      <w:pPr>
        <w:bidi w:val="0"/>
        <w:rPr>
          <w:rFonts w:hint="eastAsia"/>
          <w:color w:val="auto"/>
        </w:rPr>
      </w:pPr>
      <w:r>
        <w:rPr>
          <w:rFonts w:hint="eastAsia"/>
          <w:color w:val="auto"/>
        </w:rPr>
        <w:t>依据在建工程环评文件，在建工程高噪声设备主要为纺丝机、真空泵等，噪声源强为80-95dB(A)。公司设计设备底座采用设橡胶减振垫，再经厂房隔音、距离衰减，预测厂界噪声均能达到《工业企业厂界环境噪声排放标准》（GB12348-2008）中3类区昼间65dB(A)、夜间55dB(A</w:t>
      </w:r>
      <w:r>
        <w:rPr>
          <w:rFonts w:hint="eastAsia"/>
          <w:color w:val="auto"/>
          <w:lang w:eastAsia="zh-CN"/>
        </w:rPr>
        <w:t>)</w:t>
      </w:r>
      <w:r>
        <w:rPr>
          <w:rFonts w:hint="eastAsia"/>
          <w:color w:val="auto"/>
        </w:rPr>
        <w:t>的要求。</w:t>
      </w:r>
    </w:p>
    <w:p>
      <w:pPr>
        <w:pStyle w:val="10"/>
        <w:bidi w:val="0"/>
        <w:rPr>
          <w:rFonts w:hint="eastAsia"/>
          <w:color w:val="auto"/>
        </w:rPr>
      </w:pPr>
      <w:r>
        <w:rPr>
          <w:rFonts w:hint="eastAsia"/>
          <w:color w:val="auto"/>
        </w:rPr>
        <w:t>3.4.6.4 固废</w:t>
      </w:r>
    </w:p>
    <w:p>
      <w:pPr>
        <w:bidi w:val="0"/>
        <w:rPr>
          <w:rFonts w:hint="eastAsia"/>
          <w:color w:val="auto"/>
        </w:rPr>
      </w:pPr>
      <w:r>
        <w:rPr>
          <w:rFonts w:hint="eastAsia"/>
          <w:color w:val="auto"/>
        </w:rPr>
        <w:t>依据在建工程环评，在建工程固废产生及处理处置情况见表3</w:t>
      </w:r>
      <w:r>
        <w:rPr>
          <w:rFonts w:hint="eastAsia"/>
          <w:color w:val="auto"/>
          <w:lang w:val="en-US" w:eastAsia="zh-CN"/>
        </w:rPr>
        <w:t>.4</w:t>
      </w:r>
      <w:r>
        <w:rPr>
          <w:rFonts w:hint="eastAsia"/>
          <w:color w:val="auto"/>
        </w:rPr>
        <w:t>-</w:t>
      </w:r>
      <w:r>
        <w:rPr>
          <w:rFonts w:hint="eastAsia"/>
          <w:color w:val="auto"/>
          <w:lang w:val="en-US" w:eastAsia="zh-CN"/>
        </w:rPr>
        <w:t>7</w:t>
      </w:r>
      <w:r>
        <w:rPr>
          <w:rFonts w:hint="eastAsia"/>
          <w:color w:val="auto"/>
        </w:rPr>
        <w:t>。</w:t>
      </w:r>
    </w:p>
    <w:p>
      <w:pPr>
        <w:rPr>
          <w:rFonts w:hint="eastAsia"/>
          <w:color w:val="auto"/>
        </w:rPr>
      </w:pPr>
    </w:p>
    <w:p>
      <w:pPr>
        <w:rPr>
          <w:rFonts w:hint="eastAsia"/>
          <w:color w:val="auto"/>
        </w:rPr>
        <w:sectPr>
          <w:footerReference r:id="rId17" w:type="default"/>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181"/>
        <w:rPr>
          <w:rFonts w:hint="eastAsia"/>
          <w:b/>
          <w:bCs/>
          <w:color w:val="auto"/>
          <w:u w:val="single"/>
        </w:rPr>
      </w:pPr>
      <w:r>
        <w:rPr>
          <w:rFonts w:hint="eastAsia"/>
          <w:b/>
          <w:bCs/>
          <w:color w:val="auto"/>
          <w:u w:val="single"/>
          <w:lang w:val="en-US" w:eastAsia="zh-CN"/>
        </w:rPr>
        <w:t xml:space="preserve">表3.4-7                           </w:t>
      </w:r>
      <w:r>
        <w:rPr>
          <w:rFonts w:hint="eastAsia"/>
          <w:b/>
          <w:bCs/>
          <w:color w:val="auto"/>
          <w:u w:val="single"/>
        </w:rPr>
        <w:t>在建工程建成后全厂固废产生情况及处置措施</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1515"/>
        <w:gridCol w:w="1625"/>
        <w:gridCol w:w="1599"/>
        <w:gridCol w:w="1335"/>
        <w:gridCol w:w="880"/>
        <w:gridCol w:w="1507"/>
        <w:gridCol w:w="1601"/>
        <w:gridCol w:w="2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序号</w:t>
            </w:r>
          </w:p>
        </w:tc>
        <w:tc>
          <w:tcPr>
            <w:tcW w:w="563" w:type="pct"/>
            <w:vAlign w:val="center"/>
          </w:tcPr>
          <w:p>
            <w:pPr>
              <w:pStyle w:val="182"/>
              <w:rPr>
                <w:b/>
                <w:bCs/>
                <w:color w:val="auto"/>
                <w:u w:val="single"/>
              </w:rPr>
            </w:pPr>
            <w:r>
              <w:rPr>
                <w:b/>
                <w:bCs/>
                <w:color w:val="auto"/>
                <w:u w:val="single"/>
              </w:rPr>
              <w:t>污染物名称</w:t>
            </w:r>
          </w:p>
        </w:tc>
        <w:tc>
          <w:tcPr>
            <w:tcW w:w="604" w:type="pct"/>
            <w:vAlign w:val="center"/>
          </w:tcPr>
          <w:p>
            <w:pPr>
              <w:pStyle w:val="182"/>
              <w:rPr>
                <w:rFonts w:hint="eastAsia"/>
                <w:b/>
                <w:bCs/>
                <w:color w:val="auto"/>
                <w:u w:val="single"/>
              </w:rPr>
            </w:pPr>
            <w:r>
              <w:rPr>
                <w:b/>
                <w:bCs/>
                <w:color w:val="auto"/>
                <w:u w:val="single"/>
              </w:rPr>
              <w:t>危险废物类别</w:t>
            </w:r>
          </w:p>
        </w:tc>
        <w:tc>
          <w:tcPr>
            <w:tcW w:w="594" w:type="pct"/>
            <w:vAlign w:val="center"/>
          </w:tcPr>
          <w:p>
            <w:pPr>
              <w:pStyle w:val="182"/>
              <w:rPr>
                <w:rFonts w:hint="eastAsia"/>
                <w:b/>
                <w:bCs/>
                <w:color w:val="auto"/>
                <w:u w:val="single"/>
              </w:rPr>
            </w:pPr>
            <w:r>
              <w:rPr>
                <w:b/>
                <w:bCs/>
                <w:color w:val="auto"/>
                <w:u w:val="single"/>
              </w:rPr>
              <w:t>危险废物代码</w:t>
            </w:r>
          </w:p>
        </w:tc>
        <w:tc>
          <w:tcPr>
            <w:tcW w:w="496" w:type="pct"/>
            <w:vAlign w:val="center"/>
          </w:tcPr>
          <w:p>
            <w:pPr>
              <w:pStyle w:val="182"/>
              <w:rPr>
                <w:b/>
                <w:bCs/>
                <w:color w:val="auto"/>
                <w:u w:val="single"/>
              </w:rPr>
            </w:pPr>
            <w:r>
              <w:rPr>
                <w:rFonts w:hint="default"/>
                <w:b/>
                <w:bCs/>
                <w:color w:val="auto"/>
                <w:u w:val="single"/>
              </w:rPr>
              <w:t>固废性质</w:t>
            </w:r>
          </w:p>
        </w:tc>
        <w:tc>
          <w:tcPr>
            <w:tcW w:w="327" w:type="pct"/>
            <w:vAlign w:val="center"/>
          </w:tcPr>
          <w:p>
            <w:pPr>
              <w:pStyle w:val="182"/>
              <w:rPr>
                <w:rFonts w:hint="eastAsia"/>
                <w:b/>
                <w:bCs/>
                <w:color w:val="auto"/>
                <w:u w:val="single"/>
                <w:lang w:val="en-US" w:eastAsia="zh-CN"/>
              </w:rPr>
            </w:pPr>
            <w:r>
              <w:rPr>
                <w:rFonts w:hint="eastAsia"/>
                <w:b/>
                <w:bCs/>
                <w:color w:val="auto"/>
                <w:u w:val="single"/>
                <w:lang w:val="en-US" w:eastAsia="zh-CN"/>
              </w:rPr>
              <w:t>形态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rPr>
              <w:t>产生量（t</w:t>
            </w:r>
            <w:r>
              <w:rPr>
                <w:b/>
                <w:bCs/>
                <w:color w:val="auto"/>
                <w:u w:val="single"/>
              </w:rPr>
              <w:t>/a</w:t>
            </w:r>
            <w:r>
              <w:rPr>
                <w:rFonts w:hint="default"/>
                <w:b/>
                <w:bCs/>
                <w:color w:val="auto"/>
                <w:u w:val="single"/>
              </w:rPr>
              <w:t>）</w:t>
            </w:r>
          </w:p>
        </w:tc>
        <w:tc>
          <w:tcPr>
            <w:tcW w:w="595" w:type="pct"/>
            <w:vAlign w:val="center"/>
          </w:tcPr>
          <w:p>
            <w:pPr>
              <w:pStyle w:val="182"/>
              <w:rPr>
                <w:b/>
                <w:bCs/>
                <w:color w:val="auto"/>
                <w:u w:val="single"/>
              </w:rPr>
            </w:pPr>
            <w:r>
              <w:rPr>
                <w:rFonts w:hint="default"/>
                <w:b/>
                <w:bCs/>
                <w:color w:val="auto"/>
                <w:u w:val="single"/>
              </w:rPr>
              <w:t>产生位置</w:t>
            </w:r>
          </w:p>
        </w:tc>
        <w:tc>
          <w:tcPr>
            <w:tcW w:w="996" w:type="pct"/>
            <w:vAlign w:val="center"/>
          </w:tcPr>
          <w:p>
            <w:pPr>
              <w:pStyle w:val="182"/>
              <w:rPr>
                <w:b/>
                <w:bCs/>
                <w:color w:val="auto"/>
                <w:u w:val="single"/>
              </w:rPr>
            </w:pPr>
            <w:r>
              <w:rPr>
                <w:rFonts w:hint="default"/>
                <w:b/>
                <w:bCs/>
                <w:color w:val="auto"/>
                <w:u w:val="single"/>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1</w:t>
            </w:r>
          </w:p>
        </w:tc>
        <w:tc>
          <w:tcPr>
            <w:tcW w:w="563" w:type="pct"/>
            <w:vAlign w:val="center"/>
          </w:tcPr>
          <w:p>
            <w:pPr>
              <w:pStyle w:val="182"/>
              <w:rPr>
                <w:b/>
                <w:bCs/>
                <w:color w:val="auto"/>
                <w:u w:val="single"/>
              </w:rPr>
            </w:pPr>
            <w:r>
              <w:rPr>
                <w:rFonts w:hint="default"/>
                <w:b/>
                <w:bCs/>
                <w:color w:val="auto"/>
                <w:u w:val="single"/>
              </w:rPr>
              <w:t>废丝（氨纶）</w:t>
            </w:r>
          </w:p>
        </w:tc>
        <w:tc>
          <w:tcPr>
            <w:tcW w:w="60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59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496" w:type="pct"/>
            <w:vAlign w:val="center"/>
          </w:tcPr>
          <w:p>
            <w:pPr>
              <w:pStyle w:val="182"/>
              <w:rPr>
                <w:b/>
                <w:bCs/>
                <w:color w:val="auto"/>
                <w:u w:val="single"/>
              </w:rPr>
            </w:pPr>
            <w:r>
              <w:rPr>
                <w:rFonts w:hint="default"/>
                <w:b/>
                <w:bCs/>
                <w:color w:val="auto"/>
                <w:u w:val="single"/>
              </w:rPr>
              <w:t>一般固废</w:t>
            </w:r>
          </w:p>
        </w:tc>
        <w:tc>
          <w:tcPr>
            <w:tcW w:w="327" w:type="pct"/>
            <w:vAlign w:val="center"/>
          </w:tcPr>
          <w:p>
            <w:pPr>
              <w:pStyle w:val="182"/>
              <w:rPr>
                <w:rFonts w:hint="eastAsia"/>
                <w:b/>
                <w:bCs/>
                <w:color w:val="auto"/>
                <w:u w:val="single"/>
              </w:rPr>
            </w:pPr>
            <w:r>
              <w:rPr>
                <w:rFonts w:hint="eastAsia"/>
                <w:b/>
                <w:bCs/>
                <w:color w:val="auto"/>
                <w:u w:val="single"/>
                <w:lang w:val="en-US" w:eastAsia="zh-CN"/>
              </w:rPr>
              <w:t>固态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rPr>
              <w:t>2128</w:t>
            </w:r>
          </w:p>
        </w:tc>
        <w:tc>
          <w:tcPr>
            <w:tcW w:w="595" w:type="pct"/>
            <w:vAlign w:val="center"/>
          </w:tcPr>
          <w:p>
            <w:pPr>
              <w:pStyle w:val="182"/>
              <w:rPr>
                <w:b/>
                <w:bCs/>
                <w:color w:val="auto"/>
                <w:u w:val="single"/>
              </w:rPr>
            </w:pPr>
            <w:r>
              <w:rPr>
                <w:rFonts w:hint="default"/>
                <w:b/>
                <w:bCs/>
                <w:color w:val="auto"/>
                <w:u w:val="single"/>
              </w:rPr>
              <w:t>卷绕及分级包装工段</w:t>
            </w:r>
          </w:p>
        </w:tc>
        <w:tc>
          <w:tcPr>
            <w:tcW w:w="996" w:type="pct"/>
            <w:vAlign w:val="center"/>
          </w:tcPr>
          <w:p>
            <w:pPr>
              <w:pStyle w:val="182"/>
              <w:rPr>
                <w:b/>
                <w:bCs/>
                <w:color w:val="auto"/>
                <w:u w:val="single"/>
              </w:rPr>
            </w:pPr>
            <w:r>
              <w:rPr>
                <w:rFonts w:hint="default"/>
                <w:b/>
                <w:bCs/>
                <w:color w:val="auto"/>
                <w:u w:val="single"/>
              </w:rPr>
              <w:t>作为原料回用于生产再生氨纶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2</w:t>
            </w:r>
          </w:p>
        </w:tc>
        <w:tc>
          <w:tcPr>
            <w:tcW w:w="563" w:type="pct"/>
            <w:vAlign w:val="center"/>
          </w:tcPr>
          <w:p>
            <w:pPr>
              <w:pStyle w:val="182"/>
              <w:rPr>
                <w:b/>
                <w:bCs/>
                <w:color w:val="auto"/>
                <w:u w:val="single"/>
              </w:rPr>
            </w:pPr>
            <w:r>
              <w:rPr>
                <w:rFonts w:hint="default"/>
                <w:b/>
                <w:bCs/>
                <w:color w:val="auto"/>
                <w:u w:val="single"/>
              </w:rPr>
              <w:t>废分子筛</w:t>
            </w:r>
          </w:p>
        </w:tc>
        <w:tc>
          <w:tcPr>
            <w:tcW w:w="60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59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496" w:type="pct"/>
            <w:vAlign w:val="center"/>
          </w:tcPr>
          <w:p>
            <w:pPr>
              <w:pStyle w:val="182"/>
              <w:rPr>
                <w:b/>
                <w:bCs/>
                <w:color w:val="auto"/>
                <w:u w:val="single"/>
              </w:rPr>
            </w:pPr>
            <w:r>
              <w:rPr>
                <w:rFonts w:hint="default"/>
                <w:b/>
                <w:bCs/>
                <w:color w:val="auto"/>
                <w:u w:val="single"/>
              </w:rPr>
              <w:t>一般固废</w:t>
            </w:r>
          </w:p>
        </w:tc>
        <w:tc>
          <w:tcPr>
            <w:tcW w:w="327" w:type="pct"/>
            <w:vAlign w:val="center"/>
          </w:tcPr>
          <w:p>
            <w:pPr>
              <w:pStyle w:val="182"/>
              <w:rPr>
                <w:rFonts w:hint="eastAsia"/>
                <w:b/>
                <w:bCs/>
                <w:color w:val="auto"/>
                <w:u w:val="single"/>
              </w:rPr>
            </w:pPr>
            <w:r>
              <w:rPr>
                <w:rFonts w:hint="eastAsia"/>
                <w:b/>
                <w:bCs/>
                <w:color w:val="auto"/>
                <w:u w:val="single"/>
                <w:lang w:val="en-US" w:eastAsia="zh-CN"/>
              </w:rPr>
              <w:t>固态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rPr>
              <w:t>1.8t每次，约5年更换一次</w:t>
            </w:r>
          </w:p>
        </w:tc>
        <w:tc>
          <w:tcPr>
            <w:tcW w:w="595" w:type="pct"/>
            <w:vAlign w:val="center"/>
          </w:tcPr>
          <w:p>
            <w:pPr>
              <w:pStyle w:val="182"/>
              <w:rPr>
                <w:b/>
                <w:bCs/>
                <w:color w:val="auto"/>
                <w:u w:val="single"/>
              </w:rPr>
            </w:pPr>
            <w:r>
              <w:rPr>
                <w:rFonts w:hint="default"/>
                <w:b/>
                <w:bCs/>
                <w:color w:val="auto"/>
                <w:u w:val="single"/>
              </w:rPr>
              <w:t>制氮系统</w:t>
            </w:r>
          </w:p>
        </w:tc>
        <w:tc>
          <w:tcPr>
            <w:tcW w:w="996" w:type="pct"/>
            <w:vAlign w:val="center"/>
          </w:tcPr>
          <w:p>
            <w:pPr>
              <w:pStyle w:val="182"/>
              <w:rPr>
                <w:b/>
                <w:bCs/>
                <w:color w:val="auto"/>
                <w:u w:val="single"/>
              </w:rPr>
            </w:pPr>
            <w:r>
              <w:rPr>
                <w:rFonts w:hint="default"/>
                <w:b/>
                <w:bCs/>
                <w:color w:val="auto"/>
                <w:u w:val="single"/>
              </w:rPr>
              <w:t>由生产厂家回收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3</w:t>
            </w:r>
          </w:p>
        </w:tc>
        <w:tc>
          <w:tcPr>
            <w:tcW w:w="563" w:type="pct"/>
            <w:vAlign w:val="center"/>
          </w:tcPr>
          <w:p>
            <w:pPr>
              <w:pStyle w:val="182"/>
              <w:rPr>
                <w:b/>
                <w:bCs/>
                <w:color w:val="auto"/>
                <w:u w:val="single"/>
              </w:rPr>
            </w:pPr>
            <w:r>
              <w:rPr>
                <w:rFonts w:hint="default"/>
                <w:b/>
                <w:bCs/>
                <w:color w:val="auto"/>
                <w:u w:val="single"/>
              </w:rPr>
              <w:t>废微孔滤器</w:t>
            </w:r>
          </w:p>
        </w:tc>
        <w:tc>
          <w:tcPr>
            <w:tcW w:w="60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59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496" w:type="pct"/>
            <w:vAlign w:val="center"/>
          </w:tcPr>
          <w:p>
            <w:pPr>
              <w:pStyle w:val="182"/>
              <w:rPr>
                <w:b/>
                <w:bCs/>
                <w:color w:val="auto"/>
                <w:u w:val="single"/>
              </w:rPr>
            </w:pPr>
            <w:r>
              <w:rPr>
                <w:rFonts w:hint="default"/>
                <w:b/>
                <w:bCs/>
                <w:color w:val="auto"/>
                <w:u w:val="single"/>
              </w:rPr>
              <w:t>一般固废</w:t>
            </w:r>
          </w:p>
        </w:tc>
        <w:tc>
          <w:tcPr>
            <w:tcW w:w="327" w:type="pct"/>
            <w:vAlign w:val="center"/>
          </w:tcPr>
          <w:p>
            <w:pPr>
              <w:pStyle w:val="182"/>
              <w:rPr>
                <w:rFonts w:hint="eastAsia"/>
                <w:b/>
                <w:bCs/>
                <w:color w:val="auto"/>
                <w:u w:val="single"/>
              </w:rPr>
            </w:pPr>
            <w:r>
              <w:rPr>
                <w:rFonts w:hint="eastAsia"/>
                <w:b/>
                <w:bCs/>
                <w:color w:val="auto"/>
                <w:u w:val="single"/>
                <w:lang w:val="en-US" w:eastAsia="zh-CN"/>
              </w:rPr>
              <w:t>固态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rPr>
              <w:t>2.1</w:t>
            </w:r>
          </w:p>
        </w:tc>
        <w:tc>
          <w:tcPr>
            <w:tcW w:w="595" w:type="pct"/>
            <w:vAlign w:val="center"/>
          </w:tcPr>
          <w:p>
            <w:pPr>
              <w:pStyle w:val="182"/>
              <w:rPr>
                <w:b/>
                <w:bCs/>
                <w:color w:val="auto"/>
                <w:u w:val="single"/>
              </w:rPr>
            </w:pPr>
            <w:r>
              <w:rPr>
                <w:rFonts w:hint="default"/>
                <w:b/>
                <w:bCs/>
                <w:color w:val="auto"/>
                <w:u w:val="single"/>
              </w:rPr>
              <w:t>组件清洗过程</w:t>
            </w:r>
          </w:p>
        </w:tc>
        <w:tc>
          <w:tcPr>
            <w:tcW w:w="996" w:type="pct"/>
            <w:vAlign w:val="center"/>
          </w:tcPr>
          <w:p>
            <w:pPr>
              <w:pStyle w:val="182"/>
              <w:rPr>
                <w:b/>
                <w:bCs/>
                <w:color w:val="auto"/>
                <w:u w:val="single"/>
              </w:rPr>
            </w:pPr>
            <w:r>
              <w:rPr>
                <w:rFonts w:hint="default"/>
                <w:b/>
                <w:bCs/>
                <w:color w:val="auto"/>
                <w:u w:val="single"/>
              </w:rPr>
              <w:t>送往垃圾填埋场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4</w:t>
            </w:r>
          </w:p>
        </w:tc>
        <w:tc>
          <w:tcPr>
            <w:tcW w:w="563" w:type="pct"/>
            <w:vAlign w:val="center"/>
          </w:tcPr>
          <w:p>
            <w:pPr>
              <w:pStyle w:val="182"/>
              <w:rPr>
                <w:b/>
                <w:bCs/>
                <w:color w:val="auto"/>
                <w:u w:val="single"/>
              </w:rPr>
            </w:pPr>
            <w:r>
              <w:rPr>
                <w:rFonts w:hint="default"/>
                <w:b/>
                <w:bCs/>
                <w:color w:val="auto"/>
                <w:u w:val="single"/>
              </w:rPr>
              <w:t>废丝（长丝）</w:t>
            </w:r>
          </w:p>
        </w:tc>
        <w:tc>
          <w:tcPr>
            <w:tcW w:w="60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59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496" w:type="pct"/>
            <w:vAlign w:val="center"/>
          </w:tcPr>
          <w:p>
            <w:pPr>
              <w:pStyle w:val="182"/>
              <w:rPr>
                <w:b/>
                <w:bCs/>
                <w:color w:val="auto"/>
                <w:u w:val="single"/>
              </w:rPr>
            </w:pPr>
            <w:r>
              <w:rPr>
                <w:rFonts w:hint="default"/>
                <w:b/>
                <w:bCs/>
                <w:color w:val="auto"/>
                <w:u w:val="single"/>
              </w:rPr>
              <w:t>一般固废</w:t>
            </w:r>
          </w:p>
        </w:tc>
        <w:tc>
          <w:tcPr>
            <w:tcW w:w="327" w:type="pct"/>
            <w:vAlign w:val="center"/>
          </w:tcPr>
          <w:p>
            <w:pPr>
              <w:pStyle w:val="182"/>
              <w:rPr>
                <w:rFonts w:hint="eastAsia"/>
                <w:b/>
                <w:bCs/>
                <w:color w:val="auto"/>
                <w:u w:val="single"/>
              </w:rPr>
            </w:pPr>
            <w:r>
              <w:rPr>
                <w:rFonts w:hint="eastAsia"/>
                <w:b/>
                <w:bCs/>
                <w:color w:val="auto"/>
                <w:u w:val="single"/>
                <w:lang w:val="en-US" w:eastAsia="zh-CN"/>
              </w:rPr>
              <w:t>固态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lang w:val="en-US" w:eastAsia="zh-CN"/>
              </w:rPr>
              <w:t>970</w:t>
            </w:r>
          </w:p>
        </w:tc>
        <w:tc>
          <w:tcPr>
            <w:tcW w:w="595" w:type="pct"/>
            <w:vAlign w:val="center"/>
          </w:tcPr>
          <w:p>
            <w:pPr>
              <w:pStyle w:val="182"/>
              <w:rPr>
                <w:b/>
                <w:bCs/>
                <w:color w:val="auto"/>
                <w:u w:val="single"/>
              </w:rPr>
            </w:pPr>
            <w:r>
              <w:rPr>
                <w:rFonts w:hint="default"/>
                <w:b/>
                <w:bCs/>
                <w:color w:val="auto"/>
                <w:u w:val="single"/>
              </w:rPr>
              <w:t>长丝生产</w:t>
            </w:r>
          </w:p>
        </w:tc>
        <w:tc>
          <w:tcPr>
            <w:tcW w:w="996" w:type="pct"/>
            <w:vAlign w:val="center"/>
          </w:tcPr>
          <w:p>
            <w:pPr>
              <w:pStyle w:val="182"/>
              <w:rPr>
                <w:b/>
                <w:bCs/>
                <w:color w:val="auto"/>
                <w:u w:val="single"/>
              </w:rPr>
            </w:pPr>
            <w:r>
              <w:rPr>
                <w:rFonts w:hint="default"/>
                <w:b/>
                <w:bCs/>
                <w:color w:val="auto"/>
                <w:u w:val="single"/>
              </w:rPr>
              <w:t>直接出售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5</w:t>
            </w:r>
          </w:p>
        </w:tc>
        <w:tc>
          <w:tcPr>
            <w:tcW w:w="563" w:type="pct"/>
            <w:vAlign w:val="center"/>
          </w:tcPr>
          <w:p>
            <w:pPr>
              <w:pStyle w:val="182"/>
              <w:rPr>
                <w:b/>
                <w:bCs/>
                <w:color w:val="auto"/>
                <w:u w:val="single"/>
              </w:rPr>
            </w:pPr>
            <w:r>
              <w:rPr>
                <w:rFonts w:hint="default"/>
                <w:b/>
                <w:bCs/>
                <w:color w:val="auto"/>
                <w:u w:val="single"/>
              </w:rPr>
              <w:t>污水站污泥</w:t>
            </w:r>
          </w:p>
        </w:tc>
        <w:tc>
          <w:tcPr>
            <w:tcW w:w="60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59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496" w:type="pct"/>
            <w:vAlign w:val="center"/>
          </w:tcPr>
          <w:p>
            <w:pPr>
              <w:pStyle w:val="182"/>
              <w:rPr>
                <w:b/>
                <w:bCs/>
                <w:color w:val="auto"/>
                <w:u w:val="single"/>
              </w:rPr>
            </w:pPr>
            <w:r>
              <w:rPr>
                <w:rFonts w:hint="default"/>
                <w:b/>
                <w:bCs/>
                <w:color w:val="auto"/>
                <w:u w:val="single"/>
              </w:rPr>
              <w:t>一般固废</w:t>
            </w:r>
          </w:p>
        </w:tc>
        <w:tc>
          <w:tcPr>
            <w:tcW w:w="327" w:type="pct"/>
            <w:vAlign w:val="center"/>
          </w:tcPr>
          <w:p>
            <w:pPr>
              <w:pStyle w:val="182"/>
              <w:rPr>
                <w:rFonts w:hint="eastAsia"/>
                <w:b/>
                <w:bCs/>
                <w:color w:val="auto"/>
                <w:u w:val="single"/>
              </w:rPr>
            </w:pPr>
            <w:r>
              <w:rPr>
                <w:rFonts w:hint="eastAsia"/>
                <w:b/>
                <w:bCs/>
                <w:color w:val="auto"/>
                <w:u w:val="single"/>
                <w:lang w:val="en-US" w:eastAsia="zh-CN"/>
              </w:rPr>
              <w:t>固态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rPr>
              <w:t>5110</w:t>
            </w:r>
          </w:p>
        </w:tc>
        <w:tc>
          <w:tcPr>
            <w:tcW w:w="595" w:type="pct"/>
            <w:vAlign w:val="center"/>
          </w:tcPr>
          <w:p>
            <w:pPr>
              <w:pStyle w:val="182"/>
              <w:rPr>
                <w:b/>
                <w:bCs/>
                <w:color w:val="auto"/>
                <w:u w:val="single"/>
              </w:rPr>
            </w:pPr>
            <w:r>
              <w:rPr>
                <w:rFonts w:hint="default"/>
                <w:b/>
                <w:bCs/>
                <w:color w:val="auto"/>
                <w:u w:val="single"/>
              </w:rPr>
              <w:t>污水处理</w:t>
            </w:r>
          </w:p>
        </w:tc>
        <w:tc>
          <w:tcPr>
            <w:tcW w:w="996" w:type="pct"/>
            <w:vAlign w:val="center"/>
          </w:tcPr>
          <w:p>
            <w:pPr>
              <w:pStyle w:val="182"/>
              <w:rPr>
                <w:rFonts w:hint="default" w:eastAsia="宋体"/>
                <w:b/>
                <w:bCs/>
                <w:color w:val="auto"/>
                <w:u w:val="single"/>
                <w:lang w:val="en-US" w:eastAsia="zh-CN"/>
              </w:rPr>
            </w:pPr>
            <w:r>
              <w:rPr>
                <w:rFonts w:hint="default"/>
                <w:b/>
                <w:bCs/>
                <w:color w:val="auto"/>
                <w:u w:val="single"/>
              </w:rPr>
              <w:t>一般固废暂存间暂存后，送垃圾填埋场</w:t>
            </w:r>
            <w:r>
              <w:rPr>
                <w:rFonts w:hint="eastAsia"/>
                <w:b/>
                <w:bCs/>
                <w:color w:val="auto"/>
                <w:u w:val="single"/>
                <w:lang w:eastAsia="zh-CN"/>
              </w:rPr>
              <w:t>，</w:t>
            </w:r>
            <w:r>
              <w:rPr>
                <w:rFonts w:hint="eastAsia"/>
                <w:b/>
                <w:bCs/>
                <w:color w:val="auto"/>
                <w:u w:val="single"/>
                <w:lang w:val="en-US" w:eastAsia="zh-CN"/>
              </w:rPr>
              <w:t>处置协议详见附件12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6</w:t>
            </w:r>
          </w:p>
        </w:tc>
        <w:tc>
          <w:tcPr>
            <w:tcW w:w="563" w:type="pct"/>
            <w:vAlign w:val="center"/>
          </w:tcPr>
          <w:p>
            <w:pPr>
              <w:pStyle w:val="182"/>
              <w:rPr>
                <w:b/>
                <w:bCs/>
                <w:color w:val="auto"/>
                <w:u w:val="single"/>
              </w:rPr>
            </w:pPr>
            <w:r>
              <w:rPr>
                <w:rFonts w:hint="default"/>
                <w:b/>
                <w:bCs/>
                <w:color w:val="auto"/>
                <w:u w:val="single"/>
              </w:rPr>
              <w:t>灰渣</w:t>
            </w:r>
          </w:p>
        </w:tc>
        <w:tc>
          <w:tcPr>
            <w:tcW w:w="60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594"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496" w:type="pct"/>
            <w:vAlign w:val="center"/>
          </w:tcPr>
          <w:p>
            <w:pPr>
              <w:pStyle w:val="182"/>
              <w:rPr>
                <w:b/>
                <w:bCs/>
                <w:color w:val="auto"/>
                <w:u w:val="single"/>
              </w:rPr>
            </w:pPr>
            <w:r>
              <w:rPr>
                <w:rFonts w:hint="default"/>
                <w:b/>
                <w:bCs/>
                <w:color w:val="auto"/>
                <w:u w:val="single"/>
              </w:rPr>
              <w:t>一般固废</w:t>
            </w:r>
          </w:p>
        </w:tc>
        <w:tc>
          <w:tcPr>
            <w:tcW w:w="327" w:type="pct"/>
            <w:vAlign w:val="center"/>
          </w:tcPr>
          <w:p>
            <w:pPr>
              <w:pStyle w:val="182"/>
              <w:rPr>
                <w:rFonts w:hint="eastAsia"/>
                <w:b/>
                <w:bCs/>
                <w:color w:val="auto"/>
                <w:u w:val="single"/>
              </w:rPr>
            </w:pPr>
            <w:r>
              <w:rPr>
                <w:rFonts w:hint="eastAsia"/>
                <w:b/>
                <w:bCs/>
                <w:color w:val="auto"/>
                <w:u w:val="single"/>
                <w:lang w:val="en-US" w:eastAsia="zh-CN"/>
              </w:rPr>
              <w:t>固态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lang w:val="en-US" w:eastAsia="zh-CN"/>
              </w:rPr>
              <w:t>140052.7</w:t>
            </w:r>
          </w:p>
        </w:tc>
        <w:tc>
          <w:tcPr>
            <w:tcW w:w="595" w:type="pct"/>
            <w:vAlign w:val="center"/>
          </w:tcPr>
          <w:p>
            <w:pPr>
              <w:pStyle w:val="182"/>
              <w:rPr>
                <w:b/>
                <w:bCs/>
                <w:color w:val="auto"/>
                <w:u w:val="single"/>
              </w:rPr>
            </w:pPr>
            <w:r>
              <w:rPr>
                <w:rFonts w:hint="default"/>
                <w:b/>
                <w:bCs/>
                <w:color w:val="auto"/>
                <w:u w:val="single"/>
              </w:rPr>
              <w:t>锅炉</w:t>
            </w:r>
          </w:p>
        </w:tc>
        <w:tc>
          <w:tcPr>
            <w:tcW w:w="996" w:type="pct"/>
            <w:vAlign w:val="center"/>
          </w:tcPr>
          <w:p>
            <w:pPr>
              <w:pStyle w:val="182"/>
              <w:rPr>
                <w:b/>
                <w:bCs/>
                <w:color w:val="auto"/>
                <w:u w:val="single"/>
              </w:rPr>
            </w:pPr>
            <w:r>
              <w:rPr>
                <w:rFonts w:hint="default"/>
                <w:b/>
                <w:bCs/>
                <w:color w:val="auto"/>
                <w:u w:val="single"/>
              </w:rPr>
              <w:t>作为建材出售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7</w:t>
            </w:r>
          </w:p>
        </w:tc>
        <w:tc>
          <w:tcPr>
            <w:tcW w:w="563" w:type="pct"/>
            <w:vAlign w:val="center"/>
          </w:tcPr>
          <w:p>
            <w:pPr>
              <w:pStyle w:val="182"/>
              <w:rPr>
                <w:b/>
                <w:bCs/>
                <w:color w:val="auto"/>
                <w:u w:val="single"/>
              </w:rPr>
            </w:pPr>
            <w:r>
              <w:rPr>
                <w:rFonts w:hint="default"/>
                <w:b/>
                <w:bCs/>
                <w:color w:val="auto"/>
                <w:u w:val="single"/>
              </w:rPr>
              <w:t>废活性炭</w:t>
            </w:r>
          </w:p>
        </w:tc>
        <w:tc>
          <w:tcPr>
            <w:tcW w:w="604" w:type="pct"/>
            <w:vAlign w:val="center"/>
          </w:tcPr>
          <w:p>
            <w:pPr>
              <w:pStyle w:val="182"/>
              <w:rPr>
                <w:b/>
                <w:bCs/>
                <w:color w:val="auto"/>
                <w:u w:val="single"/>
              </w:rPr>
            </w:pPr>
            <w:r>
              <w:rPr>
                <w:b/>
                <w:bCs/>
                <w:color w:val="auto"/>
                <w:u w:val="single"/>
              </w:rPr>
              <w:t>HW49</w:t>
            </w:r>
          </w:p>
          <w:p>
            <w:pPr>
              <w:pStyle w:val="182"/>
              <w:rPr>
                <w:rFonts w:hint="eastAsia"/>
                <w:b/>
                <w:bCs/>
                <w:color w:val="auto"/>
                <w:u w:val="single"/>
              </w:rPr>
            </w:pPr>
            <w:r>
              <w:rPr>
                <w:b/>
                <w:bCs/>
                <w:color w:val="auto"/>
                <w:u w:val="single"/>
              </w:rPr>
              <w:t>其他废物</w:t>
            </w:r>
          </w:p>
        </w:tc>
        <w:tc>
          <w:tcPr>
            <w:tcW w:w="594" w:type="pct"/>
            <w:vAlign w:val="center"/>
          </w:tcPr>
          <w:p>
            <w:pPr>
              <w:pStyle w:val="182"/>
              <w:rPr>
                <w:rFonts w:hint="eastAsia"/>
                <w:b/>
                <w:bCs/>
                <w:color w:val="auto"/>
                <w:u w:val="single"/>
              </w:rPr>
            </w:pPr>
            <w:r>
              <w:rPr>
                <w:b/>
                <w:bCs/>
                <w:color w:val="auto"/>
                <w:u w:val="single"/>
              </w:rPr>
              <w:t>900-041-49</w:t>
            </w:r>
          </w:p>
        </w:tc>
        <w:tc>
          <w:tcPr>
            <w:tcW w:w="496" w:type="pct"/>
            <w:vAlign w:val="center"/>
          </w:tcPr>
          <w:p>
            <w:pPr>
              <w:pStyle w:val="182"/>
              <w:rPr>
                <w:b/>
                <w:bCs/>
                <w:color w:val="auto"/>
                <w:u w:val="single"/>
              </w:rPr>
            </w:pPr>
            <w:r>
              <w:rPr>
                <w:rFonts w:hint="default"/>
                <w:b/>
                <w:bCs/>
                <w:color w:val="auto"/>
                <w:u w:val="single"/>
              </w:rPr>
              <w:t>危险废物</w:t>
            </w:r>
          </w:p>
        </w:tc>
        <w:tc>
          <w:tcPr>
            <w:tcW w:w="327" w:type="pct"/>
            <w:vAlign w:val="center"/>
          </w:tcPr>
          <w:p>
            <w:pPr>
              <w:pStyle w:val="182"/>
              <w:rPr>
                <w:rFonts w:hint="eastAsia"/>
                <w:b/>
                <w:bCs/>
                <w:color w:val="auto"/>
                <w:u w:val="single"/>
                <w:lang w:val="en-US" w:eastAsia="zh-CN"/>
              </w:rPr>
            </w:pPr>
            <w:r>
              <w:rPr>
                <w:rFonts w:hint="eastAsia"/>
                <w:b/>
                <w:bCs/>
                <w:color w:val="auto"/>
                <w:u w:val="single"/>
                <w:lang w:val="en-US" w:eastAsia="zh-CN"/>
              </w:rPr>
              <w:t>固态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rPr>
              <w:t>60</w:t>
            </w:r>
          </w:p>
        </w:tc>
        <w:tc>
          <w:tcPr>
            <w:tcW w:w="595" w:type="pct"/>
            <w:vAlign w:val="center"/>
          </w:tcPr>
          <w:p>
            <w:pPr>
              <w:pStyle w:val="182"/>
              <w:rPr>
                <w:b/>
                <w:bCs/>
                <w:color w:val="auto"/>
                <w:u w:val="single"/>
              </w:rPr>
            </w:pPr>
            <w:r>
              <w:rPr>
                <w:rFonts w:hint="default"/>
                <w:b/>
                <w:bCs/>
                <w:color w:val="auto"/>
                <w:u w:val="single"/>
              </w:rPr>
              <w:t>废气处理</w:t>
            </w:r>
          </w:p>
        </w:tc>
        <w:tc>
          <w:tcPr>
            <w:tcW w:w="996" w:type="pct"/>
            <w:vAlign w:val="center"/>
          </w:tcPr>
          <w:p>
            <w:pPr>
              <w:pStyle w:val="182"/>
              <w:rPr>
                <w:rFonts w:hint="default" w:eastAsia="宋体"/>
                <w:b/>
                <w:bCs/>
                <w:color w:val="auto"/>
                <w:u w:val="single"/>
                <w:lang w:val="en-US" w:eastAsia="zh-CN"/>
              </w:rPr>
            </w:pPr>
            <w:r>
              <w:rPr>
                <w:rFonts w:hint="default"/>
                <w:b/>
                <w:bCs/>
                <w:color w:val="auto"/>
                <w:u w:val="single"/>
              </w:rPr>
              <w:t>危废暂存间贮存，定期交由</w:t>
            </w:r>
            <w:r>
              <w:rPr>
                <w:rFonts w:hint="eastAsia"/>
                <w:b/>
                <w:bCs/>
                <w:color w:val="auto"/>
                <w:u w:val="single"/>
                <w:lang w:val="en-US" w:eastAsia="zh-CN"/>
              </w:rPr>
              <w:t>安阳中丹环保科技有限公司</w:t>
            </w:r>
            <w:r>
              <w:rPr>
                <w:rFonts w:hint="default"/>
                <w:b/>
                <w:bCs/>
                <w:color w:val="auto"/>
                <w:u w:val="single"/>
              </w:rPr>
              <w:t>处置</w:t>
            </w:r>
            <w:r>
              <w:rPr>
                <w:rFonts w:hint="eastAsia"/>
                <w:b/>
                <w:bCs/>
                <w:color w:val="auto"/>
                <w:u w:val="single"/>
                <w:lang w:eastAsia="zh-CN"/>
              </w:rPr>
              <w:t>，</w:t>
            </w:r>
            <w:r>
              <w:rPr>
                <w:rFonts w:hint="eastAsia"/>
                <w:b/>
                <w:bCs/>
                <w:color w:val="auto"/>
                <w:u w:val="single"/>
                <w:lang w:val="en-US" w:eastAsia="zh-CN"/>
              </w:rPr>
              <w:t>协议详见附件11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8</w:t>
            </w:r>
          </w:p>
        </w:tc>
        <w:tc>
          <w:tcPr>
            <w:tcW w:w="563" w:type="pct"/>
            <w:vAlign w:val="center"/>
          </w:tcPr>
          <w:p>
            <w:pPr>
              <w:pStyle w:val="182"/>
              <w:rPr>
                <w:b/>
                <w:bCs/>
                <w:color w:val="auto"/>
                <w:u w:val="single"/>
              </w:rPr>
            </w:pPr>
            <w:r>
              <w:rPr>
                <w:rFonts w:hint="default"/>
                <w:b/>
                <w:bCs/>
                <w:color w:val="auto"/>
                <w:u w:val="single"/>
              </w:rPr>
              <w:t>蒸馏残渣</w:t>
            </w:r>
          </w:p>
        </w:tc>
        <w:tc>
          <w:tcPr>
            <w:tcW w:w="604" w:type="pct"/>
            <w:vAlign w:val="center"/>
          </w:tcPr>
          <w:p>
            <w:pPr>
              <w:pStyle w:val="182"/>
              <w:rPr>
                <w:b/>
                <w:bCs/>
                <w:color w:val="auto"/>
                <w:u w:val="single"/>
              </w:rPr>
            </w:pPr>
            <w:r>
              <w:rPr>
                <w:b/>
                <w:bCs/>
                <w:color w:val="auto"/>
                <w:u w:val="single"/>
              </w:rPr>
              <w:t>HW11精</w:t>
            </w:r>
          </w:p>
          <w:p>
            <w:pPr>
              <w:pStyle w:val="182"/>
              <w:rPr>
                <w:rFonts w:hint="eastAsia"/>
                <w:b/>
                <w:bCs/>
                <w:color w:val="auto"/>
                <w:u w:val="single"/>
              </w:rPr>
            </w:pPr>
            <w:r>
              <w:rPr>
                <w:b/>
                <w:bCs/>
                <w:color w:val="auto"/>
                <w:u w:val="single"/>
              </w:rPr>
              <w:t>（蒸）馏残渣</w:t>
            </w:r>
          </w:p>
        </w:tc>
        <w:tc>
          <w:tcPr>
            <w:tcW w:w="594" w:type="pct"/>
            <w:vAlign w:val="center"/>
          </w:tcPr>
          <w:p>
            <w:pPr>
              <w:pStyle w:val="182"/>
              <w:rPr>
                <w:rFonts w:hint="eastAsia"/>
                <w:b/>
                <w:bCs/>
                <w:color w:val="auto"/>
                <w:u w:val="single"/>
              </w:rPr>
            </w:pPr>
            <w:r>
              <w:rPr>
                <w:b/>
                <w:bCs/>
                <w:color w:val="auto"/>
                <w:u w:val="single"/>
              </w:rPr>
              <w:t>900-</w:t>
            </w:r>
            <w:r>
              <w:rPr>
                <w:rFonts w:hint="eastAsia"/>
                <w:b/>
                <w:bCs/>
                <w:color w:val="auto"/>
                <w:u w:val="single"/>
                <w:lang w:val="en-US" w:eastAsia="zh-CN"/>
              </w:rPr>
              <w:t>404</w:t>
            </w:r>
            <w:r>
              <w:rPr>
                <w:b/>
                <w:bCs/>
                <w:color w:val="auto"/>
                <w:u w:val="single"/>
              </w:rPr>
              <w:t>-</w:t>
            </w:r>
            <w:r>
              <w:rPr>
                <w:rFonts w:hint="eastAsia"/>
                <w:b/>
                <w:bCs/>
                <w:color w:val="auto"/>
                <w:u w:val="single"/>
                <w:lang w:val="en-US" w:eastAsia="zh-CN"/>
              </w:rPr>
              <w:t>06</w:t>
            </w:r>
          </w:p>
        </w:tc>
        <w:tc>
          <w:tcPr>
            <w:tcW w:w="496" w:type="pct"/>
            <w:vAlign w:val="center"/>
          </w:tcPr>
          <w:p>
            <w:pPr>
              <w:pStyle w:val="182"/>
              <w:rPr>
                <w:b/>
                <w:bCs/>
                <w:color w:val="auto"/>
                <w:u w:val="single"/>
              </w:rPr>
            </w:pPr>
            <w:r>
              <w:rPr>
                <w:rFonts w:hint="default"/>
                <w:b/>
                <w:bCs/>
                <w:color w:val="auto"/>
                <w:u w:val="single"/>
              </w:rPr>
              <w:t>危险固废</w:t>
            </w:r>
          </w:p>
        </w:tc>
        <w:tc>
          <w:tcPr>
            <w:tcW w:w="327" w:type="pct"/>
            <w:vAlign w:val="center"/>
          </w:tcPr>
          <w:p>
            <w:pPr>
              <w:pStyle w:val="182"/>
              <w:rPr>
                <w:rFonts w:hint="eastAsia"/>
                <w:b/>
                <w:bCs/>
                <w:color w:val="auto"/>
                <w:u w:val="single"/>
                <w:lang w:val="en-US" w:eastAsia="zh-CN"/>
              </w:rPr>
            </w:pPr>
            <w:r>
              <w:rPr>
                <w:rFonts w:hint="eastAsia"/>
                <w:b/>
                <w:bCs/>
                <w:color w:val="auto"/>
                <w:u w:val="single"/>
                <w:lang w:val="en-US" w:eastAsia="zh-CN"/>
              </w:rPr>
              <w:t>液态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rPr>
              <w:t>3221.852</w:t>
            </w:r>
          </w:p>
        </w:tc>
        <w:tc>
          <w:tcPr>
            <w:tcW w:w="595" w:type="pct"/>
            <w:vAlign w:val="center"/>
          </w:tcPr>
          <w:p>
            <w:pPr>
              <w:pStyle w:val="182"/>
              <w:rPr>
                <w:b/>
                <w:bCs/>
                <w:color w:val="auto"/>
                <w:u w:val="single"/>
              </w:rPr>
            </w:pPr>
            <w:r>
              <w:rPr>
                <w:rFonts w:hint="default"/>
                <w:b/>
                <w:bCs/>
                <w:color w:val="auto"/>
                <w:u w:val="single"/>
              </w:rPr>
              <w:t>精制系统DMAC回收装置</w:t>
            </w:r>
          </w:p>
        </w:tc>
        <w:tc>
          <w:tcPr>
            <w:tcW w:w="996" w:type="pct"/>
            <w:vAlign w:val="center"/>
          </w:tcPr>
          <w:p>
            <w:pPr>
              <w:pStyle w:val="182"/>
              <w:rPr>
                <w:b/>
                <w:bCs/>
                <w:color w:val="auto"/>
                <w:u w:val="single"/>
              </w:rPr>
            </w:pPr>
            <w:r>
              <w:rPr>
                <w:rFonts w:hint="default"/>
                <w:b/>
                <w:bCs/>
                <w:color w:val="auto"/>
                <w:u w:val="single"/>
              </w:rPr>
              <w:t>交由</w:t>
            </w:r>
            <w:r>
              <w:rPr>
                <w:rFonts w:hint="eastAsia"/>
                <w:b/>
                <w:bCs/>
                <w:color w:val="auto"/>
                <w:u w:val="single"/>
                <w:lang w:val="en-US" w:eastAsia="zh-CN"/>
              </w:rPr>
              <w:t>安阳中丹环保科技有限公司</w:t>
            </w:r>
            <w:r>
              <w:rPr>
                <w:rFonts w:hint="default"/>
                <w:b/>
                <w:bCs/>
                <w:color w:val="auto"/>
                <w:u w:val="single"/>
              </w:rPr>
              <w:t>处置</w:t>
            </w:r>
            <w:r>
              <w:rPr>
                <w:rFonts w:hint="eastAsia"/>
                <w:b/>
                <w:bCs/>
                <w:color w:val="auto"/>
                <w:u w:val="single"/>
                <w:lang w:eastAsia="zh-CN"/>
              </w:rPr>
              <w:t>，</w:t>
            </w:r>
            <w:r>
              <w:rPr>
                <w:rFonts w:hint="eastAsia"/>
                <w:b/>
                <w:bCs/>
                <w:color w:val="auto"/>
                <w:u w:val="single"/>
                <w:lang w:val="en-US" w:eastAsia="zh-CN"/>
              </w:rPr>
              <w:t>协议详见附件11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9</w:t>
            </w:r>
          </w:p>
        </w:tc>
        <w:tc>
          <w:tcPr>
            <w:tcW w:w="563" w:type="pct"/>
            <w:vAlign w:val="center"/>
          </w:tcPr>
          <w:p>
            <w:pPr>
              <w:pStyle w:val="182"/>
              <w:rPr>
                <w:b/>
                <w:bCs/>
                <w:color w:val="auto"/>
                <w:u w:val="single"/>
              </w:rPr>
            </w:pPr>
            <w:r>
              <w:rPr>
                <w:rFonts w:hint="default"/>
                <w:b/>
                <w:bCs/>
                <w:color w:val="auto"/>
                <w:u w:val="single"/>
              </w:rPr>
              <w:t>脱硝废催化剂</w:t>
            </w:r>
          </w:p>
        </w:tc>
        <w:tc>
          <w:tcPr>
            <w:tcW w:w="604" w:type="pct"/>
            <w:vAlign w:val="center"/>
          </w:tcPr>
          <w:p>
            <w:pPr>
              <w:pStyle w:val="182"/>
              <w:rPr>
                <w:b/>
                <w:bCs/>
                <w:color w:val="auto"/>
                <w:u w:val="single"/>
              </w:rPr>
            </w:pPr>
            <w:r>
              <w:rPr>
                <w:b/>
                <w:bCs/>
                <w:color w:val="auto"/>
                <w:u w:val="single"/>
              </w:rPr>
              <w:t>HW50</w:t>
            </w:r>
          </w:p>
          <w:p>
            <w:pPr>
              <w:pStyle w:val="182"/>
              <w:rPr>
                <w:rFonts w:hint="eastAsia"/>
                <w:b/>
                <w:bCs/>
                <w:color w:val="auto"/>
                <w:u w:val="single"/>
              </w:rPr>
            </w:pPr>
            <w:r>
              <w:rPr>
                <w:b/>
                <w:bCs/>
                <w:color w:val="auto"/>
                <w:u w:val="single"/>
              </w:rPr>
              <w:t>废催化剂</w:t>
            </w:r>
          </w:p>
        </w:tc>
        <w:tc>
          <w:tcPr>
            <w:tcW w:w="594" w:type="pct"/>
            <w:vAlign w:val="center"/>
          </w:tcPr>
          <w:p>
            <w:pPr>
              <w:pStyle w:val="182"/>
              <w:rPr>
                <w:rFonts w:hint="eastAsia"/>
                <w:b/>
                <w:bCs/>
                <w:color w:val="auto"/>
                <w:u w:val="single"/>
              </w:rPr>
            </w:pPr>
            <w:r>
              <w:rPr>
                <w:b/>
                <w:bCs/>
                <w:color w:val="auto"/>
                <w:u w:val="single"/>
              </w:rPr>
              <w:t>772-007-50</w:t>
            </w:r>
          </w:p>
        </w:tc>
        <w:tc>
          <w:tcPr>
            <w:tcW w:w="496" w:type="pct"/>
            <w:vAlign w:val="center"/>
          </w:tcPr>
          <w:p>
            <w:pPr>
              <w:pStyle w:val="182"/>
              <w:rPr>
                <w:b/>
                <w:bCs/>
                <w:color w:val="auto"/>
                <w:u w:val="single"/>
              </w:rPr>
            </w:pPr>
            <w:r>
              <w:rPr>
                <w:rFonts w:hint="default"/>
                <w:b/>
                <w:bCs/>
                <w:color w:val="auto"/>
                <w:u w:val="single"/>
              </w:rPr>
              <w:t>危险废物</w:t>
            </w:r>
          </w:p>
        </w:tc>
        <w:tc>
          <w:tcPr>
            <w:tcW w:w="327" w:type="pct"/>
            <w:vAlign w:val="center"/>
          </w:tcPr>
          <w:p>
            <w:pPr>
              <w:pStyle w:val="182"/>
              <w:rPr>
                <w:rFonts w:hint="eastAsia"/>
                <w:b/>
                <w:bCs/>
                <w:color w:val="auto"/>
                <w:u w:val="single"/>
              </w:rPr>
            </w:pPr>
            <w:r>
              <w:rPr>
                <w:rFonts w:hint="eastAsia"/>
                <w:b/>
                <w:bCs/>
                <w:color w:val="auto"/>
                <w:u w:val="single"/>
                <w:lang w:val="en-US" w:eastAsia="zh-CN"/>
              </w:rPr>
              <w:t>固态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rPr>
              <w:t>20.16</w:t>
            </w:r>
          </w:p>
        </w:tc>
        <w:tc>
          <w:tcPr>
            <w:tcW w:w="595" w:type="pct"/>
            <w:vAlign w:val="center"/>
          </w:tcPr>
          <w:p>
            <w:pPr>
              <w:pStyle w:val="182"/>
              <w:rPr>
                <w:b/>
                <w:bCs/>
                <w:color w:val="auto"/>
                <w:u w:val="single"/>
              </w:rPr>
            </w:pPr>
            <w:r>
              <w:rPr>
                <w:rFonts w:hint="default"/>
                <w:b/>
                <w:bCs/>
                <w:color w:val="auto"/>
                <w:u w:val="single"/>
              </w:rPr>
              <w:t>锅炉废气治理设施</w:t>
            </w:r>
          </w:p>
        </w:tc>
        <w:tc>
          <w:tcPr>
            <w:tcW w:w="996" w:type="pct"/>
            <w:vAlign w:val="center"/>
          </w:tcPr>
          <w:p>
            <w:pPr>
              <w:pStyle w:val="182"/>
              <w:rPr>
                <w:rFonts w:hint="default" w:eastAsia="宋体"/>
                <w:b/>
                <w:bCs/>
                <w:color w:val="auto"/>
                <w:u w:val="single"/>
                <w:lang w:val="en-US" w:eastAsia="zh-CN"/>
              </w:rPr>
            </w:pPr>
            <w:r>
              <w:rPr>
                <w:rFonts w:hint="default"/>
                <w:b/>
                <w:bCs/>
                <w:color w:val="auto"/>
                <w:u w:val="single"/>
              </w:rPr>
              <w:t>危废暂存间贮存，定期交由</w:t>
            </w:r>
            <w:r>
              <w:rPr>
                <w:rFonts w:hint="eastAsia"/>
                <w:b/>
                <w:bCs/>
                <w:color w:val="auto"/>
                <w:u w:val="single"/>
                <w:lang w:val="en-US" w:eastAsia="zh-CN"/>
              </w:rPr>
              <w:t>河南省格林沃特环保科技有限公司处理处置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vAlign w:val="center"/>
          </w:tcPr>
          <w:p>
            <w:pPr>
              <w:pStyle w:val="182"/>
              <w:rPr>
                <w:b/>
                <w:bCs/>
                <w:color w:val="auto"/>
                <w:u w:val="single"/>
              </w:rPr>
            </w:pPr>
            <w:r>
              <w:rPr>
                <w:rFonts w:hint="default"/>
                <w:b/>
                <w:bCs/>
                <w:color w:val="auto"/>
                <w:u w:val="single"/>
              </w:rPr>
              <w:t>10</w:t>
            </w:r>
          </w:p>
        </w:tc>
        <w:tc>
          <w:tcPr>
            <w:tcW w:w="563" w:type="pct"/>
            <w:vAlign w:val="center"/>
          </w:tcPr>
          <w:p>
            <w:pPr>
              <w:pStyle w:val="182"/>
              <w:rPr>
                <w:b/>
                <w:bCs/>
                <w:color w:val="auto"/>
                <w:u w:val="single"/>
              </w:rPr>
            </w:pPr>
            <w:r>
              <w:rPr>
                <w:rFonts w:hint="default"/>
                <w:b/>
                <w:bCs/>
                <w:color w:val="auto"/>
                <w:u w:val="single"/>
              </w:rPr>
              <w:t>废包装桶</w:t>
            </w:r>
          </w:p>
        </w:tc>
        <w:tc>
          <w:tcPr>
            <w:tcW w:w="604" w:type="pct"/>
            <w:vAlign w:val="center"/>
          </w:tcPr>
          <w:p>
            <w:pPr>
              <w:pStyle w:val="182"/>
              <w:rPr>
                <w:rFonts w:hint="default"/>
                <w:b/>
                <w:bCs/>
                <w:color w:val="auto"/>
                <w:u w:val="single"/>
                <w:lang w:val="en-US" w:eastAsia="zh-CN"/>
              </w:rPr>
            </w:pPr>
            <w:r>
              <w:rPr>
                <w:rFonts w:hint="eastAsia"/>
                <w:b/>
                <w:bCs/>
                <w:color w:val="auto"/>
                <w:u w:val="single"/>
                <w:lang w:val="en-US" w:eastAsia="zh-CN"/>
              </w:rPr>
              <w:t>HW49</w:t>
            </w:r>
          </w:p>
        </w:tc>
        <w:tc>
          <w:tcPr>
            <w:tcW w:w="594" w:type="pct"/>
            <w:vAlign w:val="center"/>
          </w:tcPr>
          <w:p>
            <w:pPr>
              <w:pStyle w:val="182"/>
              <w:rPr>
                <w:rFonts w:hint="eastAsia"/>
                <w:b/>
                <w:bCs/>
                <w:color w:val="auto"/>
                <w:u w:val="single"/>
              </w:rPr>
            </w:pPr>
            <w:r>
              <w:rPr>
                <w:rFonts w:hint="default"/>
                <w:b/>
                <w:bCs/>
                <w:color w:val="auto"/>
                <w:u w:val="single"/>
              </w:rPr>
              <w:t>900-041-49</w:t>
            </w:r>
          </w:p>
        </w:tc>
        <w:tc>
          <w:tcPr>
            <w:tcW w:w="496" w:type="pct"/>
            <w:vAlign w:val="center"/>
          </w:tcPr>
          <w:p>
            <w:pPr>
              <w:pStyle w:val="182"/>
              <w:rPr>
                <w:b/>
                <w:bCs/>
                <w:color w:val="auto"/>
                <w:u w:val="single"/>
              </w:rPr>
            </w:pPr>
            <w:r>
              <w:rPr>
                <w:rFonts w:hint="default"/>
                <w:b/>
                <w:bCs/>
                <w:color w:val="auto"/>
                <w:u w:val="single"/>
              </w:rPr>
              <w:t>危险废物</w:t>
            </w:r>
          </w:p>
        </w:tc>
        <w:tc>
          <w:tcPr>
            <w:tcW w:w="327" w:type="pct"/>
            <w:vAlign w:val="center"/>
          </w:tcPr>
          <w:p>
            <w:pPr>
              <w:pStyle w:val="182"/>
              <w:rPr>
                <w:rFonts w:hint="eastAsia"/>
                <w:b/>
                <w:bCs/>
                <w:color w:val="auto"/>
                <w:u w:val="single"/>
              </w:rPr>
            </w:pPr>
            <w:r>
              <w:rPr>
                <w:rFonts w:hint="eastAsia"/>
                <w:b/>
                <w:bCs/>
                <w:color w:val="auto"/>
                <w:u w:val="single"/>
                <w:lang w:val="en-US" w:eastAsia="zh-CN"/>
              </w:rPr>
              <w:t>固态</w:t>
            </w:r>
          </w:p>
        </w:tc>
        <w:tc>
          <w:tcPr>
            <w:tcW w:w="560" w:type="pct"/>
            <w:vAlign w:val="center"/>
          </w:tcPr>
          <w:p>
            <w:pPr>
              <w:pStyle w:val="182"/>
              <w:ind w:firstLine="0" w:firstLineChars="0"/>
              <w:rPr>
                <w:rFonts w:hint="eastAsia"/>
                <w:b/>
                <w:bCs/>
                <w:color w:val="auto"/>
                <w:u w:val="single"/>
                <w:lang w:val="en-US" w:eastAsia="zh-CN"/>
              </w:rPr>
            </w:pPr>
            <w:r>
              <w:rPr>
                <w:rFonts w:hint="default"/>
                <w:b/>
                <w:bCs/>
                <w:color w:val="auto"/>
                <w:u w:val="single"/>
              </w:rPr>
              <w:t>153.2</w:t>
            </w:r>
          </w:p>
        </w:tc>
        <w:tc>
          <w:tcPr>
            <w:tcW w:w="595" w:type="pct"/>
            <w:vAlign w:val="center"/>
          </w:tcPr>
          <w:p>
            <w:pPr>
              <w:pStyle w:val="182"/>
              <w:rPr>
                <w:b/>
                <w:bCs/>
                <w:color w:val="auto"/>
                <w:u w:val="single"/>
              </w:rPr>
            </w:pPr>
            <w:r>
              <w:rPr>
                <w:rFonts w:hint="default"/>
                <w:b/>
                <w:bCs/>
                <w:color w:val="auto"/>
                <w:u w:val="single"/>
              </w:rPr>
              <w:t>原料包装</w:t>
            </w:r>
          </w:p>
        </w:tc>
        <w:tc>
          <w:tcPr>
            <w:tcW w:w="996" w:type="pct"/>
            <w:vAlign w:val="center"/>
          </w:tcPr>
          <w:p>
            <w:pPr>
              <w:pStyle w:val="182"/>
              <w:rPr>
                <w:b/>
                <w:bCs/>
                <w:color w:val="auto"/>
                <w:u w:val="single"/>
              </w:rPr>
            </w:pPr>
            <w:r>
              <w:rPr>
                <w:rFonts w:hint="default"/>
                <w:b/>
                <w:bCs/>
                <w:color w:val="auto"/>
                <w:u w:val="single"/>
              </w:rPr>
              <w:t>危废暂存间贮存，送原厂家回收或定期交由</w:t>
            </w:r>
            <w:r>
              <w:rPr>
                <w:rFonts w:hint="eastAsia"/>
                <w:b/>
                <w:bCs/>
                <w:color w:val="auto"/>
                <w:u w:val="single"/>
                <w:lang w:val="en-US" w:eastAsia="zh-CN"/>
              </w:rPr>
              <w:t>安阳中丹环保科技有限公司</w:t>
            </w:r>
            <w:r>
              <w:rPr>
                <w:rFonts w:hint="default"/>
                <w:b/>
                <w:bCs/>
                <w:color w:val="auto"/>
                <w:u w:val="single"/>
              </w:rPr>
              <w:t>处置</w:t>
            </w:r>
            <w:r>
              <w:rPr>
                <w:rFonts w:hint="eastAsia"/>
                <w:b/>
                <w:bCs/>
                <w:color w:val="auto"/>
                <w:u w:val="single"/>
                <w:lang w:eastAsia="zh-CN"/>
              </w:rPr>
              <w:t>，</w:t>
            </w:r>
            <w:r>
              <w:rPr>
                <w:rFonts w:hint="eastAsia"/>
                <w:b/>
                <w:bCs/>
                <w:color w:val="auto"/>
                <w:u w:val="single"/>
                <w:lang w:val="en-US" w:eastAsia="zh-CN"/>
              </w:rPr>
              <w:t>协议详见附件11</w:t>
            </w:r>
          </w:p>
        </w:tc>
      </w:tr>
    </w:tbl>
    <w:p>
      <w:pPr>
        <w:pStyle w:val="182"/>
        <w:rPr>
          <w:rFonts w:hint="eastAsia"/>
          <w:b/>
          <w:bCs/>
          <w:color w:val="auto"/>
          <w:u w:val="single"/>
        </w:rPr>
      </w:pPr>
    </w:p>
    <w:p>
      <w:pPr>
        <w:pStyle w:val="182"/>
        <w:rPr>
          <w:rFonts w:hint="eastAsia"/>
          <w:color w:val="auto"/>
        </w:rPr>
      </w:pPr>
    </w:p>
    <w:p>
      <w:pPr>
        <w:pStyle w:val="182"/>
        <w:rPr>
          <w:rFonts w:hint="eastAsia"/>
          <w:color w:val="auto"/>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7"/>
        <w:bidi w:val="0"/>
        <w:rPr>
          <w:rFonts w:hint="eastAsia"/>
          <w:lang w:eastAsia="zh-CN"/>
        </w:rPr>
      </w:pPr>
      <w:bookmarkStart w:id="186" w:name="_Toc106552517"/>
      <w:bookmarkStart w:id="187" w:name="_Toc13740"/>
      <w:r>
        <w:rPr>
          <w:rFonts w:hint="eastAsia"/>
          <w:lang w:eastAsia="zh-CN"/>
        </w:rPr>
        <w:t>3.</w:t>
      </w:r>
      <w:r>
        <w:rPr>
          <w:lang w:eastAsia="zh-CN"/>
        </w:rPr>
        <w:t>5</w:t>
      </w:r>
      <w:r>
        <w:rPr>
          <w:rFonts w:hint="eastAsia"/>
          <w:lang w:eastAsia="zh-CN"/>
        </w:rPr>
        <w:t>已建工程及在建工程污染物排放量汇总</w:t>
      </w:r>
      <w:bookmarkEnd w:id="186"/>
      <w:bookmarkEnd w:id="187"/>
    </w:p>
    <w:p>
      <w:pPr>
        <w:bidi w:val="0"/>
        <w:rPr>
          <w:b/>
          <w:bCs/>
          <w:u w:val="single"/>
        </w:rPr>
      </w:pPr>
      <w:r>
        <w:rPr>
          <w:b/>
          <w:bCs/>
          <w:u w:val="single"/>
        </w:rPr>
        <w:t>企业已建工程和在建工程污染物产排情况汇总见下表</w:t>
      </w:r>
      <w:r>
        <w:rPr>
          <w:rFonts w:hint="eastAsia"/>
          <w:b/>
          <w:bCs/>
          <w:u w:val="single"/>
        </w:rPr>
        <w:t>。</w:t>
      </w:r>
    </w:p>
    <w:p>
      <w:pPr>
        <w:pStyle w:val="181"/>
        <w:bidi w:val="0"/>
        <w:rPr>
          <w:b/>
          <w:bCs/>
          <w:u w:val="single"/>
        </w:rPr>
      </w:pPr>
      <w:r>
        <w:rPr>
          <w:rFonts w:hint="eastAsia"/>
          <w:b/>
          <w:bCs/>
          <w:u w:val="single"/>
        </w:rPr>
        <w:t>表3</w:t>
      </w:r>
      <w:r>
        <w:rPr>
          <w:rFonts w:hint="eastAsia"/>
          <w:b/>
          <w:bCs/>
          <w:u w:val="single"/>
          <w:lang w:val="en-US" w:eastAsia="zh-CN"/>
        </w:rPr>
        <w:t>.5</w:t>
      </w:r>
      <w:r>
        <w:rPr>
          <w:rFonts w:hint="eastAsia"/>
          <w:b/>
          <w:bCs/>
          <w:u w:val="single"/>
        </w:rPr>
        <w:t>-</w:t>
      </w:r>
      <w:r>
        <w:rPr>
          <w:rFonts w:hint="eastAsia"/>
          <w:b/>
          <w:bCs/>
          <w:u w:val="single"/>
          <w:lang w:val="en-US" w:eastAsia="zh-CN"/>
        </w:rPr>
        <w:t>1</w:t>
      </w:r>
      <w:r>
        <w:rPr>
          <w:rFonts w:hint="eastAsia"/>
          <w:b/>
          <w:bCs/>
          <w:u w:val="single"/>
        </w:rPr>
        <w:t xml:space="preserve">  现有工程（已建+在建）工程污染物产排情况汇总表</w:t>
      </w:r>
    </w:p>
    <w:tbl>
      <w:tblPr>
        <w:tblStyle w:val="32"/>
        <w:tblW w:w="5153"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1060"/>
        <w:gridCol w:w="1569"/>
        <w:gridCol w:w="1688"/>
        <w:gridCol w:w="1569"/>
        <w:gridCol w:w="1946"/>
        <w:gridCol w:w="144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868" w:hRule="atLeast"/>
          <w:jc w:val="center"/>
        </w:trPr>
        <w:tc>
          <w:tcPr>
            <w:tcW w:w="2325" w:type="pct"/>
            <w:gridSpan w:val="3"/>
            <w:tcBorders>
              <w:tl2br w:val="nil"/>
              <w:tr2bl w:val="nil"/>
            </w:tcBorders>
            <w:shd w:val="clear" w:color="auto" w:fill="auto"/>
            <w:vAlign w:val="center"/>
          </w:tcPr>
          <w:p>
            <w:pPr>
              <w:pStyle w:val="182"/>
              <w:bidi w:val="0"/>
              <w:rPr>
                <w:b/>
                <w:bCs/>
                <w:u w:val="single"/>
              </w:rPr>
            </w:pPr>
            <w:r>
              <w:rPr>
                <w:rFonts w:hint="eastAsia"/>
                <w:b/>
                <w:bCs/>
                <w:u w:val="single"/>
                <w:lang w:val="en-US" w:eastAsia="zh-CN"/>
              </w:rPr>
              <w:t>污染物</w:t>
            </w:r>
          </w:p>
        </w:tc>
        <w:tc>
          <w:tcPr>
            <w:tcW w:w="845" w:type="pct"/>
            <w:tcBorders>
              <w:tl2br w:val="nil"/>
              <w:tr2bl w:val="nil"/>
            </w:tcBorders>
            <w:shd w:val="clear" w:color="auto" w:fill="auto"/>
            <w:vAlign w:val="center"/>
          </w:tcPr>
          <w:p>
            <w:pPr>
              <w:pStyle w:val="182"/>
              <w:bidi w:val="0"/>
              <w:rPr>
                <w:rFonts w:hint="eastAsia"/>
                <w:b/>
                <w:bCs/>
                <w:u w:val="single"/>
                <w:lang w:val="en-US" w:eastAsia="zh-CN"/>
              </w:rPr>
            </w:pPr>
            <w:r>
              <w:rPr>
                <w:rFonts w:hint="eastAsia"/>
                <w:b/>
                <w:bCs/>
                <w:u w:val="single"/>
                <w:lang w:val="en-US" w:eastAsia="zh-CN"/>
              </w:rPr>
              <w:t>单位</w:t>
            </w:r>
          </w:p>
        </w:tc>
        <w:tc>
          <w:tcPr>
            <w:tcW w:w="104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已建工程</w:t>
            </w:r>
          </w:p>
        </w:tc>
        <w:tc>
          <w:tcPr>
            <w:tcW w:w="780"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在建工程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废水</w:t>
            </w:r>
          </w:p>
        </w:tc>
        <w:tc>
          <w:tcPr>
            <w:tcW w:w="845" w:type="pct"/>
            <w:vMerge w:val="restart"/>
            <w:tcBorders>
              <w:tl2br w:val="nil"/>
              <w:tr2bl w:val="nil"/>
            </w:tcBorders>
            <w:shd w:val="clear" w:color="auto" w:fill="auto"/>
            <w:vAlign w:val="center"/>
          </w:tcPr>
          <w:p>
            <w:pPr>
              <w:pStyle w:val="182"/>
              <w:bidi w:val="0"/>
              <w:rPr>
                <w:rFonts w:hint="eastAsia"/>
                <w:b/>
                <w:bCs/>
                <w:u w:val="single"/>
                <w:lang w:val="en-US" w:eastAsia="zh-CN"/>
              </w:rPr>
            </w:pPr>
            <w:r>
              <w:rPr>
                <w:rFonts w:hint="eastAsia"/>
                <w:b/>
                <w:bCs/>
                <w:u w:val="single"/>
                <w:lang w:val="en-US" w:eastAsia="zh-CN"/>
              </w:rPr>
              <w:t>生产废水</w:t>
            </w:r>
          </w:p>
        </w:tc>
        <w:tc>
          <w:tcPr>
            <w:tcW w:w="909"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COD</w:t>
            </w:r>
          </w:p>
        </w:tc>
        <w:tc>
          <w:tcPr>
            <w:tcW w:w="845" w:type="pct"/>
            <w:tcBorders>
              <w:tl2br w:val="nil"/>
              <w:tr2bl w:val="nil"/>
            </w:tcBorders>
            <w:shd w:val="clear" w:color="auto" w:fill="auto"/>
            <w:vAlign w:val="center"/>
          </w:tcPr>
          <w:p>
            <w:pPr>
              <w:pStyle w:val="182"/>
              <w:bidi w:val="0"/>
              <w:rPr>
                <w:rFonts w:hint="eastAsia"/>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798.4136</w:t>
            </w:r>
          </w:p>
        </w:tc>
        <w:tc>
          <w:tcPr>
            <w:tcW w:w="780"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413.0139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909"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NH</w:t>
            </w:r>
            <w:r>
              <w:rPr>
                <w:rFonts w:hint="eastAsia"/>
                <w:b/>
                <w:bCs/>
                <w:u w:val="single"/>
                <w:vertAlign w:val="subscript"/>
                <w:lang w:val="en-US" w:eastAsia="zh-CN"/>
              </w:rPr>
              <w:t>3</w:t>
            </w:r>
            <w:r>
              <w:rPr>
                <w:rFonts w:hint="eastAsia"/>
                <w:b/>
                <w:bCs/>
                <w:u w:val="single"/>
                <w:lang w:val="en-US" w:eastAsia="zh-CN"/>
              </w:rPr>
              <w:t>-N</w:t>
            </w:r>
          </w:p>
        </w:tc>
        <w:tc>
          <w:tcPr>
            <w:tcW w:w="845" w:type="pct"/>
            <w:tcBorders>
              <w:tl2br w:val="nil"/>
              <w:tr2bl w:val="nil"/>
            </w:tcBorders>
            <w:shd w:val="clear" w:color="auto" w:fill="auto"/>
            <w:vAlign w:val="center"/>
          </w:tcPr>
          <w:p>
            <w:pPr>
              <w:pStyle w:val="182"/>
              <w:bidi w:val="0"/>
              <w:rPr>
                <w:rFonts w:hint="eastAsia"/>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33.5311</w:t>
            </w:r>
          </w:p>
        </w:tc>
        <w:tc>
          <w:tcPr>
            <w:tcW w:w="780"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17.5492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909"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TN</w:t>
            </w:r>
          </w:p>
        </w:tc>
        <w:tc>
          <w:tcPr>
            <w:tcW w:w="845" w:type="pct"/>
            <w:tcBorders>
              <w:tl2br w:val="nil"/>
              <w:tr2bl w:val="nil"/>
            </w:tcBorders>
            <w:shd w:val="clear" w:color="auto" w:fill="auto"/>
            <w:vAlign w:val="center"/>
          </w:tcPr>
          <w:p>
            <w:pPr>
              <w:pStyle w:val="182"/>
              <w:bidi w:val="0"/>
              <w:rPr>
                <w:rFonts w:hint="eastAsia"/>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122.4675</w:t>
            </w:r>
          </w:p>
        </w:tc>
        <w:tc>
          <w:tcPr>
            <w:tcW w:w="780"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58.1741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909"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TP</w:t>
            </w:r>
          </w:p>
        </w:tc>
        <w:tc>
          <w:tcPr>
            <w:tcW w:w="845" w:type="pct"/>
            <w:tcBorders>
              <w:tl2br w:val="nil"/>
              <w:tr2bl w:val="nil"/>
            </w:tcBorders>
            <w:shd w:val="clear" w:color="auto" w:fill="auto"/>
            <w:vAlign w:val="center"/>
          </w:tcPr>
          <w:p>
            <w:pPr>
              <w:pStyle w:val="182"/>
              <w:bidi w:val="0"/>
              <w:rPr>
                <w:rFonts w:hint="eastAsia"/>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1.9428</w:t>
            </w:r>
          </w:p>
        </w:tc>
        <w:tc>
          <w:tcPr>
            <w:tcW w:w="780"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0.4598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909"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锌</w:t>
            </w:r>
          </w:p>
        </w:tc>
        <w:tc>
          <w:tcPr>
            <w:tcW w:w="845" w:type="pct"/>
            <w:tcBorders>
              <w:tl2br w:val="nil"/>
              <w:tr2bl w:val="nil"/>
            </w:tcBorders>
            <w:shd w:val="clear" w:color="auto" w:fill="auto"/>
            <w:vAlign w:val="center"/>
          </w:tcPr>
          <w:p>
            <w:pPr>
              <w:pStyle w:val="182"/>
              <w:bidi w:val="0"/>
              <w:rPr>
                <w:rFonts w:hint="eastAsia"/>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0.2446</w:t>
            </w:r>
          </w:p>
        </w:tc>
        <w:tc>
          <w:tcPr>
            <w:tcW w:w="78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9.97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909"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硫化物</w:t>
            </w:r>
          </w:p>
        </w:tc>
        <w:tc>
          <w:tcPr>
            <w:tcW w:w="845" w:type="pct"/>
            <w:tcBorders>
              <w:tl2br w:val="nil"/>
              <w:tr2bl w:val="nil"/>
            </w:tcBorders>
            <w:shd w:val="clear" w:color="auto" w:fill="auto"/>
            <w:vAlign w:val="center"/>
          </w:tcPr>
          <w:p>
            <w:pPr>
              <w:pStyle w:val="182"/>
              <w:bidi w:val="0"/>
              <w:rPr>
                <w:rFonts w:hint="eastAsia"/>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0.0720</w:t>
            </w:r>
          </w:p>
        </w:tc>
        <w:tc>
          <w:tcPr>
            <w:tcW w:w="78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2.1493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909"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水量（万t/a）</w:t>
            </w:r>
          </w:p>
        </w:tc>
        <w:tc>
          <w:tcPr>
            <w:tcW w:w="845" w:type="pct"/>
            <w:tcBorders>
              <w:tl2br w:val="nil"/>
              <w:tr2bl w:val="nil"/>
            </w:tcBorders>
            <w:shd w:val="clear" w:color="auto" w:fill="auto"/>
            <w:vAlign w:val="center"/>
          </w:tcPr>
          <w:p>
            <w:pPr>
              <w:pStyle w:val="182"/>
              <w:bidi w:val="0"/>
              <w:rPr>
                <w:rFonts w:hint="eastAsia"/>
                <w:b/>
                <w:bCs/>
                <w:u w:val="single"/>
                <w:lang w:val="en-US" w:eastAsia="zh-CN"/>
              </w:rPr>
            </w:pPr>
            <w:r>
              <w:rPr>
                <w:rFonts w:hint="eastAsia"/>
                <w:b/>
                <w:bCs/>
                <w:u w:val="single"/>
                <w:lang w:val="en-US" w:eastAsia="zh-CN"/>
              </w:rPr>
              <w:t>万t/a</w:t>
            </w:r>
          </w:p>
        </w:tc>
        <w:tc>
          <w:tcPr>
            <w:tcW w:w="104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719.5508</w:t>
            </w:r>
          </w:p>
        </w:tc>
        <w:tc>
          <w:tcPr>
            <w:tcW w:w="780"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334.4939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废气</w:t>
            </w:r>
          </w:p>
        </w:tc>
        <w:tc>
          <w:tcPr>
            <w:tcW w:w="845" w:type="pct"/>
            <w:vMerge w:val="restart"/>
            <w:tcBorders>
              <w:tl2br w:val="nil"/>
              <w:tr2bl w:val="nil"/>
            </w:tcBorders>
            <w:shd w:val="clear" w:color="auto" w:fill="auto"/>
            <w:vAlign w:val="center"/>
          </w:tcPr>
          <w:p>
            <w:pPr>
              <w:pStyle w:val="182"/>
              <w:bidi w:val="0"/>
              <w:rPr>
                <w:rFonts w:hint="eastAsia"/>
                <w:b/>
                <w:bCs/>
                <w:u w:val="single"/>
                <w:lang w:val="en-US" w:eastAsia="zh-CN"/>
              </w:rPr>
            </w:pPr>
            <w:r>
              <w:rPr>
                <w:rFonts w:hint="eastAsia"/>
                <w:b/>
                <w:bCs/>
                <w:u w:val="single"/>
                <w:lang w:val="en-US" w:eastAsia="zh-CN"/>
              </w:rPr>
              <w:t>有组织废气</w:t>
            </w:r>
          </w:p>
        </w:tc>
        <w:tc>
          <w:tcPr>
            <w:tcW w:w="909"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颗粒物</w:t>
            </w:r>
          </w:p>
        </w:tc>
        <w:tc>
          <w:tcPr>
            <w:tcW w:w="845" w:type="pct"/>
            <w:tcBorders>
              <w:tl2br w:val="nil"/>
              <w:tr2bl w:val="nil"/>
            </w:tcBorders>
            <w:shd w:val="clear" w:color="auto" w:fill="auto"/>
            <w:vAlign w:val="center"/>
          </w:tcPr>
          <w:p>
            <w:pPr>
              <w:pStyle w:val="182"/>
              <w:bidi w:val="0"/>
              <w:rPr>
                <w:rFonts w:hint="eastAsia"/>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7.81</w:t>
            </w:r>
          </w:p>
        </w:tc>
        <w:tc>
          <w:tcPr>
            <w:tcW w:w="780"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28.8131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default"/>
                <w:b/>
                <w:bCs/>
                <w:u w:val="single"/>
                <w:lang w:val="en-US" w:eastAsia="zh-CN"/>
              </w:rPr>
            </w:pPr>
          </w:p>
        </w:tc>
        <w:tc>
          <w:tcPr>
            <w:tcW w:w="909"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SO</w:t>
            </w:r>
            <w:r>
              <w:rPr>
                <w:rFonts w:hint="default"/>
                <w:b/>
                <w:bCs/>
                <w:u w:val="single"/>
                <w:vertAlign w:val="subscript"/>
                <w:lang w:val="en-US" w:eastAsia="zh-CN"/>
              </w:rPr>
              <w:t>2</w:t>
            </w:r>
          </w:p>
        </w:tc>
        <w:tc>
          <w:tcPr>
            <w:tcW w:w="845" w:type="pct"/>
            <w:tcBorders>
              <w:tl2br w:val="nil"/>
              <w:tr2bl w:val="nil"/>
            </w:tcBorders>
            <w:shd w:val="clear" w:color="auto" w:fill="auto"/>
            <w:noWrap/>
            <w:vAlign w:val="center"/>
          </w:tcPr>
          <w:p>
            <w:pPr>
              <w:pStyle w:val="182"/>
              <w:bidi w:val="0"/>
              <w:rPr>
                <w:rFonts w:hint="default"/>
                <w:b/>
                <w:bCs/>
                <w:u w:val="single"/>
                <w:lang w:val="en-US" w:eastAsia="zh-CN"/>
              </w:rPr>
            </w:pPr>
            <w:r>
              <w:rPr>
                <w:b/>
                <w:bCs/>
                <w:u w:val="single"/>
              </w:rPr>
              <w:t>t/a</w:t>
            </w:r>
          </w:p>
        </w:tc>
        <w:tc>
          <w:tcPr>
            <w:tcW w:w="1048" w:type="pct"/>
            <w:tcBorders>
              <w:tl2br w:val="nil"/>
              <w:tr2bl w:val="nil"/>
            </w:tcBorders>
            <w:shd w:val="clear" w:color="auto" w:fill="auto"/>
            <w:noWrap/>
            <w:vAlign w:val="center"/>
          </w:tcPr>
          <w:p>
            <w:pPr>
              <w:pStyle w:val="182"/>
              <w:bidi w:val="0"/>
              <w:rPr>
                <w:rFonts w:hint="default"/>
                <w:b/>
                <w:bCs/>
                <w:u w:val="single"/>
              </w:rPr>
            </w:pPr>
            <w:r>
              <w:rPr>
                <w:rFonts w:hint="default"/>
                <w:b/>
                <w:bCs/>
                <w:u w:val="single"/>
                <w:lang w:val="en-US" w:eastAsia="zh-CN"/>
              </w:rPr>
              <w:t>73.38</w:t>
            </w:r>
          </w:p>
        </w:tc>
        <w:tc>
          <w:tcPr>
            <w:tcW w:w="78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93.5155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default"/>
                <w:b/>
                <w:bCs/>
                <w:u w:val="single"/>
                <w:lang w:val="en-US" w:eastAsia="zh-CN"/>
              </w:rPr>
            </w:pPr>
          </w:p>
        </w:tc>
        <w:tc>
          <w:tcPr>
            <w:tcW w:w="909"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NOx</w:t>
            </w:r>
          </w:p>
        </w:tc>
        <w:tc>
          <w:tcPr>
            <w:tcW w:w="845" w:type="pct"/>
            <w:tcBorders>
              <w:tl2br w:val="nil"/>
              <w:tr2bl w:val="nil"/>
            </w:tcBorders>
            <w:shd w:val="clear" w:color="auto" w:fill="auto"/>
            <w:noWrap/>
            <w:vAlign w:val="center"/>
          </w:tcPr>
          <w:p>
            <w:pPr>
              <w:pStyle w:val="182"/>
              <w:bidi w:val="0"/>
              <w:rPr>
                <w:rFonts w:hint="default"/>
                <w:b/>
                <w:bCs/>
                <w:u w:val="single"/>
                <w:lang w:val="en-US" w:eastAsia="zh-CN"/>
              </w:rPr>
            </w:pPr>
            <w:r>
              <w:rPr>
                <w:b/>
                <w:bCs/>
                <w:u w:val="single"/>
              </w:rPr>
              <w:t>t/a</w:t>
            </w:r>
          </w:p>
        </w:tc>
        <w:tc>
          <w:tcPr>
            <w:tcW w:w="1048" w:type="pct"/>
            <w:tcBorders>
              <w:tl2br w:val="nil"/>
              <w:tr2bl w:val="nil"/>
            </w:tcBorders>
            <w:shd w:val="clear" w:color="auto" w:fill="auto"/>
            <w:noWrap/>
            <w:vAlign w:val="center"/>
          </w:tcPr>
          <w:p>
            <w:pPr>
              <w:pStyle w:val="182"/>
              <w:bidi w:val="0"/>
              <w:rPr>
                <w:rFonts w:hint="default"/>
                <w:b/>
                <w:bCs/>
                <w:u w:val="single"/>
              </w:rPr>
            </w:pPr>
            <w:r>
              <w:rPr>
                <w:rFonts w:hint="default"/>
                <w:b/>
                <w:bCs/>
                <w:u w:val="single"/>
                <w:lang w:val="en-US" w:eastAsia="zh-CN"/>
              </w:rPr>
              <w:t>134.06</w:t>
            </w:r>
          </w:p>
        </w:tc>
        <w:tc>
          <w:tcPr>
            <w:tcW w:w="78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154.5593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default"/>
                <w:b/>
                <w:bCs/>
                <w:u w:val="single"/>
                <w:lang w:val="en-US" w:eastAsia="zh-CN"/>
              </w:rPr>
            </w:pPr>
          </w:p>
        </w:tc>
        <w:tc>
          <w:tcPr>
            <w:tcW w:w="909"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Hg</w:t>
            </w:r>
          </w:p>
        </w:tc>
        <w:tc>
          <w:tcPr>
            <w:tcW w:w="845" w:type="pct"/>
            <w:tcBorders>
              <w:tl2br w:val="nil"/>
              <w:tr2bl w:val="nil"/>
            </w:tcBorders>
            <w:shd w:val="clear" w:color="auto" w:fill="auto"/>
            <w:vAlign w:val="center"/>
          </w:tcPr>
          <w:p>
            <w:pPr>
              <w:pStyle w:val="182"/>
              <w:bidi w:val="0"/>
              <w:rPr>
                <w:rFonts w:hint="default"/>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w:t>
            </w:r>
          </w:p>
        </w:tc>
        <w:tc>
          <w:tcPr>
            <w:tcW w:w="78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0.0095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eastAsia"/>
                <w:b/>
                <w:bCs/>
                <w:u w:val="single"/>
                <w:lang w:val="en-US" w:eastAsia="zh-CN"/>
              </w:rPr>
            </w:pPr>
          </w:p>
        </w:tc>
        <w:tc>
          <w:tcPr>
            <w:tcW w:w="909"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氨</w:t>
            </w:r>
          </w:p>
        </w:tc>
        <w:tc>
          <w:tcPr>
            <w:tcW w:w="845" w:type="pct"/>
            <w:tcBorders>
              <w:tl2br w:val="nil"/>
              <w:tr2bl w:val="nil"/>
            </w:tcBorders>
            <w:shd w:val="clear" w:color="auto" w:fill="auto"/>
            <w:vAlign w:val="center"/>
          </w:tcPr>
          <w:p>
            <w:pPr>
              <w:pStyle w:val="182"/>
              <w:bidi w:val="0"/>
              <w:rPr>
                <w:rFonts w:hint="default"/>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4.47</w:t>
            </w:r>
          </w:p>
        </w:tc>
        <w:tc>
          <w:tcPr>
            <w:tcW w:w="78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12.829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845" w:type="pct"/>
            <w:vMerge w:val="continue"/>
            <w:tcBorders>
              <w:tl2br w:val="nil"/>
              <w:tr2bl w:val="nil"/>
            </w:tcBorders>
            <w:shd w:val="clear" w:color="auto" w:fill="auto"/>
            <w:vAlign w:val="center"/>
          </w:tcPr>
          <w:p>
            <w:pPr>
              <w:pStyle w:val="182"/>
              <w:bidi w:val="0"/>
              <w:rPr>
                <w:rFonts w:hint="default"/>
                <w:b/>
                <w:bCs/>
                <w:u w:val="single"/>
                <w:lang w:val="en-US" w:eastAsia="zh-CN"/>
              </w:rPr>
            </w:pPr>
          </w:p>
        </w:tc>
        <w:tc>
          <w:tcPr>
            <w:tcW w:w="909"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VOCS</w:t>
            </w:r>
          </w:p>
        </w:tc>
        <w:tc>
          <w:tcPr>
            <w:tcW w:w="845" w:type="pct"/>
            <w:tcBorders>
              <w:tl2br w:val="nil"/>
              <w:tr2bl w:val="nil"/>
            </w:tcBorders>
            <w:shd w:val="clear" w:color="auto" w:fill="auto"/>
            <w:vAlign w:val="center"/>
          </w:tcPr>
          <w:p>
            <w:pPr>
              <w:pStyle w:val="182"/>
              <w:bidi w:val="0"/>
              <w:rPr>
                <w:rFonts w:hint="default"/>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5.42</w:t>
            </w:r>
          </w:p>
        </w:tc>
        <w:tc>
          <w:tcPr>
            <w:tcW w:w="78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20.174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restart"/>
            <w:tcBorders>
              <w:tl2br w:val="nil"/>
              <w:tr2bl w:val="nil"/>
            </w:tcBorders>
            <w:shd w:val="clear" w:color="auto" w:fill="auto"/>
            <w:vAlign w:val="center"/>
          </w:tcPr>
          <w:p>
            <w:pPr>
              <w:pStyle w:val="182"/>
              <w:bidi w:val="0"/>
              <w:rPr>
                <w:rFonts w:hint="eastAsia"/>
                <w:b/>
                <w:bCs/>
                <w:u w:val="single"/>
                <w:lang w:val="en-US" w:eastAsia="zh-CN"/>
              </w:rPr>
            </w:pPr>
            <w:r>
              <w:rPr>
                <w:rFonts w:hint="eastAsia"/>
                <w:b/>
                <w:bCs/>
                <w:u w:val="single"/>
                <w:lang w:val="en-US" w:eastAsia="zh-CN"/>
              </w:rPr>
              <w:t>固体废物</w:t>
            </w:r>
          </w:p>
        </w:tc>
        <w:tc>
          <w:tcPr>
            <w:tcW w:w="1754" w:type="pct"/>
            <w:gridSpan w:val="2"/>
            <w:tcBorders>
              <w:tl2br w:val="nil"/>
              <w:tr2bl w:val="nil"/>
            </w:tcBorders>
            <w:shd w:val="clear" w:color="auto" w:fill="auto"/>
            <w:vAlign w:val="center"/>
          </w:tcPr>
          <w:p>
            <w:pPr>
              <w:pStyle w:val="182"/>
              <w:bidi w:val="0"/>
              <w:rPr>
                <w:rFonts w:hint="default"/>
                <w:b/>
                <w:bCs/>
                <w:u w:val="single"/>
                <w:lang w:val="en-US" w:eastAsia="zh-CN"/>
              </w:rPr>
            </w:pPr>
            <w:r>
              <w:rPr>
                <w:rFonts w:hint="eastAsia"/>
                <w:b/>
                <w:bCs/>
                <w:u w:val="single"/>
              </w:rPr>
              <w:t>一般固废</w:t>
            </w:r>
          </w:p>
        </w:tc>
        <w:tc>
          <w:tcPr>
            <w:tcW w:w="845" w:type="pct"/>
            <w:tcBorders>
              <w:tl2br w:val="nil"/>
              <w:tr2bl w:val="nil"/>
            </w:tcBorders>
            <w:shd w:val="clear" w:color="auto" w:fill="auto"/>
            <w:vAlign w:val="center"/>
          </w:tcPr>
          <w:p>
            <w:pPr>
              <w:pStyle w:val="182"/>
              <w:bidi w:val="0"/>
              <w:rPr>
                <w:rFonts w:hint="default"/>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default"/>
                <w:b/>
                <w:bCs/>
                <w:u w:val="single"/>
                <w:lang w:val="en-US" w:eastAsia="zh-CN"/>
              </w:rPr>
            </w:pPr>
            <w:r>
              <w:rPr>
                <w:rFonts w:hint="default"/>
                <w:b/>
                <w:bCs/>
                <w:u w:val="single"/>
              </w:rPr>
              <w:t>0</w:t>
            </w:r>
            <w:r>
              <w:rPr>
                <w:rFonts w:hint="default"/>
                <w:b/>
                <w:bCs/>
                <w:u w:val="single"/>
                <w:lang w:eastAsia="zh-CN"/>
              </w:rPr>
              <w:t>（</w:t>
            </w:r>
            <w:r>
              <w:rPr>
                <w:rFonts w:hint="default"/>
                <w:b/>
                <w:bCs/>
                <w:u w:val="single"/>
                <w:lang w:val="en-US" w:eastAsia="zh-CN"/>
              </w:rPr>
              <w:t>排入环境</w:t>
            </w:r>
            <w:r>
              <w:rPr>
                <w:rFonts w:hint="default"/>
                <w:b/>
                <w:bCs/>
                <w:u w:val="single"/>
                <w:lang w:eastAsia="zh-CN"/>
              </w:rPr>
              <w:t>）</w:t>
            </w:r>
          </w:p>
        </w:tc>
        <w:tc>
          <w:tcPr>
            <w:tcW w:w="780" w:type="pct"/>
            <w:tcBorders>
              <w:tl2br w:val="nil"/>
              <w:tr2bl w:val="nil"/>
            </w:tcBorders>
            <w:shd w:val="clear" w:color="auto" w:fill="auto"/>
            <w:vAlign w:val="center"/>
          </w:tcPr>
          <w:p>
            <w:pPr>
              <w:pStyle w:val="182"/>
              <w:bidi w:val="0"/>
              <w:rPr>
                <w:rFonts w:hint="default"/>
                <w:b/>
                <w:bCs/>
                <w:u w:val="single"/>
                <w:lang w:val="en-US" w:eastAsia="zh-CN"/>
              </w:rPr>
            </w:pPr>
            <w:r>
              <w:rPr>
                <w:rFonts w:hint="default"/>
                <w:b/>
                <w:bCs/>
                <w:u w:val="single"/>
              </w:rPr>
              <w:t>0</w:t>
            </w:r>
            <w:r>
              <w:rPr>
                <w:rFonts w:hint="default"/>
                <w:b/>
                <w:bCs/>
                <w:u w:val="single"/>
                <w:lang w:eastAsia="zh-CN"/>
              </w:rPr>
              <w:t>（</w:t>
            </w:r>
            <w:r>
              <w:rPr>
                <w:rFonts w:hint="default"/>
                <w:b/>
                <w:bCs/>
                <w:u w:val="single"/>
                <w:lang w:val="en-US" w:eastAsia="zh-CN"/>
              </w:rPr>
              <w:t>排入环境</w:t>
            </w:r>
            <w:r>
              <w:rPr>
                <w:rFonts w:hint="default"/>
                <w:b/>
                <w:bCs/>
                <w:u w:val="single"/>
                <w:lang w:eastAsia="zh-CN"/>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54" w:hRule="atLeast"/>
          <w:jc w:val="center"/>
        </w:trPr>
        <w:tc>
          <w:tcPr>
            <w:tcW w:w="571" w:type="pct"/>
            <w:vMerge w:val="continue"/>
            <w:tcBorders>
              <w:tl2br w:val="nil"/>
              <w:tr2bl w:val="nil"/>
            </w:tcBorders>
            <w:shd w:val="clear" w:color="auto" w:fill="auto"/>
            <w:vAlign w:val="center"/>
          </w:tcPr>
          <w:p>
            <w:pPr>
              <w:pStyle w:val="182"/>
              <w:bidi w:val="0"/>
              <w:rPr>
                <w:rFonts w:hint="eastAsia"/>
                <w:b/>
                <w:bCs/>
                <w:u w:val="single"/>
              </w:rPr>
            </w:pPr>
          </w:p>
        </w:tc>
        <w:tc>
          <w:tcPr>
            <w:tcW w:w="1754" w:type="pct"/>
            <w:gridSpan w:val="2"/>
            <w:tcBorders>
              <w:tl2br w:val="nil"/>
              <w:tr2bl w:val="nil"/>
            </w:tcBorders>
            <w:shd w:val="clear" w:color="auto" w:fill="auto"/>
            <w:vAlign w:val="center"/>
          </w:tcPr>
          <w:p>
            <w:pPr>
              <w:pStyle w:val="182"/>
              <w:bidi w:val="0"/>
              <w:rPr>
                <w:rFonts w:hint="default"/>
                <w:b/>
                <w:bCs/>
                <w:u w:val="single"/>
                <w:lang w:val="en-US" w:eastAsia="zh-CN"/>
              </w:rPr>
            </w:pPr>
            <w:r>
              <w:rPr>
                <w:b/>
                <w:bCs/>
                <w:u w:val="single"/>
              </w:rPr>
              <w:t>危险废物</w:t>
            </w:r>
          </w:p>
        </w:tc>
        <w:tc>
          <w:tcPr>
            <w:tcW w:w="845" w:type="pct"/>
            <w:tcBorders>
              <w:tl2br w:val="nil"/>
              <w:tr2bl w:val="nil"/>
            </w:tcBorders>
            <w:shd w:val="clear" w:color="auto" w:fill="auto"/>
            <w:vAlign w:val="center"/>
          </w:tcPr>
          <w:p>
            <w:pPr>
              <w:pStyle w:val="182"/>
              <w:bidi w:val="0"/>
              <w:rPr>
                <w:rFonts w:hint="default"/>
                <w:b/>
                <w:bCs/>
                <w:u w:val="single"/>
                <w:lang w:val="en-US" w:eastAsia="zh-CN"/>
              </w:rPr>
            </w:pPr>
            <w:r>
              <w:rPr>
                <w:b/>
                <w:bCs/>
                <w:u w:val="single"/>
              </w:rPr>
              <w:t>t/a</w:t>
            </w:r>
          </w:p>
        </w:tc>
        <w:tc>
          <w:tcPr>
            <w:tcW w:w="1048" w:type="pct"/>
            <w:tcBorders>
              <w:tl2br w:val="nil"/>
              <w:tr2bl w:val="nil"/>
            </w:tcBorders>
            <w:shd w:val="clear" w:color="auto" w:fill="auto"/>
            <w:vAlign w:val="center"/>
          </w:tcPr>
          <w:p>
            <w:pPr>
              <w:pStyle w:val="182"/>
              <w:bidi w:val="0"/>
              <w:rPr>
                <w:rFonts w:hint="default"/>
                <w:b/>
                <w:bCs/>
                <w:u w:val="single"/>
                <w:lang w:val="en-US" w:eastAsia="zh-CN"/>
              </w:rPr>
            </w:pPr>
            <w:r>
              <w:rPr>
                <w:rFonts w:hint="default"/>
                <w:b/>
                <w:bCs/>
                <w:u w:val="single"/>
              </w:rPr>
              <w:t>0</w:t>
            </w:r>
            <w:r>
              <w:rPr>
                <w:rFonts w:hint="default"/>
                <w:b/>
                <w:bCs/>
                <w:u w:val="single"/>
                <w:lang w:eastAsia="zh-CN"/>
              </w:rPr>
              <w:t>（</w:t>
            </w:r>
            <w:r>
              <w:rPr>
                <w:rFonts w:hint="default"/>
                <w:b/>
                <w:bCs/>
                <w:u w:val="single"/>
                <w:lang w:val="en-US" w:eastAsia="zh-CN"/>
              </w:rPr>
              <w:t>排入环境</w:t>
            </w:r>
            <w:r>
              <w:rPr>
                <w:rFonts w:hint="default"/>
                <w:b/>
                <w:bCs/>
                <w:u w:val="single"/>
                <w:lang w:eastAsia="zh-CN"/>
              </w:rPr>
              <w:t>）</w:t>
            </w:r>
          </w:p>
        </w:tc>
        <w:tc>
          <w:tcPr>
            <w:tcW w:w="780" w:type="pct"/>
            <w:tcBorders>
              <w:tl2br w:val="nil"/>
              <w:tr2bl w:val="nil"/>
            </w:tcBorders>
            <w:shd w:val="clear" w:color="auto" w:fill="auto"/>
            <w:vAlign w:val="center"/>
          </w:tcPr>
          <w:p>
            <w:pPr>
              <w:pStyle w:val="182"/>
              <w:bidi w:val="0"/>
              <w:rPr>
                <w:rFonts w:hint="default"/>
                <w:b/>
                <w:bCs/>
                <w:u w:val="single"/>
                <w:lang w:val="en-US" w:eastAsia="zh-CN"/>
              </w:rPr>
            </w:pPr>
            <w:r>
              <w:rPr>
                <w:rFonts w:hint="default"/>
                <w:b/>
                <w:bCs/>
                <w:u w:val="single"/>
              </w:rPr>
              <w:t>0</w:t>
            </w:r>
            <w:r>
              <w:rPr>
                <w:rFonts w:hint="default"/>
                <w:b/>
                <w:bCs/>
                <w:u w:val="single"/>
                <w:lang w:eastAsia="zh-CN"/>
              </w:rPr>
              <w:t>（</w:t>
            </w:r>
            <w:r>
              <w:rPr>
                <w:rFonts w:hint="default"/>
                <w:b/>
                <w:bCs/>
                <w:u w:val="single"/>
                <w:lang w:val="en-US" w:eastAsia="zh-CN"/>
              </w:rPr>
              <w:t>排入环境</w:t>
            </w:r>
            <w:r>
              <w:rPr>
                <w:rFonts w:hint="default"/>
                <w:b/>
                <w:bCs/>
                <w:u w:val="single"/>
                <w:lang w:eastAsia="zh-CN"/>
              </w:rPr>
              <w:t>）</w:t>
            </w:r>
          </w:p>
        </w:tc>
      </w:tr>
    </w:tbl>
    <w:p>
      <w:pPr>
        <w:pStyle w:val="7"/>
        <w:bidi w:val="0"/>
        <w:rPr>
          <w:rFonts w:hint="eastAsia"/>
          <w:color w:val="auto"/>
          <w:lang w:val="en-US" w:eastAsia="zh-CN"/>
        </w:rPr>
      </w:pPr>
      <w:bookmarkStart w:id="188" w:name="_Toc28886"/>
      <w:r>
        <w:rPr>
          <w:rFonts w:hint="eastAsia"/>
          <w:color w:val="auto"/>
          <w:lang w:val="en-US" w:eastAsia="zh-CN"/>
        </w:rPr>
        <w:t>3.6 现有工程应急预案开展情况</w:t>
      </w:r>
      <w:bookmarkEnd w:id="188"/>
    </w:p>
    <w:p>
      <w:pPr>
        <w:rPr>
          <w:rFonts w:hint="eastAsia"/>
          <w:b/>
          <w:bCs/>
          <w:color w:val="auto"/>
          <w:u w:val="single"/>
        </w:rPr>
      </w:pPr>
      <w:r>
        <w:rPr>
          <w:rFonts w:hint="eastAsia"/>
          <w:b/>
          <w:bCs/>
          <w:color w:val="auto"/>
          <w:u w:val="single"/>
        </w:rPr>
        <w:t>为建立健全突发环境事件应急机制，提高新乡化纤股份有限公司新区应对突发环境事件的组织指挥和应急处置能力，最大程度地控制、减轻和消除突发环境事件的风险和危害，保障公司及周围群众健康和生命财产安全，维护社会稳定，保护</w:t>
      </w:r>
      <w:r>
        <w:rPr>
          <w:rFonts w:hint="eastAsia"/>
          <w:b/>
          <w:bCs/>
          <w:color w:val="auto"/>
          <w:u w:val="single"/>
          <w:lang w:val="en-US" w:eastAsia="zh-CN"/>
        </w:rPr>
        <w:t>生态</w:t>
      </w:r>
      <w:r>
        <w:rPr>
          <w:rFonts w:hint="eastAsia"/>
          <w:b/>
          <w:bCs/>
          <w:color w:val="auto"/>
          <w:u w:val="single"/>
        </w:rPr>
        <w:t>环境，促进新区全面、协调、可持续发展，制订</w:t>
      </w:r>
      <w:r>
        <w:rPr>
          <w:rFonts w:hint="eastAsia"/>
          <w:b/>
          <w:bCs/>
          <w:color w:val="auto"/>
          <w:u w:val="single"/>
          <w:lang w:val="en-US" w:eastAsia="zh-CN"/>
        </w:rPr>
        <w:t>突发环境事件应急</w:t>
      </w:r>
      <w:r>
        <w:rPr>
          <w:rFonts w:hint="eastAsia"/>
          <w:b/>
          <w:bCs/>
          <w:color w:val="auto"/>
          <w:u w:val="single"/>
        </w:rPr>
        <w:t>预案。</w:t>
      </w:r>
    </w:p>
    <w:p>
      <w:pPr>
        <w:rPr>
          <w:rFonts w:hint="eastAsia"/>
          <w:b/>
          <w:bCs/>
          <w:color w:val="auto"/>
          <w:u w:val="single"/>
        </w:rPr>
      </w:pPr>
      <w:r>
        <w:rPr>
          <w:rFonts w:hint="eastAsia"/>
          <w:b/>
          <w:bCs/>
          <w:color w:val="auto"/>
          <w:u w:val="single"/>
        </w:rPr>
        <w:t>根据《中华人民共和国环境保护法》《中华人民共和国突发事件应对法》《突发环境事件应急预案管理暂行办法》及相关法律法规的规定以及</w:t>
      </w:r>
      <w:r>
        <w:rPr>
          <w:rFonts w:hint="eastAsia"/>
          <w:b/>
          <w:bCs/>
          <w:color w:val="auto"/>
          <w:u w:val="single"/>
          <w:lang w:val="en-US" w:eastAsia="zh-CN"/>
        </w:rPr>
        <w:t>企业</w:t>
      </w:r>
      <w:r>
        <w:rPr>
          <w:rFonts w:hint="eastAsia"/>
          <w:b/>
          <w:bCs/>
          <w:color w:val="auto"/>
          <w:u w:val="single"/>
        </w:rPr>
        <w:t>环保部</w:t>
      </w:r>
      <w:r>
        <w:rPr>
          <w:rFonts w:hint="eastAsia"/>
          <w:b/>
          <w:bCs/>
          <w:color w:val="auto"/>
          <w:u w:val="single"/>
          <w:lang w:val="en-US" w:eastAsia="zh-CN"/>
        </w:rPr>
        <w:t>门</w:t>
      </w:r>
      <w:r>
        <w:rPr>
          <w:rFonts w:hint="eastAsia"/>
          <w:b/>
          <w:bCs/>
          <w:color w:val="auto"/>
          <w:u w:val="single"/>
        </w:rPr>
        <w:t>颁布的《新乡化纤股份有限公司综合环境应急预案》，</w:t>
      </w:r>
      <w:r>
        <w:rPr>
          <w:rFonts w:hint="eastAsia"/>
          <w:b/>
          <w:bCs/>
          <w:color w:val="auto"/>
          <w:u w:val="single"/>
          <w:lang w:val="en-US" w:eastAsia="zh-CN"/>
        </w:rPr>
        <w:t>企业</w:t>
      </w:r>
      <w:r>
        <w:rPr>
          <w:rFonts w:hint="eastAsia"/>
          <w:b/>
          <w:bCs/>
          <w:color w:val="auto"/>
          <w:u w:val="single"/>
        </w:rPr>
        <w:t>环保部</w:t>
      </w:r>
      <w:r>
        <w:rPr>
          <w:rFonts w:hint="eastAsia"/>
          <w:b/>
          <w:bCs/>
          <w:color w:val="auto"/>
          <w:u w:val="single"/>
          <w:lang w:val="en-US" w:eastAsia="zh-CN"/>
        </w:rPr>
        <w:t>门</w:t>
      </w:r>
      <w:r>
        <w:rPr>
          <w:rFonts w:hint="eastAsia"/>
          <w:b/>
          <w:bCs/>
          <w:color w:val="auto"/>
          <w:u w:val="single"/>
        </w:rPr>
        <w:t>制定的《新乡化纤股份公司新区突发环境事件应急预案》，从二〇二零年九月十八日起在新区范围内正式实施。</w:t>
      </w:r>
    </w:p>
    <w:p>
      <w:pPr>
        <w:pStyle w:val="9"/>
        <w:rPr>
          <w:rFonts w:hint="eastAsia"/>
          <w:color w:val="auto"/>
          <w:u w:val="single"/>
        </w:rPr>
      </w:pPr>
      <w:r>
        <w:rPr>
          <w:rFonts w:hint="eastAsia"/>
          <w:color w:val="auto"/>
          <w:u w:val="single"/>
          <w:lang w:val="en-US" w:eastAsia="zh-CN"/>
        </w:rPr>
        <w:t>3</w:t>
      </w:r>
      <w:r>
        <w:rPr>
          <w:rFonts w:hint="eastAsia"/>
          <w:color w:val="auto"/>
          <w:u w:val="single"/>
        </w:rPr>
        <w:t>.</w:t>
      </w:r>
      <w:r>
        <w:rPr>
          <w:rFonts w:hint="eastAsia"/>
          <w:color w:val="auto"/>
          <w:u w:val="single"/>
          <w:lang w:val="en-US" w:eastAsia="zh-CN"/>
        </w:rPr>
        <w:t>6.1</w:t>
      </w:r>
      <w:r>
        <w:rPr>
          <w:rFonts w:hint="eastAsia"/>
          <w:color w:val="auto"/>
          <w:u w:val="single"/>
        </w:rPr>
        <w:t xml:space="preserve"> </w:t>
      </w:r>
      <w:r>
        <w:rPr>
          <w:rFonts w:hint="eastAsia"/>
          <w:color w:val="auto"/>
          <w:u w:val="single"/>
          <w:lang w:val="en-US" w:eastAsia="zh-CN"/>
        </w:rPr>
        <w:t>企业</w:t>
      </w:r>
      <w:r>
        <w:rPr>
          <w:rFonts w:hint="eastAsia"/>
          <w:color w:val="auto"/>
          <w:u w:val="single"/>
        </w:rPr>
        <w:t>应急预案体系</w:t>
      </w:r>
    </w:p>
    <w:p>
      <w:pPr>
        <w:rPr>
          <w:rFonts w:hint="eastAsia"/>
          <w:b/>
          <w:bCs/>
          <w:color w:val="auto"/>
          <w:u w:val="single"/>
        </w:rPr>
      </w:pPr>
      <w:r>
        <w:rPr>
          <w:rFonts w:hint="eastAsia"/>
          <w:b/>
          <w:bCs/>
          <w:color w:val="auto"/>
          <w:u w:val="single"/>
        </w:rPr>
        <w:t>（1）内部环境应急预案</w:t>
      </w:r>
    </w:p>
    <w:p>
      <w:pPr>
        <w:rPr>
          <w:rFonts w:hint="eastAsia"/>
          <w:b/>
          <w:bCs/>
          <w:color w:val="auto"/>
          <w:u w:val="single"/>
        </w:rPr>
      </w:pPr>
      <w:r>
        <w:rPr>
          <w:rFonts w:hint="eastAsia"/>
          <w:b/>
          <w:bCs/>
          <w:color w:val="auto"/>
          <w:u w:val="single"/>
        </w:rPr>
        <w:t>新乡化纤股份有限公司应急预案由综合应急预案、专项应急预案和现场处置方案构成。公司层面设置综合应急预案、专项应急预案，公司所属各部门根据具体情况设现场处置方案。</w:t>
      </w:r>
    </w:p>
    <w:p>
      <w:pPr>
        <w:numPr>
          <w:ilvl w:val="0"/>
          <w:numId w:val="8"/>
        </w:numPr>
        <w:rPr>
          <w:rFonts w:hint="eastAsia"/>
          <w:b/>
          <w:bCs/>
          <w:color w:val="auto"/>
          <w:u w:val="single"/>
        </w:rPr>
      </w:pPr>
      <w:r>
        <w:rPr>
          <w:rFonts w:hint="eastAsia"/>
          <w:b/>
          <w:bCs/>
          <w:color w:val="auto"/>
          <w:u w:val="single"/>
        </w:rPr>
        <w:t>与外部应急预案</w:t>
      </w:r>
    </w:p>
    <w:p>
      <w:pPr>
        <w:ind w:firstLine="482" w:firstLineChars="200"/>
        <w:rPr>
          <w:rFonts w:hint="eastAsia"/>
          <w:b/>
          <w:bCs/>
          <w:color w:val="auto"/>
          <w:u w:val="single"/>
        </w:rPr>
      </w:pPr>
      <w:r>
        <w:rPr>
          <w:rFonts w:hint="eastAsia"/>
          <w:b/>
          <w:bCs/>
          <w:color w:val="auto"/>
          <w:u w:val="single"/>
        </w:rPr>
        <w:t>新乡化纤股份有限公司应急预案应与新乡市人民政府发布的突发环境应急预案衔接，当上级预案启动后，本预案作为辅助执行，公司各应急组织单位将听从调配，并按照要求和能力配置应急救援人员、队伍、装备、物资等，提供应急所需的用品，与外部相关部门企业共享区域应急资源，提高共同应对突发环境事件的能力和水平。</w:t>
      </w:r>
    </w:p>
    <w:p>
      <w:pPr>
        <w:ind w:firstLine="482" w:firstLineChars="200"/>
        <w:rPr>
          <w:rFonts w:hint="eastAsia"/>
          <w:b/>
          <w:bCs/>
          <w:color w:val="auto"/>
          <w:u w:val="single"/>
        </w:rPr>
      </w:pPr>
      <w:r>
        <w:rPr>
          <w:rFonts w:hint="eastAsia"/>
          <w:b/>
          <w:bCs/>
          <w:color w:val="auto"/>
          <w:u w:val="single"/>
        </w:rPr>
        <w:t>公司环境应急预案与安全生产应急预案构成公司整体应急预案体系。两个预案之间相互衔接、协调、补充和完善，不相互抵触。一个预案的启动，也可能伴随着另一个预案的启动。企业应急预案体系见下图。</w:t>
      </w:r>
    </w:p>
    <w:p>
      <w:pPr>
        <w:pStyle w:val="2"/>
        <w:ind w:left="0" w:leftChars="0" w:firstLine="0" w:firstLineChars="0"/>
        <w:rPr>
          <w:color w:val="auto"/>
        </w:rPr>
      </w:pPr>
      <w:r>
        <w:rPr>
          <w:color w:val="auto"/>
        </w:rPr>
        <w:drawing>
          <wp:inline distT="0" distB="0" distL="114300" distR="114300">
            <wp:extent cx="5447665" cy="5003165"/>
            <wp:effectExtent l="0" t="0" r="8255" b="10795"/>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39"/>
                    <a:stretch>
                      <a:fillRect/>
                    </a:stretch>
                  </pic:blipFill>
                  <pic:spPr>
                    <a:xfrm>
                      <a:off x="0" y="0"/>
                      <a:ext cx="5447665" cy="5003165"/>
                    </a:xfrm>
                    <a:prstGeom prst="rect">
                      <a:avLst/>
                    </a:prstGeom>
                    <a:noFill/>
                    <a:ln>
                      <a:noFill/>
                    </a:ln>
                  </pic:spPr>
                </pic:pic>
              </a:graphicData>
            </a:graphic>
          </wp:inline>
        </w:drawing>
      </w:r>
    </w:p>
    <w:p>
      <w:pPr>
        <w:pStyle w:val="181"/>
        <w:rPr>
          <w:rFonts w:hint="eastAsia"/>
          <w:color w:val="auto"/>
          <w:lang w:val="en-US" w:eastAsia="zh-CN"/>
        </w:rPr>
      </w:pPr>
      <w:r>
        <w:rPr>
          <w:rFonts w:hint="eastAsia"/>
          <w:color w:val="auto"/>
        </w:rPr>
        <w:t>图</w:t>
      </w:r>
      <w:r>
        <w:rPr>
          <w:rFonts w:hint="eastAsia"/>
          <w:color w:val="auto"/>
          <w:lang w:val="en-US" w:eastAsia="zh-CN"/>
        </w:rPr>
        <w:t xml:space="preserve">3.6-1              </w:t>
      </w:r>
      <w:r>
        <w:rPr>
          <w:rFonts w:hint="eastAsia"/>
          <w:color w:val="auto"/>
        </w:rPr>
        <w:t xml:space="preserve"> 企业应急预案体系图</w:t>
      </w:r>
    </w:p>
    <w:p>
      <w:pPr>
        <w:pStyle w:val="9"/>
        <w:bidi w:val="0"/>
        <w:rPr>
          <w:rFonts w:hint="eastAsia"/>
          <w:color w:val="auto"/>
          <w:lang w:val="en-US" w:eastAsia="zh-CN"/>
        </w:rPr>
      </w:pPr>
      <w:r>
        <w:rPr>
          <w:rFonts w:hint="eastAsia"/>
          <w:color w:val="auto"/>
          <w:lang w:val="en-US" w:eastAsia="zh-CN"/>
        </w:rPr>
        <w:t>3.6.2 企业现有风险防范措施</w:t>
      </w:r>
    </w:p>
    <w:p>
      <w:pPr>
        <w:bidi w:val="0"/>
        <w:rPr>
          <w:rFonts w:hint="eastAsia"/>
          <w:b/>
          <w:bCs/>
          <w:color w:val="auto"/>
          <w:u w:val="single"/>
          <w:lang w:val="en-US" w:eastAsia="zh-CN"/>
        </w:rPr>
      </w:pPr>
      <w:r>
        <w:rPr>
          <w:rFonts w:hint="eastAsia"/>
          <w:b/>
          <w:bCs/>
          <w:color w:val="auto"/>
          <w:u w:val="single"/>
          <w:lang w:val="en-US" w:eastAsia="zh-CN"/>
        </w:rPr>
        <w:t>（1）二硫化碳泄漏、着火事故处置措施</w:t>
      </w:r>
    </w:p>
    <w:p>
      <w:pPr>
        <w:bidi w:val="0"/>
        <w:rPr>
          <w:rFonts w:hint="eastAsia"/>
          <w:b/>
          <w:bCs/>
          <w:color w:val="auto"/>
          <w:u w:val="single"/>
          <w:lang w:val="en-US" w:eastAsia="zh-CN"/>
        </w:rPr>
      </w:pPr>
      <w:r>
        <w:rPr>
          <w:rFonts w:hint="eastAsia"/>
          <w:b/>
          <w:bCs/>
          <w:color w:val="auto"/>
          <w:u w:val="single"/>
          <w:lang w:val="en-US" w:eastAsia="zh-CN"/>
        </w:rPr>
        <w:t>泄漏应急处理：发现者应保持冷静，要用最快的速度通知新区保卫处消防队3689119，并及时通知公司调度3689610和处办领导3689608，组长或安全员做好消防队到前面现场指挥组织施救工作。要迅速撤离泄漏污染区人员至安全区，并进行隔离，严格限制出入。切断火源。应急人员应佩戴好劳保用品，用库区消防器材对泄漏处进行雾状喷淋，不要直接接触泄漏物。尽可能切断泄漏源，防止进入下水道、排洪沟等限制性空间。小量（15公斤以下）泄漏时，用沙土吸附后搜集送污水处理场或废物处理场。（车辆罐体或阀门泄漏时，边喷淋边卸车，直到卸完结束；卸车皮管、卸车罐阀门泄漏时，关闭卸车阀门，边喷淋边通知车间维修；库区管阀泄漏，关闭前后阀门，边喷淋边通知车间维修；地上罐泄漏时，做好喷淋的同时，导入其他库罐，通知车间维修；出库发生泄漏时，要及时找到泄漏点，必要时用湿布堵塞泄漏点，关闭管路两端的旋塞阀门，断绝二硫化碳来源，尽可能用容器接住泄漏的二硫化碳液体）大量泄漏时，由公司消防队进行处理：启用公司现有的应急设施（消防泵站），进行雾状喷淋或泡沫覆盖，将泄漏的二硫化碳通过回收系统引入到0号泄漏应急罐进行回收。</w:t>
      </w:r>
    </w:p>
    <w:p>
      <w:pPr>
        <w:bidi w:val="0"/>
        <w:rPr>
          <w:rFonts w:hint="eastAsia"/>
          <w:b/>
          <w:bCs/>
          <w:color w:val="auto"/>
          <w:u w:val="single"/>
          <w:lang w:val="en-US" w:eastAsia="zh-CN"/>
        </w:rPr>
      </w:pPr>
      <w:r>
        <w:rPr>
          <w:rFonts w:hint="eastAsia"/>
          <w:b/>
          <w:bCs/>
          <w:color w:val="auto"/>
          <w:u w:val="single"/>
          <w:lang w:val="en-US" w:eastAsia="zh-CN"/>
        </w:rPr>
        <w:t>着火处理方法：发现者应保持冷静，要用最快的速度通知新区保卫处消防队3689119），并及时通知公司调度3689610）和处办领导3689608，组长或安全员做好消防队到前面现场指挥组织施救工作。要迅速撤离库区人员至安全区，并进行隔离，严格限制出入。停止库区所有作业。应急人员应佩戴好劳保用品，用库区消防器材对着火处进行扑救，少量泄漏发生火灾，可立即用水、沙、消防器材扑灭；泄漏量比较大，火势较猛而无法靠自己力量扑灭时，采取措施，用雾状水灭火，防止事故蔓延，待消防队赶到后由消防专业人员进行扑救。若库区意外泄漏爆炸着火，当班人员应按照应急预案立即疏散到集合点，清点人数并汇报车间、公司领导。</w:t>
      </w:r>
    </w:p>
    <w:p>
      <w:pPr>
        <w:numPr>
          <w:ilvl w:val="0"/>
          <w:numId w:val="8"/>
        </w:numPr>
        <w:ind w:left="0" w:leftChars="0" w:firstLine="482" w:firstLineChars="200"/>
        <w:rPr>
          <w:rFonts w:hint="eastAsia"/>
          <w:b/>
          <w:bCs/>
          <w:color w:val="auto"/>
          <w:u w:val="single"/>
          <w:lang w:val="en-US" w:eastAsia="zh-CN"/>
        </w:rPr>
      </w:pPr>
      <w:r>
        <w:rPr>
          <w:rFonts w:hint="eastAsia"/>
          <w:b/>
          <w:bCs/>
          <w:color w:val="auto"/>
          <w:u w:val="single"/>
          <w:lang w:val="en-US" w:eastAsia="zh-CN"/>
        </w:rPr>
        <w:t>液氨泄漏事故处置措施</w:t>
      </w:r>
    </w:p>
    <w:p>
      <w:pPr>
        <w:bidi w:val="0"/>
        <w:rPr>
          <w:rFonts w:hint="eastAsia"/>
          <w:b/>
          <w:bCs/>
          <w:u w:val="single"/>
          <w:lang w:val="en-US" w:eastAsia="zh-CN"/>
        </w:rPr>
      </w:pPr>
      <w:r>
        <w:rPr>
          <w:rFonts w:hint="default"/>
          <w:b/>
          <w:bCs/>
          <w:u w:val="single"/>
          <w:lang w:val="en-US" w:eastAsia="zh-CN"/>
        </w:rPr>
        <w:t>……</w:t>
      </w:r>
    </w:p>
    <w:p>
      <w:pPr>
        <w:rPr>
          <w:rFonts w:hint="eastAsia"/>
          <w:b/>
          <w:bCs/>
          <w:color w:val="auto"/>
          <w:u w:val="single"/>
          <w:lang w:val="en-US" w:eastAsia="zh-CN"/>
        </w:rPr>
      </w:pPr>
      <w:r>
        <w:rPr>
          <w:rFonts w:hint="eastAsia"/>
          <w:b/>
          <w:bCs/>
          <w:color w:val="auto"/>
          <w:u w:val="single"/>
          <w:lang w:val="en-US" w:eastAsia="zh-CN"/>
        </w:rPr>
        <w:t>泄漏应急处理：</w:t>
      </w:r>
    </w:p>
    <w:p>
      <w:pPr>
        <w:rPr>
          <w:rFonts w:hint="eastAsia"/>
          <w:b/>
          <w:bCs/>
          <w:color w:val="auto"/>
          <w:u w:val="single"/>
          <w:lang w:val="en-US" w:eastAsia="zh-CN"/>
        </w:rPr>
      </w:pPr>
      <w:r>
        <w:rPr>
          <w:rFonts w:hint="eastAsia"/>
          <w:b/>
          <w:bCs/>
          <w:color w:val="auto"/>
          <w:u w:val="single"/>
          <w:lang w:val="en-US" w:eastAsia="zh-CN"/>
        </w:rPr>
        <w:t>6.3.2.1发现漏氨现象，立即通知组长，组长或者岗位责任人立即安排人员佩戴防护用品及准备处理工具（防毒面具、橡胶手套、试纸、卡布、扳手），并安排人员把漏氨专用水管拖到现场。</w:t>
      </w:r>
    </w:p>
    <w:p>
      <w:pPr>
        <w:rPr>
          <w:rFonts w:hint="eastAsia"/>
          <w:b/>
          <w:bCs/>
          <w:color w:val="auto"/>
          <w:u w:val="single"/>
          <w:lang w:val="en-US" w:eastAsia="zh-CN"/>
        </w:rPr>
      </w:pPr>
      <w:r>
        <w:rPr>
          <w:rFonts w:hint="eastAsia"/>
          <w:b/>
          <w:bCs/>
          <w:color w:val="auto"/>
          <w:u w:val="single"/>
          <w:lang w:val="en-US" w:eastAsia="zh-CN"/>
        </w:rPr>
        <w:t>6.3.2.2 如漏氨点泄漏较小时，戴好防护用品，可迅速用湿布之类的物品将漏处包住并用清水喷洒，用工具处理好漏点，组长负责向上级汇报。</w:t>
      </w:r>
    </w:p>
    <w:p>
      <w:pPr>
        <w:rPr>
          <w:rFonts w:hint="eastAsia"/>
          <w:b/>
          <w:bCs/>
          <w:color w:val="auto"/>
          <w:u w:val="single"/>
          <w:lang w:val="en-US" w:eastAsia="zh-CN"/>
        </w:rPr>
      </w:pPr>
      <w:r>
        <w:rPr>
          <w:rFonts w:hint="eastAsia"/>
          <w:b/>
          <w:bCs/>
          <w:color w:val="auto"/>
          <w:u w:val="single"/>
          <w:lang w:val="en-US" w:eastAsia="zh-CN"/>
        </w:rPr>
        <w:t>6.3.2.3 如漏点不易处理，当班人员应将漏点两端离漏点最近的阀门关闭，关闭时先关高压部分，后关闭低压部分，并向保全、车间、调度等有关部门汇报。</w:t>
      </w:r>
    </w:p>
    <w:p>
      <w:pPr>
        <w:rPr>
          <w:rFonts w:hint="eastAsia"/>
          <w:b/>
          <w:bCs/>
          <w:color w:val="auto"/>
          <w:u w:val="single"/>
          <w:lang w:val="en-US" w:eastAsia="zh-CN"/>
        </w:rPr>
      </w:pPr>
      <w:r>
        <w:rPr>
          <w:rFonts w:hint="eastAsia"/>
          <w:b/>
          <w:bCs/>
          <w:color w:val="auto"/>
          <w:u w:val="single"/>
          <w:lang w:val="en-US" w:eastAsia="zh-CN"/>
        </w:rPr>
        <w:t>6.3.2.4 如泄漏情况严重，无法采取上述措施控制时，应迅速停运全部主机，关闭调节阀，组织现场无关人员撤离，同时向调度、车间汇报，并拨打3689119救助，利用消防水遏制漏氨处。</w:t>
      </w:r>
    </w:p>
    <w:p>
      <w:pPr>
        <w:rPr>
          <w:rFonts w:hint="eastAsia"/>
          <w:b/>
          <w:bCs/>
          <w:color w:val="auto"/>
          <w:u w:val="single"/>
          <w:lang w:val="en-US" w:eastAsia="zh-CN"/>
        </w:rPr>
      </w:pPr>
      <w:r>
        <w:rPr>
          <w:rFonts w:hint="eastAsia"/>
          <w:b/>
          <w:bCs/>
          <w:color w:val="auto"/>
          <w:u w:val="single"/>
          <w:lang w:val="en-US" w:eastAsia="zh-CN"/>
        </w:rPr>
        <w:t>6.3.2.5 如泄漏情况特别严重无法处理，应立即按紧急停车按钮，组织现场人员向逆风方向撤离，清点人数，向调度、车间汇报。</w:t>
      </w:r>
    </w:p>
    <w:p>
      <w:pPr>
        <w:rPr>
          <w:rFonts w:hint="eastAsia"/>
          <w:b/>
          <w:bCs/>
          <w:color w:val="auto"/>
          <w:u w:val="single"/>
          <w:lang w:val="en-US" w:eastAsia="zh-CN"/>
        </w:rPr>
      </w:pPr>
      <w:r>
        <w:rPr>
          <w:rFonts w:hint="eastAsia"/>
          <w:b/>
          <w:bCs/>
          <w:color w:val="auto"/>
          <w:u w:val="single"/>
          <w:lang w:val="en-US" w:eastAsia="zh-CN"/>
        </w:rPr>
        <w:t>6.3.2.6 为了防止污染环境，将稀释氨的水溶液进行回收，严禁随意排入地沟污染环境。</w:t>
      </w:r>
    </w:p>
    <w:p>
      <w:pPr>
        <w:pStyle w:val="20"/>
        <w:numPr>
          <w:ilvl w:val="0"/>
          <w:numId w:val="0"/>
        </w:numPr>
        <w:ind w:leftChars="200"/>
        <w:rPr>
          <w:rFonts w:hint="eastAsia"/>
          <w:b/>
          <w:bCs/>
          <w:u w:val="single"/>
          <w:lang w:val="en-US" w:eastAsia="zh-CN"/>
        </w:rPr>
      </w:pPr>
      <w:r>
        <w:rPr>
          <w:rFonts w:hint="default" w:ascii="Arial" w:hAnsi="Arial" w:cs="Arial"/>
          <w:b/>
          <w:bCs/>
          <w:u w:val="single"/>
          <w:lang w:val="en-US" w:eastAsia="zh-CN"/>
        </w:rPr>
        <w:t>……</w:t>
      </w:r>
    </w:p>
    <w:p>
      <w:pPr>
        <w:rPr>
          <w:rFonts w:hint="eastAsia"/>
          <w:b/>
          <w:bCs/>
          <w:color w:val="auto"/>
          <w:u w:val="single"/>
          <w:lang w:val="en-US" w:eastAsia="zh-CN"/>
        </w:rPr>
      </w:pPr>
      <w:r>
        <w:rPr>
          <w:rFonts w:hint="eastAsia"/>
          <w:b/>
          <w:bCs/>
          <w:color w:val="auto"/>
          <w:u w:val="single"/>
          <w:lang w:val="en-US" w:eastAsia="zh-CN"/>
        </w:rPr>
        <w:t>（3）硫酸泄漏事故处置措施</w:t>
      </w:r>
    </w:p>
    <w:p>
      <w:pPr>
        <w:rPr>
          <w:rFonts w:hint="eastAsia"/>
          <w:b/>
          <w:bCs/>
          <w:color w:val="auto"/>
          <w:u w:val="single"/>
          <w:lang w:val="en-US" w:eastAsia="zh-CN"/>
        </w:rPr>
      </w:pPr>
      <w:r>
        <w:rPr>
          <w:rFonts w:hint="eastAsia"/>
          <w:b/>
          <w:bCs/>
          <w:color w:val="auto"/>
          <w:u w:val="single"/>
          <w:lang w:val="en-US" w:eastAsia="zh-CN"/>
        </w:rPr>
        <w:t>泄漏应急处理：泄漏污染人员迅速撤离至安全区域，并隔离污染区，严禁出入；应急处置人员着必要的防护用品迅速进入泄漏污染区，切断泄漏源，采取有效措施防止进入下水道；对泄漏污染区用砂土、石灰覆盖或用大量水冲洗稀释中和后排入应急池系统，经处理达标排放。泄漏处理方法：小量泄漏，用沙土、水泥粉、煤灰进行覆盖；大量泄漏，构筑围堤或调整送入事故池或挖坑收容或生石灰、烧碱、纯碱进行中和吸附，减少硫酸的腐蚀性；也可以用大量清水冲洗，洗水稀释后送入事故池。用防爆泵转移至槽车内或专用收集容器内，回收或运至事故池内处置。</w:t>
      </w:r>
    </w:p>
    <w:p>
      <w:pPr>
        <w:bidi w:val="0"/>
        <w:rPr>
          <w:rFonts w:hint="default"/>
          <w:b/>
          <w:bCs/>
          <w:color w:val="auto"/>
          <w:u w:val="single"/>
          <w:lang w:val="en-US" w:eastAsia="zh-CN"/>
        </w:rPr>
      </w:pPr>
      <w:r>
        <w:rPr>
          <w:rFonts w:hint="default"/>
          <w:b/>
          <w:bCs/>
          <w:color w:val="auto"/>
          <w:u w:val="single"/>
          <w:lang w:val="en-US" w:eastAsia="zh-CN"/>
        </w:rPr>
        <w:t>……</w:t>
      </w:r>
    </w:p>
    <w:p>
      <w:pPr>
        <w:bidi w:val="0"/>
        <w:rPr>
          <w:rFonts w:hint="eastAsia"/>
          <w:b/>
          <w:bCs/>
          <w:color w:val="auto"/>
          <w:u w:val="single"/>
          <w:lang w:val="en-US" w:eastAsia="zh-CN"/>
        </w:rPr>
      </w:pPr>
      <w:r>
        <w:rPr>
          <w:rFonts w:hint="eastAsia"/>
          <w:b/>
          <w:bCs/>
          <w:color w:val="auto"/>
          <w:u w:val="single"/>
          <w:lang w:val="en-US" w:eastAsia="zh-CN"/>
        </w:rPr>
        <w:t>6、危险废物泄漏、着火事故</w:t>
      </w:r>
    </w:p>
    <w:p>
      <w:pPr>
        <w:bidi w:val="0"/>
        <w:rPr>
          <w:rFonts w:hint="eastAsia"/>
          <w:b/>
          <w:bCs/>
          <w:color w:val="auto"/>
          <w:u w:val="single"/>
          <w:lang w:val="en-US" w:eastAsia="zh-CN"/>
        </w:rPr>
      </w:pPr>
      <w:r>
        <w:rPr>
          <w:rFonts w:hint="eastAsia"/>
          <w:b/>
          <w:bCs/>
          <w:color w:val="auto"/>
          <w:u w:val="single"/>
          <w:lang w:val="en-US" w:eastAsia="zh-CN"/>
        </w:rPr>
        <w:t>6.1 应急处理措施：</w:t>
      </w:r>
    </w:p>
    <w:p>
      <w:pPr>
        <w:bidi w:val="0"/>
        <w:rPr>
          <w:rFonts w:hint="eastAsia"/>
          <w:b/>
          <w:bCs/>
          <w:color w:val="auto"/>
          <w:u w:val="single"/>
          <w:lang w:val="en-US" w:eastAsia="zh-CN"/>
        </w:rPr>
      </w:pPr>
      <w:r>
        <w:rPr>
          <w:rFonts w:hint="eastAsia"/>
          <w:b/>
          <w:bCs/>
          <w:color w:val="auto"/>
          <w:u w:val="single"/>
          <w:lang w:val="en-US" w:eastAsia="zh-CN"/>
        </w:rPr>
        <w:t>6.1.1 操作工发现危废间泄漏或着火时，迅速电话通知调度；</w:t>
      </w:r>
    </w:p>
    <w:p>
      <w:pPr>
        <w:bidi w:val="0"/>
        <w:rPr>
          <w:rFonts w:hint="eastAsia"/>
          <w:b/>
          <w:bCs/>
          <w:color w:val="auto"/>
          <w:u w:val="single"/>
          <w:lang w:val="en-US" w:eastAsia="zh-CN"/>
        </w:rPr>
      </w:pPr>
      <w:r>
        <w:rPr>
          <w:rFonts w:hint="eastAsia"/>
          <w:b/>
          <w:bCs/>
          <w:color w:val="auto"/>
          <w:u w:val="single"/>
          <w:lang w:val="en-US" w:eastAsia="zh-CN"/>
        </w:rPr>
        <w:t>6.1.2 危废泄露时，操作工、当班长负责对现场收集池内废矿物油进行清理；危险废物着火时，操作工及班长快速到危废间外用消防钎取消防桶到危废间内着火处灭火。班长、操作工快速到危废间内取灭火器灭火；</w:t>
      </w:r>
    </w:p>
    <w:p>
      <w:pPr>
        <w:bidi w:val="0"/>
        <w:rPr>
          <w:rFonts w:hint="eastAsia"/>
          <w:b/>
          <w:bCs/>
          <w:color w:val="auto"/>
          <w:u w:val="single"/>
          <w:lang w:val="en-US" w:eastAsia="zh-CN"/>
        </w:rPr>
      </w:pPr>
      <w:r>
        <w:rPr>
          <w:rFonts w:hint="eastAsia"/>
          <w:b/>
          <w:bCs/>
          <w:color w:val="auto"/>
          <w:u w:val="single"/>
          <w:lang w:val="en-US" w:eastAsia="zh-CN"/>
        </w:rPr>
        <w:t>6.1.3 当危险废物着火时，车间领导立即安排调整事故影响区域的生产作业；</w:t>
      </w:r>
    </w:p>
    <w:p>
      <w:pPr>
        <w:bidi w:val="0"/>
        <w:rPr>
          <w:rFonts w:hint="eastAsia"/>
          <w:b/>
          <w:bCs/>
          <w:color w:val="auto"/>
          <w:u w:val="single"/>
          <w:lang w:val="en-US" w:eastAsia="zh-CN"/>
        </w:rPr>
      </w:pPr>
      <w:r>
        <w:rPr>
          <w:rFonts w:hint="eastAsia"/>
          <w:b/>
          <w:bCs/>
          <w:color w:val="auto"/>
          <w:u w:val="single"/>
          <w:lang w:val="en-US" w:eastAsia="zh-CN"/>
        </w:rPr>
        <w:t>6.1.4 环保部组织应急人员赶到现场后立即开展救火作业；</w:t>
      </w:r>
    </w:p>
    <w:p>
      <w:pPr>
        <w:bidi w:val="0"/>
        <w:rPr>
          <w:rFonts w:hint="eastAsia"/>
          <w:b/>
          <w:bCs/>
          <w:color w:val="auto"/>
          <w:u w:val="single"/>
          <w:lang w:val="en-US" w:eastAsia="zh-CN"/>
        </w:rPr>
      </w:pPr>
      <w:r>
        <w:rPr>
          <w:rFonts w:hint="eastAsia"/>
          <w:b/>
          <w:bCs/>
          <w:color w:val="auto"/>
          <w:u w:val="single"/>
          <w:lang w:val="en-US" w:eastAsia="zh-CN"/>
        </w:rPr>
        <w:t>6.1.5 应急人员戴好防护用具做好事故现场的隔离警戒、人员疏散、环境可燃气和有毒气体浓度监测、消防应急等处理。</w:t>
      </w:r>
    </w:p>
    <w:p>
      <w:pPr>
        <w:bidi w:val="0"/>
        <w:rPr>
          <w:rFonts w:hint="default"/>
          <w:b/>
          <w:bCs/>
          <w:color w:val="auto"/>
          <w:u w:val="single"/>
          <w:lang w:val="en-US" w:eastAsia="zh-CN"/>
        </w:rPr>
      </w:pPr>
      <w:r>
        <w:rPr>
          <w:rFonts w:hint="default"/>
          <w:b/>
          <w:bCs/>
          <w:color w:val="auto"/>
          <w:u w:val="single"/>
          <w:lang w:val="en-US" w:eastAsia="zh-CN"/>
        </w:rPr>
        <w:t>……</w:t>
      </w:r>
    </w:p>
    <w:p>
      <w:pPr>
        <w:bidi w:val="0"/>
        <w:rPr>
          <w:rFonts w:hint="eastAsia"/>
          <w:b/>
          <w:bCs/>
          <w:color w:val="auto"/>
          <w:u w:val="single"/>
          <w:lang w:val="en-US" w:eastAsia="zh-CN"/>
        </w:rPr>
      </w:pPr>
      <w:r>
        <w:rPr>
          <w:rFonts w:hint="eastAsia"/>
          <w:b/>
          <w:bCs/>
          <w:color w:val="auto"/>
          <w:u w:val="single"/>
          <w:lang w:val="en-US" w:eastAsia="zh-CN"/>
        </w:rPr>
        <w:t>综上，企业制定有严格的风险防范措施及应急预案，且每年组织一次综合演练，专项预案演练及现场应急处置演练每半年一次。详细记录演练实施过程，包括演练实施时间、实施地点、参加人员、演练内容等。</w:t>
      </w:r>
    </w:p>
    <w:p>
      <w:pPr>
        <w:rPr>
          <w:rFonts w:hint="default"/>
          <w:b/>
          <w:bCs/>
          <w:color w:val="auto"/>
          <w:u w:val="single"/>
          <w:lang w:val="en-US" w:eastAsia="zh-CN"/>
        </w:rPr>
      </w:pPr>
      <w:r>
        <w:rPr>
          <w:rFonts w:hint="eastAsia"/>
          <w:b/>
          <w:bCs/>
          <w:color w:val="auto"/>
          <w:u w:val="single"/>
          <w:lang w:val="en-US" w:eastAsia="zh-CN"/>
        </w:rPr>
        <w:t>每次演练结束后应急指挥部的负责人要对预案演练效果进行分析评价，提交演练报告，提出有针对性的内容、要求和措施，以便提高员工的应急处理能力，做到持续改进。</w:t>
      </w:r>
    </w:p>
    <w:p>
      <w:pPr>
        <w:pStyle w:val="7"/>
        <w:bidi w:val="0"/>
        <w:rPr>
          <w:color w:val="auto"/>
        </w:rPr>
      </w:pPr>
      <w:bookmarkStart w:id="189" w:name="_Toc31735"/>
      <w:r>
        <w:rPr>
          <w:rFonts w:hint="eastAsia"/>
          <w:color w:val="auto"/>
        </w:rPr>
        <w:t>3</w:t>
      </w:r>
      <w:r>
        <w:rPr>
          <w:rFonts w:hint="eastAsia"/>
          <w:color w:val="auto"/>
          <w:lang w:val="en-US" w:eastAsia="zh-CN"/>
        </w:rPr>
        <w:t>.7</w:t>
      </w:r>
      <w:r>
        <w:rPr>
          <w:rFonts w:hint="eastAsia"/>
          <w:color w:val="auto"/>
        </w:rPr>
        <w:t>现有工程存在的环保问题及整改措施</w:t>
      </w:r>
      <w:bookmarkEnd w:id="189"/>
    </w:p>
    <w:p>
      <w:pPr>
        <w:bidi w:val="0"/>
        <w:rPr>
          <w:color w:val="auto"/>
        </w:rPr>
      </w:pPr>
      <w:r>
        <w:rPr>
          <w:rFonts w:hint="eastAsia"/>
          <w:color w:val="auto"/>
        </w:rPr>
        <w:t>根据现场查看，新乡化纤股份有限公司新厂区现场存在的环保问题及整改措施如下：</w:t>
      </w:r>
    </w:p>
    <w:p>
      <w:pPr>
        <w:bidi w:val="0"/>
        <w:rPr>
          <w:color w:val="auto"/>
        </w:rPr>
      </w:pPr>
      <w:r>
        <w:rPr>
          <w:rFonts w:hint="eastAsia"/>
          <w:color w:val="auto"/>
        </w:rPr>
        <w:t>1、现有工程氨纶生产线溶剂DMAC回收精制系统装置区域风险防范设施不规范，评价要求企业在现有精制系统装置区建设截污沟和事故收集池，避免精制系统发生泄漏时，泄漏的物料地面横流进入雨水管网系统。</w:t>
      </w:r>
    </w:p>
    <w:p>
      <w:pPr>
        <w:bidi w:val="0"/>
        <w:rPr>
          <w:rFonts w:hint="eastAsia"/>
          <w:color w:val="auto"/>
        </w:rPr>
      </w:pPr>
      <w:r>
        <w:rPr>
          <w:rFonts w:hint="eastAsia"/>
          <w:b/>
          <w:bCs/>
          <w:color w:val="auto"/>
          <w:u w:val="single"/>
        </w:rPr>
        <w:t>2、现有工程氨纶生产线添加剂添加投料工序产生少量粉尘。原来情况为在密闭间内投料，投料粉尘在密闭投料间内自然沉降。现在正改进的治理措施为：投料间密闭，在投料口上方设置集气罩收集粉尘，再经袋式除尘器治理后通过15m高排气筒排放。经现场查看，现有氨纶车间投料粉尘经治理后在车间内无组织排放，未建15m高排气筒。评价要求企业加装15m高排气筒。</w:t>
      </w:r>
    </w:p>
    <w:p>
      <w:pPr>
        <w:pStyle w:val="4"/>
        <w:rPr>
          <w:rFonts w:hint="eastAsia"/>
          <w:b/>
          <w:bCs/>
          <w:color w:val="auto"/>
          <w:u w:val="single"/>
          <w:lang w:val="en-US" w:eastAsia="zh-CN"/>
        </w:rPr>
      </w:pPr>
      <w:r>
        <w:rPr>
          <w:rFonts w:hint="eastAsia"/>
          <w:b/>
          <w:bCs/>
          <w:color w:val="auto"/>
          <w:u w:val="single"/>
          <w:lang w:val="en-US" w:eastAsia="zh-CN"/>
        </w:rPr>
        <w:t>3、密闭输送廊道有窗口没有封闭。</w:t>
      </w:r>
      <w:r>
        <w:rPr>
          <w:rFonts w:hint="eastAsia"/>
          <w:b/>
          <w:bCs/>
          <w:color w:val="auto"/>
          <w:u w:val="single"/>
        </w:rPr>
        <w:t>评价要求</w:t>
      </w:r>
      <w:r>
        <w:rPr>
          <w:rFonts w:hint="eastAsia"/>
          <w:b/>
          <w:bCs/>
          <w:color w:val="auto"/>
          <w:u w:val="single"/>
          <w:lang w:val="en-US" w:eastAsia="zh-CN"/>
        </w:rPr>
        <w:t>企业应加强管理，及时检查密闭设施，没有密闭的窗口及时关闭，出现缺口的及时修补。</w:t>
      </w:r>
    </w:p>
    <w:p>
      <w:pPr>
        <w:bidi w:val="0"/>
        <w:rPr>
          <w:rFonts w:hint="eastAsia"/>
          <w:color w:val="auto"/>
        </w:rPr>
      </w:pPr>
      <w:r>
        <w:rPr>
          <w:rFonts w:hint="eastAsia"/>
          <w:color w:val="auto"/>
        </w:rPr>
        <w:t>以上存在的问题及整改措施已在整改中，企业拟于2</w:t>
      </w:r>
      <w:r>
        <w:rPr>
          <w:color w:val="auto"/>
        </w:rPr>
        <w:t>023</w:t>
      </w:r>
      <w:r>
        <w:rPr>
          <w:rFonts w:hint="eastAsia"/>
          <w:color w:val="auto"/>
        </w:rPr>
        <w:t>年6月底之前完成整改。</w:t>
      </w:r>
    </w:p>
    <w:p>
      <w:pPr>
        <w:pStyle w:val="7"/>
        <w:bidi w:val="0"/>
        <w:rPr>
          <w:color w:val="auto"/>
        </w:rPr>
      </w:pPr>
      <w:bookmarkStart w:id="190" w:name="_Toc31460"/>
      <w:r>
        <w:rPr>
          <w:rFonts w:hint="eastAsia"/>
          <w:color w:val="auto"/>
        </w:rPr>
        <w:t>3.</w:t>
      </w:r>
      <w:r>
        <w:rPr>
          <w:rFonts w:hint="eastAsia"/>
          <w:color w:val="auto"/>
          <w:lang w:val="en-US" w:eastAsia="zh-CN"/>
        </w:rPr>
        <w:t>8</w:t>
      </w:r>
      <w:r>
        <w:rPr>
          <w:rFonts w:hint="eastAsia"/>
          <w:color w:val="auto"/>
        </w:rPr>
        <w:t>本项目工程分析</w:t>
      </w:r>
      <w:bookmarkEnd w:id="190"/>
    </w:p>
    <w:p>
      <w:pPr>
        <w:pStyle w:val="9"/>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1</w:t>
      </w:r>
      <w:r>
        <w:rPr>
          <w:rFonts w:hint="eastAsia"/>
          <w:color w:val="auto"/>
        </w:rPr>
        <w:t>项目基本情况</w:t>
      </w:r>
    </w:p>
    <w:p>
      <w:pPr>
        <w:bidi w:val="0"/>
        <w:rPr>
          <w:color w:val="auto"/>
        </w:rPr>
      </w:pPr>
      <w:r>
        <w:rPr>
          <w:rFonts w:hint="eastAsia"/>
          <w:color w:val="auto"/>
        </w:rPr>
        <w:t>本项目基本情况见下表：</w:t>
      </w:r>
    </w:p>
    <w:p>
      <w:pPr>
        <w:pStyle w:val="181"/>
        <w:bidi w:val="0"/>
        <w:rPr>
          <w:color w:val="auto"/>
        </w:rPr>
      </w:pPr>
      <w:r>
        <w:rPr>
          <w:rFonts w:hint="eastAsia"/>
          <w:color w:val="auto"/>
        </w:rPr>
        <w:t>表3</w:t>
      </w:r>
      <w:r>
        <w:rPr>
          <w:color w:val="auto"/>
        </w:rPr>
        <w:t>.</w:t>
      </w:r>
      <w:r>
        <w:rPr>
          <w:rFonts w:hint="eastAsia"/>
          <w:color w:val="auto"/>
          <w:lang w:val="en-US" w:eastAsia="zh-CN"/>
        </w:rPr>
        <w:t>8</w:t>
      </w:r>
      <w:r>
        <w:rPr>
          <w:rFonts w:hint="eastAsia"/>
          <w:color w:val="auto"/>
        </w:rPr>
        <w:t>-</w:t>
      </w:r>
      <w:r>
        <w:rPr>
          <w:color w:val="auto"/>
        </w:rPr>
        <w:t xml:space="preserve">1  </w:t>
      </w:r>
      <w:r>
        <w:rPr>
          <w:rFonts w:hint="eastAsia"/>
          <w:color w:val="auto"/>
          <w:lang w:val="en-US" w:eastAsia="zh-CN"/>
        </w:rPr>
        <w:t xml:space="preserve">                </w:t>
      </w:r>
      <w:r>
        <w:rPr>
          <w:rFonts w:hint="eastAsia"/>
          <w:color w:val="auto"/>
        </w:rPr>
        <w:t>项目基本情况表</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559"/>
        <w:gridCol w:w="6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b/>
                <w:bCs/>
                <w:color w:val="auto"/>
              </w:rPr>
            </w:pPr>
            <w:r>
              <w:rPr>
                <w:rFonts w:hint="eastAsia"/>
                <w:b/>
                <w:bCs/>
                <w:color w:val="auto"/>
              </w:rPr>
              <w:t>序号</w:t>
            </w:r>
          </w:p>
        </w:tc>
        <w:tc>
          <w:tcPr>
            <w:tcW w:w="1559" w:type="dxa"/>
            <w:vAlign w:val="center"/>
          </w:tcPr>
          <w:p>
            <w:pPr>
              <w:pStyle w:val="182"/>
              <w:bidi w:val="0"/>
              <w:rPr>
                <w:b/>
                <w:bCs/>
                <w:color w:val="auto"/>
              </w:rPr>
            </w:pPr>
            <w:r>
              <w:rPr>
                <w:rFonts w:hint="eastAsia"/>
                <w:b/>
                <w:bCs/>
                <w:color w:val="auto"/>
              </w:rPr>
              <w:t>项目</w:t>
            </w:r>
          </w:p>
        </w:tc>
        <w:tc>
          <w:tcPr>
            <w:tcW w:w="6515" w:type="dxa"/>
            <w:vAlign w:val="center"/>
          </w:tcPr>
          <w:p>
            <w:pPr>
              <w:pStyle w:val="182"/>
              <w:bidi w:val="0"/>
              <w:rPr>
                <w:b/>
                <w:bCs/>
                <w:color w:val="auto"/>
              </w:rPr>
            </w:pPr>
            <w:r>
              <w:rPr>
                <w:rFonts w:hint="eastAsia"/>
                <w:b/>
                <w:bCs/>
                <w:color w:val="auto"/>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1</w:t>
            </w:r>
          </w:p>
        </w:tc>
        <w:tc>
          <w:tcPr>
            <w:tcW w:w="1559" w:type="dxa"/>
            <w:vAlign w:val="center"/>
          </w:tcPr>
          <w:p>
            <w:pPr>
              <w:pStyle w:val="182"/>
              <w:bidi w:val="0"/>
              <w:rPr>
                <w:color w:val="auto"/>
              </w:rPr>
            </w:pPr>
            <w:r>
              <w:rPr>
                <w:rFonts w:hint="eastAsia"/>
                <w:color w:val="auto"/>
              </w:rPr>
              <w:t>项目名称</w:t>
            </w:r>
          </w:p>
        </w:tc>
        <w:tc>
          <w:tcPr>
            <w:tcW w:w="6515" w:type="dxa"/>
            <w:vAlign w:val="center"/>
          </w:tcPr>
          <w:p>
            <w:pPr>
              <w:pStyle w:val="182"/>
              <w:bidi w:val="0"/>
              <w:rPr>
                <w:color w:val="auto"/>
              </w:rPr>
            </w:pPr>
            <w:r>
              <w:rPr>
                <w:rFonts w:hint="eastAsia"/>
                <w:color w:val="auto"/>
              </w:rPr>
              <w:t>年产5000吨菌草生物质纤维产业化研发中试项目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2</w:t>
            </w:r>
          </w:p>
        </w:tc>
        <w:tc>
          <w:tcPr>
            <w:tcW w:w="1559" w:type="dxa"/>
            <w:vAlign w:val="center"/>
          </w:tcPr>
          <w:p>
            <w:pPr>
              <w:pStyle w:val="182"/>
              <w:bidi w:val="0"/>
              <w:rPr>
                <w:color w:val="auto"/>
              </w:rPr>
            </w:pPr>
            <w:r>
              <w:rPr>
                <w:rFonts w:hint="eastAsia"/>
                <w:color w:val="auto"/>
              </w:rPr>
              <w:t>建设单位</w:t>
            </w:r>
          </w:p>
        </w:tc>
        <w:tc>
          <w:tcPr>
            <w:tcW w:w="6515" w:type="dxa"/>
            <w:vAlign w:val="center"/>
          </w:tcPr>
          <w:p>
            <w:pPr>
              <w:pStyle w:val="182"/>
              <w:bidi w:val="0"/>
              <w:rPr>
                <w:color w:val="auto"/>
              </w:rPr>
            </w:pPr>
            <w:r>
              <w:rPr>
                <w:rFonts w:hint="eastAsia"/>
                <w:color w:val="auto"/>
              </w:rPr>
              <w:t>新乡化纤股份有限公司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3</w:t>
            </w:r>
          </w:p>
        </w:tc>
        <w:tc>
          <w:tcPr>
            <w:tcW w:w="1559" w:type="dxa"/>
            <w:vAlign w:val="center"/>
          </w:tcPr>
          <w:p>
            <w:pPr>
              <w:pStyle w:val="182"/>
              <w:bidi w:val="0"/>
              <w:rPr>
                <w:color w:val="auto"/>
              </w:rPr>
            </w:pPr>
            <w:r>
              <w:rPr>
                <w:rFonts w:hint="eastAsia"/>
                <w:color w:val="auto"/>
              </w:rPr>
              <w:t>建设地点</w:t>
            </w:r>
          </w:p>
        </w:tc>
        <w:tc>
          <w:tcPr>
            <w:tcW w:w="6515" w:type="dxa"/>
            <w:vAlign w:val="center"/>
          </w:tcPr>
          <w:p>
            <w:pPr>
              <w:pStyle w:val="182"/>
              <w:bidi w:val="0"/>
              <w:rPr>
                <w:color w:val="auto"/>
              </w:rPr>
            </w:pPr>
            <w:r>
              <w:rPr>
                <w:rFonts w:hint="eastAsia"/>
                <w:color w:val="auto"/>
              </w:rPr>
              <w:t>新乡经济技术开发区新长北路南侧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4</w:t>
            </w:r>
          </w:p>
        </w:tc>
        <w:tc>
          <w:tcPr>
            <w:tcW w:w="1559" w:type="dxa"/>
            <w:vAlign w:val="center"/>
          </w:tcPr>
          <w:p>
            <w:pPr>
              <w:pStyle w:val="182"/>
              <w:bidi w:val="0"/>
              <w:rPr>
                <w:color w:val="auto"/>
              </w:rPr>
            </w:pPr>
            <w:r>
              <w:rPr>
                <w:rFonts w:hint="eastAsia"/>
                <w:color w:val="auto"/>
              </w:rPr>
              <w:t>法人</w:t>
            </w:r>
          </w:p>
        </w:tc>
        <w:tc>
          <w:tcPr>
            <w:tcW w:w="6515" w:type="dxa"/>
            <w:vAlign w:val="center"/>
          </w:tcPr>
          <w:p>
            <w:pPr>
              <w:pStyle w:val="182"/>
              <w:bidi w:val="0"/>
              <w:rPr>
                <w:color w:val="auto"/>
              </w:rPr>
            </w:pPr>
            <w:r>
              <w:rPr>
                <w:rFonts w:hint="eastAsia"/>
                <w:color w:val="auto"/>
              </w:rPr>
              <w:t>邵长金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5</w:t>
            </w:r>
          </w:p>
        </w:tc>
        <w:tc>
          <w:tcPr>
            <w:tcW w:w="1559" w:type="dxa"/>
            <w:vAlign w:val="center"/>
          </w:tcPr>
          <w:p>
            <w:pPr>
              <w:pStyle w:val="182"/>
              <w:bidi w:val="0"/>
              <w:rPr>
                <w:color w:val="auto"/>
              </w:rPr>
            </w:pPr>
            <w:r>
              <w:rPr>
                <w:rFonts w:hint="eastAsia"/>
                <w:color w:val="auto"/>
              </w:rPr>
              <w:t>总投资</w:t>
            </w:r>
          </w:p>
        </w:tc>
        <w:tc>
          <w:tcPr>
            <w:tcW w:w="6515" w:type="dxa"/>
            <w:vAlign w:val="center"/>
          </w:tcPr>
          <w:p>
            <w:pPr>
              <w:pStyle w:val="182"/>
              <w:bidi w:val="0"/>
              <w:rPr>
                <w:color w:val="auto"/>
              </w:rPr>
            </w:pPr>
            <w:r>
              <w:rPr>
                <w:color w:val="auto"/>
              </w:rPr>
              <w:t>10000</w:t>
            </w:r>
            <w:r>
              <w:rPr>
                <w:rFonts w:hint="eastAsia"/>
                <w:color w:val="auto"/>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7</w:t>
            </w:r>
          </w:p>
        </w:tc>
        <w:tc>
          <w:tcPr>
            <w:tcW w:w="1559" w:type="dxa"/>
            <w:vAlign w:val="center"/>
          </w:tcPr>
          <w:p>
            <w:pPr>
              <w:pStyle w:val="182"/>
              <w:bidi w:val="0"/>
              <w:rPr>
                <w:color w:val="auto"/>
              </w:rPr>
            </w:pPr>
            <w:r>
              <w:rPr>
                <w:rFonts w:hint="eastAsia"/>
                <w:color w:val="auto"/>
              </w:rPr>
              <w:t>建设周期</w:t>
            </w:r>
          </w:p>
        </w:tc>
        <w:tc>
          <w:tcPr>
            <w:tcW w:w="6515" w:type="dxa"/>
            <w:vAlign w:val="center"/>
          </w:tcPr>
          <w:p>
            <w:pPr>
              <w:pStyle w:val="182"/>
              <w:bidi w:val="0"/>
              <w:rPr>
                <w:color w:val="auto"/>
              </w:rPr>
            </w:pPr>
            <w:r>
              <w:rPr>
                <w:rFonts w:hint="eastAsia"/>
                <w:color w:val="auto"/>
              </w:rPr>
              <w:t>10个月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8</w:t>
            </w:r>
          </w:p>
        </w:tc>
        <w:tc>
          <w:tcPr>
            <w:tcW w:w="1559" w:type="dxa"/>
            <w:vAlign w:val="center"/>
          </w:tcPr>
          <w:p>
            <w:pPr>
              <w:pStyle w:val="182"/>
              <w:bidi w:val="0"/>
              <w:rPr>
                <w:color w:val="auto"/>
              </w:rPr>
            </w:pPr>
            <w:r>
              <w:rPr>
                <w:rFonts w:hint="eastAsia"/>
                <w:color w:val="auto"/>
              </w:rPr>
              <w:t>占地面积</w:t>
            </w:r>
          </w:p>
        </w:tc>
        <w:tc>
          <w:tcPr>
            <w:tcW w:w="6515" w:type="dxa"/>
            <w:vAlign w:val="center"/>
          </w:tcPr>
          <w:p>
            <w:pPr>
              <w:pStyle w:val="182"/>
              <w:bidi w:val="0"/>
              <w:rPr>
                <w:color w:val="auto"/>
              </w:rPr>
            </w:pPr>
            <w:r>
              <w:rPr>
                <w:rFonts w:hint="eastAsia"/>
                <w:color w:val="auto"/>
              </w:rPr>
              <w:t>82800m</w:t>
            </w:r>
            <w:r>
              <w:rPr>
                <w:color w:val="auto"/>
                <w:vertAlign w:val="superscript"/>
              </w:rPr>
              <w:t>2</w:t>
            </w:r>
            <w:r>
              <w:rPr>
                <w:rFonts w:hint="eastAsia"/>
                <w:color w:val="auto"/>
              </w:rPr>
              <w:t>（合124亩）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9</w:t>
            </w:r>
          </w:p>
        </w:tc>
        <w:tc>
          <w:tcPr>
            <w:tcW w:w="1559" w:type="dxa"/>
            <w:vAlign w:val="center"/>
          </w:tcPr>
          <w:p>
            <w:pPr>
              <w:pStyle w:val="182"/>
              <w:bidi w:val="0"/>
              <w:rPr>
                <w:color w:val="auto"/>
              </w:rPr>
            </w:pPr>
            <w:r>
              <w:rPr>
                <w:rFonts w:hint="eastAsia"/>
                <w:color w:val="auto"/>
              </w:rPr>
              <w:t>职工人数</w:t>
            </w:r>
          </w:p>
        </w:tc>
        <w:tc>
          <w:tcPr>
            <w:tcW w:w="6515" w:type="dxa"/>
            <w:vAlign w:val="center"/>
          </w:tcPr>
          <w:p>
            <w:pPr>
              <w:pStyle w:val="182"/>
              <w:bidi w:val="0"/>
              <w:rPr>
                <w:color w:val="auto"/>
              </w:rPr>
            </w:pPr>
            <w:r>
              <w:rPr>
                <w:rFonts w:hint="eastAsia"/>
                <w:color w:val="auto"/>
              </w:rPr>
              <w:t>本项目新增劳动定员1</w:t>
            </w:r>
            <w:r>
              <w:rPr>
                <w:color w:val="auto"/>
              </w:rPr>
              <w:t>00</w:t>
            </w:r>
            <w:r>
              <w:rPr>
                <w:rFonts w:hint="eastAsia"/>
                <w:color w:val="auto"/>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10</w:t>
            </w:r>
          </w:p>
        </w:tc>
        <w:tc>
          <w:tcPr>
            <w:tcW w:w="1559" w:type="dxa"/>
            <w:vAlign w:val="center"/>
          </w:tcPr>
          <w:p>
            <w:pPr>
              <w:pStyle w:val="182"/>
              <w:bidi w:val="0"/>
              <w:rPr>
                <w:color w:val="auto"/>
              </w:rPr>
            </w:pPr>
            <w:r>
              <w:rPr>
                <w:rFonts w:hint="eastAsia"/>
                <w:color w:val="auto"/>
              </w:rPr>
              <w:t>生产制度</w:t>
            </w:r>
          </w:p>
        </w:tc>
        <w:tc>
          <w:tcPr>
            <w:tcW w:w="6515" w:type="dxa"/>
            <w:vAlign w:val="center"/>
          </w:tcPr>
          <w:p>
            <w:pPr>
              <w:pStyle w:val="182"/>
              <w:bidi w:val="0"/>
              <w:rPr>
                <w:color w:val="auto"/>
              </w:rPr>
            </w:pPr>
            <w:r>
              <w:rPr>
                <w:rFonts w:hint="eastAsia"/>
                <w:color w:val="auto"/>
              </w:rPr>
              <w:t>年工作时间3</w:t>
            </w:r>
            <w:r>
              <w:rPr>
                <w:color w:val="auto"/>
              </w:rPr>
              <w:t>30</w:t>
            </w:r>
            <w:r>
              <w:rPr>
                <w:rFonts w:hint="eastAsia"/>
                <w:color w:val="auto"/>
              </w:rPr>
              <w:t>天，每天3班，每班8小时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11</w:t>
            </w:r>
          </w:p>
        </w:tc>
        <w:tc>
          <w:tcPr>
            <w:tcW w:w="1559" w:type="dxa"/>
            <w:vAlign w:val="center"/>
          </w:tcPr>
          <w:p>
            <w:pPr>
              <w:pStyle w:val="182"/>
              <w:bidi w:val="0"/>
              <w:rPr>
                <w:color w:val="auto"/>
              </w:rPr>
            </w:pPr>
            <w:r>
              <w:rPr>
                <w:rFonts w:hint="eastAsia"/>
                <w:color w:val="auto"/>
              </w:rPr>
              <w:t>供水</w:t>
            </w:r>
          </w:p>
        </w:tc>
        <w:tc>
          <w:tcPr>
            <w:tcW w:w="6515" w:type="dxa"/>
            <w:vAlign w:val="center"/>
          </w:tcPr>
          <w:p>
            <w:pPr>
              <w:pStyle w:val="182"/>
              <w:bidi w:val="0"/>
              <w:rPr>
                <w:color w:val="auto"/>
              </w:rPr>
            </w:pPr>
            <w:r>
              <w:rPr>
                <w:rFonts w:hint="eastAsia"/>
                <w:color w:val="auto"/>
              </w:rPr>
              <w:t>由新乡市兴鹭水务供水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pStyle w:val="182"/>
              <w:bidi w:val="0"/>
              <w:rPr>
                <w:color w:val="auto"/>
              </w:rPr>
            </w:pPr>
            <w:r>
              <w:rPr>
                <w:color w:val="auto"/>
              </w:rPr>
              <w:t>12</w:t>
            </w:r>
          </w:p>
        </w:tc>
        <w:tc>
          <w:tcPr>
            <w:tcW w:w="1559" w:type="dxa"/>
            <w:vAlign w:val="center"/>
          </w:tcPr>
          <w:p>
            <w:pPr>
              <w:pStyle w:val="182"/>
              <w:bidi w:val="0"/>
              <w:rPr>
                <w:color w:val="auto"/>
              </w:rPr>
            </w:pPr>
            <w:r>
              <w:rPr>
                <w:rFonts w:hint="eastAsia"/>
                <w:color w:val="auto"/>
              </w:rPr>
              <w:t>排水去向</w:t>
            </w:r>
          </w:p>
        </w:tc>
        <w:tc>
          <w:tcPr>
            <w:tcW w:w="6515" w:type="dxa"/>
            <w:vAlign w:val="center"/>
          </w:tcPr>
          <w:p>
            <w:pPr>
              <w:pStyle w:val="182"/>
              <w:bidi w:val="0"/>
              <w:rPr>
                <w:color w:val="auto"/>
              </w:rPr>
            </w:pPr>
            <w:r>
              <w:rPr>
                <w:rFonts w:hint="eastAsia"/>
                <w:color w:val="auto"/>
              </w:rPr>
              <w:t>依托厂区内的污水处理站处理后，排入新乡市小店污水处理厂，最终排入大沙河。</w:t>
            </w:r>
          </w:p>
        </w:tc>
      </w:tr>
    </w:tbl>
    <w:p>
      <w:pPr>
        <w:pStyle w:val="9"/>
        <w:bidi w:val="0"/>
        <w:rPr>
          <w:rFonts w:hint="eastAsia"/>
          <w:color w:val="auto"/>
          <w:lang w:val="en-US" w:eastAsia="zh-CN"/>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2</w:t>
      </w:r>
      <w:r>
        <w:rPr>
          <w:rFonts w:hint="eastAsia"/>
          <w:color w:val="auto"/>
        </w:rPr>
        <w:t>项目建设内容</w:t>
      </w:r>
      <w:r>
        <w:rPr>
          <w:rFonts w:hint="eastAsia"/>
          <w:color w:val="auto"/>
          <w:lang w:val="en-US" w:eastAsia="zh-CN"/>
        </w:rPr>
        <w:t>及方案</w:t>
      </w:r>
    </w:p>
    <w:p>
      <w:pPr>
        <w:pStyle w:val="10"/>
        <w:bidi w:val="0"/>
        <w:rPr>
          <w:rFonts w:hint="default"/>
          <w:color w:val="auto"/>
          <w:lang w:val="en-US" w:eastAsia="zh-CN"/>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2.1</w:t>
      </w:r>
      <w:r>
        <w:rPr>
          <w:rFonts w:hint="eastAsia"/>
          <w:color w:val="auto"/>
        </w:rPr>
        <w:t>项目建设内容</w:t>
      </w:r>
    </w:p>
    <w:p>
      <w:pPr>
        <w:spacing w:line="520" w:lineRule="exact"/>
        <w:ind w:firstLine="482" w:firstLineChars="200"/>
        <w:rPr>
          <w:b/>
          <w:bCs/>
          <w:color w:val="auto"/>
          <w:u w:val="single"/>
        </w:rPr>
      </w:pPr>
      <w:r>
        <w:rPr>
          <w:rFonts w:hint="eastAsia"/>
          <w:b/>
          <w:bCs/>
          <w:color w:val="auto"/>
          <w:u w:val="single"/>
          <w:lang w:val="en-US" w:eastAsia="zh-CN"/>
        </w:rPr>
        <w:t>本项目为中试项目，在小试的基础上开展，建设单位现已申请五项相关发明专利，本项目建设是为发明专利的工程化应用探索相关工程参数，</w:t>
      </w:r>
      <w:r>
        <w:rPr>
          <w:rFonts w:hint="eastAsia"/>
          <w:b/>
          <w:bCs/>
          <w:color w:val="auto"/>
          <w:u w:val="single"/>
        </w:rPr>
        <w:t>项目建设内容详见表3</w:t>
      </w:r>
      <w:r>
        <w:rPr>
          <w:b/>
          <w:bCs/>
          <w:color w:val="auto"/>
          <w:u w:val="single"/>
        </w:rPr>
        <w:t>.</w:t>
      </w:r>
      <w:r>
        <w:rPr>
          <w:rFonts w:hint="eastAsia"/>
          <w:b/>
          <w:bCs/>
          <w:color w:val="auto"/>
          <w:u w:val="single"/>
          <w:lang w:val="en-US" w:eastAsia="zh-CN"/>
        </w:rPr>
        <w:t>8</w:t>
      </w:r>
      <w:r>
        <w:rPr>
          <w:rFonts w:hint="eastAsia"/>
          <w:b/>
          <w:bCs/>
          <w:color w:val="auto"/>
          <w:u w:val="single"/>
        </w:rPr>
        <w:t>-</w:t>
      </w:r>
      <w:r>
        <w:rPr>
          <w:b/>
          <w:bCs/>
          <w:color w:val="auto"/>
          <w:u w:val="single"/>
        </w:rPr>
        <w:t>2</w:t>
      </w:r>
      <w:r>
        <w:rPr>
          <w:rFonts w:hint="eastAsia"/>
          <w:b/>
          <w:bCs/>
          <w:color w:val="auto"/>
          <w:u w:val="single"/>
        </w:rPr>
        <w:t>。</w:t>
      </w:r>
    </w:p>
    <w:p>
      <w:pPr>
        <w:pStyle w:val="181"/>
        <w:bidi w:val="0"/>
        <w:rPr>
          <w:color w:val="auto"/>
        </w:rPr>
      </w:pPr>
      <w:r>
        <w:rPr>
          <w:rFonts w:hint="eastAsia"/>
          <w:color w:val="auto"/>
        </w:rPr>
        <w:t>表3</w:t>
      </w:r>
      <w:r>
        <w:rPr>
          <w:color w:val="auto"/>
        </w:rPr>
        <w:t>.</w:t>
      </w:r>
      <w:r>
        <w:rPr>
          <w:rFonts w:hint="eastAsia"/>
          <w:color w:val="auto"/>
          <w:lang w:val="en-US" w:eastAsia="zh-CN"/>
        </w:rPr>
        <w:t>8</w:t>
      </w:r>
      <w:r>
        <w:rPr>
          <w:rFonts w:hint="eastAsia"/>
          <w:color w:val="auto"/>
        </w:rPr>
        <w:t>-</w:t>
      </w:r>
      <w:r>
        <w:rPr>
          <w:color w:val="auto"/>
        </w:rPr>
        <w:t xml:space="preserve">2 </w:t>
      </w:r>
      <w:r>
        <w:rPr>
          <w:rFonts w:hint="eastAsia"/>
          <w:color w:val="auto"/>
          <w:lang w:val="en-US" w:eastAsia="zh-CN"/>
        </w:rPr>
        <w:t xml:space="preserve">                </w:t>
      </w:r>
      <w:r>
        <w:rPr>
          <w:color w:val="auto"/>
        </w:rPr>
        <w:t xml:space="preserve"> </w:t>
      </w:r>
      <w:r>
        <w:rPr>
          <w:rFonts w:hint="eastAsia"/>
          <w:color w:val="auto"/>
        </w:rPr>
        <w:t>项目建设内容一览表</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134"/>
        <w:gridCol w:w="1559"/>
        <w:gridCol w:w="4561"/>
        <w:gridCol w:w="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pStyle w:val="182"/>
              <w:bidi w:val="0"/>
              <w:rPr>
                <w:b/>
                <w:bCs/>
                <w:color w:val="auto"/>
              </w:rPr>
            </w:pPr>
            <w:r>
              <w:rPr>
                <w:b/>
                <w:bCs/>
                <w:color w:val="auto"/>
              </w:rPr>
              <w:t>项目</w:t>
            </w:r>
          </w:p>
        </w:tc>
        <w:tc>
          <w:tcPr>
            <w:tcW w:w="1134" w:type="dxa"/>
            <w:vAlign w:val="center"/>
          </w:tcPr>
          <w:p>
            <w:pPr>
              <w:pStyle w:val="182"/>
              <w:bidi w:val="0"/>
              <w:rPr>
                <w:b/>
                <w:bCs/>
                <w:color w:val="auto"/>
              </w:rPr>
            </w:pPr>
            <w:r>
              <w:rPr>
                <w:rFonts w:hint="eastAsia"/>
                <w:b/>
                <w:bCs/>
                <w:color w:val="auto"/>
              </w:rPr>
              <w:t>名称</w:t>
            </w:r>
          </w:p>
        </w:tc>
        <w:tc>
          <w:tcPr>
            <w:tcW w:w="1559" w:type="dxa"/>
            <w:vAlign w:val="center"/>
          </w:tcPr>
          <w:p>
            <w:pPr>
              <w:pStyle w:val="182"/>
              <w:bidi w:val="0"/>
              <w:rPr>
                <w:b/>
                <w:bCs/>
                <w:color w:val="auto"/>
              </w:rPr>
            </w:pPr>
            <w:r>
              <w:rPr>
                <w:b/>
                <w:bCs/>
                <w:color w:val="auto"/>
              </w:rPr>
              <w:t>建设内容</w:t>
            </w:r>
          </w:p>
        </w:tc>
        <w:tc>
          <w:tcPr>
            <w:tcW w:w="4561" w:type="dxa"/>
            <w:vAlign w:val="center"/>
          </w:tcPr>
          <w:p>
            <w:pPr>
              <w:pStyle w:val="182"/>
              <w:bidi w:val="0"/>
              <w:rPr>
                <w:b/>
                <w:bCs/>
                <w:color w:val="auto"/>
              </w:rPr>
            </w:pPr>
            <w:r>
              <w:rPr>
                <w:b/>
                <w:bCs/>
                <w:color w:val="auto"/>
              </w:rPr>
              <w:t>数量、规模</w:t>
            </w:r>
          </w:p>
        </w:tc>
        <w:tc>
          <w:tcPr>
            <w:tcW w:w="820" w:type="dxa"/>
            <w:vAlign w:val="center"/>
          </w:tcPr>
          <w:p>
            <w:pPr>
              <w:pStyle w:val="182"/>
              <w:bidi w:val="0"/>
              <w:rPr>
                <w:b/>
                <w:bCs/>
                <w:color w:val="auto"/>
              </w:rPr>
            </w:pPr>
            <w:r>
              <w:rPr>
                <w:b/>
                <w:bCs/>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restart"/>
            <w:vAlign w:val="center"/>
          </w:tcPr>
          <w:p>
            <w:pPr>
              <w:pStyle w:val="182"/>
              <w:bidi w:val="0"/>
              <w:rPr>
                <w:color w:val="auto"/>
              </w:rPr>
            </w:pPr>
            <w:bookmarkStart w:id="191" w:name="_Hlk120387030"/>
            <w:r>
              <w:rPr>
                <w:color w:val="auto"/>
              </w:rPr>
              <w:t>主体工程</w:t>
            </w:r>
          </w:p>
        </w:tc>
        <w:tc>
          <w:tcPr>
            <w:tcW w:w="1134" w:type="dxa"/>
            <w:vMerge w:val="restart"/>
            <w:vAlign w:val="center"/>
          </w:tcPr>
          <w:p>
            <w:pPr>
              <w:pStyle w:val="182"/>
              <w:bidi w:val="0"/>
              <w:rPr>
                <w:color w:val="auto"/>
              </w:rPr>
            </w:pPr>
            <w:r>
              <w:rPr>
                <w:rFonts w:hint="eastAsia"/>
                <w:color w:val="auto"/>
              </w:rPr>
              <w:t>备料系统</w:t>
            </w:r>
          </w:p>
        </w:tc>
        <w:tc>
          <w:tcPr>
            <w:tcW w:w="1559" w:type="dxa"/>
            <w:vAlign w:val="center"/>
          </w:tcPr>
          <w:p>
            <w:pPr>
              <w:pStyle w:val="182"/>
              <w:bidi w:val="0"/>
              <w:rPr>
                <w:color w:val="auto"/>
              </w:rPr>
            </w:pPr>
            <w:r>
              <w:rPr>
                <w:color w:val="auto"/>
              </w:rPr>
              <w:t>菌草堆料库</w:t>
            </w:r>
          </w:p>
        </w:tc>
        <w:tc>
          <w:tcPr>
            <w:tcW w:w="4561" w:type="dxa"/>
            <w:vAlign w:val="center"/>
          </w:tcPr>
          <w:p>
            <w:pPr>
              <w:pStyle w:val="182"/>
              <w:bidi w:val="0"/>
              <w:rPr>
                <w:color w:val="auto"/>
              </w:rPr>
            </w:pPr>
            <w:r>
              <w:rPr>
                <w:color w:val="auto"/>
              </w:rPr>
              <w:t>1座，</w:t>
            </w:r>
            <w:r>
              <w:rPr>
                <w:rFonts w:hint="eastAsia"/>
                <w:color w:val="auto"/>
              </w:rPr>
              <w:t>钢排架结构，</w:t>
            </w:r>
            <w:r>
              <w:rPr>
                <w:color w:val="auto"/>
              </w:rPr>
              <w:t>平面尺寸176×36m，单层，1栋，建筑面积6336m</w:t>
            </w:r>
            <w:r>
              <w:rPr>
                <w:color w:val="auto"/>
                <w:vertAlign w:val="superscript"/>
              </w:rPr>
              <w:t>2</w:t>
            </w:r>
          </w:p>
        </w:tc>
        <w:tc>
          <w:tcPr>
            <w:tcW w:w="820" w:type="dxa"/>
            <w:vAlign w:val="center"/>
          </w:tcPr>
          <w:p>
            <w:pPr>
              <w:pStyle w:val="182"/>
              <w:bidi w:val="0"/>
              <w:rPr>
                <w:color w:val="auto"/>
              </w:rPr>
            </w:pPr>
            <w:r>
              <w:rPr>
                <w:rFonts w:hint="eastAsia"/>
                <w:color w:val="auto"/>
              </w:rPr>
              <w:t>新建</w:t>
            </w:r>
          </w:p>
        </w:tc>
      </w:tr>
      <w:bookmarkEnd w:id="19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continue"/>
            <w:vAlign w:val="center"/>
          </w:tcPr>
          <w:p>
            <w:pPr>
              <w:pStyle w:val="182"/>
              <w:bidi w:val="0"/>
              <w:rPr>
                <w:color w:val="auto"/>
              </w:rPr>
            </w:pPr>
          </w:p>
        </w:tc>
        <w:tc>
          <w:tcPr>
            <w:tcW w:w="1559" w:type="dxa"/>
            <w:vAlign w:val="center"/>
          </w:tcPr>
          <w:p>
            <w:pPr>
              <w:pStyle w:val="182"/>
              <w:bidi w:val="0"/>
              <w:rPr>
                <w:rFonts w:hint="eastAsia" w:eastAsia="宋体"/>
                <w:color w:val="auto"/>
                <w:lang w:eastAsia="zh-CN"/>
              </w:rPr>
            </w:pPr>
            <w:r>
              <w:rPr>
                <w:rFonts w:hint="eastAsia"/>
                <w:color w:val="auto"/>
              </w:rPr>
              <w:t>水力除杂</w:t>
            </w:r>
            <w:r>
              <w:rPr>
                <w:rFonts w:hint="eastAsia"/>
                <w:color w:val="auto"/>
                <w:lang w:val="en-US" w:eastAsia="zh-CN"/>
              </w:rPr>
              <w:t>工段</w:t>
            </w:r>
          </w:p>
        </w:tc>
        <w:tc>
          <w:tcPr>
            <w:tcW w:w="4561" w:type="dxa"/>
            <w:vAlign w:val="center"/>
          </w:tcPr>
          <w:p>
            <w:pPr>
              <w:pStyle w:val="182"/>
              <w:bidi w:val="0"/>
              <w:rPr>
                <w:color w:val="auto"/>
              </w:rPr>
            </w:pPr>
            <w:r>
              <w:rPr>
                <w:color w:val="auto"/>
              </w:rPr>
              <w:t>1座，</w:t>
            </w:r>
            <w:r>
              <w:rPr>
                <w:rFonts w:hint="eastAsia"/>
                <w:color w:val="auto"/>
              </w:rPr>
              <w:t>框架结构，</w:t>
            </w:r>
            <w:r>
              <w:rPr>
                <w:color w:val="auto"/>
              </w:rPr>
              <w:t>平面尺寸40×30m，单层，建筑面积1200m</w:t>
            </w:r>
            <w:r>
              <w:rPr>
                <w:color w:val="auto"/>
                <w:vertAlign w:val="superscript"/>
              </w:rPr>
              <w:t>2</w:t>
            </w:r>
          </w:p>
        </w:tc>
        <w:tc>
          <w:tcPr>
            <w:tcW w:w="820" w:type="dxa"/>
            <w:vAlign w:val="center"/>
          </w:tcPr>
          <w:p>
            <w:pPr>
              <w:pStyle w:val="182"/>
              <w:bidi w:val="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continue"/>
            <w:vAlign w:val="center"/>
          </w:tcPr>
          <w:p>
            <w:pPr>
              <w:pStyle w:val="182"/>
              <w:bidi w:val="0"/>
              <w:rPr>
                <w:color w:val="auto"/>
              </w:rPr>
            </w:pPr>
          </w:p>
        </w:tc>
        <w:tc>
          <w:tcPr>
            <w:tcW w:w="1559" w:type="dxa"/>
            <w:vAlign w:val="center"/>
          </w:tcPr>
          <w:p>
            <w:pPr>
              <w:pStyle w:val="182"/>
              <w:bidi w:val="0"/>
              <w:rPr>
                <w:rFonts w:hint="eastAsia" w:eastAsia="宋体"/>
                <w:color w:val="auto"/>
                <w:lang w:eastAsia="zh-CN"/>
              </w:rPr>
            </w:pPr>
            <w:r>
              <w:rPr>
                <w:color w:val="auto"/>
              </w:rPr>
              <w:t>备料</w:t>
            </w:r>
            <w:r>
              <w:rPr>
                <w:rFonts w:hint="eastAsia"/>
                <w:color w:val="auto"/>
                <w:lang w:val="en-US" w:eastAsia="zh-CN"/>
              </w:rPr>
              <w:t>工段</w:t>
            </w:r>
          </w:p>
        </w:tc>
        <w:tc>
          <w:tcPr>
            <w:tcW w:w="4561" w:type="dxa"/>
            <w:vAlign w:val="center"/>
          </w:tcPr>
          <w:p>
            <w:pPr>
              <w:pStyle w:val="182"/>
              <w:bidi w:val="0"/>
              <w:rPr>
                <w:color w:val="auto"/>
              </w:rPr>
            </w:pPr>
            <w:r>
              <w:rPr>
                <w:color w:val="auto"/>
              </w:rPr>
              <w:t>1座，</w:t>
            </w:r>
            <w:r>
              <w:rPr>
                <w:rFonts w:hint="eastAsia"/>
                <w:color w:val="auto"/>
              </w:rPr>
              <w:t>框架结构，</w:t>
            </w:r>
            <w:r>
              <w:rPr>
                <w:color w:val="auto"/>
              </w:rPr>
              <w:t>平面尺寸37×30m，单层，建筑面积1110m</w:t>
            </w:r>
            <w:r>
              <w:rPr>
                <w:color w:val="auto"/>
                <w:vertAlign w:val="superscript"/>
              </w:rPr>
              <w:t>2</w:t>
            </w:r>
          </w:p>
        </w:tc>
        <w:tc>
          <w:tcPr>
            <w:tcW w:w="820" w:type="dxa"/>
            <w:vAlign w:val="center"/>
          </w:tcPr>
          <w:p>
            <w:pPr>
              <w:pStyle w:val="182"/>
              <w:bidi w:val="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restart"/>
            <w:vAlign w:val="center"/>
          </w:tcPr>
          <w:p>
            <w:pPr>
              <w:pStyle w:val="182"/>
              <w:bidi w:val="0"/>
              <w:rPr>
                <w:color w:val="auto"/>
              </w:rPr>
            </w:pPr>
            <w:r>
              <w:rPr>
                <w:rFonts w:hint="eastAsia"/>
                <w:color w:val="auto"/>
              </w:rPr>
              <w:t>制浆系统</w:t>
            </w:r>
          </w:p>
        </w:tc>
        <w:tc>
          <w:tcPr>
            <w:tcW w:w="1559" w:type="dxa"/>
            <w:vAlign w:val="center"/>
          </w:tcPr>
          <w:p>
            <w:pPr>
              <w:pStyle w:val="182"/>
              <w:bidi w:val="0"/>
              <w:rPr>
                <w:rFonts w:hint="eastAsia" w:eastAsia="宋体"/>
                <w:color w:val="auto"/>
                <w:lang w:eastAsia="zh-CN"/>
              </w:rPr>
            </w:pPr>
            <w:r>
              <w:rPr>
                <w:color w:val="auto"/>
              </w:rPr>
              <w:t>蒸煮</w:t>
            </w:r>
            <w:r>
              <w:rPr>
                <w:rFonts w:hint="eastAsia"/>
                <w:color w:val="auto"/>
                <w:lang w:val="en-US" w:eastAsia="zh-CN"/>
              </w:rPr>
              <w:t>工段</w:t>
            </w:r>
          </w:p>
        </w:tc>
        <w:tc>
          <w:tcPr>
            <w:tcW w:w="4561" w:type="dxa"/>
            <w:vAlign w:val="center"/>
          </w:tcPr>
          <w:p>
            <w:pPr>
              <w:pStyle w:val="182"/>
              <w:bidi w:val="0"/>
              <w:rPr>
                <w:color w:val="auto"/>
              </w:rPr>
            </w:pPr>
            <w:r>
              <w:rPr>
                <w:color w:val="auto"/>
              </w:rPr>
              <w:t>1座，</w:t>
            </w:r>
            <w:r>
              <w:rPr>
                <w:rFonts w:hint="eastAsia"/>
                <w:color w:val="auto"/>
              </w:rPr>
              <w:t>框架结构，</w:t>
            </w:r>
            <w:r>
              <w:rPr>
                <w:color w:val="auto"/>
              </w:rPr>
              <w:t>平面尺寸40×30m，单层，建筑面积1200m</w:t>
            </w:r>
            <w:r>
              <w:rPr>
                <w:color w:val="auto"/>
                <w:vertAlign w:val="superscript"/>
              </w:rPr>
              <w:t>2</w:t>
            </w:r>
          </w:p>
        </w:tc>
        <w:tc>
          <w:tcPr>
            <w:tcW w:w="820" w:type="dxa"/>
            <w:vAlign w:val="center"/>
          </w:tcPr>
          <w:p>
            <w:pPr>
              <w:pStyle w:val="182"/>
              <w:bidi w:val="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continue"/>
            <w:vAlign w:val="center"/>
          </w:tcPr>
          <w:p>
            <w:pPr>
              <w:pStyle w:val="182"/>
              <w:bidi w:val="0"/>
              <w:rPr>
                <w:color w:val="auto"/>
              </w:rPr>
            </w:pPr>
          </w:p>
        </w:tc>
        <w:tc>
          <w:tcPr>
            <w:tcW w:w="1559" w:type="dxa"/>
            <w:vAlign w:val="center"/>
          </w:tcPr>
          <w:p>
            <w:pPr>
              <w:pStyle w:val="182"/>
              <w:bidi w:val="0"/>
              <w:rPr>
                <w:rFonts w:hint="eastAsia" w:eastAsia="宋体"/>
                <w:color w:val="auto"/>
                <w:lang w:eastAsia="zh-CN"/>
              </w:rPr>
            </w:pPr>
            <w:r>
              <w:rPr>
                <w:rFonts w:hint="eastAsia"/>
                <w:color w:val="auto"/>
              </w:rPr>
              <w:t>洗浆筛选</w:t>
            </w:r>
            <w:r>
              <w:rPr>
                <w:rFonts w:hint="eastAsia"/>
                <w:color w:val="auto"/>
                <w:lang w:val="en-US" w:eastAsia="zh-CN"/>
              </w:rPr>
              <w:t>工段</w:t>
            </w:r>
          </w:p>
        </w:tc>
        <w:tc>
          <w:tcPr>
            <w:tcW w:w="4561" w:type="dxa"/>
            <w:vAlign w:val="center"/>
          </w:tcPr>
          <w:p>
            <w:pPr>
              <w:pStyle w:val="182"/>
              <w:bidi w:val="0"/>
              <w:rPr>
                <w:color w:val="auto"/>
              </w:rPr>
            </w:pPr>
            <w:r>
              <w:rPr>
                <w:color w:val="auto"/>
              </w:rPr>
              <w:t>1座，</w:t>
            </w:r>
            <w:r>
              <w:rPr>
                <w:rFonts w:hint="eastAsia"/>
                <w:color w:val="auto"/>
              </w:rPr>
              <w:t>框架结构，</w:t>
            </w:r>
            <w:r>
              <w:rPr>
                <w:color w:val="auto"/>
              </w:rPr>
              <w:t>平面尺寸40×20m，单层，建筑面积800m</w:t>
            </w:r>
            <w:r>
              <w:rPr>
                <w:color w:val="auto"/>
                <w:vertAlign w:val="superscript"/>
              </w:rPr>
              <w:t>2</w:t>
            </w:r>
          </w:p>
        </w:tc>
        <w:tc>
          <w:tcPr>
            <w:tcW w:w="820" w:type="dxa"/>
            <w:vAlign w:val="center"/>
          </w:tcPr>
          <w:p>
            <w:pPr>
              <w:pStyle w:val="182"/>
              <w:bidi w:val="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continue"/>
            <w:vAlign w:val="center"/>
          </w:tcPr>
          <w:p>
            <w:pPr>
              <w:pStyle w:val="182"/>
              <w:bidi w:val="0"/>
              <w:rPr>
                <w:color w:val="auto"/>
              </w:rPr>
            </w:pPr>
          </w:p>
        </w:tc>
        <w:tc>
          <w:tcPr>
            <w:tcW w:w="1559" w:type="dxa"/>
            <w:vAlign w:val="center"/>
          </w:tcPr>
          <w:p>
            <w:pPr>
              <w:pStyle w:val="182"/>
              <w:bidi w:val="0"/>
              <w:rPr>
                <w:rFonts w:hint="eastAsia" w:eastAsia="宋体"/>
                <w:color w:val="auto"/>
                <w:lang w:val="en-US" w:eastAsia="zh-CN"/>
              </w:rPr>
            </w:pPr>
            <w:r>
              <w:rPr>
                <w:color w:val="auto"/>
              </w:rPr>
              <w:t>漂白</w:t>
            </w:r>
            <w:r>
              <w:rPr>
                <w:rFonts w:hint="eastAsia"/>
                <w:color w:val="auto"/>
                <w:lang w:val="en-US" w:eastAsia="zh-CN"/>
              </w:rPr>
              <w:t>工段</w:t>
            </w:r>
          </w:p>
        </w:tc>
        <w:tc>
          <w:tcPr>
            <w:tcW w:w="4561" w:type="dxa"/>
            <w:vAlign w:val="center"/>
          </w:tcPr>
          <w:p>
            <w:pPr>
              <w:pStyle w:val="182"/>
              <w:bidi w:val="0"/>
              <w:rPr>
                <w:color w:val="auto"/>
              </w:rPr>
            </w:pPr>
            <w:r>
              <w:rPr>
                <w:color w:val="auto"/>
              </w:rPr>
              <w:t>1座，</w:t>
            </w:r>
            <w:r>
              <w:rPr>
                <w:rFonts w:hint="eastAsia"/>
                <w:color w:val="auto"/>
              </w:rPr>
              <w:t>框架结构，</w:t>
            </w:r>
            <w:r>
              <w:rPr>
                <w:color w:val="auto"/>
              </w:rPr>
              <w:t>平面尺寸98.7×22m，单层，建筑面积2171.4m</w:t>
            </w:r>
            <w:r>
              <w:rPr>
                <w:color w:val="auto"/>
                <w:vertAlign w:val="superscript"/>
              </w:rPr>
              <w:t>2</w:t>
            </w:r>
          </w:p>
        </w:tc>
        <w:tc>
          <w:tcPr>
            <w:tcW w:w="820" w:type="dxa"/>
            <w:vAlign w:val="center"/>
          </w:tcPr>
          <w:p>
            <w:pPr>
              <w:pStyle w:val="182"/>
              <w:bidi w:val="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continue"/>
            <w:vAlign w:val="center"/>
          </w:tcPr>
          <w:p>
            <w:pPr>
              <w:pStyle w:val="182"/>
              <w:bidi w:val="0"/>
              <w:rPr>
                <w:color w:val="auto"/>
              </w:rPr>
            </w:pPr>
          </w:p>
        </w:tc>
        <w:tc>
          <w:tcPr>
            <w:tcW w:w="1559" w:type="dxa"/>
            <w:vAlign w:val="center"/>
          </w:tcPr>
          <w:p>
            <w:pPr>
              <w:pStyle w:val="182"/>
              <w:bidi w:val="0"/>
              <w:rPr>
                <w:rFonts w:hint="eastAsia" w:eastAsia="宋体"/>
                <w:color w:val="auto"/>
                <w:lang w:eastAsia="zh-CN"/>
              </w:rPr>
            </w:pPr>
            <w:r>
              <w:rPr>
                <w:color w:val="auto"/>
              </w:rPr>
              <w:t>抄浆</w:t>
            </w:r>
            <w:r>
              <w:rPr>
                <w:rFonts w:hint="eastAsia"/>
                <w:color w:val="auto"/>
                <w:lang w:val="en-US" w:eastAsia="zh-CN"/>
              </w:rPr>
              <w:t>工段</w:t>
            </w:r>
          </w:p>
        </w:tc>
        <w:tc>
          <w:tcPr>
            <w:tcW w:w="4561" w:type="dxa"/>
            <w:vAlign w:val="center"/>
          </w:tcPr>
          <w:p>
            <w:pPr>
              <w:pStyle w:val="182"/>
              <w:bidi w:val="0"/>
              <w:rPr>
                <w:color w:val="auto"/>
              </w:rPr>
            </w:pPr>
            <w:r>
              <w:rPr>
                <w:color w:val="auto"/>
              </w:rPr>
              <w:t>1座，</w:t>
            </w:r>
            <w:r>
              <w:rPr>
                <w:rFonts w:hint="eastAsia"/>
                <w:color w:val="auto"/>
              </w:rPr>
              <w:t>框架结构，</w:t>
            </w:r>
            <w:r>
              <w:rPr>
                <w:color w:val="auto"/>
              </w:rPr>
              <w:t>平面尺寸129×36m，单层，建筑面积4644m</w:t>
            </w:r>
            <w:r>
              <w:rPr>
                <w:color w:val="auto"/>
                <w:vertAlign w:val="superscript"/>
              </w:rPr>
              <w:t>2</w:t>
            </w:r>
          </w:p>
        </w:tc>
        <w:tc>
          <w:tcPr>
            <w:tcW w:w="820" w:type="dxa"/>
            <w:vAlign w:val="center"/>
          </w:tcPr>
          <w:p>
            <w:pPr>
              <w:pStyle w:val="182"/>
              <w:bidi w:val="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Align w:val="center"/>
          </w:tcPr>
          <w:p>
            <w:pPr>
              <w:pStyle w:val="182"/>
              <w:bidi w:val="0"/>
              <w:rPr>
                <w:color w:val="auto"/>
              </w:rPr>
            </w:pPr>
            <w:r>
              <w:rPr>
                <w:rFonts w:hint="eastAsia"/>
                <w:color w:val="auto"/>
              </w:rPr>
              <w:t>木质素回收系统</w:t>
            </w:r>
          </w:p>
        </w:tc>
        <w:tc>
          <w:tcPr>
            <w:tcW w:w="1559" w:type="dxa"/>
            <w:vAlign w:val="center"/>
          </w:tcPr>
          <w:p>
            <w:pPr>
              <w:pStyle w:val="182"/>
              <w:bidi w:val="0"/>
              <w:rPr>
                <w:color w:val="auto"/>
              </w:rPr>
            </w:pPr>
            <w:r>
              <w:rPr>
                <w:color w:val="auto"/>
              </w:rPr>
              <w:t>木质素</w:t>
            </w:r>
            <w:r>
              <w:rPr>
                <w:rFonts w:hint="eastAsia"/>
                <w:color w:val="auto"/>
                <w:lang w:val="en-US" w:eastAsia="zh-CN"/>
              </w:rPr>
              <w:t>生产车间</w:t>
            </w:r>
          </w:p>
        </w:tc>
        <w:tc>
          <w:tcPr>
            <w:tcW w:w="4561" w:type="dxa"/>
            <w:vAlign w:val="center"/>
          </w:tcPr>
          <w:p>
            <w:pPr>
              <w:pStyle w:val="182"/>
              <w:bidi w:val="0"/>
              <w:rPr>
                <w:color w:val="auto"/>
              </w:rPr>
            </w:pPr>
            <w:r>
              <w:rPr>
                <w:color w:val="auto"/>
              </w:rPr>
              <w:t>1座，</w:t>
            </w:r>
            <w:r>
              <w:rPr>
                <w:rFonts w:hint="eastAsia"/>
                <w:color w:val="auto"/>
              </w:rPr>
              <w:t>框架结构，</w:t>
            </w:r>
            <w:r>
              <w:rPr>
                <w:color w:val="auto"/>
              </w:rPr>
              <w:t>平面尺寸126×56m，单层，建筑面积7056m</w:t>
            </w:r>
            <w:r>
              <w:rPr>
                <w:color w:val="auto"/>
                <w:vertAlign w:val="superscript"/>
              </w:rPr>
              <w:t>2</w:t>
            </w:r>
          </w:p>
        </w:tc>
        <w:tc>
          <w:tcPr>
            <w:tcW w:w="820" w:type="dxa"/>
            <w:vAlign w:val="center"/>
          </w:tcPr>
          <w:p>
            <w:pPr>
              <w:pStyle w:val="182"/>
              <w:bidi w:val="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restart"/>
            <w:vAlign w:val="center"/>
          </w:tcPr>
          <w:p>
            <w:pPr>
              <w:pStyle w:val="182"/>
              <w:bidi w:val="0"/>
              <w:rPr>
                <w:color w:val="auto"/>
              </w:rPr>
            </w:pPr>
            <w:r>
              <w:rPr>
                <w:rFonts w:hint="eastAsia"/>
                <w:color w:val="auto"/>
              </w:rPr>
              <w:t>仓储系统</w:t>
            </w:r>
          </w:p>
        </w:tc>
        <w:tc>
          <w:tcPr>
            <w:tcW w:w="1559" w:type="dxa"/>
            <w:vAlign w:val="center"/>
          </w:tcPr>
          <w:p>
            <w:pPr>
              <w:pStyle w:val="182"/>
              <w:bidi w:val="0"/>
              <w:rPr>
                <w:color w:val="auto"/>
              </w:rPr>
            </w:pPr>
            <w:r>
              <w:rPr>
                <w:color w:val="auto"/>
              </w:rPr>
              <w:t>成品库</w:t>
            </w:r>
            <w:r>
              <w:rPr>
                <w:rFonts w:hint="eastAsia"/>
                <w:color w:val="auto"/>
              </w:rPr>
              <w:t>1</w:t>
            </w:r>
          </w:p>
        </w:tc>
        <w:tc>
          <w:tcPr>
            <w:tcW w:w="4561" w:type="dxa"/>
            <w:vAlign w:val="center"/>
          </w:tcPr>
          <w:p>
            <w:pPr>
              <w:pStyle w:val="182"/>
              <w:bidi w:val="0"/>
              <w:rPr>
                <w:color w:val="auto"/>
              </w:rPr>
            </w:pPr>
            <w:r>
              <w:rPr>
                <w:color w:val="auto"/>
              </w:rPr>
              <w:t>1座，</w:t>
            </w:r>
            <w:r>
              <w:rPr>
                <w:rFonts w:hint="eastAsia"/>
                <w:color w:val="auto"/>
              </w:rPr>
              <w:t>钢排架结构，</w:t>
            </w:r>
            <w:r>
              <w:rPr>
                <w:color w:val="auto"/>
              </w:rPr>
              <w:t>平面尺寸124×37m，单层，建筑面积4588m</w:t>
            </w:r>
            <w:r>
              <w:rPr>
                <w:color w:val="auto"/>
                <w:vertAlign w:val="superscript"/>
              </w:rPr>
              <w:t>2</w:t>
            </w:r>
          </w:p>
        </w:tc>
        <w:tc>
          <w:tcPr>
            <w:tcW w:w="820" w:type="dxa"/>
            <w:vAlign w:val="center"/>
          </w:tcPr>
          <w:p>
            <w:pPr>
              <w:pStyle w:val="182"/>
              <w:bidi w:val="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continue"/>
            <w:vAlign w:val="center"/>
          </w:tcPr>
          <w:p>
            <w:pPr>
              <w:pStyle w:val="182"/>
              <w:bidi w:val="0"/>
              <w:rPr>
                <w:color w:val="auto"/>
              </w:rPr>
            </w:pPr>
          </w:p>
        </w:tc>
        <w:tc>
          <w:tcPr>
            <w:tcW w:w="1559" w:type="dxa"/>
            <w:vAlign w:val="center"/>
          </w:tcPr>
          <w:p>
            <w:pPr>
              <w:pStyle w:val="182"/>
              <w:bidi w:val="0"/>
              <w:rPr>
                <w:color w:val="auto"/>
              </w:rPr>
            </w:pPr>
            <w:r>
              <w:rPr>
                <w:color w:val="auto"/>
              </w:rPr>
              <w:t>成品库</w:t>
            </w:r>
            <w:r>
              <w:rPr>
                <w:rFonts w:hint="eastAsia"/>
                <w:color w:val="auto"/>
              </w:rPr>
              <w:t>2</w:t>
            </w:r>
          </w:p>
        </w:tc>
        <w:tc>
          <w:tcPr>
            <w:tcW w:w="4561" w:type="dxa"/>
            <w:vAlign w:val="center"/>
          </w:tcPr>
          <w:p>
            <w:pPr>
              <w:pStyle w:val="182"/>
              <w:bidi w:val="0"/>
              <w:rPr>
                <w:color w:val="auto"/>
              </w:rPr>
            </w:pPr>
            <w:r>
              <w:rPr>
                <w:color w:val="auto"/>
              </w:rPr>
              <w:t>1座，</w:t>
            </w:r>
            <w:r>
              <w:rPr>
                <w:rFonts w:hint="eastAsia"/>
                <w:color w:val="auto"/>
              </w:rPr>
              <w:t>钢排架结构，</w:t>
            </w:r>
            <w:r>
              <w:rPr>
                <w:color w:val="auto"/>
              </w:rPr>
              <w:t>平面尺寸124×56m，单层，建筑面积6944m</w:t>
            </w:r>
            <w:r>
              <w:rPr>
                <w:color w:val="auto"/>
                <w:vertAlign w:val="superscript"/>
              </w:rPr>
              <w:t>2</w:t>
            </w:r>
          </w:p>
        </w:tc>
        <w:tc>
          <w:tcPr>
            <w:tcW w:w="820" w:type="dxa"/>
            <w:vAlign w:val="center"/>
          </w:tcPr>
          <w:p>
            <w:pPr>
              <w:pStyle w:val="182"/>
              <w:bidi w:val="0"/>
              <w:rPr>
                <w:color w:val="auto"/>
              </w:rPr>
            </w:pPr>
            <w:r>
              <w:rPr>
                <w:rFonts w:hint="eastAsia"/>
                <w:color w:val="auto"/>
              </w:rPr>
              <w:t>新建，含辅材库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pStyle w:val="182"/>
              <w:bidi w:val="0"/>
              <w:rPr>
                <w:color w:val="auto"/>
              </w:rPr>
            </w:pPr>
            <w:r>
              <w:rPr>
                <w:rFonts w:hint="eastAsia"/>
                <w:color w:val="auto"/>
              </w:rPr>
              <w:t>辅助工程</w:t>
            </w:r>
          </w:p>
        </w:tc>
        <w:tc>
          <w:tcPr>
            <w:tcW w:w="2693" w:type="dxa"/>
            <w:gridSpan w:val="2"/>
            <w:vAlign w:val="center"/>
          </w:tcPr>
          <w:p>
            <w:pPr>
              <w:pStyle w:val="182"/>
              <w:bidi w:val="0"/>
              <w:rPr>
                <w:color w:val="auto"/>
              </w:rPr>
            </w:pPr>
            <w:r>
              <w:rPr>
                <w:color w:val="auto"/>
              </w:rPr>
              <w:t>配电房</w:t>
            </w:r>
            <w:r>
              <w:rPr>
                <w:rFonts w:hint="eastAsia"/>
                <w:color w:val="auto"/>
              </w:rPr>
              <w:t>（与成品库2合建）</w:t>
            </w:r>
          </w:p>
        </w:tc>
        <w:tc>
          <w:tcPr>
            <w:tcW w:w="4561" w:type="dxa"/>
            <w:vAlign w:val="center"/>
          </w:tcPr>
          <w:p>
            <w:pPr>
              <w:pStyle w:val="182"/>
              <w:bidi w:val="0"/>
              <w:rPr>
                <w:color w:val="auto"/>
              </w:rPr>
            </w:pPr>
            <w:r>
              <w:rPr>
                <w:color w:val="auto"/>
              </w:rPr>
              <w:t>1座，</w:t>
            </w:r>
            <w:r>
              <w:rPr>
                <w:rFonts w:hint="eastAsia"/>
                <w:color w:val="auto"/>
              </w:rPr>
              <w:t>框架结构，</w:t>
            </w:r>
            <w:r>
              <w:rPr>
                <w:color w:val="auto"/>
              </w:rPr>
              <w:t>平面尺寸21×16m，单层，建筑面积336m</w:t>
            </w:r>
            <w:r>
              <w:rPr>
                <w:color w:val="auto"/>
                <w:vertAlign w:val="superscript"/>
              </w:rPr>
              <w:t>2</w:t>
            </w:r>
          </w:p>
        </w:tc>
        <w:tc>
          <w:tcPr>
            <w:tcW w:w="820" w:type="dxa"/>
            <w:vAlign w:val="center"/>
          </w:tcPr>
          <w:p>
            <w:pPr>
              <w:pStyle w:val="182"/>
              <w:bidi w:val="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restart"/>
            <w:vAlign w:val="center"/>
          </w:tcPr>
          <w:p>
            <w:pPr>
              <w:pStyle w:val="182"/>
              <w:bidi w:val="0"/>
              <w:rPr>
                <w:b/>
                <w:bCs/>
                <w:color w:val="auto"/>
                <w:u w:val="single"/>
              </w:rPr>
            </w:pPr>
            <w:r>
              <w:rPr>
                <w:rFonts w:hint="eastAsia"/>
                <w:b/>
                <w:bCs/>
                <w:color w:val="auto"/>
                <w:u w:val="single"/>
              </w:rPr>
              <w:t>公用工程</w:t>
            </w:r>
          </w:p>
        </w:tc>
        <w:tc>
          <w:tcPr>
            <w:tcW w:w="2693" w:type="dxa"/>
            <w:gridSpan w:val="2"/>
            <w:vAlign w:val="center"/>
          </w:tcPr>
          <w:p>
            <w:pPr>
              <w:pStyle w:val="182"/>
              <w:bidi w:val="0"/>
              <w:rPr>
                <w:b/>
                <w:bCs/>
                <w:color w:val="auto"/>
                <w:u w:val="single"/>
              </w:rPr>
            </w:pPr>
            <w:r>
              <w:rPr>
                <w:rFonts w:hint="eastAsia"/>
                <w:b/>
                <w:bCs/>
                <w:color w:val="auto"/>
                <w:u w:val="single"/>
              </w:rPr>
              <w:t>给水</w:t>
            </w:r>
          </w:p>
        </w:tc>
        <w:tc>
          <w:tcPr>
            <w:tcW w:w="4561" w:type="dxa"/>
            <w:vAlign w:val="center"/>
          </w:tcPr>
          <w:p>
            <w:pPr>
              <w:pStyle w:val="182"/>
              <w:bidi w:val="0"/>
              <w:rPr>
                <w:b/>
                <w:bCs/>
                <w:color w:val="auto"/>
                <w:u w:val="single"/>
              </w:rPr>
            </w:pPr>
            <w:r>
              <w:rPr>
                <w:rFonts w:hint="eastAsia"/>
                <w:b/>
                <w:bCs/>
                <w:color w:val="auto"/>
                <w:u w:val="single"/>
              </w:rPr>
              <w:t>新乡市兴鹭水务提供</w:t>
            </w:r>
          </w:p>
        </w:tc>
        <w:tc>
          <w:tcPr>
            <w:tcW w:w="820" w:type="dxa"/>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b/>
                <w:bCs/>
                <w:color w:val="auto"/>
                <w:u w:val="single"/>
              </w:rPr>
            </w:pPr>
          </w:p>
        </w:tc>
        <w:tc>
          <w:tcPr>
            <w:tcW w:w="2693" w:type="dxa"/>
            <w:gridSpan w:val="2"/>
            <w:vAlign w:val="center"/>
          </w:tcPr>
          <w:p>
            <w:pPr>
              <w:pStyle w:val="182"/>
              <w:bidi w:val="0"/>
              <w:rPr>
                <w:b/>
                <w:bCs/>
                <w:color w:val="auto"/>
                <w:u w:val="single"/>
              </w:rPr>
            </w:pPr>
            <w:r>
              <w:rPr>
                <w:rFonts w:hint="eastAsia"/>
                <w:b/>
                <w:bCs/>
                <w:color w:val="auto"/>
                <w:u w:val="single"/>
              </w:rPr>
              <w:t>排水</w:t>
            </w:r>
          </w:p>
        </w:tc>
        <w:tc>
          <w:tcPr>
            <w:tcW w:w="4561" w:type="dxa"/>
            <w:vAlign w:val="center"/>
          </w:tcPr>
          <w:p>
            <w:pPr>
              <w:pStyle w:val="182"/>
              <w:bidi w:val="0"/>
              <w:rPr>
                <w:b/>
                <w:bCs/>
                <w:color w:val="auto"/>
                <w:u w:val="single"/>
              </w:rPr>
            </w:pPr>
            <w:r>
              <w:rPr>
                <w:rFonts w:hint="eastAsia"/>
                <w:b/>
                <w:bCs/>
                <w:color w:val="auto"/>
                <w:u w:val="single"/>
              </w:rPr>
              <w:t>依托厂区现有3.8万t/d污水处理站</w:t>
            </w:r>
          </w:p>
        </w:tc>
        <w:tc>
          <w:tcPr>
            <w:tcW w:w="820" w:type="dxa"/>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b/>
                <w:bCs/>
                <w:color w:val="auto"/>
                <w:u w:val="single"/>
              </w:rPr>
            </w:pPr>
          </w:p>
        </w:tc>
        <w:tc>
          <w:tcPr>
            <w:tcW w:w="2693" w:type="dxa"/>
            <w:gridSpan w:val="2"/>
            <w:vAlign w:val="center"/>
          </w:tcPr>
          <w:p>
            <w:pPr>
              <w:pStyle w:val="182"/>
              <w:bidi w:val="0"/>
              <w:rPr>
                <w:b/>
                <w:bCs/>
                <w:color w:val="auto"/>
                <w:u w:val="single"/>
              </w:rPr>
            </w:pPr>
            <w:r>
              <w:rPr>
                <w:rFonts w:hint="eastAsia"/>
                <w:b/>
                <w:bCs/>
                <w:color w:val="auto"/>
                <w:u w:val="single"/>
              </w:rPr>
              <w:t>供电</w:t>
            </w:r>
          </w:p>
        </w:tc>
        <w:tc>
          <w:tcPr>
            <w:tcW w:w="4561" w:type="dxa"/>
            <w:vAlign w:val="center"/>
          </w:tcPr>
          <w:p>
            <w:pPr>
              <w:pStyle w:val="182"/>
              <w:bidi w:val="0"/>
              <w:rPr>
                <w:b/>
                <w:bCs/>
                <w:color w:val="auto"/>
                <w:u w:val="single"/>
              </w:rPr>
            </w:pPr>
            <w:r>
              <w:rPr>
                <w:rFonts w:hint="eastAsia"/>
                <w:b/>
                <w:bCs/>
                <w:color w:val="auto"/>
                <w:u w:val="single"/>
              </w:rPr>
              <w:t>市政电网</w:t>
            </w:r>
          </w:p>
        </w:tc>
        <w:tc>
          <w:tcPr>
            <w:tcW w:w="820" w:type="dxa"/>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b/>
                <w:bCs/>
                <w:color w:val="auto"/>
                <w:u w:val="single"/>
              </w:rPr>
            </w:pPr>
          </w:p>
        </w:tc>
        <w:tc>
          <w:tcPr>
            <w:tcW w:w="2693" w:type="dxa"/>
            <w:gridSpan w:val="2"/>
            <w:vAlign w:val="center"/>
          </w:tcPr>
          <w:p>
            <w:pPr>
              <w:pStyle w:val="182"/>
              <w:bidi w:val="0"/>
              <w:rPr>
                <w:b/>
                <w:bCs/>
                <w:color w:val="auto"/>
                <w:u w:val="single"/>
              </w:rPr>
            </w:pPr>
            <w:r>
              <w:rPr>
                <w:rFonts w:hint="eastAsia"/>
                <w:b/>
                <w:bCs/>
                <w:color w:val="auto"/>
                <w:u w:val="single"/>
              </w:rPr>
              <w:t>供热</w:t>
            </w:r>
          </w:p>
        </w:tc>
        <w:tc>
          <w:tcPr>
            <w:tcW w:w="4561" w:type="dxa"/>
            <w:vAlign w:val="center"/>
          </w:tcPr>
          <w:p>
            <w:pPr>
              <w:pStyle w:val="182"/>
              <w:bidi w:val="0"/>
              <w:rPr>
                <w:b/>
                <w:bCs/>
                <w:color w:val="auto"/>
                <w:u w:val="single"/>
              </w:rPr>
            </w:pPr>
            <w:r>
              <w:rPr>
                <w:rFonts w:hint="eastAsia"/>
                <w:b/>
                <w:bCs/>
                <w:color w:val="auto"/>
                <w:u w:val="single"/>
              </w:rPr>
              <w:t>依托新乡化纤股份有限公司拟建的360t/h锅炉供给</w:t>
            </w:r>
          </w:p>
        </w:tc>
        <w:tc>
          <w:tcPr>
            <w:tcW w:w="820" w:type="dxa"/>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restart"/>
            <w:vAlign w:val="center"/>
          </w:tcPr>
          <w:p>
            <w:pPr>
              <w:pStyle w:val="182"/>
              <w:bidi w:val="0"/>
              <w:rPr>
                <w:color w:val="auto"/>
              </w:rPr>
            </w:pPr>
            <w:r>
              <w:rPr>
                <w:rFonts w:hint="eastAsia"/>
                <w:color w:val="auto"/>
              </w:rPr>
              <w:t>环保工程</w:t>
            </w:r>
          </w:p>
        </w:tc>
        <w:tc>
          <w:tcPr>
            <w:tcW w:w="1134" w:type="dxa"/>
            <w:vMerge w:val="restart"/>
            <w:vAlign w:val="center"/>
          </w:tcPr>
          <w:p>
            <w:pPr>
              <w:pStyle w:val="182"/>
              <w:bidi w:val="0"/>
              <w:rPr>
                <w:color w:val="auto"/>
              </w:rPr>
            </w:pPr>
            <w:r>
              <w:rPr>
                <w:rFonts w:hint="eastAsia"/>
                <w:color w:val="auto"/>
              </w:rPr>
              <w:t>废气处理设施</w:t>
            </w:r>
          </w:p>
        </w:tc>
        <w:tc>
          <w:tcPr>
            <w:tcW w:w="1559" w:type="dxa"/>
            <w:vAlign w:val="center"/>
          </w:tcPr>
          <w:p>
            <w:pPr>
              <w:pStyle w:val="182"/>
              <w:bidi w:val="0"/>
              <w:rPr>
                <w:b/>
                <w:bCs/>
                <w:color w:val="auto"/>
                <w:u w:val="single"/>
              </w:rPr>
            </w:pPr>
            <w:r>
              <w:rPr>
                <w:rFonts w:hint="eastAsia"/>
                <w:b/>
                <w:bCs/>
                <w:color w:val="auto"/>
                <w:u w:val="single"/>
              </w:rPr>
              <w:t>有组织废气</w:t>
            </w:r>
          </w:p>
        </w:tc>
        <w:tc>
          <w:tcPr>
            <w:tcW w:w="4561"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木质素干燥：袋式除尘器</w:t>
            </w:r>
          </w:p>
        </w:tc>
        <w:tc>
          <w:tcPr>
            <w:tcW w:w="820" w:type="dxa"/>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bookmarkStart w:id="192" w:name="_Hlk121065671"/>
          </w:p>
        </w:tc>
        <w:tc>
          <w:tcPr>
            <w:tcW w:w="1134" w:type="dxa"/>
            <w:vMerge w:val="continue"/>
            <w:vAlign w:val="center"/>
          </w:tcPr>
          <w:p>
            <w:pPr>
              <w:pStyle w:val="182"/>
              <w:bidi w:val="0"/>
              <w:rPr>
                <w:color w:val="auto"/>
              </w:rPr>
            </w:pPr>
          </w:p>
        </w:tc>
        <w:tc>
          <w:tcPr>
            <w:tcW w:w="1559" w:type="dxa"/>
            <w:vMerge w:val="restart"/>
            <w:vAlign w:val="center"/>
          </w:tcPr>
          <w:p>
            <w:pPr>
              <w:pStyle w:val="182"/>
              <w:bidi w:val="0"/>
              <w:rPr>
                <w:color w:val="auto"/>
              </w:rPr>
            </w:pPr>
            <w:r>
              <w:rPr>
                <w:rFonts w:hint="eastAsia"/>
                <w:color w:val="auto"/>
              </w:rPr>
              <w:t>无组织废气</w:t>
            </w:r>
          </w:p>
        </w:tc>
        <w:tc>
          <w:tcPr>
            <w:tcW w:w="4561" w:type="dxa"/>
            <w:vAlign w:val="center"/>
          </w:tcPr>
          <w:p>
            <w:pPr>
              <w:pStyle w:val="182"/>
              <w:bidi w:val="0"/>
              <w:rPr>
                <w:rFonts w:hint="eastAsia" w:eastAsia="宋体"/>
                <w:color w:val="auto"/>
                <w:lang w:eastAsia="zh-CN"/>
              </w:rPr>
            </w:pPr>
            <w:r>
              <w:rPr>
                <w:rFonts w:hint="eastAsia"/>
                <w:color w:val="auto"/>
              </w:rPr>
              <w:t>菌草堆料库扬尘：料库密闭，洒水抑尘</w:t>
            </w:r>
            <w:r>
              <w:rPr>
                <w:rFonts w:hint="eastAsia"/>
                <w:color w:val="auto"/>
                <w:lang w:eastAsia="zh-CN"/>
              </w:rPr>
              <w:t>；</w:t>
            </w:r>
            <w:r>
              <w:rPr>
                <w:rFonts w:hint="eastAsia"/>
                <w:b/>
                <w:bCs/>
                <w:color w:val="auto"/>
                <w:u w:val="single"/>
                <w:lang w:val="en-US" w:eastAsia="zh-CN"/>
              </w:rPr>
              <w:t>木质素混合物收集、分装</w:t>
            </w:r>
          </w:p>
        </w:tc>
        <w:tc>
          <w:tcPr>
            <w:tcW w:w="820" w:type="dxa"/>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continue"/>
            <w:vAlign w:val="center"/>
          </w:tcPr>
          <w:p>
            <w:pPr>
              <w:pStyle w:val="182"/>
              <w:bidi w:val="0"/>
              <w:rPr>
                <w:color w:val="auto"/>
              </w:rPr>
            </w:pPr>
          </w:p>
        </w:tc>
        <w:tc>
          <w:tcPr>
            <w:tcW w:w="1559" w:type="dxa"/>
            <w:vMerge w:val="continue"/>
            <w:vAlign w:val="center"/>
          </w:tcPr>
          <w:p>
            <w:pPr>
              <w:pStyle w:val="182"/>
              <w:bidi w:val="0"/>
              <w:rPr>
                <w:color w:val="auto"/>
              </w:rPr>
            </w:pPr>
          </w:p>
        </w:tc>
        <w:tc>
          <w:tcPr>
            <w:tcW w:w="4561" w:type="dxa"/>
            <w:vAlign w:val="center"/>
          </w:tcPr>
          <w:p>
            <w:pPr>
              <w:pStyle w:val="182"/>
              <w:bidi w:val="0"/>
              <w:rPr>
                <w:color w:val="auto"/>
              </w:rPr>
            </w:pPr>
            <w:r>
              <w:rPr>
                <w:rFonts w:hint="eastAsia"/>
                <w:color w:val="auto"/>
              </w:rPr>
              <w:t>蒸煮废气：通过在设备顶部配套的管道风机抽至五效蒸发器进行回收利用</w:t>
            </w:r>
          </w:p>
        </w:tc>
        <w:tc>
          <w:tcPr>
            <w:tcW w:w="820" w:type="dxa"/>
            <w:vAlign w:val="center"/>
          </w:tcPr>
          <w:p>
            <w:pPr>
              <w:pStyle w:val="182"/>
              <w:bidi w:val="0"/>
              <w:rPr>
                <w:color w:val="auto"/>
              </w:rPr>
            </w:pPr>
          </w:p>
        </w:tc>
      </w:tr>
      <w:bookmarkEnd w:id="19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2693" w:type="dxa"/>
            <w:gridSpan w:val="2"/>
            <w:vAlign w:val="center"/>
          </w:tcPr>
          <w:p>
            <w:pPr>
              <w:pStyle w:val="182"/>
              <w:bidi w:val="0"/>
              <w:rPr>
                <w:b/>
                <w:bCs/>
                <w:color w:val="auto"/>
                <w:u w:val="single"/>
              </w:rPr>
            </w:pPr>
            <w:r>
              <w:rPr>
                <w:b/>
                <w:bCs/>
                <w:color w:val="auto"/>
                <w:u w:val="single"/>
              </w:rPr>
              <w:t>废水收集处理设施</w:t>
            </w:r>
          </w:p>
        </w:tc>
        <w:tc>
          <w:tcPr>
            <w:tcW w:w="4561" w:type="dxa"/>
            <w:vAlign w:val="center"/>
          </w:tcPr>
          <w:p>
            <w:pPr>
              <w:pStyle w:val="182"/>
              <w:bidi w:val="0"/>
              <w:rPr>
                <w:b/>
                <w:bCs/>
                <w:color w:val="auto"/>
                <w:u w:val="single"/>
              </w:rPr>
            </w:pPr>
            <w:r>
              <w:rPr>
                <w:rFonts w:hint="eastAsia"/>
                <w:b/>
                <w:bCs/>
                <w:color w:val="auto"/>
                <w:u w:val="single"/>
              </w:rPr>
              <w:t>依托厂区内的</w:t>
            </w:r>
            <w:r>
              <w:rPr>
                <w:b/>
                <w:bCs/>
                <w:color w:val="auto"/>
                <w:u w:val="single"/>
              </w:rPr>
              <w:t>3.8</w:t>
            </w:r>
            <w:r>
              <w:rPr>
                <w:rFonts w:hint="eastAsia"/>
                <w:b/>
                <w:bCs/>
                <w:color w:val="auto"/>
                <w:u w:val="single"/>
              </w:rPr>
              <w:t>万</w:t>
            </w:r>
            <w:r>
              <w:rPr>
                <w:b/>
                <w:bCs/>
                <w:color w:val="auto"/>
                <w:u w:val="single"/>
              </w:rPr>
              <w:t>t/d</w:t>
            </w:r>
            <w:r>
              <w:rPr>
                <w:rFonts w:hint="eastAsia"/>
                <w:b/>
                <w:bCs/>
                <w:color w:val="auto"/>
                <w:u w:val="single"/>
              </w:rPr>
              <w:t>污水处理站处理后，排入新乡市小店污水处理厂，最终排入大沙河</w:t>
            </w:r>
          </w:p>
        </w:tc>
        <w:tc>
          <w:tcPr>
            <w:tcW w:w="820" w:type="dxa"/>
            <w:vAlign w:val="center"/>
          </w:tcPr>
          <w:p>
            <w:pPr>
              <w:pStyle w:val="182"/>
              <w:bidi w:val="0"/>
              <w:rPr>
                <w:b/>
                <w:bCs/>
                <w:color w:val="auto"/>
                <w:u w:val="single"/>
              </w:rPr>
            </w:pPr>
            <w:r>
              <w:rPr>
                <w:rFonts w:hint="eastAsia"/>
                <w:b/>
                <w:bCs/>
                <w:color w:val="auto"/>
                <w:u w:val="single"/>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2693" w:type="dxa"/>
            <w:gridSpan w:val="2"/>
            <w:vAlign w:val="center"/>
          </w:tcPr>
          <w:p>
            <w:pPr>
              <w:pStyle w:val="182"/>
              <w:bidi w:val="0"/>
              <w:rPr>
                <w:color w:val="auto"/>
              </w:rPr>
            </w:pPr>
            <w:r>
              <w:rPr>
                <w:color w:val="auto"/>
              </w:rPr>
              <w:t>噪声污染防治措施</w:t>
            </w:r>
          </w:p>
        </w:tc>
        <w:tc>
          <w:tcPr>
            <w:tcW w:w="4561" w:type="dxa"/>
            <w:vAlign w:val="center"/>
          </w:tcPr>
          <w:p>
            <w:pPr>
              <w:pStyle w:val="182"/>
              <w:bidi w:val="0"/>
              <w:rPr>
                <w:color w:val="auto"/>
              </w:rPr>
            </w:pPr>
            <w:r>
              <w:rPr>
                <w:rFonts w:hint="eastAsia"/>
                <w:color w:val="auto"/>
              </w:rPr>
              <w:t>采用低噪声设备、基础减振、车间隔声等降噪措施</w:t>
            </w:r>
          </w:p>
        </w:tc>
        <w:tc>
          <w:tcPr>
            <w:tcW w:w="820" w:type="dxa"/>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restart"/>
            <w:vAlign w:val="center"/>
          </w:tcPr>
          <w:p>
            <w:pPr>
              <w:pStyle w:val="182"/>
              <w:bidi w:val="0"/>
              <w:rPr>
                <w:b/>
                <w:bCs/>
                <w:color w:val="auto"/>
                <w:u w:val="single"/>
              </w:rPr>
            </w:pPr>
            <w:r>
              <w:rPr>
                <w:b/>
                <w:bCs/>
                <w:color w:val="auto"/>
                <w:u w:val="single"/>
              </w:rPr>
              <w:t>固体废物</w:t>
            </w:r>
          </w:p>
        </w:tc>
        <w:tc>
          <w:tcPr>
            <w:tcW w:w="1559" w:type="dxa"/>
            <w:vAlign w:val="center"/>
          </w:tcPr>
          <w:p>
            <w:pPr>
              <w:pStyle w:val="182"/>
              <w:bidi w:val="0"/>
              <w:rPr>
                <w:b/>
                <w:bCs/>
                <w:color w:val="auto"/>
                <w:u w:val="single"/>
              </w:rPr>
            </w:pPr>
            <w:r>
              <w:rPr>
                <w:rFonts w:hint="eastAsia"/>
                <w:b/>
                <w:bCs/>
                <w:color w:val="auto"/>
                <w:u w:val="single"/>
              </w:rPr>
              <w:t>一般固废</w:t>
            </w:r>
          </w:p>
        </w:tc>
        <w:tc>
          <w:tcPr>
            <w:tcW w:w="4561" w:type="dxa"/>
            <w:vAlign w:val="center"/>
          </w:tcPr>
          <w:p>
            <w:pPr>
              <w:pStyle w:val="182"/>
              <w:bidi w:val="0"/>
              <w:rPr>
                <w:b/>
                <w:bCs/>
                <w:color w:val="auto"/>
                <w:u w:val="single"/>
              </w:rPr>
            </w:pPr>
            <w:r>
              <w:rPr>
                <w:rFonts w:hint="eastAsia"/>
                <w:b/>
                <w:bCs/>
                <w:color w:val="auto"/>
                <w:u w:val="single"/>
              </w:rPr>
              <w:t>依托厂区现有一般工业固废全密闭暂存间</w:t>
            </w:r>
            <w:r>
              <w:rPr>
                <w:rFonts w:hint="default"/>
                <w:b/>
                <w:bCs/>
                <w:color w:val="auto"/>
                <w:u w:val="single"/>
                <w:lang w:val="en-US" w:eastAsia="zh-CN"/>
              </w:rPr>
              <w:t>（36m</w:t>
            </w:r>
            <w:r>
              <w:rPr>
                <w:rFonts w:hint="default"/>
                <w:b/>
                <w:bCs/>
                <w:color w:val="auto"/>
                <w:u w:val="single"/>
                <w:vertAlign w:val="superscript"/>
                <w:lang w:val="en-US" w:eastAsia="zh-CN"/>
              </w:rPr>
              <w:t>2</w:t>
            </w:r>
            <w:r>
              <w:rPr>
                <w:rFonts w:hint="default"/>
                <w:b/>
                <w:bCs/>
                <w:color w:val="auto"/>
                <w:u w:val="single"/>
                <w:lang w:val="en-US" w:eastAsia="zh-CN"/>
              </w:rPr>
              <w:t>）</w:t>
            </w:r>
          </w:p>
        </w:tc>
        <w:tc>
          <w:tcPr>
            <w:tcW w:w="820" w:type="dxa"/>
            <w:vAlign w:val="center"/>
          </w:tcPr>
          <w:p>
            <w:pPr>
              <w:pStyle w:val="182"/>
              <w:bidi w:val="0"/>
              <w:rPr>
                <w:b/>
                <w:bCs/>
                <w:color w:val="auto"/>
                <w:u w:val="single"/>
              </w:rPr>
            </w:pPr>
            <w:r>
              <w:rPr>
                <w:rFonts w:hint="eastAsia"/>
                <w:b/>
                <w:bCs/>
                <w:color w:val="auto"/>
                <w:u w:val="single"/>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pPr>
              <w:pStyle w:val="182"/>
              <w:bidi w:val="0"/>
              <w:rPr>
                <w:color w:val="auto"/>
              </w:rPr>
            </w:pPr>
          </w:p>
        </w:tc>
        <w:tc>
          <w:tcPr>
            <w:tcW w:w="1134" w:type="dxa"/>
            <w:vMerge w:val="continue"/>
            <w:vAlign w:val="center"/>
          </w:tcPr>
          <w:p>
            <w:pPr>
              <w:pStyle w:val="182"/>
              <w:bidi w:val="0"/>
              <w:rPr>
                <w:b/>
                <w:bCs/>
                <w:color w:val="auto"/>
                <w:u w:val="single"/>
              </w:rPr>
            </w:pPr>
          </w:p>
        </w:tc>
        <w:tc>
          <w:tcPr>
            <w:tcW w:w="1559" w:type="dxa"/>
            <w:vAlign w:val="center"/>
          </w:tcPr>
          <w:p>
            <w:pPr>
              <w:pStyle w:val="182"/>
              <w:bidi w:val="0"/>
              <w:rPr>
                <w:b/>
                <w:bCs/>
                <w:color w:val="auto"/>
                <w:u w:val="single"/>
              </w:rPr>
            </w:pPr>
            <w:r>
              <w:rPr>
                <w:rFonts w:hint="eastAsia"/>
                <w:b/>
                <w:bCs/>
                <w:color w:val="auto"/>
                <w:u w:val="single"/>
              </w:rPr>
              <w:t>危险废物</w:t>
            </w:r>
          </w:p>
        </w:tc>
        <w:tc>
          <w:tcPr>
            <w:tcW w:w="4561" w:type="dxa"/>
            <w:vAlign w:val="center"/>
          </w:tcPr>
          <w:p>
            <w:pPr>
              <w:pStyle w:val="182"/>
              <w:bidi w:val="0"/>
              <w:rPr>
                <w:b/>
                <w:bCs/>
                <w:color w:val="auto"/>
                <w:u w:val="single"/>
              </w:rPr>
            </w:pPr>
            <w:r>
              <w:rPr>
                <w:rFonts w:hint="eastAsia"/>
                <w:b/>
                <w:bCs/>
                <w:color w:val="auto"/>
                <w:u w:val="single"/>
              </w:rPr>
              <w:t>依托厂区现有危险固废全密闭暂存间（</w:t>
            </w:r>
            <w:r>
              <w:rPr>
                <w:rFonts w:hint="eastAsia"/>
                <w:b/>
                <w:bCs/>
                <w:color w:val="auto"/>
                <w:u w:val="single"/>
                <w:vertAlign w:val="baseline"/>
                <w:lang w:val="en-US" w:eastAsia="zh-CN"/>
              </w:rPr>
              <w:t>75m</w:t>
            </w:r>
            <w:r>
              <w:rPr>
                <w:rFonts w:hint="eastAsia"/>
                <w:b/>
                <w:bCs/>
                <w:color w:val="auto"/>
                <w:u w:val="single"/>
                <w:vertAlign w:val="superscript"/>
                <w:lang w:val="en-US" w:eastAsia="zh-CN"/>
              </w:rPr>
              <w:t>2</w:t>
            </w:r>
            <w:r>
              <w:rPr>
                <w:rFonts w:hint="eastAsia"/>
                <w:b/>
                <w:bCs/>
                <w:color w:val="auto"/>
                <w:u w:val="single"/>
              </w:rPr>
              <w:t>）</w:t>
            </w:r>
          </w:p>
        </w:tc>
        <w:tc>
          <w:tcPr>
            <w:tcW w:w="820" w:type="dxa"/>
            <w:vAlign w:val="center"/>
          </w:tcPr>
          <w:p>
            <w:pPr>
              <w:pStyle w:val="182"/>
              <w:bidi w:val="0"/>
              <w:rPr>
                <w:b/>
                <w:bCs/>
                <w:color w:val="auto"/>
                <w:u w:val="single"/>
              </w:rPr>
            </w:pPr>
            <w:r>
              <w:rPr>
                <w:rFonts w:hint="eastAsia"/>
                <w:b/>
                <w:bCs/>
                <w:color w:val="auto"/>
                <w:u w:val="single"/>
              </w:rPr>
              <w:t>依托现有</w:t>
            </w:r>
          </w:p>
        </w:tc>
      </w:tr>
    </w:tbl>
    <w:p>
      <w:pPr>
        <w:pStyle w:val="10"/>
        <w:bidi w:val="0"/>
        <w:rPr>
          <w:rFonts w:hint="default"/>
          <w:color w:val="auto"/>
          <w:lang w:val="en-US" w:eastAsia="zh-CN"/>
        </w:rPr>
      </w:pPr>
      <w:r>
        <w:rPr>
          <w:rFonts w:hint="eastAsia"/>
          <w:color w:val="auto"/>
          <w:lang w:val="en-US" w:eastAsia="zh-CN"/>
        </w:rPr>
        <w:t>3.8.2.2 项目建设方案</w:t>
      </w:r>
    </w:p>
    <w:p>
      <w:pPr>
        <w:bidi w:val="0"/>
        <w:rPr>
          <w:rFonts w:hint="eastAsia"/>
          <w:b/>
          <w:bCs/>
          <w:color w:val="auto"/>
          <w:u w:val="single"/>
          <w:lang w:val="en-US" w:eastAsia="zh-CN"/>
        </w:rPr>
      </w:pPr>
      <w:r>
        <w:rPr>
          <w:rFonts w:hint="eastAsia"/>
          <w:b/>
          <w:bCs/>
          <w:color w:val="auto"/>
          <w:u w:val="single"/>
          <w:lang w:val="en-US" w:eastAsia="zh-CN"/>
        </w:rPr>
        <w:t>（1）中试目的</w:t>
      </w:r>
    </w:p>
    <w:p>
      <w:pPr>
        <w:bidi w:val="0"/>
        <w:rPr>
          <w:rFonts w:hint="default"/>
          <w:b/>
          <w:bCs/>
          <w:color w:val="auto"/>
          <w:u w:val="single"/>
          <w:lang w:val="en-US" w:eastAsia="zh-CN"/>
        </w:rPr>
      </w:pPr>
      <w:r>
        <w:rPr>
          <w:rFonts w:hint="default"/>
          <w:b/>
          <w:bCs/>
          <w:color w:val="auto"/>
          <w:u w:val="single"/>
          <w:lang w:val="en-US" w:eastAsia="zh-CN"/>
        </w:rPr>
        <w:t>①在中等规模化生产中，进一步优化生产环节和工艺参数，实现从草到纤维素纤维的连续化生产，验证工艺生产稳定性；</w:t>
      </w:r>
    </w:p>
    <w:p>
      <w:pPr>
        <w:bidi w:val="0"/>
        <w:rPr>
          <w:rFonts w:hint="default"/>
          <w:b/>
          <w:bCs/>
          <w:color w:val="auto"/>
          <w:u w:val="single"/>
          <w:lang w:val="en-US" w:eastAsia="zh-CN"/>
        </w:rPr>
      </w:pPr>
      <w:r>
        <w:rPr>
          <w:rFonts w:hint="default"/>
          <w:b/>
          <w:bCs/>
          <w:color w:val="auto"/>
          <w:u w:val="single"/>
          <w:lang w:val="en-US" w:eastAsia="zh-CN"/>
        </w:rPr>
        <w:t>②为大规模化生产做准备，包括设备、电仪、公用工程等；</w:t>
      </w:r>
    </w:p>
    <w:p>
      <w:pPr>
        <w:bidi w:val="0"/>
        <w:rPr>
          <w:rFonts w:hint="default"/>
          <w:b/>
          <w:bCs/>
          <w:color w:val="auto"/>
          <w:u w:val="single"/>
          <w:lang w:val="en-US" w:eastAsia="zh-CN"/>
        </w:rPr>
      </w:pPr>
      <w:r>
        <w:rPr>
          <w:rFonts w:hint="default"/>
          <w:b/>
          <w:bCs/>
          <w:color w:val="auto"/>
          <w:u w:val="single"/>
          <w:lang w:val="en-US" w:eastAsia="zh-CN"/>
        </w:rPr>
        <w:t>③进一步确定从草到纤维素的原辅材料的消耗量</w:t>
      </w:r>
      <w:r>
        <w:rPr>
          <w:rFonts w:hint="eastAsia"/>
          <w:b/>
          <w:bCs/>
          <w:color w:val="auto"/>
          <w:u w:val="single"/>
          <w:lang w:val="en-US" w:eastAsia="zh-CN"/>
        </w:rPr>
        <w:t>；</w:t>
      </w:r>
    </w:p>
    <w:p>
      <w:pPr>
        <w:bidi w:val="0"/>
        <w:rPr>
          <w:rFonts w:hint="eastAsia"/>
          <w:b/>
          <w:bCs/>
          <w:color w:val="auto"/>
          <w:u w:val="single"/>
          <w:lang w:val="en-US" w:eastAsia="zh-CN"/>
        </w:rPr>
      </w:pPr>
      <w:r>
        <w:rPr>
          <w:rFonts w:hint="default"/>
          <w:b/>
          <w:bCs/>
          <w:color w:val="auto"/>
          <w:u w:val="single"/>
          <w:lang w:val="en-US" w:eastAsia="zh-CN"/>
        </w:rPr>
        <w:t>④生产菌草木质素，用于开发氨纶生产用原材料DMI（中文名二苯基甲烷-4,4'-二异氰酸酯）产品，为生产生物质氨纶纤维打基础</w:t>
      </w:r>
      <w:r>
        <w:rPr>
          <w:rFonts w:hint="eastAsia"/>
          <w:b/>
          <w:bCs/>
          <w:color w:val="auto"/>
          <w:u w:val="single"/>
          <w:lang w:val="en-US" w:eastAsia="zh-CN"/>
        </w:rPr>
        <w:t>。</w:t>
      </w:r>
    </w:p>
    <w:p>
      <w:pPr>
        <w:numPr>
          <w:ilvl w:val="0"/>
          <w:numId w:val="9"/>
        </w:numPr>
        <w:bidi w:val="0"/>
        <w:rPr>
          <w:rFonts w:hint="eastAsia"/>
          <w:b/>
          <w:bCs/>
          <w:color w:val="auto"/>
          <w:lang w:val="en-US" w:eastAsia="zh-CN"/>
        </w:rPr>
      </w:pPr>
      <w:r>
        <w:rPr>
          <w:rFonts w:hint="eastAsia"/>
          <w:b/>
          <w:bCs/>
          <w:color w:val="auto"/>
          <w:lang w:val="en-US" w:eastAsia="zh-CN"/>
        </w:rPr>
        <w:t>中试规模</w:t>
      </w:r>
    </w:p>
    <w:p>
      <w:pPr>
        <w:bidi w:val="0"/>
        <w:rPr>
          <w:rFonts w:hint="default"/>
          <w:b/>
          <w:bCs/>
          <w:color w:val="auto"/>
          <w:lang w:val="en-US" w:eastAsia="zh-CN"/>
        </w:rPr>
      </w:pPr>
      <w:r>
        <w:rPr>
          <w:rFonts w:hint="default"/>
          <w:b/>
          <w:bCs/>
          <w:color w:val="auto"/>
          <w:lang w:val="en-US" w:eastAsia="zh-CN"/>
        </w:rPr>
        <w:t>本项目建设规模为年产纤维素5000吨，主要产品为纤维素和木质素。</w:t>
      </w:r>
    </w:p>
    <w:p>
      <w:pPr>
        <w:numPr>
          <w:ilvl w:val="0"/>
          <w:numId w:val="9"/>
        </w:numPr>
        <w:bidi w:val="0"/>
        <w:ind w:left="0" w:leftChars="0" w:firstLine="482" w:firstLineChars="200"/>
        <w:rPr>
          <w:rFonts w:hint="eastAsia"/>
          <w:b/>
          <w:bCs/>
          <w:color w:val="auto"/>
          <w:u w:val="single"/>
          <w:lang w:val="en-US" w:eastAsia="zh-CN"/>
        </w:rPr>
      </w:pPr>
      <w:r>
        <w:rPr>
          <w:rFonts w:hint="eastAsia"/>
          <w:b/>
          <w:bCs/>
          <w:color w:val="auto"/>
          <w:u w:val="single"/>
          <w:lang w:val="en-US" w:eastAsia="zh-CN"/>
        </w:rPr>
        <w:t>中试期限</w:t>
      </w:r>
    </w:p>
    <w:p>
      <w:pPr>
        <w:bidi w:val="0"/>
        <w:rPr>
          <w:rFonts w:hint="eastAsia"/>
          <w:b/>
          <w:bCs/>
          <w:color w:val="auto"/>
          <w:u w:val="single"/>
          <w:lang w:val="en-US" w:eastAsia="zh-CN"/>
        </w:rPr>
      </w:pPr>
      <w:r>
        <w:rPr>
          <w:rFonts w:hint="eastAsia"/>
          <w:b/>
          <w:bCs/>
          <w:color w:val="auto"/>
          <w:u w:val="single"/>
          <w:lang w:val="en-US" w:eastAsia="zh-CN"/>
        </w:rPr>
        <w:t>具体根据中试结果确定。</w:t>
      </w:r>
    </w:p>
    <w:p>
      <w:pPr>
        <w:numPr>
          <w:ilvl w:val="0"/>
          <w:numId w:val="9"/>
        </w:numPr>
        <w:bidi w:val="0"/>
        <w:ind w:left="0" w:leftChars="0" w:firstLine="482" w:firstLineChars="200"/>
        <w:rPr>
          <w:rFonts w:hint="eastAsia"/>
          <w:b/>
          <w:bCs/>
          <w:color w:val="auto"/>
          <w:u w:val="single"/>
          <w:lang w:val="en-US" w:eastAsia="zh-CN"/>
        </w:rPr>
      </w:pPr>
      <w:r>
        <w:rPr>
          <w:rFonts w:hint="eastAsia"/>
          <w:b/>
          <w:bCs/>
          <w:color w:val="auto"/>
          <w:u w:val="single"/>
          <w:lang w:val="en-US" w:eastAsia="zh-CN"/>
        </w:rPr>
        <w:t>中试方案</w:t>
      </w:r>
    </w:p>
    <w:p>
      <w:pPr>
        <w:bidi w:val="0"/>
        <w:rPr>
          <w:rFonts w:hint="default"/>
          <w:b/>
          <w:bCs/>
          <w:color w:val="auto"/>
          <w:u w:val="single"/>
          <w:lang w:val="en-US" w:eastAsia="zh-CN"/>
        </w:rPr>
      </w:pPr>
      <w:r>
        <w:rPr>
          <w:rFonts w:hint="default"/>
          <w:b/>
          <w:bCs/>
          <w:color w:val="auto"/>
          <w:u w:val="single"/>
          <w:lang w:val="en-US" w:eastAsia="zh-CN"/>
        </w:rPr>
        <w:t>本项目将以进行12~13批/年的试验量进行工艺复证设计，从而确定工艺的稳定性。同时探索并优化各项工程化参数，项目纤维素生产涉及的试验参数需要根据实际试验情况调整。试验调整参数主要包括碱量、蒸煮时间、蒸煮压力、蒸煮温度、升温时间、保温时间等参数。保守考虑，项目生产污染物排放按330天，每天24小时考虑。</w:t>
      </w:r>
    </w:p>
    <w:p>
      <w:pPr>
        <w:rPr>
          <w:rFonts w:hint="default"/>
          <w:b/>
          <w:bCs/>
          <w:color w:val="auto"/>
          <w:u w:val="single"/>
          <w:lang w:val="en-US" w:eastAsia="zh-CN"/>
        </w:rPr>
      </w:pPr>
      <w:r>
        <w:rPr>
          <w:rFonts w:hint="default"/>
          <w:b/>
          <w:bCs/>
          <w:color w:val="auto"/>
          <w:u w:val="single"/>
          <w:lang w:val="en-US" w:eastAsia="zh-CN"/>
        </w:rPr>
        <w:t>本项目作为中试项目，生产过程中涉及工艺调整，试验过程中废水水量、水质，固体废物产生量均可能会有变化。根据现场调查，厂区内建设有1个1000m</w:t>
      </w:r>
      <w:r>
        <w:rPr>
          <w:rFonts w:hint="default"/>
          <w:b/>
          <w:bCs/>
          <w:color w:val="auto"/>
          <w:u w:val="single"/>
          <w:vertAlign w:val="superscript"/>
          <w:lang w:val="en-US" w:eastAsia="zh-CN"/>
        </w:rPr>
        <w:t>3</w:t>
      </w:r>
      <w:r>
        <w:rPr>
          <w:rFonts w:hint="default"/>
          <w:b/>
          <w:bCs/>
          <w:color w:val="auto"/>
          <w:u w:val="single"/>
          <w:lang w:val="en-US" w:eastAsia="zh-CN"/>
        </w:rPr>
        <w:t>的事故废水池，本项目拟利用该事故池，中试不利时产生的废水不能及时处理时可暂时储存于事故废水收集池中，在中试试验间歇有序到污水处理厂处理。如果新乡化纤股份有限公司新厂区污水处理站停止运行，本项目需停止生产。</w:t>
      </w:r>
    </w:p>
    <w:p>
      <w:pPr>
        <w:rPr>
          <w:rFonts w:hint="default"/>
          <w:b/>
          <w:bCs/>
          <w:color w:val="auto"/>
          <w:u w:val="single"/>
          <w:lang w:val="en-US" w:eastAsia="zh-CN"/>
        </w:rPr>
      </w:pPr>
      <w:r>
        <w:rPr>
          <w:rFonts w:hint="default"/>
          <w:b/>
          <w:bCs/>
          <w:color w:val="auto"/>
          <w:u w:val="single"/>
          <w:lang w:val="en-US" w:eastAsia="zh-CN"/>
        </w:rPr>
        <w:t>本项目生产过程中产生的废物主要为一般固体废物，</w:t>
      </w:r>
      <w:r>
        <w:rPr>
          <w:rFonts w:hint="eastAsia"/>
          <w:b/>
          <w:bCs/>
          <w:color w:val="auto"/>
          <w:u w:val="single"/>
          <w:lang w:val="en-US" w:eastAsia="zh-CN"/>
        </w:rPr>
        <w:t>一般</w:t>
      </w:r>
      <w:r>
        <w:rPr>
          <w:rFonts w:hint="default"/>
          <w:b/>
          <w:bCs/>
          <w:color w:val="auto"/>
          <w:u w:val="single"/>
          <w:lang w:val="en-US" w:eastAsia="zh-CN"/>
        </w:rPr>
        <w:t>固体废物产生量有限，一般固废暂存间（36m</w:t>
      </w:r>
      <w:r>
        <w:rPr>
          <w:rFonts w:hint="default"/>
          <w:b/>
          <w:bCs/>
          <w:color w:val="auto"/>
          <w:u w:val="single"/>
          <w:vertAlign w:val="superscript"/>
          <w:lang w:val="en-US" w:eastAsia="zh-CN"/>
        </w:rPr>
        <w:t>2</w:t>
      </w:r>
      <w:r>
        <w:rPr>
          <w:rFonts w:hint="default"/>
          <w:b/>
          <w:bCs/>
          <w:color w:val="auto"/>
          <w:u w:val="single"/>
          <w:lang w:val="en-US" w:eastAsia="zh-CN"/>
        </w:rPr>
        <w:t>）可满足短期暂存，暂存的</w:t>
      </w:r>
      <w:r>
        <w:rPr>
          <w:rFonts w:hint="eastAsia"/>
          <w:b/>
          <w:bCs/>
          <w:color w:val="auto"/>
          <w:u w:val="single"/>
          <w:lang w:val="en-US" w:eastAsia="zh-CN"/>
        </w:rPr>
        <w:t>一般</w:t>
      </w:r>
      <w:r>
        <w:rPr>
          <w:rFonts w:hint="default"/>
          <w:b/>
          <w:bCs/>
          <w:color w:val="auto"/>
          <w:u w:val="single"/>
          <w:lang w:val="en-US" w:eastAsia="zh-CN"/>
        </w:rPr>
        <w:t>固体废物可由厂区锅炉焚烧处置。本项目</w:t>
      </w:r>
      <w:r>
        <w:rPr>
          <w:rFonts w:hint="eastAsia"/>
          <w:b/>
          <w:bCs/>
          <w:color w:val="auto"/>
          <w:u w:val="single"/>
          <w:lang w:val="en-US" w:eastAsia="zh-CN"/>
        </w:rPr>
        <w:t>危废</w:t>
      </w:r>
      <w:r>
        <w:rPr>
          <w:rFonts w:hint="default"/>
          <w:b/>
          <w:bCs/>
          <w:color w:val="auto"/>
          <w:u w:val="single"/>
          <w:lang w:val="en-US" w:eastAsia="zh-CN"/>
        </w:rPr>
        <w:t>依托厂区现1座危险暂存间（75m</w:t>
      </w:r>
      <w:r>
        <w:rPr>
          <w:rFonts w:hint="default"/>
          <w:b/>
          <w:bCs/>
          <w:color w:val="auto"/>
          <w:u w:val="single"/>
          <w:vertAlign w:val="superscript"/>
          <w:lang w:val="en-US" w:eastAsia="zh-CN"/>
        </w:rPr>
        <w:t>2</w:t>
      </w:r>
      <w:r>
        <w:rPr>
          <w:rFonts w:hint="default"/>
          <w:b/>
          <w:bCs/>
          <w:color w:val="auto"/>
          <w:u w:val="single"/>
          <w:lang w:val="en-US" w:eastAsia="zh-CN"/>
        </w:rPr>
        <w:t>），并对项目</w:t>
      </w:r>
      <w:r>
        <w:rPr>
          <w:rFonts w:hint="eastAsia"/>
          <w:b/>
          <w:bCs/>
          <w:color w:val="auto"/>
          <w:u w:val="single"/>
          <w:lang w:val="en-US" w:eastAsia="zh-CN"/>
        </w:rPr>
        <w:t>危险废物</w:t>
      </w:r>
      <w:r>
        <w:rPr>
          <w:rFonts w:hint="default"/>
          <w:b/>
          <w:bCs/>
          <w:color w:val="auto"/>
          <w:u w:val="single"/>
          <w:lang w:val="en-US" w:eastAsia="zh-CN"/>
        </w:rPr>
        <w:t>分类分区存放。</w:t>
      </w:r>
    </w:p>
    <w:p>
      <w:pPr>
        <w:pStyle w:val="9"/>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3</w:t>
      </w:r>
      <w:r>
        <w:rPr>
          <w:rFonts w:hint="eastAsia"/>
          <w:color w:val="auto"/>
        </w:rPr>
        <w:t>项目平面布置</w:t>
      </w:r>
    </w:p>
    <w:p>
      <w:pPr>
        <w:bidi w:val="0"/>
        <w:rPr>
          <w:color w:val="auto"/>
        </w:rPr>
      </w:pPr>
      <w:r>
        <w:rPr>
          <w:rFonts w:hint="eastAsia"/>
          <w:color w:val="auto"/>
        </w:rPr>
        <w:t>本项目在企业现有厂区内进行建设，结合现有生产装置现状，充分利用现有公用工程。</w:t>
      </w:r>
    </w:p>
    <w:p>
      <w:pPr>
        <w:bidi w:val="0"/>
        <w:rPr>
          <w:color w:val="auto"/>
        </w:rPr>
      </w:pPr>
      <w:r>
        <w:rPr>
          <w:rFonts w:hint="eastAsia"/>
          <w:color w:val="auto"/>
        </w:rPr>
        <w:t>本项目占地面积82800m</w:t>
      </w:r>
      <w:r>
        <w:rPr>
          <w:rFonts w:hint="eastAsia"/>
          <w:color w:val="auto"/>
          <w:vertAlign w:val="superscript"/>
        </w:rPr>
        <w:t>2</w:t>
      </w:r>
      <w:r>
        <w:rPr>
          <w:rFonts w:hint="eastAsia"/>
          <w:color w:val="auto"/>
        </w:rPr>
        <w:t>（合124亩）。生产区布置在场地北部，新建的备料车间、蒸煮车间、蒸发生产木质素车间、漂白车间、抄浆车间等主要生产车间靠近原料库和成品库，原料处理车间靠近蒸煮车间，工艺流程通畅，物流短捷便利。变电站靠近主要用电负荷中心，线路架设距离短，降低能耗，厂区总图布局规整，满足工艺要求，节约用地。厂区内各建筑物之间留有足够的安全防火间距。</w:t>
      </w:r>
    </w:p>
    <w:p>
      <w:pPr>
        <w:bidi w:val="0"/>
        <w:rPr>
          <w:color w:val="auto"/>
        </w:rPr>
      </w:pPr>
      <w:r>
        <w:rPr>
          <w:rFonts w:hint="eastAsia"/>
          <w:color w:val="auto"/>
        </w:rPr>
        <w:t>厂区平面布置整齐、有序，避免了管路迂回造成的能源输送能耗；变电所等动力车间设置等靠近负荷中心，有利于减少输送损耗；道路设计通畅，利于物资的运输。厂区内物流路径合理，减少折返和运输距离，物流、人流相对独立，物流运输、能源输送布置合理。有利于过程节能、方便作业、提高生产效率、减少工序和产品单耗。</w:t>
      </w:r>
    </w:p>
    <w:p>
      <w:pPr>
        <w:bidi w:val="0"/>
        <w:rPr>
          <w:color w:val="auto"/>
        </w:rPr>
      </w:pPr>
      <w:r>
        <w:rPr>
          <w:rFonts w:hint="eastAsia"/>
          <w:color w:val="auto"/>
        </w:rPr>
        <w:t>本项目新建主要道路原则上平行于主要建筑物，呈正交和环状布置。道路采用混凝土水泥路面，宽大致分为9米、6米、5米三种。厂区绿化因地制宜，充分利用建筑物周围，道路两侧，配合建筑物造型，种植常绿树木和花草，加以点缀，以期达到改善厂区的小气候，使厂区富有生机勃勃和清新的感觉。</w:t>
      </w:r>
    </w:p>
    <w:p>
      <w:pPr>
        <w:bidi w:val="0"/>
        <w:rPr>
          <w:color w:val="auto"/>
        </w:rPr>
      </w:pPr>
      <w:r>
        <w:rPr>
          <w:rFonts w:hint="eastAsia"/>
          <w:color w:val="auto"/>
        </w:rPr>
        <w:t>综上可得，本项目总平面布置合理。本项目总图运输主要技术经济指标见表3.</w:t>
      </w:r>
      <w:r>
        <w:rPr>
          <w:rFonts w:hint="eastAsia"/>
          <w:color w:val="auto"/>
          <w:lang w:val="en-US" w:eastAsia="zh-CN"/>
        </w:rPr>
        <w:t>8</w:t>
      </w:r>
      <w:r>
        <w:rPr>
          <w:rFonts w:hint="eastAsia"/>
          <w:color w:val="auto"/>
        </w:rPr>
        <w:t>-3。</w:t>
      </w:r>
    </w:p>
    <w:p>
      <w:pPr>
        <w:pStyle w:val="181"/>
        <w:bidi w:val="0"/>
        <w:rPr>
          <w:color w:val="auto"/>
        </w:rPr>
      </w:pPr>
      <w:r>
        <w:rPr>
          <w:rFonts w:hint="eastAsia"/>
          <w:color w:val="auto"/>
        </w:rPr>
        <w:t>表3</w:t>
      </w:r>
      <w:r>
        <w:rPr>
          <w:color w:val="auto"/>
        </w:rPr>
        <w:t>.</w:t>
      </w:r>
      <w:r>
        <w:rPr>
          <w:rFonts w:hint="eastAsia"/>
          <w:color w:val="auto"/>
          <w:lang w:val="en-US" w:eastAsia="zh-CN"/>
        </w:rPr>
        <w:t>8</w:t>
      </w:r>
      <w:r>
        <w:rPr>
          <w:rFonts w:hint="eastAsia"/>
          <w:color w:val="auto"/>
        </w:rPr>
        <w:t>-</w:t>
      </w:r>
      <w:r>
        <w:rPr>
          <w:color w:val="auto"/>
        </w:rPr>
        <w:t xml:space="preserve">3  </w:t>
      </w:r>
      <w:r>
        <w:rPr>
          <w:rFonts w:hint="eastAsia"/>
          <w:color w:val="auto"/>
          <w:lang w:val="en-US" w:eastAsia="zh-CN"/>
        </w:rPr>
        <w:t xml:space="preserve">            </w:t>
      </w:r>
      <w:r>
        <w:rPr>
          <w:color w:val="auto"/>
        </w:rPr>
        <w:t>总平面主要技术指标表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0"/>
        <w:gridCol w:w="3681"/>
        <w:gridCol w:w="1365"/>
        <w:gridCol w:w="1599"/>
        <w:gridCol w:w="1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序号</w:t>
            </w:r>
          </w:p>
        </w:tc>
        <w:tc>
          <w:tcPr>
            <w:tcW w:w="2044"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项目</w:t>
            </w:r>
          </w:p>
        </w:tc>
        <w:tc>
          <w:tcPr>
            <w:tcW w:w="758"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单位</w:t>
            </w:r>
          </w:p>
        </w:tc>
        <w:tc>
          <w:tcPr>
            <w:tcW w:w="888"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指标</w:t>
            </w:r>
          </w:p>
        </w:tc>
        <w:tc>
          <w:tcPr>
            <w:tcW w:w="764"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1</w:t>
            </w:r>
          </w:p>
        </w:tc>
        <w:tc>
          <w:tcPr>
            <w:tcW w:w="20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本项目总用地面积</w:t>
            </w:r>
          </w:p>
        </w:tc>
        <w:tc>
          <w:tcPr>
            <w:tcW w:w="75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82800</w:t>
            </w:r>
          </w:p>
        </w:tc>
        <w:tc>
          <w:tcPr>
            <w:tcW w:w="76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合124亩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2</w:t>
            </w:r>
          </w:p>
        </w:tc>
        <w:tc>
          <w:tcPr>
            <w:tcW w:w="20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建（构）筑物占地面积</w:t>
            </w:r>
          </w:p>
        </w:tc>
        <w:tc>
          <w:tcPr>
            <w:tcW w:w="75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36049.4</w:t>
            </w:r>
          </w:p>
        </w:tc>
        <w:tc>
          <w:tcPr>
            <w:tcW w:w="76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3</w:t>
            </w:r>
          </w:p>
        </w:tc>
        <w:tc>
          <w:tcPr>
            <w:tcW w:w="20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建（构）筑物建筑面积</w:t>
            </w:r>
          </w:p>
        </w:tc>
        <w:tc>
          <w:tcPr>
            <w:tcW w:w="75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36049.4</w:t>
            </w:r>
          </w:p>
        </w:tc>
        <w:tc>
          <w:tcPr>
            <w:tcW w:w="76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4</w:t>
            </w:r>
          </w:p>
        </w:tc>
        <w:tc>
          <w:tcPr>
            <w:tcW w:w="20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道路及硬化地面占地面积</w:t>
            </w:r>
          </w:p>
        </w:tc>
        <w:tc>
          <w:tcPr>
            <w:tcW w:w="75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16500</w:t>
            </w:r>
          </w:p>
        </w:tc>
        <w:tc>
          <w:tcPr>
            <w:tcW w:w="76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5</w:t>
            </w:r>
          </w:p>
        </w:tc>
        <w:tc>
          <w:tcPr>
            <w:tcW w:w="20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建筑系数</w:t>
            </w:r>
          </w:p>
        </w:tc>
        <w:tc>
          <w:tcPr>
            <w:tcW w:w="75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w:t>
            </w:r>
          </w:p>
        </w:tc>
        <w:tc>
          <w:tcPr>
            <w:tcW w:w="88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43.54</w:t>
            </w:r>
          </w:p>
        </w:tc>
        <w:tc>
          <w:tcPr>
            <w:tcW w:w="76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6</w:t>
            </w:r>
          </w:p>
        </w:tc>
        <w:tc>
          <w:tcPr>
            <w:tcW w:w="20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土地利用系数</w:t>
            </w:r>
          </w:p>
        </w:tc>
        <w:tc>
          <w:tcPr>
            <w:tcW w:w="75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w:t>
            </w:r>
          </w:p>
        </w:tc>
        <w:tc>
          <w:tcPr>
            <w:tcW w:w="88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63.47</w:t>
            </w:r>
          </w:p>
        </w:tc>
        <w:tc>
          <w:tcPr>
            <w:tcW w:w="76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7</w:t>
            </w:r>
          </w:p>
        </w:tc>
        <w:tc>
          <w:tcPr>
            <w:tcW w:w="20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绿化面积</w:t>
            </w:r>
          </w:p>
        </w:tc>
        <w:tc>
          <w:tcPr>
            <w:tcW w:w="75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12420</w:t>
            </w:r>
          </w:p>
        </w:tc>
        <w:tc>
          <w:tcPr>
            <w:tcW w:w="76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8</w:t>
            </w:r>
          </w:p>
        </w:tc>
        <w:tc>
          <w:tcPr>
            <w:tcW w:w="204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绿化率</w:t>
            </w:r>
          </w:p>
        </w:tc>
        <w:tc>
          <w:tcPr>
            <w:tcW w:w="75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rFonts w:hint="eastAsia"/>
                <w:color w:val="auto"/>
              </w:rPr>
              <w:t>%</w:t>
            </w:r>
          </w:p>
        </w:tc>
        <w:tc>
          <w:tcPr>
            <w:tcW w:w="888"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15</w:t>
            </w:r>
          </w:p>
        </w:tc>
        <w:tc>
          <w:tcPr>
            <w:tcW w:w="764"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p>
        </w:tc>
      </w:tr>
    </w:tbl>
    <w:p>
      <w:pPr>
        <w:pStyle w:val="9"/>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4</w:t>
      </w:r>
      <w:r>
        <w:rPr>
          <w:rFonts w:hint="eastAsia"/>
          <w:color w:val="auto"/>
        </w:rPr>
        <w:t>产品类型及规模</w:t>
      </w:r>
    </w:p>
    <w:p>
      <w:pPr>
        <w:bidi w:val="0"/>
        <w:rPr>
          <w:color w:val="auto"/>
        </w:rPr>
      </w:pPr>
      <w:r>
        <w:rPr>
          <w:rFonts w:hint="eastAsia"/>
          <w:color w:val="auto"/>
        </w:rPr>
        <w:t>本项目主要产品为菌草纤维素纤维和木质素。产品方案详见表3</w:t>
      </w:r>
      <w:r>
        <w:rPr>
          <w:color w:val="auto"/>
        </w:rPr>
        <w:t>.</w:t>
      </w:r>
      <w:r>
        <w:rPr>
          <w:rFonts w:hint="eastAsia"/>
          <w:color w:val="auto"/>
          <w:lang w:val="en-US" w:eastAsia="zh-CN"/>
        </w:rPr>
        <w:t>8</w:t>
      </w:r>
      <w:r>
        <w:rPr>
          <w:rFonts w:hint="eastAsia"/>
          <w:color w:val="auto"/>
        </w:rPr>
        <w:t>-</w:t>
      </w:r>
      <w:r>
        <w:rPr>
          <w:color w:val="auto"/>
        </w:rPr>
        <w:t>4</w:t>
      </w:r>
      <w:r>
        <w:rPr>
          <w:rFonts w:hint="eastAsia"/>
          <w:color w:val="auto"/>
        </w:rPr>
        <w:t>。</w:t>
      </w:r>
    </w:p>
    <w:p>
      <w:pPr>
        <w:pStyle w:val="181"/>
        <w:bidi w:val="0"/>
        <w:rPr>
          <w:color w:val="auto"/>
        </w:rPr>
      </w:pPr>
      <w:r>
        <w:rPr>
          <w:rFonts w:hint="eastAsia"/>
          <w:color w:val="auto"/>
        </w:rPr>
        <w:t>表3</w:t>
      </w:r>
      <w:r>
        <w:rPr>
          <w:color w:val="auto"/>
        </w:rPr>
        <w:t>.</w:t>
      </w:r>
      <w:r>
        <w:rPr>
          <w:rFonts w:hint="eastAsia"/>
          <w:color w:val="auto"/>
          <w:lang w:val="en-US" w:eastAsia="zh-CN"/>
        </w:rPr>
        <w:t>8</w:t>
      </w:r>
      <w:r>
        <w:rPr>
          <w:rFonts w:hint="eastAsia"/>
          <w:color w:val="auto"/>
        </w:rPr>
        <w:t>-</w:t>
      </w:r>
      <w:r>
        <w:rPr>
          <w:color w:val="auto"/>
        </w:rPr>
        <w:t xml:space="preserve">4  </w:t>
      </w:r>
      <w:r>
        <w:rPr>
          <w:rFonts w:hint="eastAsia"/>
          <w:color w:val="auto"/>
          <w:lang w:val="en-US" w:eastAsia="zh-CN"/>
        </w:rPr>
        <w:t xml:space="preserve">                </w:t>
      </w:r>
      <w:r>
        <w:rPr>
          <w:color w:val="auto"/>
        </w:rPr>
        <w:t>产品方案表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3"/>
        <w:gridCol w:w="2404"/>
        <w:gridCol w:w="1497"/>
        <w:gridCol w:w="1648"/>
        <w:gridCol w:w="2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7" w:type="pct"/>
            <w:vAlign w:val="center"/>
          </w:tcPr>
          <w:p>
            <w:pPr>
              <w:pStyle w:val="182"/>
              <w:bidi w:val="0"/>
              <w:rPr>
                <w:b/>
                <w:bCs/>
                <w:color w:val="auto"/>
              </w:rPr>
            </w:pPr>
            <w:r>
              <w:rPr>
                <w:b/>
                <w:bCs/>
                <w:color w:val="auto"/>
              </w:rPr>
              <w:t>序号</w:t>
            </w:r>
          </w:p>
        </w:tc>
        <w:tc>
          <w:tcPr>
            <w:tcW w:w="1335" w:type="pct"/>
            <w:vAlign w:val="center"/>
          </w:tcPr>
          <w:p>
            <w:pPr>
              <w:pStyle w:val="182"/>
              <w:bidi w:val="0"/>
              <w:rPr>
                <w:b/>
                <w:bCs/>
                <w:color w:val="auto"/>
              </w:rPr>
            </w:pPr>
            <w:r>
              <w:rPr>
                <w:b/>
                <w:bCs/>
                <w:color w:val="auto"/>
              </w:rPr>
              <w:t>名称</w:t>
            </w:r>
          </w:p>
        </w:tc>
        <w:tc>
          <w:tcPr>
            <w:tcW w:w="831" w:type="pct"/>
            <w:vAlign w:val="center"/>
          </w:tcPr>
          <w:p>
            <w:pPr>
              <w:pStyle w:val="182"/>
              <w:bidi w:val="0"/>
              <w:rPr>
                <w:b/>
                <w:bCs/>
                <w:color w:val="auto"/>
              </w:rPr>
            </w:pPr>
            <w:r>
              <w:rPr>
                <w:b/>
                <w:bCs/>
                <w:color w:val="auto"/>
              </w:rPr>
              <w:t>单位</w:t>
            </w:r>
          </w:p>
        </w:tc>
        <w:tc>
          <w:tcPr>
            <w:tcW w:w="915" w:type="pct"/>
            <w:vAlign w:val="center"/>
          </w:tcPr>
          <w:p>
            <w:pPr>
              <w:pStyle w:val="182"/>
              <w:bidi w:val="0"/>
              <w:rPr>
                <w:b/>
                <w:bCs/>
                <w:color w:val="auto"/>
              </w:rPr>
            </w:pPr>
            <w:r>
              <w:rPr>
                <w:b/>
                <w:bCs/>
                <w:color w:val="auto"/>
              </w:rPr>
              <w:t>产量</w:t>
            </w:r>
          </w:p>
        </w:tc>
        <w:tc>
          <w:tcPr>
            <w:tcW w:w="1360" w:type="pct"/>
            <w:vAlign w:val="center"/>
          </w:tcPr>
          <w:p>
            <w:pPr>
              <w:pStyle w:val="182"/>
              <w:bidi w:val="0"/>
              <w:rPr>
                <w:b/>
                <w:bCs/>
                <w:color w:val="auto"/>
              </w:rPr>
            </w:pPr>
            <w:r>
              <w:rPr>
                <w:b/>
                <w:bCs/>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557" w:type="pct"/>
            <w:vAlign w:val="center"/>
          </w:tcPr>
          <w:p>
            <w:pPr>
              <w:pStyle w:val="182"/>
              <w:bidi w:val="0"/>
              <w:rPr>
                <w:color w:val="auto"/>
              </w:rPr>
            </w:pPr>
            <w:r>
              <w:rPr>
                <w:color w:val="auto"/>
              </w:rPr>
              <w:t>1</w:t>
            </w:r>
          </w:p>
        </w:tc>
        <w:tc>
          <w:tcPr>
            <w:tcW w:w="1335" w:type="pct"/>
            <w:vAlign w:val="center"/>
          </w:tcPr>
          <w:p>
            <w:pPr>
              <w:pStyle w:val="182"/>
              <w:bidi w:val="0"/>
              <w:rPr>
                <w:color w:val="auto"/>
              </w:rPr>
            </w:pPr>
            <w:r>
              <w:rPr>
                <w:color w:val="auto"/>
              </w:rPr>
              <w:t>（菌</w:t>
            </w:r>
            <w:r>
              <w:rPr>
                <w:rFonts w:hint="eastAsia"/>
                <w:color w:val="auto"/>
              </w:rPr>
              <w:t>草）</w:t>
            </w:r>
            <w:r>
              <w:rPr>
                <w:color w:val="auto"/>
              </w:rPr>
              <w:t>纤维素纤维</w:t>
            </w:r>
          </w:p>
        </w:tc>
        <w:tc>
          <w:tcPr>
            <w:tcW w:w="831" w:type="pct"/>
            <w:vAlign w:val="center"/>
          </w:tcPr>
          <w:p>
            <w:pPr>
              <w:pStyle w:val="182"/>
              <w:bidi w:val="0"/>
              <w:rPr>
                <w:color w:val="auto"/>
              </w:rPr>
            </w:pPr>
            <w:r>
              <w:rPr>
                <w:color w:val="auto"/>
              </w:rPr>
              <w:t>吨</w:t>
            </w:r>
          </w:p>
        </w:tc>
        <w:tc>
          <w:tcPr>
            <w:tcW w:w="915" w:type="pct"/>
            <w:vAlign w:val="center"/>
          </w:tcPr>
          <w:p>
            <w:pPr>
              <w:pStyle w:val="182"/>
              <w:bidi w:val="0"/>
              <w:rPr>
                <w:color w:val="auto"/>
              </w:rPr>
            </w:pPr>
            <w:r>
              <w:rPr>
                <w:color w:val="auto"/>
              </w:rPr>
              <w:t>5000</w:t>
            </w:r>
          </w:p>
        </w:tc>
        <w:tc>
          <w:tcPr>
            <w:tcW w:w="1360" w:type="pct"/>
            <w:vAlign w:val="center"/>
          </w:tcPr>
          <w:p>
            <w:pPr>
              <w:pStyle w:val="182"/>
              <w:bidi w:val="0"/>
              <w:rPr>
                <w:color w:val="auto"/>
              </w:rPr>
            </w:pPr>
            <w:r>
              <w:rPr>
                <w:color w:val="auto"/>
              </w:rPr>
              <w:t>产品检验、试验</w:t>
            </w:r>
            <w:r>
              <w:rPr>
                <w:rFonts w:hint="eastAsia"/>
                <w:color w:val="auto"/>
                <w:lang w:eastAsia="zh-CN"/>
              </w:rPr>
              <w:t>，</w:t>
            </w:r>
            <w:r>
              <w:rPr>
                <w:rFonts w:hint="eastAsia"/>
                <w:color w:val="auto"/>
                <w:lang w:val="en-US" w:eastAsia="zh-CN"/>
              </w:rPr>
              <w:t>自用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7" w:type="pct"/>
            <w:vAlign w:val="center"/>
          </w:tcPr>
          <w:p>
            <w:pPr>
              <w:pStyle w:val="182"/>
              <w:bidi w:val="0"/>
              <w:rPr>
                <w:b/>
                <w:bCs/>
                <w:color w:val="auto"/>
                <w:u w:val="single"/>
              </w:rPr>
            </w:pPr>
            <w:r>
              <w:rPr>
                <w:b/>
                <w:bCs/>
                <w:color w:val="auto"/>
                <w:u w:val="single"/>
              </w:rPr>
              <w:t>2</w:t>
            </w:r>
          </w:p>
        </w:tc>
        <w:tc>
          <w:tcPr>
            <w:tcW w:w="1335" w:type="pct"/>
            <w:vAlign w:val="center"/>
          </w:tcPr>
          <w:p>
            <w:pPr>
              <w:pStyle w:val="182"/>
              <w:bidi w:val="0"/>
              <w:rPr>
                <w:rFonts w:hint="eastAsia" w:eastAsia="宋体"/>
                <w:b/>
                <w:bCs/>
                <w:color w:val="auto"/>
                <w:u w:val="single"/>
                <w:lang w:val="en-US" w:eastAsia="zh-CN"/>
              </w:rPr>
            </w:pPr>
            <w:r>
              <w:rPr>
                <w:b/>
                <w:bCs/>
                <w:color w:val="auto"/>
                <w:u w:val="single"/>
              </w:rPr>
              <w:t>木质素</w:t>
            </w:r>
            <w:r>
              <w:rPr>
                <w:rFonts w:hint="eastAsia"/>
                <w:b/>
                <w:bCs/>
                <w:color w:val="auto"/>
                <w:u w:val="single"/>
                <w:lang w:val="en-US" w:eastAsia="zh-CN"/>
              </w:rPr>
              <w:t>混合物</w:t>
            </w:r>
          </w:p>
        </w:tc>
        <w:tc>
          <w:tcPr>
            <w:tcW w:w="831" w:type="pct"/>
            <w:vAlign w:val="center"/>
          </w:tcPr>
          <w:p>
            <w:pPr>
              <w:pStyle w:val="182"/>
              <w:bidi w:val="0"/>
              <w:rPr>
                <w:b/>
                <w:bCs/>
                <w:color w:val="auto"/>
                <w:u w:val="single"/>
              </w:rPr>
            </w:pPr>
            <w:r>
              <w:rPr>
                <w:b/>
                <w:bCs/>
                <w:color w:val="auto"/>
                <w:u w:val="single"/>
              </w:rPr>
              <w:t>吨</w:t>
            </w:r>
          </w:p>
        </w:tc>
        <w:tc>
          <w:tcPr>
            <w:tcW w:w="915" w:type="pct"/>
            <w:vAlign w:val="center"/>
          </w:tcPr>
          <w:p>
            <w:pPr>
              <w:pStyle w:val="182"/>
              <w:bidi w:val="0"/>
              <w:rPr>
                <w:rFonts w:hint="default" w:eastAsia="宋体"/>
                <w:b/>
                <w:bCs/>
                <w:color w:val="auto"/>
                <w:u w:val="single"/>
                <w:lang w:val="en-US" w:eastAsia="zh-CN"/>
              </w:rPr>
            </w:pPr>
            <w:r>
              <w:rPr>
                <w:rFonts w:hint="eastAsia"/>
                <w:b/>
                <w:bCs/>
                <w:u w:val="single"/>
                <w:lang w:val="en-US" w:eastAsia="zh-CN"/>
              </w:rPr>
              <w:t xml:space="preserve">3530.05 </w:t>
            </w:r>
          </w:p>
        </w:tc>
        <w:tc>
          <w:tcPr>
            <w:tcW w:w="1360" w:type="pct"/>
            <w:vAlign w:val="center"/>
          </w:tcPr>
          <w:p>
            <w:pPr>
              <w:pStyle w:val="182"/>
              <w:bidi w:val="0"/>
              <w:rPr>
                <w:b/>
                <w:bCs/>
                <w:color w:val="auto"/>
                <w:u w:val="single"/>
              </w:rPr>
            </w:pPr>
            <w:r>
              <w:rPr>
                <w:rFonts w:hint="eastAsia"/>
                <w:b/>
                <w:bCs/>
                <w:color w:val="auto"/>
                <w:u w:val="single"/>
              </w:rPr>
              <w:t>试验</w:t>
            </w:r>
            <w:r>
              <w:rPr>
                <w:rFonts w:hint="eastAsia"/>
                <w:b/>
                <w:bCs/>
                <w:color w:val="auto"/>
                <w:u w:val="single"/>
                <w:lang w:val="en-US" w:eastAsia="zh-CN"/>
              </w:rPr>
              <w:t>研究资源化利用的可能性</w:t>
            </w:r>
            <w:r>
              <w:rPr>
                <w:rFonts w:hint="eastAsia"/>
                <w:b/>
                <w:bCs/>
                <w:color w:val="auto"/>
                <w:u w:val="single"/>
                <w:lang w:eastAsia="zh-CN"/>
              </w:rPr>
              <w:t>，</w:t>
            </w:r>
            <w:r>
              <w:rPr>
                <w:rFonts w:hint="eastAsia"/>
                <w:b/>
                <w:bCs/>
                <w:color w:val="auto"/>
                <w:u w:val="single"/>
                <w:lang w:val="en-US" w:eastAsia="zh-CN"/>
              </w:rPr>
              <w:t>当不满足需要时作为一般固废处置</w:t>
            </w:r>
          </w:p>
        </w:tc>
      </w:tr>
    </w:tbl>
    <w:p>
      <w:pPr>
        <w:pStyle w:val="9"/>
        <w:bidi w:val="0"/>
        <w:rPr>
          <w:color w:val="auto"/>
        </w:rPr>
      </w:pPr>
      <w:r>
        <w:rPr>
          <w:color w:val="auto"/>
        </w:rPr>
        <w:t>3.</w:t>
      </w:r>
      <w:r>
        <w:rPr>
          <w:rFonts w:hint="eastAsia"/>
          <w:color w:val="auto"/>
          <w:lang w:val="en-US" w:eastAsia="zh-CN"/>
        </w:rPr>
        <w:t>8.5</w:t>
      </w:r>
      <w:r>
        <w:rPr>
          <w:rFonts w:hint="eastAsia"/>
          <w:color w:val="auto"/>
        </w:rPr>
        <w:t>主要原辅材料及能源消耗</w:t>
      </w:r>
    </w:p>
    <w:p>
      <w:pPr>
        <w:numPr>
          <w:ilvl w:val="0"/>
          <w:numId w:val="10"/>
        </w:numPr>
        <w:bidi w:val="0"/>
        <w:ind w:left="160" w:leftChars="0" w:firstLineChars="0"/>
        <w:rPr>
          <w:rFonts w:hint="default" w:eastAsia="宋体"/>
          <w:color w:val="auto"/>
          <w:lang w:val="en-US" w:eastAsia="zh-CN"/>
        </w:rPr>
      </w:pPr>
      <w:r>
        <w:rPr>
          <w:rFonts w:hint="eastAsia"/>
          <w:color w:val="auto"/>
        </w:rPr>
        <w:t>原辅材料及能源消耗量</w:t>
      </w:r>
    </w:p>
    <w:p>
      <w:pPr>
        <w:bidi w:val="0"/>
        <w:rPr>
          <w:b/>
          <w:bCs/>
          <w:i w:val="0"/>
          <w:iCs w:val="0"/>
          <w:color w:val="auto"/>
          <w:u w:val="single"/>
        </w:rPr>
      </w:pPr>
      <w:r>
        <w:rPr>
          <w:rFonts w:hint="eastAsia"/>
          <w:b/>
          <w:bCs/>
          <w:i w:val="0"/>
          <w:iCs w:val="0"/>
          <w:color w:val="auto"/>
          <w:u w:val="single"/>
        </w:rPr>
        <w:t>本项目</w:t>
      </w:r>
      <w:r>
        <w:rPr>
          <w:rFonts w:hint="eastAsia"/>
          <w:b/>
          <w:bCs/>
          <w:i w:val="0"/>
          <w:iCs w:val="0"/>
          <w:color w:val="auto"/>
          <w:u w:val="single"/>
          <w:lang w:val="en-US" w:eastAsia="zh-CN"/>
        </w:rPr>
        <w:t>在小试的基础上开展中试项目，</w:t>
      </w:r>
      <w:r>
        <w:rPr>
          <w:rFonts w:hint="eastAsia"/>
          <w:b/>
          <w:bCs/>
          <w:i w:val="0"/>
          <w:iCs w:val="0"/>
          <w:color w:val="auto"/>
          <w:u w:val="single"/>
        </w:rPr>
        <w:t>确定工艺的稳定性</w:t>
      </w:r>
      <w:r>
        <w:rPr>
          <w:rFonts w:hint="eastAsia"/>
          <w:b/>
          <w:bCs/>
          <w:i w:val="0"/>
          <w:iCs w:val="0"/>
          <w:color w:val="auto"/>
          <w:u w:val="single"/>
          <w:lang w:eastAsia="zh-CN"/>
        </w:rPr>
        <w:t>，</w:t>
      </w:r>
      <w:r>
        <w:rPr>
          <w:rFonts w:hint="eastAsia"/>
          <w:b/>
          <w:bCs/>
          <w:i w:val="0"/>
          <w:iCs w:val="0"/>
          <w:color w:val="auto"/>
          <w:u w:val="single"/>
        </w:rPr>
        <w:t>探索并优化各项工程化参数</w:t>
      </w:r>
      <w:r>
        <w:rPr>
          <w:rFonts w:hint="eastAsia"/>
          <w:b/>
          <w:bCs/>
          <w:i w:val="0"/>
          <w:iCs w:val="0"/>
          <w:color w:val="auto"/>
          <w:u w:val="single"/>
          <w:lang w:eastAsia="zh-CN"/>
        </w:rPr>
        <w:t>，</w:t>
      </w:r>
      <w:r>
        <w:rPr>
          <w:rFonts w:hint="eastAsia"/>
          <w:b/>
          <w:bCs/>
          <w:i w:val="0"/>
          <w:iCs w:val="0"/>
          <w:color w:val="auto"/>
          <w:u w:val="single"/>
          <w:lang w:val="en-US" w:eastAsia="zh-CN"/>
        </w:rPr>
        <w:t>项目不添加助剂</w:t>
      </w:r>
      <w:r>
        <w:rPr>
          <w:rFonts w:hint="eastAsia"/>
          <w:b/>
          <w:bCs/>
          <w:i w:val="0"/>
          <w:iCs w:val="0"/>
          <w:color w:val="auto"/>
          <w:u w:val="single"/>
        </w:rPr>
        <w:t>。</w:t>
      </w:r>
      <w:r>
        <w:rPr>
          <w:rFonts w:hint="eastAsia"/>
          <w:b/>
          <w:bCs/>
          <w:i w:val="0"/>
          <w:iCs w:val="0"/>
          <w:color w:val="auto"/>
          <w:u w:val="single"/>
          <w:lang w:val="en-US" w:eastAsia="zh-CN"/>
        </w:rPr>
        <w:t>项目依据小试过程中的实际情况，充分考虑菌草的种类、来源的差异性，在保守的情况下进行原材料用量的核算，</w:t>
      </w:r>
      <w:r>
        <w:rPr>
          <w:rFonts w:hint="eastAsia"/>
          <w:b/>
          <w:bCs/>
          <w:i w:val="0"/>
          <w:iCs w:val="0"/>
          <w:color w:val="auto"/>
          <w:u w:val="single"/>
        </w:rPr>
        <w:t>本工程主要原辅材料及能源消耗见表</w:t>
      </w:r>
      <w:r>
        <w:rPr>
          <w:b/>
          <w:bCs/>
          <w:i w:val="0"/>
          <w:iCs w:val="0"/>
          <w:color w:val="auto"/>
          <w:u w:val="single"/>
        </w:rPr>
        <w:t>3.</w:t>
      </w:r>
      <w:r>
        <w:rPr>
          <w:rFonts w:hint="eastAsia"/>
          <w:b/>
          <w:bCs/>
          <w:i w:val="0"/>
          <w:iCs w:val="0"/>
          <w:color w:val="auto"/>
          <w:u w:val="single"/>
          <w:lang w:val="en-US" w:eastAsia="zh-CN"/>
        </w:rPr>
        <w:t>8</w:t>
      </w:r>
      <w:r>
        <w:rPr>
          <w:rFonts w:hint="eastAsia"/>
          <w:b/>
          <w:bCs/>
          <w:i w:val="0"/>
          <w:iCs w:val="0"/>
          <w:color w:val="auto"/>
          <w:u w:val="single"/>
        </w:rPr>
        <w:t>-</w:t>
      </w:r>
      <w:r>
        <w:rPr>
          <w:rFonts w:hint="eastAsia"/>
          <w:b/>
          <w:bCs/>
          <w:i w:val="0"/>
          <w:iCs w:val="0"/>
          <w:color w:val="auto"/>
          <w:u w:val="single"/>
          <w:lang w:val="en-US" w:eastAsia="zh-CN"/>
        </w:rPr>
        <w:t>5</w:t>
      </w:r>
      <w:r>
        <w:rPr>
          <w:rFonts w:hint="eastAsia"/>
          <w:b/>
          <w:bCs/>
          <w:i w:val="0"/>
          <w:iCs w:val="0"/>
          <w:color w:val="auto"/>
          <w:u w:val="single"/>
        </w:rPr>
        <w:t>。</w:t>
      </w:r>
    </w:p>
    <w:p>
      <w:pPr>
        <w:pStyle w:val="181"/>
        <w:bidi w:val="0"/>
        <w:rPr>
          <w:color w:val="auto"/>
        </w:rPr>
      </w:pPr>
      <w:r>
        <w:rPr>
          <w:rFonts w:hint="eastAsia"/>
          <w:color w:val="auto"/>
        </w:rPr>
        <w:t>表</w:t>
      </w:r>
      <w:r>
        <w:rPr>
          <w:color w:val="auto"/>
        </w:rPr>
        <w:t>3.</w:t>
      </w:r>
      <w:r>
        <w:rPr>
          <w:rFonts w:hint="eastAsia"/>
          <w:color w:val="auto"/>
          <w:lang w:val="en-US" w:eastAsia="zh-CN"/>
        </w:rPr>
        <w:t>8</w:t>
      </w:r>
      <w:r>
        <w:rPr>
          <w:color w:val="auto"/>
        </w:rPr>
        <w:t>-</w:t>
      </w:r>
      <w:r>
        <w:rPr>
          <w:rFonts w:hint="eastAsia"/>
          <w:color w:val="auto"/>
          <w:lang w:val="en-US" w:eastAsia="zh-CN"/>
        </w:rPr>
        <w:t>5</w:t>
      </w:r>
      <w:r>
        <w:rPr>
          <w:color w:val="auto"/>
        </w:rPr>
        <w:t xml:space="preserve"> </w:t>
      </w:r>
      <w:r>
        <w:rPr>
          <w:rFonts w:hint="eastAsia"/>
          <w:color w:val="auto"/>
          <w:lang w:val="en-US" w:eastAsia="zh-CN"/>
        </w:rPr>
        <w:t xml:space="preserve">        </w:t>
      </w:r>
      <w:r>
        <w:rPr>
          <w:color w:val="auto"/>
        </w:rPr>
        <w:t xml:space="preserve"> </w:t>
      </w:r>
      <w:r>
        <w:rPr>
          <w:rFonts w:hint="eastAsia"/>
          <w:color w:val="auto"/>
        </w:rPr>
        <w:t>工程原辅材料及能源消耗一览表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3"/>
        <w:gridCol w:w="1633"/>
        <w:gridCol w:w="660"/>
        <w:gridCol w:w="1064"/>
        <w:gridCol w:w="1087"/>
        <w:gridCol w:w="1023"/>
        <w:gridCol w:w="1515"/>
        <w:gridCol w:w="1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pStyle w:val="182"/>
              <w:bidi w:val="0"/>
              <w:rPr>
                <w:b/>
                <w:bCs/>
                <w:color w:val="auto"/>
                <w:u w:val="single"/>
              </w:rPr>
            </w:pPr>
            <w:r>
              <w:rPr>
                <w:rFonts w:hint="eastAsia"/>
                <w:b/>
                <w:bCs/>
                <w:color w:val="auto"/>
                <w:u w:val="single"/>
              </w:rPr>
              <w:t>序号</w:t>
            </w:r>
          </w:p>
        </w:tc>
        <w:tc>
          <w:tcPr>
            <w:tcW w:w="907" w:type="pct"/>
            <w:vAlign w:val="center"/>
          </w:tcPr>
          <w:p>
            <w:pPr>
              <w:pStyle w:val="182"/>
              <w:bidi w:val="0"/>
              <w:rPr>
                <w:b/>
                <w:bCs/>
                <w:color w:val="auto"/>
                <w:u w:val="single"/>
              </w:rPr>
            </w:pPr>
            <w:r>
              <w:rPr>
                <w:rFonts w:hint="eastAsia"/>
                <w:b/>
                <w:bCs/>
                <w:color w:val="auto"/>
                <w:u w:val="single"/>
              </w:rPr>
              <w:t>名称</w:t>
            </w:r>
          </w:p>
        </w:tc>
        <w:tc>
          <w:tcPr>
            <w:tcW w:w="366" w:type="pct"/>
            <w:vAlign w:val="center"/>
          </w:tcPr>
          <w:p>
            <w:pPr>
              <w:pStyle w:val="182"/>
              <w:bidi w:val="0"/>
              <w:rPr>
                <w:b/>
                <w:bCs/>
                <w:color w:val="auto"/>
                <w:u w:val="single"/>
              </w:rPr>
            </w:pPr>
            <w:r>
              <w:rPr>
                <w:rFonts w:hint="eastAsia"/>
                <w:b/>
                <w:bCs/>
                <w:color w:val="auto"/>
                <w:u w:val="single"/>
              </w:rPr>
              <w:t>单位</w:t>
            </w:r>
          </w:p>
        </w:tc>
        <w:tc>
          <w:tcPr>
            <w:tcW w:w="591" w:type="pct"/>
            <w:vAlign w:val="center"/>
          </w:tcPr>
          <w:p>
            <w:pPr>
              <w:pStyle w:val="182"/>
              <w:bidi w:val="0"/>
              <w:rPr>
                <w:b/>
                <w:bCs/>
                <w:color w:val="auto"/>
                <w:u w:val="single"/>
              </w:rPr>
            </w:pPr>
            <w:r>
              <w:rPr>
                <w:rFonts w:hint="eastAsia"/>
                <w:b/>
                <w:bCs/>
                <w:color w:val="auto"/>
                <w:u w:val="single"/>
              </w:rPr>
              <w:t>吨产品消耗</w:t>
            </w:r>
          </w:p>
        </w:tc>
        <w:tc>
          <w:tcPr>
            <w:tcW w:w="603" w:type="pct"/>
            <w:vAlign w:val="center"/>
          </w:tcPr>
          <w:p>
            <w:pPr>
              <w:pStyle w:val="182"/>
              <w:bidi w:val="0"/>
              <w:rPr>
                <w:b/>
                <w:bCs/>
                <w:color w:val="auto"/>
                <w:u w:val="single"/>
              </w:rPr>
            </w:pPr>
            <w:r>
              <w:rPr>
                <w:rFonts w:hint="eastAsia"/>
                <w:b/>
                <w:bCs/>
                <w:color w:val="auto"/>
                <w:u w:val="single"/>
              </w:rPr>
              <w:t>年用量</w:t>
            </w:r>
          </w:p>
        </w:tc>
        <w:tc>
          <w:tcPr>
            <w:tcW w:w="568" w:type="pct"/>
            <w:vAlign w:val="center"/>
          </w:tcPr>
          <w:p>
            <w:pPr>
              <w:pStyle w:val="182"/>
              <w:bidi w:val="0"/>
              <w:rPr>
                <w:rFonts w:hint="eastAsia"/>
                <w:b/>
                <w:bCs/>
                <w:color w:val="auto"/>
                <w:u w:val="single"/>
                <w:lang w:val="en-US" w:eastAsia="zh-CN"/>
              </w:rPr>
            </w:pPr>
            <w:r>
              <w:rPr>
                <w:rFonts w:hint="eastAsia"/>
                <w:b/>
                <w:bCs/>
                <w:color w:val="auto"/>
                <w:u w:val="single"/>
                <w:lang w:val="en-US" w:eastAsia="zh-CN"/>
              </w:rPr>
              <w:t>来源</w:t>
            </w:r>
          </w:p>
        </w:tc>
        <w:tc>
          <w:tcPr>
            <w:tcW w:w="841" w:type="pct"/>
            <w:vAlign w:val="center"/>
          </w:tcPr>
          <w:p>
            <w:pPr>
              <w:pStyle w:val="182"/>
              <w:bidi w:val="0"/>
              <w:rPr>
                <w:rFonts w:hint="eastAsia"/>
                <w:b/>
                <w:bCs/>
                <w:color w:val="auto"/>
                <w:u w:val="single"/>
                <w:lang w:val="en-US" w:eastAsia="zh-CN"/>
              </w:rPr>
            </w:pPr>
            <w:r>
              <w:rPr>
                <w:rFonts w:hint="eastAsia"/>
                <w:b/>
                <w:bCs/>
                <w:color w:val="auto"/>
                <w:u w:val="single"/>
                <w:lang w:val="en-US" w:eastAsia="zh-CN"/>
              </w:rPr>
              <w:t>最大储存量（t）</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包装方式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pStyle w:val="182"/>
              <w:bidi w:val="0"/>
              <w:rPr>
                <w:b/>
                <w:bCs/>
                <w:color w:val="auto"/>
                <w:u w:val="single"/>
              </w:rPr>
            </w:pPr>
            <w:r>
              <w:rPr>
                <w:rFonts w:hint="eastAsia"/>
                <w:b/>
                <w:bCs/>
                <w:color w:val="auto"/>
                <w:u w:val="single"/>
              </w:rPr>
              <w:t>1</w:t>
            </w:r>
          </w:p>
        </w:tc>
        <w:tc>
          <w:tcPr>
            <w:tcW w:w="907" w:type="pct"/>
            <w:vAlign w:val="center"/>
          </w:tcPr>
          <w:p>
            <w:pPr>
              <w:pStyle w:val="182"/>
              <w:bidi w:val="0"/>
              <w:rPr>
                <w:b/>
                <w:bCs/>
                <w:color w:val="auto"/>
                <w:u w:val="single"/>
              </w:rPr>
            </w:pPr>
            <w:r>
              <w:rPr>
                <w:b/>
                <w:bCs/>
                <w:color w:val="auto"/>
                <w:u w:val="single"/>
              </w:rPr>
              <w:t>菌草</w:t>
            </w:r>
          </w:p>
        </w:tc>
        <w:tc>
          <w:tcPr>
            <w:tcW w:w="366" w:type="pct"/>
            <w:vAlign w:val="center"/>
          </w:tcPr>
          <w:p>
            <w:pPr>
              <w:pStyle w:val="182"/>
              <w:bidi w:val="0"/>
              <w:rPr>
                <w:b/>
                <w:bCs/>
                <w:color w:val="auto"/>
                <w:u w:val="single"/>
              </w:rPr>
            </w:pPr>
            <w:r>
              <w:rPr>
                <w:rFonts w:hint="eastAsia"/>
                <w:b/>
                <w:bCs/>
                <w:color w:val="auto"/>
                <w:u w:val="single"/>
              </w:rPr>
              <w:t>t</w:t>
            </w:r>
          </w:p>
        </w:tc>
        <w:tc>
          <w:tcPr>
            <w:tcW w:w="591" w:type="pct"/>
            <w:vAlign w:val="center"/>
          </w:tcPr>
          <w:p>
            <w:pPr>
              <w:pStyle w:val="182"/>
              <w:bidi w:val="0"/>
              <w:rPr>
                <w:b/>
                <w:bCs/>
                <w:color w:val="auto"/>
                <w:u w:val="single"/>
              </w:rPr>
            </w:pPr>
            <w:r>
              <w:rPr>
                <w:b/>
                <w:bCs/>
                <w:color w:val="auto"/>
                <w:u w:val="single"/>
              </w:rPr>
              <w:t>2</w:t>
            </w:r>
          </w:p>
        </w:tc>
        <w:tc>
          <w:tcPr>
            <w:tcW w:w="603"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10000</w:t>
            </w:r>
          </w:p>
        </w:tc>
        <w:tc>
          <w:tcPr>
            <w:tcW w:w="568" w:type="pct"/>
            <w:vAlign w:val="center"/>
          </w:tcPr>
          <w:p>
            <w:pPr>
              <w:pStyle w:val="182"/>
              <w:bidi w:val="0"/>
              <w:rPr>
                <w:rFonts w:hint="eastAsia"/>
                <w:b/>
                <w:bCs/>
                <w:color w:val="auto"/>
                <w:u w:val="single"/>
                <w:lang w:val="en-US" w:eastAsia="zh-CN"/>
              </w:rPr>
            </w:pPr>
            <w:r>
              <w:rPr>
                <w:rFonts w:hint="eastAsia"/>
                <w:b/>
                <w:bCs/>
                <w:color w:val="auto"/>
                <w:u w:val="single"/>
                <w:lang w:val="en-US" w:eastAsia="zh-CN"/>
              </w:rPr>
              <w:t>外购</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1000</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捆装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pStyle w:val="182"/>
              <w:bidi w:val="0"/>
              <w:rPr>
                <w:b/>
                <w:bCs/>
                <w:color w:val="auto"/>
                <w:u w:val="single"/>
              </w:rPr>
            </w:pPr>
            <w:r>
              <w:rPr>
                <w:rFonts w:hint="eastAsia"/>
                <w:b/>
                <w:bCs/>
                <w:color w:val="auto"/>
                <w:u w:val="single"/>
              </w:rPr>
              <w:t>2</w:t>
            </w:r>
          </w:p>
        </w:tc>
        <w:tc>
          <w:tcPr>
            <w:tcW w:w="907" w:type="pct"/>
            <w:vAlign w:val="center"/>
          </w:tcPr>
          <w:p>
            <w:pPr>
              <w:pStyle w:val="182"/>
              <w:bidi w:val="0"/>
              <w:rPr>
                <w:b/>
                <w:bCs/>
                <w:color w:val="auto"/>
                <w:u w:val="single"/>
              </w:rPr>
            </w:pPr>
            <w:r>
              <w:rPr>
                <w:b/>
                <w:bCs/>
                <w:color w:val="auto"/>
                <w:u w:val="single"/>
              </w:rPr>
              <w:t>烧碱</w:t>
            </w:r>
          </w:p>
        </w:tc>
        <w:tc>
          <w:tcPr>
            <w:tcW w:w="366" w:type="pct"/>
            <w:vAlign w:val="center"/>
          </w:tcPr>
          <w:p>
            <w:pPr>
              <w:pStyle w:val="182"/>
              <w:bidi w:val="0"/>
              <w:rPr>
                <w:b/>
                <w:bCs/>
                <w:color w:val="auto"/>
                <w:u w:val="single"/>
              </w:rPr>
            </w:pPr>
            <w:r>
              <w:rPr>
                <w:rFonts w:hint="eastAsia"/>
                <w:b/>
                <w:bCs/>
                <w:color w:val="auto"/>
                <w:u w:val="single"/>
              </w:rPr>
              <w:t>t</w:t>
            </w:r>
          </w:p>
        </w:tc>
        <w:tc>
          <w:tcPr>
            <w:tcW w:w="591" w:type="pct"/>
            <w:vAlign w:val="center"/>
          </w:tcPr>
          <w:p>
            <w:pPr>
              <w:pStyle w:val="182"/>
              <w:bidi w:val="0"/>
              <w:rPr>
                <w:b/>
                <w:bCs/>
                <w:color w:val="auto"/>
                <w:u w:val="single"/>
              </w:rPr>
            </w:pPr>
            <w:r>
              <w:rPr>
                <w:rFonts w:hint="eastAsia"/>
                <w:b/>
                <w:bCs/>
                <w:color w:val="auto"/>
                <w:u w:val="single"/>
              </w:rPr>
              <w:t>0</w:t>
            </w:r>
            <w:r>
              <w:rPr>
                <w:b/>
                <w:bCs/>
                <w:color w:val="auto"/>
                <w:u w:val="single"/>
              </w:rPr>
              <w:t>.21</w:t>
            </w:r>
          </w:p>
        </w:tc>
        <w:tc>
          <w:tcPr>
            <w:tcW w:w="603" w:type="pct"/>
            <w:vAlign w:val="center"/>
          </w:tcPr>
          <w:p>
            <w:pPr>
              <w:pStyle w:val="182"/>
              <w:bidi w:val="0"/>
              <w:rPr>
                <w:b/>
                <w:bCs/>
                <w:color w:val="auto"/>
                <w:u w:val="single"/>
              </w:rPr>
            </w:pPr>
            <w:r>
              <w:rPr>
                <w:b/>
                <w:bCs/>
                <w:color w:val="auto"/>
                <w:u w:val="single"/>
              </w:rPr>
              <w:t>1050</w:t>
            </w:r>
          </w:p>
        </w:tc>
        <w:tc>
          <w:tcPr>
            <w:tcW w:w="568" w:type="pct"/>
            <w:vAlign w:val="center"/>
          </w:tcPr>
          <w:p>
            <w:pPr>
              <w:pStyle w:val="182"/>
              <w:bidi w:val="0"/>
              <w:rPr>
                <w:rFonts w:hint="default"/>
                <w:b/>
                <w:bCs/>
                <w:color w:val="auto"/>
                <w:u w:val="single"/>
                <w:lang w:val="en-US" w:eastAsia="zh-CN"/>
              </w:rPr>
            </w:pPr>
            <w:r>
              <w:rPr>
                <w:rFonts w:hint="eastAsia"/>
                <w:b/>
                <w:bCs/>
                <w:color w:val="auto"/>
                <w:u w:val="single"/>
                <w:lang w:val="en-US" w:eastAsia="zh-CN"/>
              </w:rPr>
              <w:t>依托原设施</w:t>
            </w:r>
          </w:p>
        </w:tc>
        <w:tc>
          <w:tcPr>
            <w:tcW w:w="841" w:type="pct"/>
            <w:vAlign w:val="center"/>
          </w:tcPr>
          <w:p>
            <w:pPr>
              <w:pStyle w:val="182"/>
              <w:keepNext w:val="0"/>
              <w:keepLines w:val="0"/>
              <w:widowControl/>
              <w:suppressLineNumbers w:val="0"/>
              <w:ind w:firstLine="0" w:firstLineChars="0"/>
              <w:jc w:val="center"/>
              <w:textAlignment w:val="auto"/>
              <w:rPr>
                <w:rFonts w:hint="default"/>
                <w:b/>
                <w:bCs/>
                <w:color w:val="auto"/>
                <w:u w:val="single"/>
                <w:lang w:val="en-US" w:eastAsia="zh-CN"/>
              </w:rPr>
            </w:pPr>
            <w:r>
              <w:rPr>
                <w:rFonts w:hint="eastAsia"/>
                <w:b/>
                <w:bCs/>
                <w:color w:val="auto"/>
                <w:u w:val="single"/>
                <w:lang w:val="en-US" w:eastAsia="zh-CN"/>
              </w:rPr>
              <w:t>22.27</w:t>
            </w:r>
          </w:p>
        </w:tc>
        <w:tc>
          <w:tcPr>
            <w:tcW w:w="841" w:type="pct"/>
            <w:vAlign w:val="center"/>
          </w:tcPr>
          <w:p>
            <w:pPr>
              <w:pStyle w:val="182"/>
              <w:keepNext w:val="0"/>
              <w:keepLines w:val="0"/>
              <w:widowControl/>
              <w:suppressLineNumbers w:val="0"/>
              <w:ind w:firstLine="0" w:firstLineChars="0"/>
              <w:jc w:val="center"/>
              <w:textAlignment w:val="auto"/>
              <w:rPr>
                <w:rFonts w:hint="default"/>
                <w:b/>
                <w:bCs/>
                <w:color w:val="auto"/>
                <w:u w:val="single"/>
                <w:lang w:val="en-US" w:eastAsia="zh-CN"/>
              </w:rPr>
            </w:pPr>
            <w:r>
              <w:rPr>
                <w:rFonts w:hint="eastAsia"/>
                <w:b/>
                <w:bCs/>
                <w:color w:val="auto"/>
                <w:u w:val="single"/>
                <w:lang w:val="en-US" w:eastAsia="zh-CN"/>
              </w:rPr>
              <w:t>罐装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pStyle w:val="182"/>
              <w:bidi w:val="0"/>
              <w:jc w:val="center"/>
              <w:rPr>
                <w:b/>
                <w:bCs/>
                <w:color w:val="auto"/>
                <w:u w:val="single"/>
              </w:rPr>
            </w:pPr>
            <w:r>
              <w:rPr>
                <w:rFonts w:hint="eastAsia"/>
                <w:b/>
                <w:bCs/>
                <w:color w:val="auto"/>
                <w:u w:val="single"/>
              </w:rPr>
              <w:t>3</w:t>
            </w:r>
          </w:p>
        </w:tc>
        <w:tc>
          <w:tcPr>
            <w:tcW w:w="907" w:type="pct"/>
            <w:vAlign w:val="center"/>
          </w:tcPr>
          <w:p>
            <w:pPr>
              <w:pStyle w:val="182"/>
              <w:bidi w:val="0"/>
              <w:jc w:val="center"/>
              <w:rPr>
                <w:rFonts w:hint="default"/>
                <w:b/>
                <w:bCs/>
                <w:color w:val="auto"/>
                <w:u w:val="single"/>
                <w:lang w:val="en-US" w:eastAsia="zh-CN"/>
              </w:rPr>
            </w:pPr>
            <w:r>
              <w:rPr>
                <w:b/>
                <w:bCs/>
                <w:color w:val="auto"/>
                <w:u w:val="single"/>
              </w:rPr>
              <w:t>硫酸</w:t>
            </w:r>
            <w:r>
              <w:rPr>
                <w:rFonts w:hint="eastAsia"/>
                <w:b/>
                <w:bCs/>
                <w:color w:val="auto"/>
                <w:u w:val="single"/>
                <w:lang w:eastAsia="zh-CN"/>
              </w:rPr>
              <w:t>（</w:t>
            </w:r>
            <w:r>
              <w:rPr>
                <w:rFonts w:hint="eastAsia"/>
                <w:b/>
                <w:bCs/>
                <w:color w:val="auto"/>
                <w:u w:val="single"/>
                <w:lang w:val="en-US" w:eastAsia="zh-CN"/>
              </w:rPr>
              <w:t>92.5%</w:t>
            </w:r>
            <w:r>
              <w:rPr>
                <w:rFonts w:hint="eastAsia"/>
                <w:b/>
                <w:bCs/>
                <w:color w:val="auto"/>
                <w:u w:val="single"/>
                <w:lang w:eastAsia="zh-CN"/>
              </w:rPr>
              <w:t>）</w:t>
            </w:r>
          </w:p>
        </w:tc>
        <w:tc>
          <w:tcPr>
            <w:tcW w:w="366" w:type="pct"/>
            <w:vAlign w:val="center"/>
          </w:tcPr>
          <w:p>
            <w:pPr>
              <w:pStyle w:val="182"/>
              <w:bidi w:val="0"/>
              <w:jc w:val="center"/>
              <w:rPr>
                <w:b/>
                <w:bCs/>
                <w:color w:val="auto"/>
                <w:u w:val="single"/>
              </w:rPr>
            </w:pPr>
            <w:r>
              <w:rPr>
                <w:rFonts w:hint="eastAsia"/>
                <w:b/>
                <w:bCs/>
                <w:color w:val="auto"/>
                <w:u w:val="single"/>
                <w:lang w:val="en-US" w:eastAsia="zh-CN"/>
              </w:rPr>
              <w:t>t</w:t>
            </w:r>
          </w:p>
        </w:tc>
        <w:tc>
          <w:tcPr>
            <w:tcW w:w="591" w:type="pct"/>
            <w:vAlign w:val="center"/>
          </w:tcPr>
          <w:p>
            <w:pPr>
              <w:pStyle w:val="182"/>
              <w:keepNext w:val="0"/>
              <w:keepLines w:val="0"/>
              <w:widowControl/>
              <w:suppressLineNumbers w:val="0"/>
              <w:ind w:firstLine="0" w:firstLineChars="0"/>
              <w:jc w:val="center"/>
              <w:textAlignment w:val="auto"/>
              <w:rPr>
                <w:rFonts w:hint="default"/>
                <w:b/>
                <w:bCs/>
                <w:color w:val="auto"/>
                <w:u w:val="single"/>
                <w:lang w:val="en-US" w:eastAsia="zh-CN"/>
              </w:rPr>
            </w:pPr>
            <w:r>
              <w:rPr>
                <w:rFonts w:hint="eastAsia"/>
                <w:b/>
                <w:bCs/>
                <w:color w:val="auto"/>
                <w:u w:val="single"/>
                <w:lang w:val="en-US" w:eastAsia="zh-CN"/>
              </w:rPr>
              <w:t>0.0035</w:t>
            </w:r>
          </w:p>
        </w:tc>
        <w:tc>
          <w:tcPr>
            <w:tcW w:w="603" w:type="pct"/>
            <w:vAlign w:val="center"/>
          </w:tcPr>
          <w:p>
            <w:pPr>
              <w:pStyle w:val="182"/>
              <w:keepNext w:val="0"/>
              <w:keepLines w:val="0"/>
              <w:widowControl/>
              <w:suppressLineNumbers w:val="0"/>
              <w:ind w:firstLine="0" w:firstLineChars="0"/>
              <w:jc w:val="center"/>
              <w:textAlignment w:val="auto"/>
              <w:rPr>
                <w:rFonts w:hint="default"/>
                <w:b/>
                <w:bCs/>
                <w:color w:val="auto"/>
                <w:u w:val="single"/>
                <w:lang w:val="en-US" w:eastAsia="zh-CN"/>
              </w:rPr>
            </w:pPr>
            <w:r>
              <w:rPr>
                <w:rFonts w:hint="eastAsia"/>
                <w:b/>
                <w:bCs/>
                <w:color w:val="auto"/>
                <w:u w:val="single"/>
                <w:lang w:val="en-US" w:eastAsia="zh-CN"/>
              </w:rPr>
              <w:t>17.47</w:t>
            </w:r>
          </w:p>
        </w:tc>
        <w:tc>
          <w:tcPr>
            <w:tcW w:w="568" w:type="pct"/>
            <w:vAlign w:val="center"/>
          </w:tcPr>
          <w:p>
            <w:pPr>
              <w:pStyle w:val="182"/>
              <w:bidi w:val="0"/>
              <w:jc w:val="center"/>
              <w:rPr>
                <w:rFonts w:hint="default"/>
                <w:b/>
                <w:bCs/>
                <w:color w:val="auto"/>
                <w:u w:val="single"/>
                <w:lang w:val="en-US" w:eastAsia="zh-CN"/>
              </w:rPr>
            </w:pPr>
            <w:r>
              <w:rPr>
                <w:rFonts w:hint="eastAsia"/>
                <w:b/>
                <w:bCs/>
                <w:color w:val="auto"/>
                <w:u w:val="single"/>
                <w:lang w:val="en-US" w:eastAsia="zh-CN"/>
              </w:rPr>
              <w:t>依托酸站</w:t>
            </w:r>
          </w:p>
        </w:tc>
        <w:tc>
          <w:tcPr>
            <w:tcW w:w="841" w:type="pct"/>
            <w:vAlign w:val="center"/>
          </w:tcPr>
          <w:p>
            <w:pPr>
              <w:pStyle w:val="182"/>
              <w:keepNext w:val="0"/>
              <w:keepLines w:val="0"/>
              <w:widowControl/>
              <w:suppressLineNumbers w:val="0"/>
              <w:ind w:firstLine="0" w:firstLineChars="0"/>
              <w:jc w:val="center"/>
              <w:textAlignment w:val="auto"/>
              <w:rPr>
                <w:rFonts w:hint="default"/>
                <w:b/>
                <w:bCs/>
                <w:color w:val="auto"/>
                <w:u w:val="single"/>
                <w:lang w:val="en-US" w:eastAsia="zh-CN"/>
              </w:rPr>
            </w:pPr>
            <w:r>
              <w:rPr>
                <w:rFonts w:hint="eastAsia"/>
                <w:b/>
                <w:bCs/>
                <w:color w:val="auto"/>
                <w:u w:val="single"/>
                <w:lang w:val="en-US" w:eastAsia="zh-CN"/>
              </w:rPr>
              <w:t>900</w:t>
            </w:r>
          </w:p>
        </w:tc>
        <w:tc>
          <w:tcPr>
            <w:tcW w:w="841" w:type="pct"/>
            <w:vAlign w:val="center"/>
          </w:tcPr>
          <w:p>
            <w:pPr>
              <w:pStyle w:val="182"/>
              <w:keepNext w:val="0"/>
              <w:keepLines w:val="0"/>
              <w:widowControl/>
              <w:suppressLineNumbers w:val="0"/>
              <w:ind w:firstLine="0" w:firstLineChars="0"/>
              <w:jc w:val="center"/>
              <w:textAlignment w:val="auto"/>
              <w:rPr>
                <w:rFonts w:hint="default"/>
                <w:b/>
                <w:bCs/>
                <w:color w:val="auto"/>
                <w:u w:val="single"/>
                <w:lang w:val="en-US" w:eastAsia="zh-CN"/>
              </w:rPr>
            </w:pPr>
            <w:r>
              <w:rPr>
                <w:rFonts w:hint="eastAsia"/>
                <w:b/>
                <w:bCs/>
                <w:color w:val="auto"/>
                <w:u w:val="single"/>
                <w:lang w:val="en-US" w:eastAsia="zh-CN"/>
              </w:rPr>
              <w:t>罐装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pStyle w:val="182"/>
              <w:bidi w:val="0"/>
              <w:rPr>
                <w:rFonts w:hint="eastAsia"/>
                <w:b/>
                <w:bCs/>
                <w:color w:val="auto"/>
                <w:u w:val="single"/>
                <w:lang w:val="en-US" w:eastAsia="zh-CN"/>
              </w:rPr>
            </w:pPr>
            <w:r>
              <w:rPr>
                <w:rFonts w:hint="eastAsia"/>
                <w:b/>
                <w:bCs/>
                <w:color w:val="auto"/>
                <w:u w:val="single"/>
                <w:lang w:val="en-US" w:eastAsia="zh-CN"/>
              </w:rPr>
              <w:t>4</w:t>
            </w:r>
          </w:p>
        </w:tc>
        <w:tc>
          <w:tcPr>
            <w:tcW w:w="907" w:type="pct"/>
            <w:vAlign w:val="center"/>
          </w:tcPr>
          <w:p>
            <w:pPr>
              <w:pStyle w:val="182"/>
              <w:bidi w:val="0"/>
              <w:rPr>
                <w:rFonts w:hint="default"/>
                <w:b/>
                <w:bCs/>
                <w:color w:val="auto"/>
                <w:u w:val="single"/>
                <w:lang w:val="en-US"/>
              </w:rPr>
            </w:pPr>
            <w:r>
              <w:rPr>
                <w:rFonts w:hint="eastAsia"/>
                <w:b/>
                <w:bCs/>
                <w:color w:val="auto"/>
                <w:u w:val="single"/>
                <w:lang w:val="en-US" w:eastAsia="zh-CN"/>
              </w:rPr>
              <w:t>固体二氧化氯释放剂（含7%二氧化氯，按二氧化氯计）</w:t>
            </w:r>
          </w:p>
        </w:tc>
        <w:tc>
          <w:tcPr>
            <w:tcW w:w="366" w:type="pct"/>
            <w:vAlign w:val="center"/>
          </w:tcPr>
          <w:p>
            <w:pPr>
              <w:pStyle w:val="182"/>
              <w:bidi w:val="0"/>
              <w:rPr>
                <w:b/>
                <w:bCs/>
                <w:color w:val="auto"/>
                <w:u w:val="single"/>
              </w:rPr>
            </w:pPr>
            <w:r>
              <w:rPr>
                <w:rFonts w:hint="eastAsia"/>
                <w:b/>
                <w:bCs/>
                <w:color w:val="auto"/>
                <w:u w:val="single"/>
              </w:rPr>
              <w:t>t</w:t>
            </w:r>
          </w:p>
        </w:tc>
        <w:tc>
          <w:tcPr>
            <w:tcW w:w="591" w:type="pct"/>
            <w:vAlign w:val="center"/>
          </w:tcPr>
          <w:p>
            <w:pPr>
              <w:pStyle w:val="182"/>
              <w:bidi w:val="0"/>
              <w:rPr>
                <w:b/>
                <w:bCs/>
                <w:color w:val="auto"/>
                <w:u w:val="single"/>
              </w:rPr>
            </w:pPr>
            <w:r>
              <w:rPr>
                <w:rFonts w:hint="eastAsia"/>
                <w:b/>
                <w:bCs/>
                <w:color w:val="auto"/>
                <w:u w:val="single"/>
              </w:rPr>
              <w:t>0</w:t>
            </w:r>
            <w:r>
              <w:rPr>
                <w:b/>
                <w:bCs/>
                <w:color w:val="auto"/>
                <w:u w:val="single"/>
              </w:rPr>
              <w:t>.0024</w:t>
            </w:r>
          </w:p>
        </w:tc>
        <w:tc>
          <w:tcPr>
            <w:tcW w:w="603" w:type="pct"/>
            <w:vAlign w:val="center"/>
          </w:tcPr>
          <w:p>
            <w:pPr>
              <w:pStyle w:val="182"/>
              <w:bidi w:val="0"/>
              <w:rPr>
                <w:b/>
                <w:bCs/>
                <w:color w:val="auto"/>
                <w:u w:val="single"/>
              </w:rPr>
            </w:pPr>
            <w:r>
              <w:rPr>
                <w:rFonts w:hint="eastAsia"/>
                <w:b/>
                <w:bCs/>
                <w:color w:val="auto"/>
                <w:u w:val="single"/>
              </w:rPr>
              <w:t>1</w:t>
            </w:r>
            <w:r>
              <w:rPr>
                <w:b/>
                <w:bCs/>
                <w:color w:val="auto"/>
                <w:u w:val="single"/>
              </w:rPr>
              <w:t>2</w:t>
            </w:r>
          </w:p>
        </w:tc>
        <w:tc>
          <w:tcPr>
            <w:tcW w:w="568" w:type="pct"/>
            <w:vAlign w:val="center"/>
          </w:tcPr>
          <w:p>
            <w:pPr>
              <w:pStyle w:val="182"/>
              <w:bidi w:val="0"/>
              <w:rPr>
                <w:rFonts w:hint="eastAsia"/>
                <w:b/>
                <w:bCs/>
                <w:color w:val="auto"/>
                <w:u w:val="single"/>
                <w:lang w:val="en-US" w:eastAsia="zh-CN"/>
              </w:rPr>
            </w:pPr>
            <w:r>
              <w:rPr>
                <w:rFonts w:hint="eastAsia"/>
                <w:b/>
                <w:bCs/>
                <w:color w:val="auto"/>
                <w:u w:val="single"/>
                <w:lang w:val="en-US" w:eastAsia="zh-CN"/>
              </w:rPr>
              <w:t>外购</w:t>
            </w:r>
          </w:p>
        </w:tc>
        <w:tc>
          <w:tcPr>
            <w:tcW w:w="841" w:type="pct"/>
            <w:vAlign w:val="center"/>
          </w:tcPr>
          <w:p>
            <w:pPr>
              <w:pStyle w:val="182"/>
              <w:bidi w:val="0"/>
              <w:rPr>
                <w:rFonts w:hint="eastAsia"/>
                <w:b/>
                <w:bCs/>
                <w:color w:val="auto"/>
                <w:u w:val="single"/>
                <w:lang w:val="en-US" w:eastAsia="zh-CN"/>
              </w:rPr>
            </w:pPr>
            <w:r>
              <w:rPr>
                <w:rFonts w:hint="eastAsia"/>
                <w:b/>
                <w:bCs/>
                <w:color w:val="auto"/>
                <w:u w:val="single"/>
                <w:lang w:val="en-US" w:eastAsia="zh-CN"/>
              </w:rPr>
              <w:t>0.3吨</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pStyle w:val="182"/>
              <w:bidi w:val="0"/>
              <w:rPr>
                <w:rFonts w:hint="eastAsia"/>
                <w:b/>
                <w:bCs/>
                <w:color w:val="auto"/>
                <w:u w:val="single"/>
                <w:lang w:eastAsia="zh-CN"/>
              </w:rPr>
            </w:pPr>
            <w:r>
              <w:rPr>
                <w:rFonts w:hint="eastAsia"/>
                <w:b/>
                <w:bCs/>
                <w:color w:val="auto"/>
                <w:u w:val="single"/>
                <w:lang w:val="en-US" w:eastAsia="zh-CN"/>
              </w:rPr>
              <w:t>5</w:t>
            </w:r>
          </w:p>
        </w:tc>
        <w:tc>
          <w:tcPr>
            <w:tcW w:w="907" w:type="pct"/>
            <w:vAlign w:val="center"/>
          </w:tcPr>
          <w:p>
            <w:pPr>
              <w:pStyle w:val="182"/>
              <w:bidi w:val="0"/>
              <w:rPr>
                <w:b/>
                <w:bCs/>
                <w:color w:val="auto"/>
                <w:u w:val="single"/>
              </w:rPr>
            </w:pPr>
            <w:r>
              <w:rPr>
                <w:b/>
                <w:bCs/>
                <w:color w:val="auto"/>
                <w:u w:val="single"/>
              </w:rPr>
              <w:t>水</w:t>
            </w:r>
          </w:p>
        </w:tc>
        <w:tc>
          <w:tcPr>
            <w:tcW w:w="366" w:type="pct"/>
            <w:vAlign w:val="center"/>
          </w:tcPr>
          <w:p>
            <w:pPr>
              <w:pStyle w:val="182"/>
              <w:bidi w:val="0"/>
              <w:rPr>
                <w:b/>
                <w:bCs/>
                <w:color w:val="auto"/>
                <w:u w:val="single"/>
              </w:rPr>
            </w:pPr>
            <w:r>
              <w:rPr>
                <w:rFonts w:hint="eastAsia"/>
                <w:b/>
                <w:bCs/>
                <w:color w:val="auto"/>
                <w:u w:val="single"/>
              </w:rPr>
              <w:t>m</w:t>
            </w:r>
            <w:r>
              <w:rPr>
                <w:b/>
                <w:bCs/>
                <w:color w:val="auto"/>
                <w:u w:val="single"/>
                <w:vertAlign w:val="superscript"/>
              </w:rPr>
              <w:t>3</w:t>
            </w:r>
          </w:p>
        </w:tc>
        <w:tc>
          <w:tcPr>
            <w:tcW w:w="591" w:type="pct"/>
            <w:vAlign w:val="center"/>
          </w:tcPr>
          <w:p>
            <w:pPr>
              <w:pStyle w:val="182"/>
              <w:bidi w:val="0"/>
              <w:rPr>
                <w:b/>
                <w:bCs/>
                <w:color w:val="auto"/>
                <w:u w:val="single"/>
              </w:rPr>
            </w:pPr>
            <w:r>
              <w:rPr>
                <w:rFonts w:hint="eastAsia"/>
                <w:b/>
                <w:bCs/>
                <w:color w:val="auto"/>
                <w:u w:val="single"/>
              </w:rPr>
              <w:t>7</w:t>
            </w:r>
            <w:r>
              <w:rPr>
                <w:b/>
                <w:bCs/>
                <w:color w:val="auto"/>
                <w:u w:val="single"/>
              </w:rPr>
              <w:t>0.8</w:t>
            </w:r>
          </w:p>
        </w:tc>
        <w:tc>
          <w:tcPr>
            <w:tcW w:w="603" w:type="pct"/>
            <w:vAlign w:val="center"/>
          </w:tcPr>
          <w:p>
            <w:pPr>
              <w:pStyle w:val="182"/>
              <w:bidi w:val="0"/>
              <w:rPr>
                <w:b/>
                <w:bCs/>
                <w:color w:val="auto"/>
                <w:u w:val="single"/>
              </w:rPr>
            </w:pPr>
            <w:r>
              <w:rPr>
                <w:b/>
                <w:bCs/>
                <w:color w:val="auto"/>
                <w:u w:val="single"/>
              </w:rPr>
              <w:t>3.54×10</w:t>
            </w:r>
            <w:r>
              <w:rPr>
                <w:b/>
                <w:bCs/>
                <w:color w:val="auto"/>
                <w:u w:val="single"/>
                <w:vertAlign w:val="superscript"/>
              </w:rPr>
              <w:t>5</w:t>
            </w:r>
          </w:p>
        </w:tc>
        <w:tc>
          <w:tcPr>
            <w:tcW w:w="568" w:type="pct"/>
            <w:vAlign w:val="center"/>
          </w:tcPr>
          <w:p>
            <w:pPr>
              <w:pStyle w:val="182"/>
              <w:bidi w:val="0"/>
              <w:rPr>
                <w:rFonts w:hint="eastAsia"/>
                <w:b/>
                <w:bCs/>
                <w:color w:val="auto"/>
                <w:u w:val="single"/>
                <w:lang w:val="en-US" w:eastAsia="zh-CN"/>
              </w:rPr>
            </w:pPr>
            <w:r>
              <w:rPr>
                <w:rFonts w:hint="eastAsia"/>
                <w:b/>
                <w:bCs/>
                <w:color w:val="auto"/>
                <w:u w:val="single"/>
                <w:lang w:val="en-US" w:eastAsia="zh-CN"/>
              </w:rPr>
              <w:t>市政</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pStyle w:val="182"/>
              <w:bidi w:val="0"/>
              <w:rPr>
                <w:rFonts w:hint="eastAsia"/>
                <w:b/>
                <w:bCs/>
                <w:color w:val="auto"/>
                <w:u w:val="single"/>
                <w:lang w:eastAsia="zh-CN"/>
              </w:rPr>
            </w:pPr>
            <w:r>
              <w:rPr>
                <w:rFonts w:hint="eastAsia"/>
                <w:b/>
                <w:bCs/>
                <w:color w:val="auto"/>
                <w:u w:val="single"/>
                <w:lang w:val="en-US" w:eastAsia="zh-CN"/>
              </w:rPr>
              <w:t>6</w:t>
            </w:r>
          </w:p>
        </w:tc>
        <w:tc>
          <w:tcPr>
            <w:tcW w:w="907" w:type="pct"/>
            <w:vAlign w:val="center"/>
          </w:tcPr>
          <w:p>
            <w:pPr>
              <w:pStyle w:val="182"/>
              <w:bidi w:val="0"/>
              <w:rPr>
                <w:b/>
                <w:bCs/>
                <w:color w:val="auto"/>
                <w:u w:val="single"/>
              </w:rPr>
            </w:pPr>
            <w:r>
              <w:rPr>
                <w:b/>
                <w:bCs/>
                <w:color w:val="auto"/>
                <w:u w:val="single"/>
              </w:rPr>
              <w:t>电</w:t>
            </w:r>
          </w:p>
        </w:tc>
        <w:tc>
          <w:tcPr>
            <w:tcW w:w="366" w:type="pct"/>
            <w:vAlign w:val="center"/>
          </w:tcPr>
          <w:p>
            <w:pPr>
              <w:pStyle w:val="182"/>
              <w:bidi w:val="0"/>
              <w:rPr>
                <w:b/>
                <w:bCs/>
                <w:color w:val="auto"/>
                <w:u w:val="single"/>
              </w:rPr>
            </w:pPr>
            <w:r>
              <w:rPr>
                <w:rFonts w:hint="eastAsia"/>
                <w:b/>
                <w:bCs/>
                <w:color w:val="auto"/>
                <w:u w:val="single"/>
              </w:rPr>
              <w:t>kWh</w:t>
            </w:r>
          </w:p>
        </w:tc>
        <w:tc>
          <w:tcPr>
            <w:tcW w:w="591" w:type="pct"/>
            <w:vAlign w:val="center"/>
          </w:tcPr>
          <w:p>
            <w:pPr>
              <w:pStyle w:val="182"/>
              <w:bidi w:val="0"/>
              <w:rPr>
                <w:b/>
                <w:bCs/>
                <w:color w:val="auto"/>
                <w:u w:val="single"/>
              </w:rPr>
            </w:pPr>
            <w:r>
              <w:rPr>
                <w:rFonts w:hint="eastAsia"/>
                <w:b/>
                <w:bCs/>
                <w:color w:val="auto"/>
                <w:u w:val="single"/>
              </w:rPr>
              <w:t>7</w:t>
            </w:r>
            <w:r>
              <w:rPr>
                <w:b/>
                <w:bCs/>
                <w:color w:val="auto"/>
                <w:u w:val="single"/>
              </w:rPr>
              <w:t>14.8</w:t>
            </w:r>
          </w:p>
        </w:tc>
        <w:tc>
          <w:tcPr>
            <w:tcW w:w="603" w:type="pct"/>
            <w:vAlign w:val="center"/>
          </w:tcPr>
          <w:p>
            <w:pPr>
              <w:pStyle w:val="182"/>
              <w:bidi w:val="0"/>
              <w:rPr>
                <w:b/>
                <w:bCs/>
                <w:color w:val="auto"/>
                <w:u w:val="single"/>
              </w:rPr>
            </w:pPr>
            <w:r>
              <w:rPr>
                <w:rFonts w:hint="eastAsia"/>
                <w:b/>
                <w:bCs/>
                <w:color w:val="auto"/>
                <w:u w:val="single"/>
              </w:rPr>
              <w:t>3.574</w:t>
            </w:r>
            <w:r>
              <w:rPr>
                <w:b/>
                <w:bCs/>
                <w:color w:val="auto"/>
                <w:u w:val="single"/>
              </w:rPr>
              <w:t>×10</w:t>
            </w:r>
            <w:r>
              <w:rPr>
                <w:rFonts w:hint="eastAsia"/>
                <w:b/>
                <w:bCs/>
                <w:color w:val="auto"/>
                <w:u w:val="single"/>
                <w:vertAlign w:val="superscript"/>
              </w:rPr>
              <w:t>6</w:t>
            </w:r>
          </w:p>
        </w:tc>
        <w:tc>
          <w:tcPr>
            <w:tcW w:w="568" w:type="pct"/>
            <w:vAlign w:val="center"/>
          </w:tcPr>
          <w:p>
            <w:pPr>
              <w:pStyle w:val="182"/>
              <w:bidi w:val="0"/>
              <w:rPr>
                <w:rFonts w:hint="eastAsia"/>
                <w:b/>
                <w:bCs/>
                <w:color w:val="auto"/>
                <w:u w:val="single"/>
                <w:lang w:val="en-US" w:eastAsia="zh-CN"/>
              </w:rPr>
            </w:pPr>
            <w:r>
              <w:rPr>
                <w:rFonts w:hint="eastAsia"/>
                <w:b/>
                <w:bCs/>
                <w:color w:val="auto"/>
                <w:u w:val="single"/>
                <w:lang w:val="en-US" w:eastAsia="zh-CN"/>
              </w:rPr>
              <w:t>市政</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pStyle w:val="182"/>
              <w:bidi w:val="0"/>
              <w:rPr>
                <w:rFonts w:hint="eastAsia"/>
                <w:b/>
                <w:bCs/>
                <w:color w:val="auto"/>
                <w:u w:val="single"/>
                <w:lang w:eastAsia="zh-CN"/>
              </w:rPr>
            </w:pPr>
            <w:r>
              <w:rPr>
                <w:rFonts w:hint="eastAsia"/>
                <w:b/>
                <w:bCs/>
                <w:color w:val="auto"/>
                <w:u w:val="single"/>
                <w:lang w:val="en-US" w:eastAsia="zh-CN"/>
              </w:rPr>
              <w:t>7</w:t>
            </w:r>
          </w:p>
        </w:tc>
        <w:tc>
          <w:tcPr>
            <w:tcW w:w="907" w:type="pct"/>
            <w:vAlign w:val="center"/>
          </w:tcPr>
          <w:p>
            <w:pPr>
              <w:pStyle w:val="182"/>
              <w:bidi w:val="0"/>
              <w:rPr>
                <w:b/>
                <w:bCs/>
                <w:color w:val="auto"/>
                <w:u w:val="single"/>
              </w:rPr>
            </w:pPr>
            <w:r>
              <w:rPr>
                <w:b/>
                <w:bCs/>
                <w:color w:val="auto"/>
                <w:u w:val="single"/>
              </w:rPr>
              <w:t>蒸汽</w:t>
            </w:r>
          </w:p>
        </w:tc>
        <w:tc>
          <w:tcPr>
            <w:tcW w:w="366" w:type="pct"/>
            <w:vAlign w:val="center"/>
          </w:tcPr>
          <w:p>
            <w:pPr>
              <w:pStyle w:val="182"/>
              <w:bidi w:val="0"/>
              <w:rPr>
                <w:rFonts w:hint="default"/>
                <w:b/>
                <w:bCs/>
                <w:color w:val="auto"/>
                <w:u w:val="single"/>
                <w:lang w:val="en-US" w:eastAsia="zh-CN"/>
              </w:rPr>
            </w:pPr>
            <w:r>
              <w:rPr>
                <w:rFonts w:hint="eastAsia"/>
                <w:b/>
                <w:bCs/>
                <w:color w:val="auto"/>
                <w:u w:val="single"/>
                <w:lang w:val="en-US" w:eastAsia="zh-CN"/>
              </w:rPr>
              <w:t>t/t产品</w:t>
            </w:r>
          </w:p>
        </w:tc>
        <w:tc>
          <w:tcPr>
            <w:tcW w:w="591" w:type="pct"/>
            <w:vAlign w:val="center"/>
          </w:tcPr>
          <w:p>
            <w:pPr>
              <w:pStyle w:val="182"/>
              <w:bidi w:val="0"/>
              <w:rPr>
                <w:rFonts w:hint="default"/>
                <w:b/>
                <w:bCs/>
                <w:color w:val="auto"/>
                <w:u w:val="single"/>
                <w:lang w:val="en-US" w:eastAsia="zh-CN"/>
              </w:rPr>
            </w:pPr>
            <w:r>
              <w:rPr>
                <w:rFonts w:hint="eastAsia"/>
                <w:b/>
                <w:bCs/>
                <w:color w:val="auto"/>
                <w:u w:val="single"/>
                <w:lang w:val="en-US" w:eastAsia="zh-CN"/>
              </w:rPr>
              <w:t>4.5</w:t>
            </w:r>
          </w:p>
        </w:tc>
        <w:tc>
          <w:tcPr>
            <w:tcW w:w="603" w:type="pct"/>
            <w:vAlign w:val="center"/>
          </w:tcPr>
          <w:p>
            <w:pPr>
              <w:pStyle w:val="182"/>
              <w:bidi w:val="0"/>
              <w:rPr>
                <w:rFonts w:hint="default"/>
                <w:b/>
                <w:bCs/>
                <w:color w:val="auto"/>
                <w:u w:val="single"/>
                <w:lang w:val="en-US"/>
              </w:rPr>
            </w:pPr>
            <w:r>
              <w:rPr>
                <w:rFonts w:hint="eastAsia"/>
                <w:b/>
                <w:bCs/>
                <w:color w:val="auto"/>
                <w:u w:val="single"/>
                <w:lang w:val="en-US" w:eastAsia="zh-CN"/>
              </w:rPr>
              <w:t>22500</w:t>
            </w:r>
          </w:p>
        </w:tc>
        <w:tc>
          <w:tcPr>
            <w:tcW w:w="568" w:type="pct"/>
            <w:vAlign w:val="center"/>
          </w:tcPr>
          <w:p>
            <w:pPr>
              <w:pStyle w:val="182"/>
              <w:bidi w:val="0"/>
              <w:rPr>
                <w:rFonts w:hint="default"/>
                <w:b/>
                <w:bCs/>
                <w:color w:val="auto"/>
                <w:u w:val="single"/>
                <w:lang w:val="en-US" w:eastAsia="zh-CN"/>
              </w:rPr>
            </w:pPr>
            <w:r>
              <w:rPr>
                <w:rFonts w:hint="eastAsia"/>
                <w:b/>
                <w:bCs/>
                <w:color w:val="auto"/>
                <w:u w:val="single"/>
                <w:lang w:val="en-US" w:eastAsia="zh-CN"/>
              </w:rPr>
              <w:t>依托在建的360t/h锅炉</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c>
          <w:tcPr>
            <w:tcW w:w="8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r>
    </w:tbl>
    <w:p>
      <w:pPr>
        <w:bidi w:val="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主要原辅材料的理化性质</w:t>
      </w:r>
    </w:p>
    <w:p>
      <w:pPr>
        <w:numPr>
          <w:ilvl w:val="0"/>
          <w:numId w:val="0"/>
        </w:numPr>
        <w:bidi w:val="0"/>
        <w:rPr>
          <w:color w:val="auto"/>
        </w:rPr>
      </w:pPr>
      <w:r>
        <w:rPr>
          <w:rFonts w:hint="eastAsia"/>
          <w:color w:val="auto"/>
          <w:lang w:val="en-US" w:eastAsia="zh-CN"/>
        </w:rPr>
        <w:t>1）</w:t>
      </w:r>
      <w:r>
        <w:rPr>
          <w:color w:val="auto"/>
        </w:rPr>
        <w:t>菌草</w:t>
      </w:r>
    </w:p>
    <w:p>
      <w:pPr>
        <w:bidi w:val="0"/>
        <w:rPr>
          <w:rFonts w:hint="eastAsia"/>
          <w:color w:val="auto"/>
        </w:rPr>
      </w:pPr>
      <w:r>
        <w:rPr>
          <w:rFonts w:hint="eastAsia"/>
          <w:color w:val="auto"/>
        </w:rPr>
        <w:t>菌草可栽培香菇、灵芝等49种食用菌、药用菌</w:t>
      </w:r>
      <w:r>
        <w:rPr>
          <w:rFonts w:hint="eastAsia"/>
          <w:color w:val="auto"/>
          <w:lang w:eastAsia="zh-CN"/>
        </w:rPr>
        <w:t>，</w:t>
      </w:r>
      <w:r>
        <w:rPr>
          <w:rFonts w:hint="eastAsia"/>
          <w:color w:val="auto"/>
          <w:lang w:val="en-US" w:eastAsia="zh-CN"/>
        </w:rPr>
        <w:t>同时</w:t>
      </w:r>
      <w:r>
        <w:rPr>
          <w:rFonts w:hint="eastAsia"/>
          <w:color w:val="auto"/>
        </w:rPr>
        <w:t>还可</w:t>
      </w:r>
      <w:r>
        <w:rPr>
          <w:rFonts w:hint="eastAsia"/>
          <w:color w:val="auto"/>
          <w:lang w:eastAsia="zh-CN"/>
        </w:rPr>
        <w:t>作</w:t>
      </w:r>
      <w:r>
        <w:rPr>
          <w:rFonts w:hint="eastAsia"/>
          <w:color w:val="auto"/>
        </w:rPr>
        <w:t>饲料</w:t>
      </w:r>
      <w:r>
        <w:rPr>
          <w:rFonts w:hint="eastAsia"/>
          <w:color w:val="auto"/>
          <w:lang w:eastAsia="zh-CN"/>
        </w:rPr>
        <w:t>、</w:t>
      </w:r>
      <w:r>
        <w:rPr>
          <w:rFonts w:hint="eastAsia"/>
          <w:color w:val="auto"/>
        </w:rPr>
        <w:t>生物质发电、纤维板、制造燃料乙醇等用途。</w:t>
      </w:r>
    </w:p>
    <w:p>
      <w:pPr>
        <w:bidi w:val="0"/>
        <w:rPr>
          <w:rFonts w:hint="default" w:eastAsia="宋体"/>
          <w:b/>
          <w:bCs/>
          <w:color w:val="auto"/>
          <w:u w:val="single"/>
          <w:lang w:val="en-US" w:eastAsia="zh-CN"/>
        </w:rPr>
      </w:pPr>
      <w:r>
        <w:rPr>
          <w:rFonts w:hint="eastAsia"/>
          <w:color w:val="auto"/>
        </w:rPr>
        <w:t>我国在福建、贵州、新疆、西藏等地和沿黄河9个省份，在不同气候地理条件下，开展利用菌草治理水土流失、治理荒漠、防沙固沙、治理盐碱地、治理石漠化、治理砒砂岩、矿山植被修复、滨海防风固沙等系列试验示范，</w:t>
      </w:r>
      <w:r>
        <w:rPr>
          <w:rFonts w:hint="eastAsia"/>
          <w:color w:val="auto"/>
          <w:lang w:val="en-US" w:eastAsia="zh-CN"/>
        </w:rPr>
        <w:t>种植规模广泛</w:t>
      </w:r>
      <w:r>
        <w:rPr>
          <w:rFonts w:hint="eastAsia"/>
          <w:color w:val="auto"/>
        </w:rPr>
        <w:t>。</w:t>
      </w:r>
      <w:r>
        <w:rPr>
          <w:rFonts w:hint="eastAsia"/>
          <w:b/>
          <w:bCs/>
          <w:color w:val="auto"/>
          <w:u w:val="single"/>
          <w:lang w:val="en-US" w:eastAsia="zh-CN"/>
        </w:rPr>
        <w:t>根据华南理工大学</w:t>
      </w:r>
      <w:r>
        <w:rPr>
          <w:rFonts w:hint="eastAsia"/>
          <w:b/>
          <w:bCs/>
          <w:color w:val="auto"/>
          <w:u w:val="single"/>
        </w:rPr>
        <w:t>制浆造纸工程国家重点实验室</w:t>
      </w:r>
      <w:r>
        <w:rPr>
          <w:rFonts w:hint="eastAsia"/>
          <w:b/>
          <w:bCs/>
          <w:color w:val="auto"/>
          <w:u w:val="single"/>
          <w:lang w:val="en-US" w:eastAsia="zh-CN"/>
        </w:rPr>
        <w:t>提供的相关实验数据，</w:t>
      </w:r>
      <w:r>
        <w:rPr>
          <w:rFonts w:hint="eastAsia"/>
          <w:b/>
          <w:bCs/>
          <w:color w:val="auto"/>
          <w:u w:val="single"/>
        </w:rPr>
        <w:t>不同种菌草纤维素及木质素含量</w:t>
      </w:r>
      <w:r>
        <w:rPr>
          <w:rFonts w:hint="eastAsia"/>
          <w:b/>
          <w:bCs/>
          <w:color w:val="auto"/>
          <w:u w:val="single"/>
          <w:lang w:val="en-US" w:eastAsia="zh-CN"/>
        </w:rPr>
        <w:t>详见下表。本项目拟采用大芦竹作为原材料进行中试试验。</w:t>
      </w:r>
    </w:p>
    <w:p>
      <w:pPr>
        <w:pStyle w:val="181"/>
        <w:bidi w:val="0"/>
        <w:rPr>
          <w:rFonts w:hint="default"/>
          <w:b/>
          <w:bCs/>
          <w:color w:val="auto"/>
          <w:u w:val="single"/>
          <w:lang w:val="en-US" w:eastAsia="zh-CN"/>
        </w:rPr>
      </w:pPr>
      <w:r>
        <w:rPr>
          <w:rFonts w:hint="eastAsia"/>
          <w:b/>
          <w:bCs/>
          <w:color w:val="auto"/>
          <w:u w:val="single"/>
        </w:rPr>
        <w:t>表</w:t>
      </w:r>
      <w:r>
        <w:rPr>
          <w:rFonts w:hint="eastAsia"/>
          <w:b/>
          <w:bCs/>
          <w:color w:val="auto"/>
          <w:u w:val="single"/>
          <w:lang w:val="en-US" w:eastAsia="zh-CN"/>
        </w:rPr>
        <w:t>3.8-6</w:t>
      </w:r>
      <w:r>
        <w:rPr>
          <w:b/>
          <w:bCs/>
          <w:color w:val="auto"/>
          <w:u w:val="single"/>
        </w:rPr>
        <w:t xml:space="preserve"> </w:t>
      </w:r>
      <w:r>
        <w:rPr>
          <w:rFonts w:hint="eastAsia"/>
          <w:b/>
          <w:bCs/>
          <w:color w:val="auto"/>
          <w:u w:val="single"/>
          <w:lang w:val="en-US" w:eastAsia="zh-CN"/>
        </w:rPr>
        <w:t xml:space="preserve">        不同种菌草纤维素及木质素含量</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5"/>
        <w:gridCol w:w="1705"/>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样品编号</w:t>
            </w:r>
          </w:p>
        </w:tc>
        <w:tc>
          <w:tcPr>
            <w:tcW w:w="170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名称</w:t>
            </w:r>
          </w:p>
        </w:tc>
        <w:tc>
          <w:tcPr>
            <w:tcW w:w="1705" w:type="dxa"/>
            <w:vAlign w:val="center"/>
          </w:tcPr>
          <w:p>
            <w:pPr>
              <w:pStyle w:val="182"/>
              <w:bidi w:val="0"/>
              <w:rPr>
                <w:rFonts w:hint="default"/>
                <w:b/>
                <w:bCs/>
                <w:color w:val="auto"/>
                <w:u w:val="single"/>
                <w:lang w:val="en-US" w:eastAsia="zh-CN"/>
              </w:rPr>
            </w:pPr>
            <w:r>
              <w:rPr>
                <w:rFonts w:hint="default"/>
                <w:b/>
                <w:bCs/>
                <w:color w:val="auto"/>
                <w:u w:val="single"/>
                <w:lang w:val="en-US" w:eastAsia="zh-CN"/>
              </w:rPr>
              <w:t>ɑ</w:t>
            </w:r>
            <w:r>
              <w:rPr>
                <w:rFonts w:hint="eastAsia"/>
                <w:b/>
                <w:bCs/>
                <w:color w:val="auto"/>
                <w:u w:val="single"/>
                <w:lang w:val="en-US" w:eastAsia="zh-CN"/>
              </w:rPr>
              <w:t>－纤维素（%）</w:t>
            </w:r>
          </w:p>
        </w:tc>
        <w:tc>
          <w:tcPr>
            <w:tcW w:w="170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木质素（%）</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水分（%）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1</w:t>
            </w:r>
          </w:p>
        </w:tc>
        <w:tc>
          <w:tcPr>
            <w:tcW w:w="170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芦竹（大）</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67.88</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22.99</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2</w:t>
            </w:r>
          </w:p>
        </w:tc>
        <w:tc>
          <w:tcPr>
            <w:tcW w:w="1705" w:type="dxa"/>
            <w:vAlign w:val="center"/>
          </w:tcPr>
          <w:p>
            <w:pPr>
              <w:pStyle w:val="182"/>
              <w:bidi w:val="0"/>
              <w:rPr>
                <w:rFonts w:hint="eastAsia"/>
                <w:b/>
                <w:bCs/>
                <w:color w:val="auto"/>
                <w:u w:val="single"/>
              </w:rPr>
            </w:pPr>
            <w:r>
              <w:rPr>
                <w:rFonts w:hint="eastAsia"/>
                <w:b/>
                <w:bCs/>
                <w:color w:val="auto"/>
                <w:u w:val="single"/>
                <w:lang w:val="en-US" w:eastAsia="zh-CN"/>
              </w:rPr>
              <w:t>芦竹（小）</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66.75</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23.50</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6.42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3</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银川1（青）</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46.48</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24.48</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55.07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4</w:t>
            </w:r>
          </w:p>
        </w:tc>
        <w:tc>
          <w:tcPr>
            <w:tcW w:w="1705" w:type="dxa"/>
            <w:vAlign w:val="center"/>
          </w:tcPr>
          <w:p>
            <w:pPr>
              <w:pStyle w:val="182"/>
              <w:bidi w:val="0"/>
              <w:rPr>
                <w:rFonts w:hint="eastAsia"/>
                <w:b/>
                <w:bCs/>
                <w:color w:val="auto"/>
                <w:u w:val="single"/>
              </w:rPr>
            </w:pPr>
            <w:r>
              <w:rPr>
                <w:rFonts w:hint="eastAsia"/>
                <w:b/>
                <w:bCs/>
                <w:color w:val="auto"/>
                <w:u w:val="single"/>
                <w:lang w:val="en-US" w:eastAsia="zh-CN"/>
              </w:rPr>
              <w:t>银川2（黄）</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52.02</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23.71</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21.98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5</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方山1</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45.15</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19.45</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12.58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6</w:t>
            </w:r>
          </w:p>
        </w:tc>
        <w:tc>
          <w:tcPr>
            <w:tcW w:w="1705" w:type="dxa"/>
            <w:vAlign w:val="center"/>
          </w:tcPr>
          <w:p>
            <w:pPr>
              <w:pStyle w:val="182"/>
              <w:bidi w:val="0"/>
              <w:rPr>
                <w:rFonts w:hint="eastAsia"/>
                <w:b/>
                <w:bCs/>
                <w:color w:val="auto"/>
                <w:u w:val="single"/>
              </w:rPr>
            </w:pPr>
            <w:r>
              <w:rPr>
                <w:rFonts w:hint="eastAsia"/>
                <w:b/>
                <w:bCs/>
                <w:color w:val="auto"/>
                <w:u w:val="single"/>
                <w:lang w:val="en-US" w:eastAsia="zh-CN"/>
              </w:rPr>
              <w:t>方山2</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57.95</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21.03</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9.66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7</w:t>
            </w:r>
          </w:p>
        </w:tc>
        <w:tc>
          <w:tcPr>
            <w:tcW w:w="170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堡上</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41.32</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21.63</w:t>
            </w:r>
          </w:p>
        </w:tc>
        <w:tc>
          <w:tcPr>
            <w:tcW w:w="1705" w:type="dxa"/>
            <w:vAlign w:val="center"/>
          </w:tcPr>
          <w:p>
            <w:pPr>
              <w:pStyle w:val="182"/>
              <w:bidi w:val="0"/>
              <w:rPr>
                <w:rFonts w:hint="default"/>
                <w:b/>
                <w:bCs/>
                <w:color w:val="auto"/>
                <w:u w:val="single"/>
                <w:lang w:val="en-US" w:eastAsia="zh-CN"/>
              </w:rPr>
            </w:pPr>
            <w:r>
              <w:rPr>
                <w:rFonts w:hint="eastAsia"/>
                <w:b/>
                <w:bCs/>
                <w:color w:val="auto"/>
                <w:u w:val="single"/>
                <w:lang w:val="en-US" w:eastAsia="zh-CN"/>
              </w:rPr>
              <w:t>26.04</w:t>
            </w:r>
          </w:p>
        </w:tc>
      </w:tr>
    </w:tbl>
    <w:p>
      <w:pPr>
        <w:bidi w:val="0"/>
        <w:rPr>
          <w:rFonts w:hint="eastAsia"/>
          <w:color w:val="auto"/>
        </w:rPr>
      </w:pPr>
      <w:r>
        <w:rPr>
          <w:rFonts w:hint="eastAsia"/>
          <w:color w:val="auto"/>
          <w:lang w:val="en-US" w:eastAsia="zh-CN"/>
        </w:rPr>
        <w:t>2）烧碱</w:t>
      </w:r>
    </w:p>
    <w:p>
      <w:pPr>
        <w:bidi w:val="0"/>
        <w:rPr>
          <w:color w:val="auto"/>
        </w:rPr>
      </w:pPr>
      <w:r>
        <w:rPr>
          <w:rFonts w:hint="eastAsia"/>
          <w:color w:val="auto"/>
        </w:rPr>
        <w:t>氢氧化钠</w:t>
      </w:r>
      <w:r>
        <w:rPr>
          <w:rFonts w:hint="eastAsia"/>
          <w:color w:val="auto"/>
          <w:lang w:eastAsia="zh-CN"/>
        </w:rPr>
        <w:t>，</w:t>
      </w:r>
      <w:r>
        <w:rPr>
          <w:rFonts w:hint="eastAsia"/>
          <w:color w:val="auto"/>
        </w:rPr>
        <w:t>别名：苛性钠；烧碱；火碱；固碱，分子式：NaOH。分子量：40.01，白色不透明固体，易潮解，蒸汽压 0.13kPa(739℃)，熔点：318.4℃，沸点：1390℃。溶解性：易溶于水、乙醇、甘油，不溶于丙酮。密度：相对密度（水=1）2.12，稳定性：稳定。危险标记：20（碱性腐蚀品）。主要用途：用于肥皂工业、石油精炼、造纸、人造丝、染色、制革、医药、有机合成等。</w:t>
      </w:r>
    </w:p>
    <w:p>
      <w:pPr>
        <w:bidi w:val="0"/>
        <w:rPr>
          <w:color w:val="auto"/>
        </w:rPr>
      </w:pPr>
      <w:r>
        <w:rPr>
          <w:rFonts w:hint="eastAsia"/>
          <w:color w:val="auto"/>
          <w:lang w:val="en-US" w:eastAsia="zh-CN"/>
        </w:rPr>
        <w:t>3）硫酸</w:t>
      </w:r>
    </w:p>
    <w:p>
      <w:pPr>
        <w:bidi w:val="0"/>
        <w:rPr>
          <w:color w:val="auto"/>
        </w:rPr>
      </w:pPr>
      <w:r>
        <w:rPr>
          <w:rFonts w:hint="eastAsia"/>
          <w:color w:val="auto"/>
          <w:lang w:val="en-US" w:eastAsia="zh-CN"/>
        </w:rPr>
        <w:t>硫酸</w:t>
      </w:r>
      <w:r>
        <w:rPr>
          <w:rFonts w:hint="eastAsia"/>
          <w:color w:val="auto"/>
          <w:lang w:eastAsia="zh-CN"/>
        </w:rPr>
        <w:t>，</w:t>
      </w:r>
      <w:r>
        <w:rPr>
          <w:rFonts w:hint="eastAsia"/>
          <w:color w:val="auto"/>
        </w:rPr>
        <w:t>分子式：H</w:t>
      </w:r>
      <w:r>
        <w:rPr>
          <w:rFonts w:hint="eastAsia"/>
          <w:color w:val="auto"/>
          <w:vertAlign w:val="subscript"/>
        </w:rPr>
        <w:t>2</w:t>
      </w:r>
      <w:r>
        <w:rPr>
          <w:rFonts w:hint="eastAsia"/>
          <w:color w:val="auto"/>
        </w:rPr>
        <w:t>SO</w:t>
      </w:r>
      <w:r>
        <w:rPr>
          <w:rFonts w:hint="eastAsia"/>
          <w:color w:val="auto"/>
          <w:vertAlign w:val="subscript"/>
        </w:rPr>
        <w:t>4</w:t>
      </w:r>
      <w:r>
        <w:rPr>
          <w:rFonts w:hint="eastAsia"/>
          <w:color w:val="auto"/>
        </w:rPr>
        <w:t>。分子量：98.078，透明无色无臭液体，蒸汽压6×10</w:t>
      </w:r>
      <w:r>
        <w:rPr>
          <w:rFonts w:hint="eastAsia"/>
          <w:color w:val="auto"/>
          <w:vertAlign w:val="superscript"/>
        </w:rPr>
        <w:t>-5</w:t>
      </w:r>
      <w:r>
        <w:rPr>
          <w:rFonts w:hint="eastAsia"/>
          <w:color w:val="auto"/>
        </w:rPr>
        <w:t xml:space="preserve"> mmHg，熔点：</w:t>
      </w:r>
      <w:r>
        <w:rPr>
          <w:rFonts w:hint="eastAsia"/>
          <w:color w:val="auto"/>
          <w:lang w:val="en-US" w:eastAsia="zh-CN"/>
        </w:rPr>
        <w:t>10.37</w:t>
      </w:r>
      <w:r>
        <w:rPr>
          <w:rFonts w:hint="eastAsia"/>
          <w:color w:val="auto"/>
        </w:rPr>
        <w:t>℃，沸点：</w:t>
      </w:r>
      <w:r>
        <w:rPr>
          <w:rFonts w:hint="eastAsia"/>
          <w:color w:val="auto"/>
          <w:lang w:val="en-US" w:eastAsia="zh-CN"/>
        </w:rPr>
        <w:t>337</w:t>
      </w:r>
      <w:r>
        <w:rPr>
          <w:rFonts w:hint="eastAsia"/>
          <w:color w:val="auto"/>
        </w:rPr>
        <w:t>℃。溶解性：任意比互溶，易溶于水。密度：1.8305 g/cm³。危险性描述R35。主要用途：硫酸是一种最活泼的二元无机强酸，能和绝大多数金属发生反应。高浓度的硫酸有强烈吸水性，可用作脱水剂，碳化木材、纸张、棉麻织物及生物皮肉等含碳水化合物的物质。与水混合时，亦会放出大量热能。其具有强烈的腐蚀性和氧化性，故需谨慎使用。是一种重要的工业原料，可用于制造肥料、药物、炸药、颜料、洗涤剂、蓄电池等，也广泛应用于净化石油、金属冶炼以及染料等工业中。</w:t>
      </w:r>
    </w:p>
    <w:p>
      <w:pPr>
        <w:bidi w:val="0"/>
        <w:rPr>
          <w:color w:val="auto"/>
        </w:rPr>
      </w:pPr>
      <w:r>
        <w:rPr>
          <w:rFonts w:hint="eastAsia"/>
          <w:color w:val="auto"/>
          <w:lang w:val="en-US" w:eastAsia="zh-CN"/>
        </w:rPr>
        <w:t>4）固体二氧化氯释放剂</w:t>
      </w:r>
    </w:p>
    <w:p>
      <w:pPr>
        <w:bidi w:val="0"/>
        <w:rPr>
          <w:rFonts w:hint="eastAsia"/>
          <w:color w:val="auto"/>
          <w:lang w:val="en-US" w:eastAsia="zh-CN"/>
        </w:rPr>
      </w:pPr>
      <w:r>
        <w:rPr>
          <w:rFonts w:hint="eastAsia"/>
          <w:color w:val="auto"/>
          <w:lang w:val="en-US" w:eastAsia="zh-CN"/>
        </w:rPr>
        <w:t>二氧化氯固体制剂是一种在一定操作条件下能够释放出ClO</w:t>
      </w:r>
      <w:r>
        <w:rPr>
          <w:rFonts w:hint="eastAsia"/>
          <w:color w:val="auto"/>
          <w:vertAlign w:val="subscript"/>
          <w:lang w:val="en-US" w:eastAsia="zh-CN"/>
        </w:rPr>
        <w:t>2</w:t>
      </w:r>
      <w:r>
        <w:rPr>
          <w:rFonts w:hint="eastAsia"/>
          <w:color w:val="auto"/>
          <w:lang w:val="en-US" w:eastAsia="zh-CN"/>
        </w:rPr>
        <w:t>气体的固体状制品。这类产品大都是以稳定性二氧化氯溶液或亚氯酸钠为主要原料制备的，可以是胶体、膏体粉末状、片剂、团块及其他各种形状的固体。国外有欧洲专利EP581，550；日本公开特许JP58-161904；美国专利USP5399288和日本公开特许JP昭60-161307公开了二氧化氯固体制剂产品制备方法。按制备方法和制剂原理及功能的不同二氧化氯固体制剂类型大致上可分为吸附型、反应型和缓释型。</w:t>
      </w:r>
    </w:p>
    <w:p>
      <w:pPr>
        <w:pStyle w:val="9"/>
        <w:bidi w:val="0"/>
        <w:rPr>
          <w:color w:val="auto"/>
        </w:rPr>
      </w:pPr>
      <w:r>
        <w:rPr>
          <w:color w:val="auto"/>
        </w:rPr>
        <w:t>3.</w:t>
      </w:r>
      <w:r>
        <w:rPr>
          <w:rFonts w:hint="eastAsia"/>
          <w:color w:val="auto"/>
          <w:lang w:val="en-US" w:eastAsia="zh-CN"/>
        </w:rPr>
        <w:t>8</w:t>
      </w:r>
      <w:r>
        <w:rPr>
          <w:color w:val="auto"/>
        </w:rPr>
        <w:t>.</w:t>
      </w:r>
      <w:r>
        <w:rPr>
          <w:rFonts w:hint="eastAsia"/>
          <w:color w:val="auto"/>
          <w:lang w:val="en-US" w:eastAsia="zh-CN"/>
        </w:rPr>
        <w:t>6</w:t>
      </w:r>
      <w:r>
        <w:rPr>
          <w:rFonts w:hint="eastAsia"/>
          <w:color w:val="auto"/>
        </w:rPr>
        <w:t>生产设备</w:t>
      </w:r>
    </w:p>
    <w:p>
      <w:pPr>
        <w:spacing w:line="520" w:lineRule="exact"/>
        <w:ind w:firstLine="480" w:firstLineChars="200"/>
        <w:rPr>
          <w:color w:val="auto"/>
        </w:rPr>
      </w:pPr>
      <w:r>
        <w:rPr>
          <w:rFonts w:hint="eastAsia"/>
          <w:color w:val="auto"/>
        </w:rPr>
        <w:t>本项目主要生产设备见表</w:t>
      </w:r>
      <w:r>
        <w:rPr>
          <w:color w:val="auto"/>
        </w:rPr>
        <w:t>3.</w:t>
      </w:r>
      <w:r>
        <w:rPr>
          <w:rFonts w:hint="eastAsia"/>
          <w:color w:val="auto"/>
          <w:lang w:val="en-US" w:eastAsia="zh-CN"/>
        </w:rPr>
        <w:t>8</w:t>
      </w:r>
      <w:r>
        <w:rPr>
          <w:color w:val="auto"/>
        </w:rPr>
        <w:t>-7</w:t>
      </w:r>
      <w:r>
        <w:rPr>
          <w:rFonts w:hint="eastAsia"/>
          <w:color w:val="auto"/>
        </w:rPr>
        <w:t>。</w:t>
      </w:r>
    </w:p>
    <w:p>
      <w:pPr>
        <w:pStyle w:val="181"/>
        <w:bidi w:val="0"/>
        <w:rPr>
          <w:color w:val="auto"/>
        </w:rPr>
      </w:pPr>
      <w:r>
        <w:rPr>
          <w:color w:val="auto"/>
        </w:rPr>
        <w:t>表3.</w:t>
      </w:r>
      <w:r>
        <w:rPr>
          <w:rFonts w:hint="eastAsia"/>
          <w:color w:val="auto"/>
          <w:lang w:val="en-US" w:eastAsia="zh-CN"/>
        </w:rPr>
        <w:t>8</w:t>
      </w:r>
      <w:r>
        <w:rPr>
          <w:color w:val="auto"/>
        </w:rPr>
        <w:t>-</w:t>
      </w:r>
      <w:r>
        <w:rPr>
          <w:rFonts w:hint="eastAsia"/>
          <w:color w:val="auto"/>
          <w:lang w:val="en-US" w:eastAsia="zh-CN"/>
        </w:rPr>
        <w:t>7</w:t>
      </w:r>
      <w:r>
        <w:rPr>
          <w:color w:val="auto"/>
        </w:rPr>
        <w:t xml:space="preserve">  </w:t>
      </w:r>
      <w:r>
        <w:rPr>
          <w:rFonts w:hint="eastAsia"/>
          <w:color w:val="auto"/>
          <w:lang w:val="en-US" w:eastAsia="zh-CN"/>
        </w:rPr>
        <w:t xml:space="preserve">             </w:t>
      </w:r>
      <w:r>
        <w:rPr>
          <w:color w:val="auto"/>
        </w:rPr>
        <w:t>主要生产设备一览表</w:t>
      </w:r>
    </w:p>
    <w:tbl>
      <w:tblPr>
        <w:tblStyle w:val="3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0"/>
        <w:gridCol w:w="1794"/>
        <w:gridCol w:w="4653"/>
        <w:gridCol w:w="873"/>
        <w:gridCol w:w="8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6" w:hRule="atLeast"/>
          <w:jc w:val="center"/>
        </w:trPr>
        <w:tc>
          <w:tcPr>
            <w:tcW w:w="455" w:type="pct"/>
            <w:vAlign w:val="center"/>
          </w:tcPr>
          <w:p>
            <w:pPr>
              <w:pStyle w:val="182"/>
              <w:bidi w:val="0"/>
              <w:rPr>
                <w:b/>
                <w:bCs/>
                <w:color w:val="auto"/>
              </w:rPr>
            </w:pPr>
            <w:r>
              <w:rPr>
                <w:b/>
                <w:bCs/>
                <w:color w:val="auto"/>
              </w:rPr>
              <w:t>序号</w:t>
            </w:r>
          </w:p>
        </w:tc>
        <w:tc>
          <w:tcPr>
            <w:tcW w:w="996" w:type="pct"/>
            <w:vAlign w:val="center"/>
          </w:tcPr>
          <w:p>
            <w:pPr>
              <w:pStyle w:val="182"/>
              <w:bidi w:val="0"/>
              <w:rPr>
                <w:b/>
                <w:bCs/>
                <w:color w:val="auto"/>
              </w:rPr>
            </w:pPr>
            <w:r>
              <w:rPr>
                <w:b/>
                <w:bCs/>
                <w:color w:val="auto"/>
              </w:rPr>
              <w:t>名称</w:t>
            </w:r>
          </w:p>
        </w:tc>
        <w:tc>
          <w:tcPr>
            <w:tcW w:w="2583" w:type="pct"/>
            <w:vAlign w:val="center"/>
          </w:tcPr>
          <w:p>
            <w:pPr>
              <w:pStyle w:val="182"/>
              <w:bidi w:val="0"/>
              <w:rPr>
                <w:b/>
                <w:bCs/>
                <w:color w:val="auto"/>
              </w:rPr>
            </w:pPr>
            <w:r>
              <w:rPr>
                <w:b/>
                <w:bCs/>
                <w:color w:val="auto"/>
              </w:rPr>
              <w:t>型号</w:t>
            </w:r>
          </w:p>
        </w:tc>
        <w:tc>
          <w:tcPr>
            <w:tcW w:w="484" w:type="pct"/>
            <w:vAlign w:val="center"/>
          </w:tcPr>
          <w:p>
            <w:pPr>
              <w:pStyle w:val="182"/>
              <w:bidi w:val="0"/>
              <w:rPr>
                <w:b/>
                <w:bCs/>
                <w:color w:val="auto"/>
              </w:rPr>
            </w:pPr>
            <w:r>
              <w:rPr>
                <w:b/>
                <w:bCs/>
                <w:color w:val="auto"/>
              </w:rPr>
              <w:t>数量</w:t>
            </w:r>
          </w:p>
        </w:tc>
        <w:tc>
          <w:tcPr>
            <w:tcW w:w="479" w:type="pct"/>
            <w:vAlign w:val="center"/>
          </w:tcPr>
          <w:p>
            <w:pPr>
              <w:pStyle w:val="182"/>
              <w:bidi w:val="0"/>
              <w:rPr>
                <w:b/>
                <w:bCs/>
                <w:color w:val="auto"/>
              </w:rPr>
            </w:pPr>
            <w:r>
              <w:rPr>
                <w:b/>
                <w:bCs/>
                <w:color w:val="auto"/>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6" w:hRule="atLeast"/>
          <w:jc w:val="center"/>
        </w:trPr>
        <w:tc>
          <w:tcPr>
            <w:tcW w:w="5000" w:type="pct"/>
            <w:gridSpan w:val="5"/>
            <w:vAlign w:val="center"/>
          </w:tcPr>
          <w:p>
            <w:pPr>
              <w:pStyle w:val="182"/>
              <w:bidi w:val="0"/>
              <w:rPr>
                <w:color w:val="auto"/>
              </w:rPr>
            </w:pPr>
            <w:r>
              <w:rPr>
                <w:color w:val="auto"/>
              </w:rPr>
              <w:t>菌草制浆</w:t>
            </w:r>
            <w:r>
              <w:rPr>
                <w:rFonts w:hint="eastAsia"/>
                <w:color w:val="auto"/>
              </w:rPr>
              <w:t>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w:t>
            </w:r>
          </w:p>
        </w:tc>
        <w:tc>
          <w:tcPr>
            <w:tcW w:w="996" w:type="pct"/>
            <w:vAlign w:val="center"/>
          </w:tcPr>
          <w:p>
            <w:pPr>
              <w:pStyle w:val="182"/>
              <w:bidi w:val="0"/>
              <w:rPr>
                <w:color w:val="auto"/>
              </w:rPr>
            </w:pPr>
            <w:r>
              <w:rPr>
                <w:color w:val="auto"/>
              </w:rPr>
              <w:t>出料皮带输送机</w:t>
            </w:r>
          </w:p>
        </w:tc>
        <w:tc>
          <w:tcPr>
            <w:tcW w:w="2583" w:type="pct"/>
            <w:vAlign w:val="center"/>
          </w:tcPr>
          <w:p>
            <w:pPr>
              <w:pStyle w:val="182"/>
              <w:bidi w:val="0"/>
              <w:rPr>
                <w:color w:val="auto"/>
              </w:rPr>
            </w:pPr>
            <w:r>
              <w:rPr>
                <w:color w:val="auto"/>
              </w:rPr>
              <w:t>LY1103，B=1200mm，水平段，L=4976mm</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w:t>
            </w:r>
          </w:p>
        </w:tc>
        <w:tc>
          <w:tcPr>
            <w:tcW w:w="996" w:type="pct"/>
            <w:vAlign w:val="center"/>
          </w:tcPr>
          <w:p>
            <w:pPr>
              <w:pStyle w:val="182"/>
              <w:bidi w:val="0"/>
              <w:rPr>
                <w:color w:val="auto"/>
              </w:rPr>
            </w:pPr>
            <w:r>
              <w:rPr>
                <w:color w:val="auto"/>
              </w:rPr>
              <w:t>出料皮带输送机</w:t>
            </w:r>
          </w:p>
        </w:tc>
        <w:tc>
          <w:tcPr>
            <w:tcW w:w="2583" w:type="pct"/>
            <w:vAlign w:val="center"/>
          </w:tcPr>
          <w:p>
            <w:pPr>
              <w:pStyle w:val="182"/>
              <w:bidi w:val="0"/>
              <w:rPr>
                <w:color w:val="auto"/>
              </w:rPr>
            </w:pPr>
            <w:r>
              <w:rPr>
                <w:color w:val="auto"/>
              </w:rPr>
              <w:t>LY1103，B=1200mm，倾斜段：L=13913mm（α=17°）</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3</w:t>
            </w:r>
          </w:p>
        </w:tc>
        <w:tc>
          <w:tcPr>
            <w:tcW w:w="996" w:type="pct"/>
            <w:vAlign w:val="center"/>
          </w:tcPr>
          <w:p>
            <w:pPr>
              <w:pStyle w:val="182"/>
              <w:bidi w:val="0"/>
              <w:rPr>
                <w:color w:val="auto"/>
              </w:rPr>
            </w:pPr>
            <w:r>
              <w:rPr>
                <w:color w:val="auto"/>
              </w:rPr>
              <w:t>圆锥筛</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4</w:t>
            </w:r>
          </w:p>
        </w:tc>
        <w:tc>
          <w:tcPr>
            <w:tcW w:w="996" w:type="pct"/>
            <w:vAlign w:val="center"/>
          </w:tcPr>
          <w:p>
            <w:pPr>
              <w:pStyle w:val="182"/>
              <w:bidi w:val="0"/>
              <w:rPr>
                <w:color w:val="auto"/>
              </w:rPr>
            </w:pPr>
            <w:r>
              <w:rPr>
                <w:color w:val="auto"/>
              </w:rPr>
              <w:t>汇总皮带输送机</w:t>
            </w:r>
          </w:p>
        </w:tc>
        <w:tc>
          <w:tcPr>
            <w:tcW w:w="2583" w:type="pct"/>
            <w:vAlign w:val="center"/>
          </w:tcPr>
          <w:p>
            <w:pPr>
              <w:pStyle w:val="182"/>
              <w:bidi w:val="0"/>
              <w:rPr>
                <w:color w:val="auto"/>
              </w:rPr>
            </w:pPr>
            <w:r>
              <w:rPr>
                <w:color w:val="auto"/>
              </w:rPr>
              <w:t>LY1106，B=1400mm，水平，L=16000mm</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5</w:t>
            </w:r>
          </w:p>
        </w:tc>
        <w:tc>
          <w:tcPr>
            <w:tcW w:w="996" w:type="pct"/>
            <w:vAlign w:val="center"/>
          </w:tcPr>
          <w:p>
            <w:pPr>
              <w:pStyle w:val="182"/>
              <w:bidi w:val="0"/>
              <w:rPr>
                <w:color w:val="auto"/>
              </w:rPr>
            </w:pPr>
            <w:r>
              <w:rPr>
                <w:color w:val="auto"/>
              </w:rPr>
              <w:t>栈桥链板输送机</w:t>
            </w:r>
          </w:p>
        </w:tc>
        <w:tc>
          <w:tcPr>
            <w:tcW w:w="2583" w:type="pct"/>
            <w:vAlign w:val="center"/>
          </w:tcPr>
          <w:p>
            <w:pPr>
              <w:pStyle w:val="182"/>
              <w:bidi w:val="0"/>
              <w:rPr>
                <w:color w:val="auto"/>
              </w:rPr>
            </w:pPr>
            <w:r>
              <w:rPr>
                <w:color w:val="auto"/>
              </w:rPr>
              <w:t>B=2275mm，α=30°，L=34500mm</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6</w:t>
            </w:r>
          </w:p>
        </w:tc>
        <w:tc>
          <w:tcPr>
            <w:tcW w:w="996" w:type="pct"/>
            <w:vAlign w:val="center"/>
          </w:tcPr>
          <w:p>
            <w:pPr>
              <w:pStyle w:val="182"/>
              <w:bidi w:val="0"/>
              <w:rPr>
                <w:color w:val="auto"/>
              </w:rPr>
            </w:pPr>
            <w:r>
              <w:rPr>
                <w:color w:val="auto"/>
              </w:rPr>
              <w:t>栈桥链板输送机</w:t>
            </w:r>
          </w:p>
        </w:tc>
        <w:tc>
          <w:tcPr>
            <w:tcW w:w="2583" w:type="pct"/>
            <w:vAlign w:val="center"/>
          </w:tcPr>
          <w:p>
            <w:pPr>
              <w:pStyle w:val="182"/>
              <w:bidi w:val="0"/>
              <w:rPr>
                <w:color w:val="auto"/>
              </w:rPr>
            </w:pPr>
            <w:r>
              <w:rPr>
                <w:color w:val="auto"/>
              </w:rPr>
              <w:t>B=2275mm，α=30°，L=24264mm</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bookmarkStart w:id="193" w:name="_Hlk119851268"/>
            <w:r>
              <w:rPr>
                <w:rFonts w:hint="eastAsia"/>
                <w:color w:val="auto"/>
                <w:lang w:val="en-US" w:eastAsia="zh-CN"/>
              </w:rPr>
              <w:t>7</w:t>
            </w:r>
          </w:p>
        </w:tc>
        <w:tc>
          <w:tcPr>
            <w:tcW w:w="996" w:type="pct"/>
            <w:vAlign w:val="center"/>
          </w:tcPr>
          <w:p>
            <w:pPr>
              <w:pStyle w:val="182"/>
              <w:bidi w:val="0"/>
              <w:rPr>
                <w:color w:val="auto"/>
              </w:rPr>
            </w:pPr>
            <w:r>
              <w:rPr>
                <w:color w:val="auto"/>
              </w:rPr>
              <w:t>清洗机</w:t>
            </w:r>
          </w:p>
        </w:tc>
        <w:tc>
          <w:tcPr>
            <w:tcW w:w="2583" w:type="pct"/>
            <w:vAlign w:val="center"/>
          </w:tcPr>
          <w:p>
            <w:pPr>
              <w:pStyle w:val="182"/>
              <w:bidi w:val="0"/>
              <w:rPr>
                <w:color w:val="auto"/>
              </w:rPr>
            </w:pPr>
            <w:r>
              <w:rPr>
                <w:color w:val="auto"/>
              </w:rPr>
              <w:t>Ø2000</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rFonts w:hint="eastAsia"/>
                <w:color w:val="auto"/>
                <w:lang w:val="en-US" w:eastAsia="zh-CN"/>
              </w:rPr>
              <w:t>8</w:t>
            </w:r>
          </w:p>
        </w:tc>
        <w:tc>
          <w:tcPr>
            <w:tcW w:w="996" w:type="pct"/>
            <w:vAlign w:val="center"/>
          </w:tcPr>
          <w:p>
            <w:pPr>
              <w:pStyle w:val="182"/>
              <w:bidi w:val="0"/>
              <w:rPr>
                <w:color w:val="auto"/>
              </w:rPr>
            </w:pPr>
            <w:r>
              <w:rPr>
                <w:color w:val="auto"/>
              </w:rPr>
              <w:t>料仓</w:t>
            </w:r>
          </w:p>
        </w:tc>
        <w:tc>
          <w:tcPr>
            <w:tcW w:w="2583" w:type="pct"/>
            <w:vAlign w:val="center"/>
          </w:tcPr>
          <w:p>
            <w:pPr>
              <w:pStyle w:val="182"/>
              <w:bidi w:val="0"/>
              <w:rPr>
                <w:color w:val="auto"/>
              </w:rPr>
            </w:pPr>
            <w:r>
              <w:rPr>
                <w:color w:val="auto"/>
              </w:rPr>
              <w:t>BLC1，V：30m</w:t>
            </w:r>
            <w:r>
              <w:rPr>
                <w:color w:val="auto"/>
                <w:vertAlign w:val="superscript"/>
              </w:rPr>
              <w:t>3</w:t>
            </w:r>
            <w:r>
              <w:rPr>
                <w:color w:val="auto"/>
              </w:rPr>
              <w:t>；处理量：40m</w:t>
            </w:r>
            <w:r>
              <w:rPr>
                <w:color w:val="auto"/>
                <w:vertAlign w:val="superscript"/>
              </w:rPr>
              <w:t>3</w:t>
            </w:r>
            <w:r>
              <w:rPr>
                <w:color w:val="auto"/>
              </w:rPr>
              <w:t>/h；厚度：10mm；材质：Q235</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rFonts w:hint="eastAsia"/>
                <w:color w:val="auto"/>
                <w:lang w:val="en-US" w:eastAsia="zh-CN"/>
              </w:rPr>
              <w:t>9</w:t>
            </w:r>
          </w:p>
        </w:tc>
        <w:tc>
          <w:tcPr>
            <w:tcW w:w="996" w:type="pct"/>
            <w:vAlign w:val="center"/>
          </w:tcPr>
          <w:p>
            <w:pPr>
              <w:pStyle w:val="182"/>
              <w:bidi w:val="0"/>
              <w:rPr>
                <w:color w:val="auto"/>
              </w:rPr>
            </w:pPr>
            <w:r>
              <w:rPr>
                <w:color w:val="auto"/>
              </w:rPr>
              <w:t>拨料辊</w:t>
            </w:r>
          </w:p>
        </w:tc>
        <w:tc>
          <w:tcPr>
            <w:tcW w:w="2583" w:type="pct"/>
            <w:vAlign w:val="center"/>
          </w:tcPr>
          <w:p>
            <w:pPr>
              <w:pStyle w:val="182"/>
              <w:bidi w:val="0"/>
              <w:rPr>
                <w:color w:val="auto"/>
              </w:rPr>
            </w:pPr>
            <w:r>
              <w:rPr>
                <w:color w:val="auto"/>
              </w:rPr>
              <w:t>Ø114，材质：Q235；传动链轮：45#；链条：16A</w:t>
            </w:r>
          </w:p>
        </w:tc>
        <w:tc>
          <w:tcPr>
            <w:tcW w:w="484" w:type="pct"/>
            <w:vAlign w:val="center"/>
          </w:tcPr>
          <w:p>
            <w:pPr>
              <w:pStyle w:val="182"/>
              <w:bidi w:val="0"/>
              <w:rPr>
                <w:color w:val="auto"/>
              </w:rPr>
            </w:pPr>
            <w:r>
              <w:rPr>
                <w:color w:val="auto"/>
              </w:rPr>
              <w:t>8</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0</w:t>
            </w:r>
          </w:p>
        </w:tc>
        <w:tc>
          <w:tcPr>
            <w:tcW w:w="996" w:type="pct"/>
            <w:vAlign w:val="center"/>
          </w:tcPr>
          <w:p>
            <w:pPr>
              <w:pStyle w:val="182"/>
              <w:bidi w:val="0"/>
              <w:rPr>
                <w:color w:val="auto"/>
              </w:rPr>
            </w:pPr>
            <w:r>
              <w:rPr>
                <w:color w:val="auto"/>
              </w:rPr>
              <w:t>销鼓计量器</w:t>
            </w:r>
          </w:p>
        </w:tc>
        <w:tc>
          <w:tcPr>
            <w:tcW w:w="2583" w:type="pct"/>
            <w:vAlign w:val="center"/>
          </w:tcPr>
          <w:p>
            <w:pPr>
              <w:pStyle w:val="182"/>
              <w:bidi w:val="0"/>
              <w:rPr>
                <w:color w:val="auto"/>
              </w:rPr>
            </w:pPr>
            <w:r>
              <w:rPr>
                <w:color w:val="auto"/>
              </w:rPr>
              <w:t>14"</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bookmarkEnd w:id="193"/>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b/>
                <w:bCs/>
                <w:color w:val="auto"/>
                <w:u w:val="single"/>
                <w:lang w:val="en-US" w:eastAsia="zh-CN"/>
              </w:rPr>
            </w:pPr>
            <w:r>
              <w:rPr>
                <w:b/>
                <w:bCs/>
                <w:color w:val="auto"/>
                <w:u w:val="single"/>
              </w:rPr>
              <w:t>1</w:t>
            </w:r>
            <w:r>
              <w:rPr>
                <w:rFonts w:hint="eastAsia"/>
                <w:b/>
                <w:bCs/>
                <w:color w:val="auto"/>
                <w:u w:val="single"/>
                <w:lang w:val="en-US" w:eastAsia="zh-CN"/>
              </w:rPr>
              <w:t>1</w:t>
            </w:r>
          </w:p>
        </w:tc>
        <w:tc>
          <w:tcPr>
            <w:tcW w:w="996" w:type="pct"/>
            <w:vAlign w:val="center"/>
          </w:tcPr>
          <w:p>
            <w:pPr>
              <w:pStyle w:val="182"/>
              <w:bidi w:val="0"/>
              <w:rPr>
                <w:b/>
                <w:bCs/>
                <w:color w:val="auto"/>
                <w:u w:val="single"/>
              </w:rPr>
            </w:pPr>
            <w:r>
              <w:rPr>
                <w:rFonts w:hint="eastAsia"/>
                <w:b/>
                <w:bCs/>
                <w:color w:val="auto"/>
                <w:u w:val="single"/>
              </w:rPr>
              <w:t>立式蒸锅</w:t>
            </w:r>
          </w:p>
        </w:tc>
        <w:tc>
          <w:tcPr>
            <w:tcW w:w="2583" w:type="pct"/>
            <w:vAlign w:val="center"/>
          </w:tcPr>
          <w:p>
            <w:pPr>
              <w:pStyle w:val="182"/>
              <w:bidi w:val="0"/>
              <w:rPr>
                <w:rFonts w:hint="eastAsia" w:eastAsia="宋体"/>
                <w:b/>
                <w:bCs/>
                <w:color w:val="auto"/>
                <w:u w:val="single"/>
                <w:lang w:eastAsia="zh-CN"/>
              </w:rPr>
            </w:pPr>
            <w:r>
              <w:rPr>
                <w:b/>
                <w:bCs/>
                <w:color w:val="auto"/>
                <w:u w:val="single"/>
              </w:rPr>
              <w:t>ZJG1</w:t>
            </w:r>
            <w:r>
              <w:rPr>
                <w:rFonts w:hint="eastAsia"/>
                <w:b/>
                <w:bCs/>
                <w:color w:val="auto"/>
                <w:u w:val="single"/>
                <w:lang w:eastAsia="zh-CN"/>
              </w:rPr>
              <w:t>，100m</w:t>
            </w:r>
            <w:r>
              <w:rPr>
                <w:rFonts w:hint="eastAsia"/>
                <w:b/>
                <w:bCs/>
                <w:color w:val="auto"/>
                <w:u w:val="single"/>
                <w:vertAlign w:val="superscript"/>
                <w:lang w:eastAsia="zh-CN"/>
              </w:rPr>
              <w:t>3</w:t>
            </w:r>
            <w:r>
              <w:rPr>
                <w:rFonts w:hint="eastAsia"/>
                <w:b/>
                <w:bCs/>
                <w:color w:val="auto"/>
                <w:u w:val="single"/>
                <w:lang w:eastAsia="zh-CN"/>
              </w:rPr>
              <w:t>/台，用碱浓度53±2g/l，液比1：3.</w:t>
            </w:r>
            <w:r>
              <w:rPr>
                <w:rFonts w:hint="eastAsia"/>
                <w:b/>
                <w:bCs/>
                <w:color w:val="auto"/>
                <w:u w:val="single"/>
                <w:lang w:val="en-US" w:eastAsia="zh-CN"/>
              </w:rPr>
              <w:t>0-</w:t>
            </w:r>
            <w:r>
              <w:rPr>
                <w:rFonts w:hint="eastAsia"/>
                <w:b/>
                <w:bCs/>
                <w:color w:val="auto"/>
                <w:u w:val="single"/>
                <w:lang w:eastAsia="zh-CN"/>
              </w:rPr>
              <w:t>3.5</w:t>
            </w:r>
          </w:p>
        </w:tc>
        <w:tc>
          <w:tcPr>
            <w:tcW w:w="484" w:type="pct"/>
            <w:vAlign w:val="center"/>
          </w:tcPr>
          <w:p>
            <w:pPr>
              <w:pStyle w:val="182"/>
              <w:bidi w:val="0"/>
              <w:rPr>
                <w:b/>
                <w:bCs/>
                <w:color w:val="auto"/>
                <w:u w:val="single"/>
              </w:rPr>
            </w:pPr>
            <w:r>
              <w:rPr>
                <w:b/>
                <w:bCs/>
                <w:color w:val="auto"/>
                <w:u w:val="single"/>
              </w:rPr>
              <w:t>4</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2</w:t>
            </w:r>
          </w:p>
        </w:tc>
        <w:tc>
          <w:tcPr>
            <w:tcW w:w="996" w:type="pct"/>
            <w:vAlign w:val="center"/>
          </w:tcPr>
          <w:p>
            <w:pPr>
              <w:pStyle w:val="182"/>
              <w:bidi w:val="0"/>
              <w:rPr>
                <w:color w:val="auto"/>
              </w:rPr>
            </w:pPr>
            <w:r>
              <w:rPr>
                <w:color w:val="auto"/>
              </w:rPr>
              <w:t>碱液加热器</w:t>
            </w:r>
          </w:p>
        </w:tc>
        <w:tc>
          <w:tcPr>
            <w:tcW w:w="2583" w:type="pct"/>
            <w:vAlign w:val="center"/>
          </w:tcPr>
          <w:p>
            <w:pPr>
              <w:pStyle w:val="182"/>
              <w:bidi w:val="0"/>
              <w:rPr>
                <w:color w:val="auto"/>
              </w:rPr>
            </w:pPr>
            <w:r>
              <w:rPr>
                <w:color w:val="auto"/>
              </w:rPr>
              <w:t>ZJG1-2，加热面积；40m</w:t>
            </w:r>
            <w:r>
              <w:rPr>
                <w:color w:val="auto"/>
                <w:vertAlign w:val="superscript"/>
              </w:rPr>
              <w:t>2</w:t>
            </w:r>
          </w:p>
        </w:tc>
        <w:tc>
          <w:tcPr>
            <w:tcW w:w="484" w:type="pct"/>
            <w:vAlign w:val="center"/>
          </w:tcPr>
          <w:p>
            <w:pPr>
              <w:pStyle w:val="182"/>
              <w:bidi w:val="0"/>
              <w:rPr>
                <w:color w:val="auto"/>
              </w:rPr>
            </w:pPr>
            <w:r>
              <w:rPr>
                <w:color w:val="auto"/>
              </w:rPr>
              <w:t>4</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3</w:t>
            </w:r>
          </w:p>
        </w:tc>
        <w:tc>
          <w:tcPr>
            <w:tcW w:w="996" w:type="pct"/>
            <w:vAlign w:val="center"/>
          </w:tcPr>
          <w:p>
            <w:pPr>
              <w:pStyle w:val="182"/>
              <w:bidi w:val="0"/>
              <w:rPr>
                <w:color w:val="auto"/>
              </w:rPr>
            </w:pPr>
            <w:r>
              <w:rPr>
                <w:color w:val="auto"/>
              </w:rPr>
              <w:t>碱液循环泵</w:t>
            </w:r>
          </w:p>
        </w:tc>
        <w:tc>
          <w:tcPr>
            <w:tcW w:w="2583" w:type="pct"/>
            <w:vAlign w:val="center"/>
          </w:tcPr>
          <w:p>
            <w:pPr>
              <w:pStyle w:val="182"/>
              <w:bidi w:val="0"/>
              <w:rPr>
                <w:color w:val="auto"/>
              </w:rPr>
            </w:pPr>
            <w:r>
              <w:rPr>
                <w:color w:val="auto"/>
              </w:rPr>
              <w:t>ZBY21，Ø200</w:t>
            </w:r>
          </w:p>
        </w:tc>
        <w:tc>
          <w:tcPr>
            <w:tcW w:w="484" w:type="pct"/>
            <w:vAlign w:val="center"/>
          </w:tcPr>
          <w:p>
            <w:pPr>
              <w:pStyle w:val="182"/>
              <w:bidi w:val="0"/>
              <w:rPr>
                <w:color w:val="auto"/>
              </w:rPr>
            </w:pPr>
            <w:r>
              <w:rPr>
                <w:color w:val="auto"/>
              </w:rPr>
              <w:t>4</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color w:val="auto"/>
              </w:rPr>
              <w:t>1</w:t>
            </w:r>
            <w:r>
              <w:rPr>
                <w:rFonts w:hint="eastAsia"/>
                <w:color w:val="auto"/>
                <w:lang w:val="en-US" w:eastAsia="zh-CN"/>
              </w:rPr>
              <w:t>4</w:t>
            </w:r>
          </w:p>
        </w:tc>
        <w:tc>
          <w:tcPr>
            <w:tcW w:w="996" w:type="pct"/>
            <w:vAlign w:val="center"/>
          </w:tcPr>
          <w:p>
            <w:pPr>
              <w:pStyle w:val="182"/>
              <w:bidi w:val="0"/>
              <w:rPr>
                <w:color w:val="auto"/>
              </w:rPr>
            </w:pPr>
            <w:r>
              <w:rPr>
                <w:color w:val="auto"/>
              </w:rPr>
              <w:t>碱液计量槽</w:t>
            </w:r>
          </w:p>
        </w:tc>
        <w:tc>
          <w:tcPr>
            <w:tcW w:w="2583" w:type="pct"/>
            <w:vAlign w:val="center"/>
          </w:tcPr>
          <w:p>
            <w:pPr>
              <w:pStyle w:val="182"/>
              <w:bidi w:val="0"/>
              <w:rPr>
                <w:color w:val="auto"/>
              </w:rPr>
            </w:pPr>
            <w:r>
              <w:rPr>
                <w:color w:val="auto"/>
              </w:rPr>
              <w:t>容积20m</w:t>
            </w:r>
            <w:r>
              <w:rPr>
                <w:color w:val="auto"/>
                <w:vertAlign w:val="superscript"/>
              </w:rPr>
              <w:t>3</w:t>
            </w:r>
            <w:r>
              <w:rPr>
                <w:color w:val="auto"/>
              </w:rPr>
              <w:t>；φ2800x3500mm，材质：碳钢</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rFonts w:hint="eastAsia"/>
                <w:color w:val="auto"/>
              </w:rPr>
              <w:t>1</w:t>
            </w:r>
            <w:r>
              <w:rPr>
                <w:rFonts w:hint="eastAsia"/>
                <w:color w:val="auto"/>
                <w:lang w:val="en-US" w:eastAsia="zh-CN"/>
              </w:rPr>
              <w:t>5</w:t>
            </w:r>
          </w:p>
        </w:tc>
        <w:tc>
          <w:tcPr>
            <w:tcW w:w="996" w:type="pct"/>
            <w:vAlign w:val="center"/>
          </w:tcPr>
          <w:p>
            <w:pPr>
              <w:pStyle w:val="182"/>
              <w:bidi w:val="0"/>
              <w:rPr>
                <w:color w:val="auto"/>
              </w:rPr>
            </w:pPr>
            <w:r>
              <w:rPr>
                <w:color w:val="auto"/>
              </w:rPr>
              <w:t>卸料阀</w:t>
            </w:r>
          </w:p>
        </w:tc>
        <w:tc>
          <w:tcPr>
            <w:tcW w:w="2583" w:type="pct"/>
            <w:vAlign w:val="center"/>
          </w:tcPr>
          <w:p>
            <w:pPr>
              <w:pStyle w:val="182"/>
              <w:bidi w:val="0"/>
              <w:rPr>
                <w:color w:val="auto"/>
              </w:rPr>
            </w:pPr>
            <w:r>
              <w:rPr>
                <w:color w:val="auto"/>
              </w:rPr>
              <w:t>Q647Y-16P，Ø200</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16</w:t>
            </w:r>
          </w:p>
        </w:tc>
        <w:tc>
          <w:tcPr>
            <w:tcW w:w="996" w:type="pct"/>
            <w:vAlign w:val="center"/>
          </w:tcPr>
          <w:p>
            <w:pPr>
              <w:pStyle w:val="182"/>
              <w:bidi w:val="0"/>
              <w:rPr>
                <w:color w:val="auto"/>
              </w:rPr>
            </w:pPr>
            <w:r>
              <w:rPr>
                <w:color w:val="auto"/>
              </w:rPr>
              <w:t>喷放锅</w:t>
            </w:r>
          </w:p>
        </w:tc>
        <w:tc>
          <w:tcPr>
            <w:tcW w:w="2583" w:type="pct"/>
            <w:vAlign w:val="center"/>
          </w:tcPr>
          <w:p>
            <w:pPr>
              <w:pStyle w:val="182"/>
              <w:bidi w:val="0"/>
              <w:rPr>
                <w:color w:val="auto"/>
              </w:rPr>
            </w:pPr>
            <w:r>
              <w:rPr>
                <w:color w:val="auto"/>
              </w:rPr>
              <w:t>ZJP，150m</w:t>
            </w:r>
            <w:r>
              <w:rPr>
                <w:color w:val="auto"/>
                <w:vertAlign w:val="superscript"/>
              </w:rPr>
              <w:t>3</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17</w:t>
            </w:r>
          </w:p>
        </w:tc>
        <w:tc>
          <w:tcPr>
            <w:tcW w:w="996" w:type="pct"/>
            <w:vAlign w:val="center"/>
          </w:tcPr>
          <w:p>
            <w:pPr>
              <w:pStyle w:val="182"/>
              <w:bidi w:val="0"/>
              <w:rPr>
                <w:color w:val="auto"/>
              </w:rPr>
            </w:pPr>
            <w:r>
              <w:rPr>
                <w:color w:val="auto"/>
              </w:rPr>
              <w:t>药液泵</w:t>
            </w:r>
          </w:p>
        </w:tc>
        <w:tc>
          <w:tcPr>
            <w:tcW w:w="2583" w:type="pct"/>
            <w:vAlign w:val="center"/>
          </w:tcPr>
          <w:p>
            <w:pPr>
              <w:pStyle w:val="182"/>
              <w:bidi w:val="0"/>
              <w:rPr>
                <w:color w:val="auto"/>
              </w:rPr>
            </w:pPr>
            <w:r>
              <w:rPr>
                <w:color w:val="auto"/>
              </w:rPr>
              <w:t>IJ100-80-160D，Q=90m</w:t>
            </w:r>
            <w:r>
              <w:rPr>
                <w:color w:val="auto"/>
                <w:vertAlign w:val="superscript"/>
              </w:rPr>
              <w:t>3</w:t>
            </w:r>
            <w:r>
              <w:rPr>
                <w:color w:val="auto"/>
              </w:rPr>
              <w:t>/h，H=32m</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tabs>
                <w:tab w:val="center" w:pos="361"/>
                <w:tab w:val="left" w:pos="484"/>
              </w:tabs>
              <w:bidi w:val="0"/>
              <w:jc w:val="center"/>
              <w:rPr>
                <w:rFonts w:hint="default" w:eastAsia="宋体"/>
                <w:color w:val="auto"/>
                <w:lang w:val="en-US" w:eastAsia="zh-CN"/>
              </w:rPr>
            </w:pPr>
            <w:r>
              <w:rPr>
                <w:rFonts w:hint="eastAsia"/>
                <w:color w:val="auto"/>
                <w:lang w:val="en-US" w:eastAsia="zh-CN"/>
              </w:rPr>
              <w:t>18</w:t>
            </w:r>
          </w:p>
        </w:tc>
        <w:tc>
          <w:tcPr>
            <w:tcW w:w="996" w:type="pct"/>
            <w:vAlign w:val="center"/>
          </w:tcPr>
          <w:p>
            <w:pPr>
              <w:pStyle w:val="182"/>
              <w:bidi w:val="0"/>
              <w:rPr>
                <w:color w:val="auto"/>
              </w:rPr>
            </w:pPr>
            <w:r>
              <w:rPr>
                <w:color w:val="auto"/>
              </w:rPr>
              <w:t>碱液储存槽</w:t>
            </w:r>
          </w:p>
        </w:tc>
        <w:tc>
          <w:tcPr>
            <w:tcW w:w="2583" w:type="pct"/>
            <w:vAlign w:val="center"/>
          </w:tcPr>
          <w:p>
            <w:pPr>
              <w:pStyle w:val="182"/>
              <w:bidi w:val="0"/>
              <w:rPr>
                <w:color w:val="auto"/>
              </w:rPr>
            </w:pPr>
            <w:r>
              <w:rPr>
                <w:color w:val="auto"/>
              </w:rPr>
              <w:t>容积：200m</w:t>
            </w:r>
            <w:r>
              <w:rPr>
                <w:color w:val="auto"/>
                <w:vertAlign w:val="superscript"/>
              </w:rPr>
              <w:t>3</w:t>
            </w:r>
            <w:r>
              <w:rPr>
                <w:color w:val="auto"/>
              </w:rPr>
              <w:t>，φ6000x7500mm，材质：碳钢</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19</w:t>
            </w:r>
          </w:p>
        </w:tc>
        <w:tc>
          <w:tcPr>
            <w:tcW w:w="996" w:type="pct"/>
            <w:vAlign w:val="center"/>
          </w:tcPr>
          <w:p>
            <w:pPr>
              <w:pStyle w:val="182"/>
              <w:bidi w:val="0"/>
              <w:rPr>
                <w:color w:val="auto"/>
              </w:rPr>
            </w:pPr>
            <w:r>
              <w:rPr>
                <w:color w:val="auto"/>
              </w:rPr>
              <w:t>碱液泵</w:t>
            </w:r>
          </w:p>
        </w:tc>
        <w:tc>
          <w:tcPr>
            <w:tcW w:w="2583" w:type="pct"/>
            <w:vAlign w:val="center"/>
          </w:tcPr>
          <w:p>
            <w:pPr>
              <w:pStyle w:val="182"/>
              <w:bidi w:val="0"/>
              <w:rPr>
                <w:color w:val="auto"/>
              </w:rPr>
            </w:pPr>
            <w:r>
              <w:rPr>
                <w:color w:val="auto"/>
              </w:rPr>
              <w:t>IJ100-80-125D，Q=100m</w:t>
            </w:r>
            <w:r>
              <w:rPr>
                <w:color w:val="auto"/>
                <w:vertAlign w:val="superscript"/>
              </w:rPr>
              <w:t>3</w:t>
            </w:r>
            <w:r>
              <w:rPr>
                <w:color w:val="auto"/>
              </w:rPr>
              <w:t>/h，H=20m</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0</w:t>
            </w:r>
          </w:p>
        </w:tc>
        <w:tc>
          <w:tcPr>
            <w:tcW w:w="996" w:type="pct"/>
            <w:vAlign w:val="center"/>
          </w:tcPr>
          <w:p>
            <w:pPr>
              <w:pStyle w:val="182"/>
              <w:bidi w:val="0"/>
              <w:rPr>
                <w:color w:val="auto"/>
              </w:rPr>
            </w:pPr>
            <w:r>
              <w:rPr>
                <w:color w:val="auto"/>
              </w:rPr>
              <w:t>黑液计量槽</w:t>
            </w:r>
          </w:p>
        </w:tc>
        <w:tc>
          <w:tcPr>
            <w:tcW w:w="2583" w:type="pct"/>
            <w:vAlign w:val="center"/>
          </w:tcPr>
          <w:p>
            <w:pPr>
              <w:pStyle w:val="182"/>
              <w:bidi w:val="0"/>
              <w:rPr>
                <w:color w:val="auto"/>
              </w:rPr>
            </w:pPr>
            <w:r>
              <w:rPr>
                <w:color w:val="auto"/>
              </w:rPr>
              <w:t>容积：75m</w:t>
            </w:r>
            <w:r>
              <w:rPr>
                <w:color w:val="auto"/>
                <w:vertAlign w:val="superscript"/>
              </w:rPr>
              <w:t>3</w:t>
            </w:r>
            <w:r>
              <w:rPr>
                <w:color w:val="auto"/>
              </w:rPr>
              <w:t>，φ4000x6000mm，材质：碳钢</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1</w:t>
            </w:r>
          </w:p>
        </w:tc>
        <w:tc>
          <w:tcPr>
            <w:tcW w:w="996" w:type="pct"/>
            <w:vAlign w:val="center"/>
          </w:tcPr>
          <w:p>
            <w:pPr>
              <w:pStyle w:val="182"/>
              <w:bidi w:val="0"/>
              <w:rPr>
                <w:color w:val="auto"/>
              </w:rPr>
            </w:pPr>
            <w:r>
              <w:rPr>
                <w:color w:val="auto"/>
              </w:rPr>
              <w:t>高压黑液泵</w:t>
            </w:r>
          </w:p>
        </w:tc>
        <w:tc>
          <w:tcPr>
            <w:tcW w:w="2583" w:type="pct"/>
            <w:vAlign w:val="center"/>
          </w:tcPr>
          <w:p>
            <w:pPr>
              <w:pStyle w:val="182"/>
              <w:bidi w:val="0"/>
              <w:rPr>
                <w:color w:val="auto"/>
              </w:rPr>
            </w:pPr>
            <w:r>
              <w:rPr>
                <w:color w:val="auto"/>
              </w:rPr>
              <w:t>IJ100-65-315，Q=120m</w:t>
            </w:r>
            <w:r>
              <w:rPr>
                <w:color w:val="auto"/>
                <w:vertAlign w:val="superscript"/>
              </w:rPr>
              <w:t>3</w:t>
            </w:r>
            <w:r>
              <w:rPr>
                <w:color w:val="auto"/>
              </w:rPr>
              <w:t>/h，H=105m</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2</w:t>
            </w:r>
          </w:p>
        </w:tc>
        <w:tc>
          <w:tcPr>
            <w:tcW w:w="996" w:type="pct"/>
            <w:vAlign w:val="center"/>
          </w:tcPr>
          <w:p>
            <w:pPr>
              <w:pStyle w:val="182"/>
              <w:bidi w:val="0"/>
              <w:rPr>
                <w:color w:val="auto"/>
              </w:rPr>
            </w:pPr>
            <w:r>
              <w:rPr>
                <w:color w:val="auto"/>
              </w:rPr>
              <w:t>黑液泵</w:t>
            </w:r>
          </w:p>
        </w:tc>
        <w:tc>
          <w:tcPr>
            <w:tcW w:w="2583" w:type="pct"/>
            <w:vAlign w:val="center"/>
          </w:tcPr>
          <w:p>
            <w:pPr>
              <w:pStyle w:val="182"/>
              <w:bidi w:val="0"/>
              <w:rPr>
                <w:color w:val="auto"/>
              </w:rPr>
            </w:pPr>
            <w:r>
              <w:rPr>
                <w:color w:val="auto"/>
              </w:rPr>
              <w:t>IJ100-80-125D，Q=100m</w:t>
            </w:r>
            <w:r>
              <w:rPr>
                <w:color w:val="auto"/>
                <w:vertAlign w:val="superscript"/>
              </w:rPr>
              <w:t>3</w:t>
            </w:r>
            <w:r>
              <w:rPr>
                <w:color w:val="auto"/>
              </w:rPr>
              <w:t>/h，H=20m</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3</w:t>
            </w:r>
          </w:p>
        </w:tc>
        <w:tc>
          <w:tcPr>
            <w:tcW w:w="996" w:type="pct"/>
            <w:vAlign w:val="center"/>
          </w:tcPr>
          <w:p>
            <w:pPr>
              <w:pStyle w:val="182"/>
              <w:bidi w:val="0"/>
              <w:rPr>
                <w:color w:val="auto"/>
              </w:rPr>
            </w:pPr>
            <w:r>
              <w:rPr>
                <w:color w:val="auto"/>
              </w:rPr>
              <w:t>稀黑液换热器</w:t>
            </w:r>
          </w:p>
        </w:tc>
        <w:tc>
          <w:tcPr>
            <w:tcW w:w="2583" w:type="pct"/>
            <w:vAlign w:val="center"/>
          </w:tcPr>
          <w:p>
            <w:pPr>
              <w:pStyle w:val="182"/>
              <w:bidi w:val="0"/>
              <w:rPr>
                <w:color w:val="auto"/>
              </w:rPr>
            </w:pPr>
            <w:r>
              <w:rPr>
                <w:color w:val="auto"/>
              </w:rPr>
              <w:t>换热面积280m²；材质：碳钢</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eastAsia" w:eastAsia="宋体"/>
                <w:color w:val="auto"/>
                <w:lang w:val="en-US" w:eastAsia="zh-CN"/>
              </w:rPr>
            </w:pPr>
            <w:r>
              <w:rPr>
                <w:rFonts w:hint="eastAsia"/>
                <w:color w:val="auto"/>
              </w:rPr>
              <w:t>2</w:t>
            </w:r>
            <w:r>
              <w:rPr>
                <w:rFonts w:hint="eastAsia"/>
                <w:color w:val="auto"/>
                <w:lang w:val="en-US" w:eastAsia="zh-CN"/>
              </w:rPr>
              <w:t>4</w:t>
            </w:r>
          </w:p>
        </w:tc>
        <w:tc>
          <w:tcPr>
            <w:tcW w:w="996" w:type="pct"/>
            <w:vAlign w:val="center"/>
          </w:tcPr>
          <w:p>
            <w:pPr>
              <w:pStyle w:val="182"/>
              <w:bidi w:val="0"/>
              <w:rPr>
                <w:color w:val="auto"/>
              </w:rPr>
            </w:pPr>
            <w:r>
              <w:rPr>
                <w:color w:val="auto"/>
              </w:rPr>
              <w:t>清水泵</w:t>
            </w:r>
          </w:p>
        </w:tc>
        <w:tc>
          <w:tcPr>
            <w:tcW w:w="2583" w:type="pct"/>
            <w:vAlign w:val="center"/>
          </w:tcPr>
          <w:p>
            <w:pPr>
              <w:pStyle w:val="182"/>
              <w:bidi w:val="0"/>
              <w:rPr>
                <w:color w:val="auto"/>
              </w:rPr>
            </w:pPr>
            <w:r>
              <w:rPr>
                <w:color w:val="auto"/>
              </w:rPr>
              <w:t>IJ100-80-160，Q=100m</w:t>
            </w:r>
            <w:r>
              <w:rPr>
                <w:color w:val="auto"/>
                <w:vertAlign w:val="superscript"/>
              </w:rPr>
              <w:t>3</w:t>
            </w:r>
            <w:r>
              <w:rPr>
                <w:color w:val="auto"/>
              </w:rPr>
              <w:t>/h，H=32m</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25</w:t>
            </w:r>
          </w:p>
        </w:tc>
        <w:tc>
          <w:tcPr>
            <w:tcW w:w="996" w:type="pct"/>
            <w:vAlign w:val="center"/>
          </w:tcPr>
          <w:p>
            <w:pPr>
              <w:pStyle w:val="182"/>
              <w:bidi w:val="0"/>
              <w:rPr>
                <w:color w:val="auto"/>
              </w:rPr>
            </w:pPr>
            <w:r>
              <w:rPr>
                <w:color w:val="auto"/>
              </w:rPr>
              <w:t>润滑油泵</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26</w:t>
            </w:r>
          </w:p>
        </w:tc>
        <w:tc>
          <w:tcPr>
            <w:tcW w:w="996" w:type="pct"/>
            <w:vAlign w:val="center"/>
          </w:tcPr>
          <w:p>
            <w:pPr>
              <w:pStyle w:val="182"/>
              <w:bidi w:val="0"/>
              <w:rPr>
                <w:color w:val="auto"/>
              </w:rPr>
            </w:pPr>
            <w:r>
              <w:rPr>
                <w:color w:val="auto"/>
              </w:rPr>
              <w:t>碱液泵</w:t>
            </w:r>
          </w:p>
        </w:tc>
        <w:tc>
          <w:tcPr>
            <w:tcW w:w="2583" w:type="pct"/>
            <w:vAlign w:val="center"/>
          </w:tcPr>
          <w:p>
            <w:pPr>
              <w:pStyle w:val="182"/>
              <w:bidi w:val="0"/>
              <w:rPr>
                <w:color w:val="auto"/>
              </w:rPr>
            </w:pPr>
            <w:r>
              <w:rPr>
                <w:color w:val="auto"/>
              </w:rPr>
              <w:t>Q=100m³/h，H=20m</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27</w:t>
            </w:r>
          </w:p>
        </w:tc>
        <w:tc>
          <w:tcPr>
            <w:tcW w:w="996" w:type="pct"/>
            <w:vAlign w:val="center"/>
          </w:tcPr>
          <w:p>
            <w:pPr>
              <w:pStyle w:val="182"/>
              <w:bidi w:val="0"/>
              <w:rPr>
                <w:rFonts w:hint="default" w:eastAsia="宋体"/>
                <w:color w:val="auto"/>
                <w:lang w:val="en-US" w:eastAsia="zh-CN"/>
              </w:rPr>
            </w:pPr>
            <w:r>
              <w:rPr>
                <w:rFonts w:hint="eastAsia"/>
                <w:color w:val="auto"/>
                <w:lang w:val="en-US" w:eastAsia="zh-CN"/>
              </w:rPr>
              <w:t>挤浆机</w:t>
            </w:r>
          </w:p>
        </w:tc>
        <w:tc>
          <w:tcPr>
            <w:tcW w:w="2583" w:type="pct"/>
            <w:vAlign w:val="center"/>
          </w:tcPr>
          <w:p>
            <w:pPr>
              <w:pStyle w:val="182"/>
              <w:bidi w:val="0"/>
              <w:rPr>
                <w:color w:val="auto"/>
              </w:rPr>
            </w:pPr>
            <w:r>
              <w:rPr>
                <w:color w:val="auto"/>
              </w:rPr>
              <w:t>SJ928，2820mm</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28</w:t>
            </w:r>
          </w:p>
        </w:tc>
        <w:tc>
          <w:tcPr>
            <w:tcW w:w="996" w:type="pct"/>
            <w:vAlign w:val="center"/>
          </w:tcPr>
          <w:p>
            <w:pPr>
              <w:pStyle w:val="182"/>
              <w:bidi w:val="0"/>
              <w:rPr>
                <w:color w:val="auto"/>
              </w:rPr>
            </w:pPr>
            <w:r>
              <w:rPr>
                <w:color w:val="auto"/>
              </w:rPr>
              <w:t>真空洗浆机</w:t>
            </w:r>
          </w:p>
        </w:tc>
        <w:tc>
          <w:tcPr>
            <w:tcW w:w="2583" w:type="pct"/>
            <w:vAlign w:val="center"/>
          </w:tcPr>
          <w:p>
            <w:pPr>
              <w:pStyle w:val="182"/>
              <w:bidi w:val="0"/>
              <w:rPr>
                <w:color w:val="auto"/>
              </w:rPr>
            </w:pPr>
            <w:r>
              <w:rPr>
                <w:color w:val="auto"/>
              </w:rPr>
              <w:t>ZNK110，600mm</w:t>
            </w:r>
          </w:p>
        </w:tc>
        <w:tc>
          <w:tcPr>
            <w:tcW w:w="484" w:type="pct"/>
            <w:vAlign w:val="center"/>
          </w:tcPr>
          <w:p>
            <w:pPr>
              <w:pStyle w:val="182"/>
              <w:bidi w:val="0"/>
              <w:rPr>
                <w:color w:val="auto"/>
              </w:rPr>
            </w:pPr>
            <w:r>
              <w:rPr>
                <w:color w:val="auto"/>
              </w:rPr>
              <w:t>8</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29</w:t>
            </w:r>
          </w:p>
        </w:tc>
        <w:tc>
          <w:tcPr>
            <w:tcW w:w="996" w:type="pct"/>
            <w:vAlign w:val="center"/>
          </w:tcPr>
          <w:p>
            <w:pPr>
              <w:pStyle w:val="182"/>
              <w:bidi w:val="0"/>
              <w:rPr>
                <w:color w:val="auto"/>
              </w:rPr>
            </w:pPr>
            <w:r>
              <w:rPr>
                <w:color w:val="auto"/>
              </w:rPr>
              <w:t>螺旋输送机</w:t>
            </w:r>
          </w:p>
        </w:tc>
        <w:tc>
          <w:tcPr>
            <w:tcW w:w="2583" w:type="pct"/>
            <w:vAlign w:val="center"/>
          </w:tcPr>
          <w:p>
            <w:pPr>
              <w:pStyle w:val="182"/>
              <w:bidi w:val="0"/>
              <w:rPr>
                <w:color w:val="auto"/>
              </w:rPr>
            </w:pPr>
            <w:r>
              <w:rPr>
                <w:color w:val="auto"/>
              </w:rPr>
              <w:t>AMDL-I 1200</w:t>
            </w:r>
          </w:p>
        </w:tc>
        <w:tc>
          <w:tcPr>
            <w:tcW w:w="484" w:type="pct"/>
            <w:vAlign w:val="center"/>
          </w:tcPr>
          <w:p>
            <w:pPr>
              <w:pStyle w:val="182"/>
              <w:bidi w:val="0"/>
              <w:rPr>
                <w:color w:val="auto"/>
              </w:rPr>
            </w:pPr>
            <w:r>
              <w:rPr>
                <w:color w:val="auto"/>
              </w:rPr>
              <w:t>6</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30</w:t>
            </w:r>
          </w:p>
        </w:tc>
        <w:tc>
          <w:tcPr>
            <w:tcW w:w="996" w:type="pct"/>
            <w:vAlign w:val="center"/>
          </w:tcPr>
          <w:p>
            <w:pPr>
              <w:pStyle w:val="182"/>
              <w:bidi w:val="0"/>
              <w:rPr>
                <w:color w:val="auto"/>
              </w:rPr>
            </w:pPr>
            <w:r>
              <w:rPr>
                <w:color w:val="auto"/>
              </w:rPr>
              <w:t>升流塔</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5</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31</w:t>
            </w:r>
          </w:p>
        </w:tc>
        <w:tc>
          <w:tcPr>
            <w:tcW w:w="996" w:type="pct"/>
            <w:vAlign w:val="center"/>
          </w:tcPr>
          <w:p>
            <w:pPr>
              <w:pStyle w:val="182"/>
              <w:bidi w:val="0"/>
              <w:rPr>
                <w:color w:val="auto"/>
              </w:rPr>
            </w:pPr>
            <w:r>
              <w:rPr>
                <w:color w:val="auto"/>
              </w:rPr>
              <w:t>降流塔</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32</w:t>
            </w:r>
          </w:p>
        </w:tc>
        <w:tc>
          <w:tcPr>
            <w:tcW w:w="996" w:type="pct"/>
            <w:vAlign w:val="center"/>
          </w:tcPr>
          <w:p>
            <w:pPr>
              <w:pStyle w:val="182"/>
              <w:bidi w:val="0"/>
              <w:rPr>
                <w:color w:val="auto"/>
              </w:rPr>
            </w:pPr>
            <w:r>
              <w:rPr>
                <w:color w:val="auto"/>
              </w:rPr>
              <w:t>浆泵</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16</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33</w:t>
            </w:r>
          </w:p>
        </w:tc>
        <w:tc>
          <w:tcPr>
            <w:tcW w:w="996" w:type="pct"/>
            <w:vAlign w:val="center"/>
          </w:tcPr>
          <w:p>
            <w:pPr>
              <w:pStyle w:val="182"/>
              <w:bidi w:val="0"/>
              <w:rPr>
                <w:color w:val="auto"/>
              </w:rPr>
            </w:pPr>
            <w:r>
              <w:rPr>
                <w:color w:val="auto"/>
              </w:rPr>
              <w:t>混合器</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15</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34</w:t>
            </w:r>
          </w:p>
        </w:tc>
        <w:tc>
          <w:tcPr>
            <w:tcW w:w="996" w:type="pct"/>
            <w:vAlign w:val="center"/>
          </w:tcPr>
          <w:p>
            <w:pPr>
              <w:pStyle w:val="182"/>
              <w:bidi w:val="0"/>
              <w:rPr>
                <w:color w:val="auto"/>
              </w:rPr>
            </w:pPr>
            <w:r>
              <w:rPr>
                <w:color w:val="auto"/>
              </w:rPr>
              <w:t>磨浆机</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3</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35</w:t>
            </w:r>
          </w:p>
        </w:tc>
        <w:tc>
          <w:tcPr>
            <w:tcW w:w="996" w:type="pct"/>
            <w:vAlign w:val="center"/>
          </w:tcPr>
          <w:p>
            <w:pPr>
              <w:pStyle w:val="182"/>
              <w:bidi w:val="0"/>
              <w:rPr>
                <w:color w:val="auto"/>
              </w:rPr>
            </w:pPr>
            <w:r>
              <w:rPr>
                <w:color w:val="auto"/>
              </w:rPr>
              <w:t>除砂器</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36</w:t>
            </w:r>
          </w:p>
        </w:tc>
        <w:tc>
          <w:tcPr>
            <w:tcW w:w="996" w:type="pct"/>
            <w:vAlign w:val="center"/>
          </w:tcPr>
          <w:p>
            <w:pPr>
              <w:pStyle w:val="182"/>
              <w:bidi w:val="0"/>
              <w:rPr>
                <w:b/>
                <w:bCs/>
                <w:color w:val="auto"/>
                <w:u w:val="single"/>
              </w:rPr>
            </w:pPr>
            <w:r>
              <w:rPr>
                <w:b/>
                <w:bCs/>
                <w:color w:val="auto"/>
                <w:u w:val="single"/>
              </w:rPr>
              <w:t>抄浆机</w:t>
            </w:r>
          </w:p>
        </w:tc>
        <w:tc>
          <w:tcPr>
            <w:tcW w:w="2583" w:type="pct"/>
            <w:vAlign w:val="center"/>
          </w:tcPr>
          <w:p>
            <w:pPr>
              <w:pStyle w:val="182"/>
              <w:bidi w:val="0"/>
              <w:rPr>
                <w:rFonts w:hint="eastAsia"/>
                <w:b/>
                <w:bCs/>
                <w:color w:val="auto"/>
                <w:u w:val="single"/>
                <w:lang w:eastAsia="zh-CN"/>
              </w:rPr>
            </w:pPr>
            <w:r>
              <w:rPr>
                <w:rFonts w:hint="eastAsia"/>
                <w:b/>
                <w:bCs/>
                <w:color w:val="auto"/>
                <w:u w:val="single"/>
              </w:rPr>
              <w:t>长网多缸浆板机</w:t>
            </w:r>
            <w:r>
              <w:rPr>
                <w:rFonts w:hint="eastAsia"/>
                <w:b/>
                <w:bCs/>
                <w:color w:val="auto"/>
                <w:u w:val="single"/>
                <w:lang w:eastAsia="zh-CN"/>
              </w:rPr>
              <w:t>，日产60t/d；</w:t>
            </w:r>
          </w:p>
          <w:p>
            <w:pPr>
              <w:pStyle w:val="182"/>
              <w:bidi w:val="0"/>
              <w:rPr>
                <w:rFonts w:hint="eastAsia" w:eastAsia="宋体"/>
                <w:b/>
                <w:bCs/>
                <w:color w:val="auto"/>
                <w:u w:val="single"/>
                <w:lang w:eastAsia="zh-CN"/>
              </w:rPr>
            </w:pPr>
            <w:r>
              <w:rPr>
                <w:rFonts w:hint="eastAsia"/>
                <w:b/>
                <w:bCs/>
                <w:color w:val="auto"/>
                <w:u w:val="single"/>
                <w:lang w:eastAsia="zh-CN"/>
              </w:rPr>
              <w:t>工艺参数：上网浆浓1.0%—1.2%，压榨压力0.2</w:t>
            </w:r>
            <w:r>
              <w:rPr>
                <w:rFonts w:hint="eastAsia"/>
                <w:b/>
                <w:bCs/>
                <w:color w:val="auto"/>
                <w:u w:val="single"/>
                <w:lang w:val="en-US" w:eastAsia="zh-CN"/>
              </w:rPr>
              <w:t>-</w:t>
            </w:r>
            <w:r>
              <w:rPr>
                <w:rFonts w:hint="eastAsia"/>
                <w:b/>
                <w:bCs/>
                <w:color w:val="auto"/>
                <w:u w:val="single"/>
                <w:lang w:eastAsia="zh-CN"/>
              </w:rPr>
              <w:t>0.4mpa，烘缸汽压0.2-0.3mpa，浆板水分10%</w:t>
            </w:r>
          </w:p>
        </w:tc>
        <w:tc>
          <w:tcPr>
            <w:tcW w:w="484" w:type="pct"/>
            <w:vAlign w:val="center"/>
          </w:tcPr>
          <w:p>
            <w:pPr>
              <w:pStyle w:val="182"/>
              <w:bidi w:val="0"/>
              <w:rPr>
                <w:b/>
                <w:bCs/>
                <w:color w:val="auto"/>
                <w:u w:val="single"/>
              </w:rPr>
            </w:pPr>
            <w:r>
              <w:rPr>
                <w:b/>
                <w:bCs/>
                <w:color w:val="auto"/>
                <w:u w:val="single"/>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rFonts w:hint="default" w:eastAsia="宋体"/>
                <w:color w:val="auto"/>
                <w:lang w:val="en-US" w:eastAsia="zh-CN"/>
              </w:rPr>
            </w:pPr>
            <w:r>
              <w:rPr>
                <w:rFonts w:hint="eastAsia"/>
                <w:color w:val="auto"/>
                <w:lang w:val="en-US" w:eastAsia="zh-CN"/>
              </w:rPr>
              <w:t>37</w:t>
            </w:r>
          </w:p>
        </w:tc>
        <w:tc>
          <w:tcPr>
            <w:tcW w:w="996" w:type="pct"/>
            <w:vAlign w:val="center"/>
          </w:tcPr>
          <w:p>
            <w:pPr>
              <w:pStyle w:val="182"/>
              <w:bidi w:val="0"/>
              <w:rPr>
                <w:color w:val="auto"/>
              </w:rPr>
            </w:pPr>
            <w:r>
              <w:rPr>
                <w:color w:val="auto"/>
              </w:rPr>
              <w:t>打包机</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000" w:type="pct"/>
            <w:gridSpan w:val="5"/>
            <w:vAlign w:val="center"/>
          </w:tcPr>
          <w:p>
            <w:pPr>
              <w:pStyle w:val="182"/>
              <w:bidi w:val="0"/>
              <w:rPr>
                <w:color w:val="auto"/>
              </w:rPr>
            </w:pPr>
            <w:r>
              <w:rPr>
                <w:color w:val="auto"/>
              </w:rPr>
              <w:t>木质素提取与生产</w:t>
            </w:r>
            <w:r>
              <w:rPr>
                <w:rFonts w:hint="eastAsia"/>
                <w:color w:val="auto"/>
              </w:rPr>
              <w:t>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w:t>
            </w:r>
          </w:p>
        </w:tc>
        <w:tc>
          <w:tcPr>
            <w:tcW w:w="996" w:type="pct"/>
            <w:vAlign w:val="center"/>
          </w:tcPr>
          <w:p>
            <w:pPr>
              <w:pStyle w:val="182"/>
              <w:bidi w:val="0"/>
              <w:rPr>
                <w:color w:val="auto"/>
              </w:rPr>
            </w:pPr>
            <w:r>
              <w:rPr>
                <w:color w:val="auto"/>
              </w:rPr>
              <w:t>稀黑液槽</w:t>
            </w:r>
          </w:p>
        </w:tc>
        <w:tc>
          <w:tcPr>
            <w:tcW w:w="2583" w:type="pct"/>
            <w:vAlign w:val="center"/>
          </w:tcPr>
          <w:p>
            <w:pPr>
              <w:pStyle w:val="182"/>
              <w:bidi w:val="0"/>
              <w:rPr>
                <w:color w:val="auto"/>
              </w:rPr>
            </w:pPr>
            <w:r>
              <w:rPr>
                <w:color w:val="auto"/>
              </w:rPr>
              <w:t>Φ7000×9000mm，V=340m</w:t>
            </w:r>
            <w:r>
              <w:rPr>
                <w:color w:val="auto"/>
                <w:vertAlign w:val="superscript"/>
              </w:rPr>
              <w:t>3</w:t>
            </w:r>
            <w:r>
              <w:rPr>
                <w:color w:val="auto"/>
              </w:rPr>
              <w:t>，材质：碳钢，常压</w:t>
            </w:r>
          </w:p>
        </w:tc>
        <w:tc>
          <w:tcPr>
            <w:tcW w:w="484" w:type="pct"/>
            <w:vAlign w:val="center"/>
          </w:tcPr>
          <w:p>
            <w:pPr>
              <w:pStyle w:val="182"/>
              <w:bidi w:val="0"/>
              <w:rPr>
                <w:color w:val="auto"/>
              </w:rPr>
            </w:pPr>
            <w:r>
              <w:rPr>
                <w:color w:val="auto"/>
              </w:rPr>
              <w:t>3</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w:t>
            </w:r>
          </w:p>
        </w:tc>
        <w:tc>
          <w:tcPr>
            <w:tcW w:w="996" w:type="pct"/>
            <w:vAlign w:val="center"/>
          </w:tcPr>
          <w:p>
            <w:pPr>
              <w:pStyle w:val="182"/>
              <w:bidi w:val="0"/>
              <w:rPr>
                <w:color w:val="auto"/>
              </w:rPr>
            </w:pPr>
            <w:r>
              <w:rPr>
                <w:color w:val="auto"/>
              </w:rPr>
              <w:t>稀黑液泵</w:t>
            </w:r>
          </w:p>
        </w:tc>
        <w:tc>
          <w:tcPr>
            <w:tcW w:w="2583" w:type="pct"/>
            <w:vAlign w:val="center"/>
          </w:tcPr>
          <w:p>
            <w:pPr>
              <w:pStyle w:val="182"/>
              <w:bidi w:val="0"/>
              <w:rPr>
                <w:color w:val="auto"/>
              </w:rPr>
            </w:pPr>
            <w:r>
              <w:rPr>
                <w:color w:val="auto"/>
              </w:rPr>
              <w:t>Q=100m</w:t>
            </w:r>
            <w:r>
              <w:rPr>
                <w:color w:val="auto"/>
                <w:vertAlign w:val="superscript"/>
              </w:rPr>
              <w:t>3</w:t>
            </w:r>
            <w:r>
              <w:rPr>
                <w:color w:val="auto"/>
              </w:rPr>
              <w:t>/h</w:t>
            </w:r>
            <w:r>
              <w:rPr>
                <w:rFonts w:hint="eastAsia"/>
                <w:color w:val="auto"/>
              </w:rPr>
              <w:t>，</w:t>
            </w:r>
            <w:r>
              <w:rPr>
                <w:color w:val="auto"/>
              </w:rPr>
              <w:t>H=13m，过流部件材质：SS304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3</w:t>
            </w:r>
          </w:p>
        </w:tc>
        <w:tc>
          <w:tcPr>
            <w:tcW w:w="996" w:type="pct"/>
            <w:vAlign w:val="center"/>
          </w:tcPr>
          <w:p>
            <w:pPr>
              <w:pStyle w:val="182"/>
              <w:bidi w:val="0"/>
              <w:rPr>
                <w:color w:val="auto"/>
              </w:rPr>
            </w:pPr>
            <w:r>
              <w:rPr>
                <w:color w:val="auto"/>
              </w:rPr>
              <w:t>1-2#半浓黑液槽</w:t>
            </w:r>
          </w:p>
        </w:tc>
        <w:tc>
          <w:tcPr>
            <w:tcW w:w="2583" w:type="pct"/>
            <w:vAlign w:val="center"/>
          </w:tcPr>
          <w:p>
            <w:pPr>
              <w:pStyle w:val="182"/>
              <w:bidi w:val="0"/>
              <w:rPr>
                <w:color w:val="auto"/>
              </w:rPr>
            </w:pPr>
            <w:r>
              <w:rPr>
                <w:color w:val="auto"/>
              </w:rPr>
              <w:t>Φ6000×9000mm，V=254m</w:t>
            </w:r>
            <w:r>
              <w:rPr>
                <w:color w:val="auto"/>
                <w:vertAlign w:val="superscript"/>
              </w:rPr>
              <w:t>3</w:t>
            </w:r>
            <w:r>
              <w:rPr>
                <w:color w:val="auto"/>
              </w:rPr>
              <w:t>，材质：碳钢，常压</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4</w:t>
            </w:r>
          </w:p>
        </w:tc>
        <w:tc>
          <w:tcPr>
            <w:tcW w:w="996" w:type="pct"/>
            <w:vAlign w:val="center"/>
          </w:tcPr>
          <w:p>
            <w:pPr>
              <w:pStyle w:val="182"/>
              <w:bidi w:val="0"/>
              <w:rPr>
                <w:color w:val="auto"/>
              </w:rPr>
            </w:pPr>
            <w:r>
              <w:rPr>
                <w:color w:val="auto"/>
              </w:rPr>
              <w:t>半浓黑液泵</w:t>
            </w:r>
          </w:p>
        </w:tc>
        <w:tc>
          <w:tcPr>
            <w:tcW w:w="2583" w:type="pct"/>
            <w:vAlign w:val="center"/>
          </w:tcPr>
          <w:p>
            <w:pPr>
              <w:pStyle w:val="182"/>
              <w:bidi w:val="0"/>
              <w:rPr>
                <w:color w:val="auto"/>
              </w:rPr>
            </w:pPr>
            <w:r>
              <w:rPr>
                <w:color w:val="auto"/>
              </w:rPr>
              <w:t>Q=30m</w:t>
            </w:r>
            <w:r>
              <w:rPr>
                <w:color w:val="auto"/>
                <w:vertAlign w:val="superscript"/>
              </w:rPr>
              <w:t>3</w:t>
            </w:r>
            <w:r>
              <w:rPr>
                <w:color w:val="auto"/>
              </w:rPr>
              <w:t>/h</w:t>
            </w:r>
            <w:r>
              <w:rPr>
                <w:rFonts w:hint="eastAsia"/>
                <w:color w:val="auto"/>
              </w:rPr>
              <w:t>，</w:t>
            </w:r>
            <w:r>
              <w:rPr>
                <w:color w:val="auto"/>
              </w:rPr>
              <w:t>H=11m，过流部件材质：SS304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5</w:t>
            </w:r>
          </w:p>
        </w:tc>
        <w:tc>
          <w:tcPr>
            <w:tcW w:w="996" w:type="pct"/>
            <w:vAlign w:val="center"/>
          </w:tcPr>
          <w:p>
            <w:pPr>
              <w:pStyle w:val="182"/>
              <w:bidi w:val="0"/>
              <w:rPr>
                <w:color w:val="auto"/>
              </w:rPr>
            </w:pPr>
            <w:r>
              <w:rPr>
                <w:color w:val="auto"/>
              </w:rPr>
              <w:t>Ⅰ-Ⅴ效板式蒸发器</w:t>
            </w:r>
          </w:p>
        </w:tc>
        <w:tc>
          <w:tcPr>
            <w:tcW w:w="2583" w:type="pct"/>
            <w:vAlign w:val="center"/>
          </w:tcPr>
          <w:p>
            <w:pPr>
              <w:pStyle w:val="182"/>
              <w:bidi w:val="0"/>
              <w:rPr>
                <w:color w:val="auto"/>
              </w:rPr>
            </w:pPr>
            <w:r>
              <w:rPr>
                <w:color w:val="auto"/>
              </w:rPr>
              <w:t>Ø2800×9500mm，加热面积856m</w:t>
            </w:r>
            <w:r>
              <w:rPr>
                <w:color w:val="auto"/>
                <w:vertAlign w:val="superscript"/>
              </w:rPr>
              <w:t>2</w:t>
            </w:r>
          </w:p>
        </w:tc>
        <w:tc>
          <w:tcPr>
            <w:tcW w:w="484" w:type="pct"/>
            <w:vAlign w:val="center"/>
          </w:tcPr>
          <w:p>
            <w:pPr>
              <w:pStyle w:val="182"/>
              <w:bidi w:val="0"/>
              <w:rPr>
                <w:color w:val="auto"/>
              </w:rPr>
            </w:pPr>
            <w:r>
              <w:rPr>
                <w:color w:val="auto"/>
              </w:rPr>
              <w:t>5</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6</w:t>
            </w:r>
          </w:p>
        </w:tc>
        <w:tc>
          <w:tcPr>
            <w:tcW w:w="996" w:type="pct"/>
            <w:vAlign w:val="center"/>
          </w:tcPr>
          <w:p>
            <w:pPr>
              <w:pStyle w:val="182"/>
              <w:bidi w:val="0"/>
              <w:rPr>
                <w:color w:val="auto"/>
              </w:rPr>
            </w:pPr>
            <w:r>
              <w:rPr>
                <w:color w:val="auto"/>
              </w:rPr>
              <w:t>板式降膜冷凝器</w:t>
            </w:r>
          </w:p>
        </w:tc>
        <w:tc>
          <w:tcPr>
            <w:tcW w:w="2583" w:type="pct"/>
            <w:vAlign w:val="center"/>
          </w:tcPr>
          <w:p>
            <w:pPr>
              <w:pStyle w:val="182"/>
              <w:bidi w:val="0"/>
              <w:rPr>
                <w:color w:val="auto"/>
              </w:rPr>
            </w:pPr>
            <w:r>
              <w:rPr>
                <w:color w:val="auto"/>
              </w:rPr>
              <w:t>Ø2200×8900mm，换热面积440m</w:t>
            </w:r>
            <w:r>
              <w:rPr>
                <w:color w:val="auto"/>
                <w:vertAlign w:val="superscript"/>
              </w:rPr>
              <w:t>2</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7</w:t>
            </w:r>
          </w:p>
        </w:tc>
        <w:tc>
          <w:tcPr>
            <w:tcW w:w="996" w:type="pct"/>
            <w:vAlign w:val="center"/>
          </w:tcPr>
          <w:p>
            <w:pPr>
              <w:pStyle w:val="182"/>
              <w:bidi w:val="0"/>
              <w:rPr>
                <w:color w:val="auto"/>
              </w:rPr>
            </w:pPr>
            <w:r>
              <w:rPr>
                <w:color w:val="auto"/>
              </w:rPr>
              <w:t>Ⅰ效黑液循环泵</w:t>
            </w:r>
          </w:p>
        </w:tc>
        <w:tc>
          <w:tcPr>
            <w:tcW w:w="2583" w:type="pct"/>
            <w:vAlign w:val="center"/>
          </w:tcPr>
          <w:p>
            <w:pPr>
              <w:pStyle w:val="182"/>
              <w:bidi w:val="0"/>
              <w:rPr>
                <w:color w:val="auto"/>
              </w:rPr>
            </w:pPr>
            <w:r>
              <w:rPr>
                <w:color w:val="auto"/>
              </w:rPr>
              <w:t>Q=900m</w:t>
            </w:r>
            <w:r>
              <w:rPr>
                <w:color w:val="auto"/>
                <w:vertAlign w:val="superscript"/>
              </w:rPr>
              <w:t>3</w:t>
            </w:r>
            <w:r>
              <w:rPr>
                <w:color w:val="auto"/>
              </w:rPr>
              <w:t>/h，H=11m，过流部件材质：SS304</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8</w:t>
            </w:r>
          </w:p>
        </w:tc>
        <w:tc>
          <w:tcPr>
            <w:tcW w:w="996" w:type="pct"/>
            <w:vAlign w:val="center"/>
          </w:tcPr>
          <w:p>
            <w:pPr>
              <w:pStyle w:val="182"/>
              <w:bidi w:val="0"/>
              <w:rPr>
                <w:color w:val="auto"/>
              </w:rPr>
            </w:pPr>
            <w:r>
              <w:rPr>
                <w:color w:val="auto"/>
              </w:rPr>
              <w:t>Ⅱ效黑液循环泵</w:t>
            </w:r>
          </w:p>
        </w:tc>
        <w:tc>
          <w:tcPr>
            <w:tcW w:w="2583" w:type="pct"/>
            <w:vAlign w:val="center"/>
          </w:tcPr>
          <w:p>
            <w:pPr>
              <w:pStyle w:val="182"/>
              <w:bidi w:val="0"/>
              <w:rPr>
                <w:color w:val="auto"/>
              </w:rPr>
            </w:pPr>
            <w:r>
              <w:rPr>
                <w:color w:val="auto"/>
              </w:rPr>
              <w:t>Q=580m</w:t>
            </w:r>
            <w:r>
              <w:rPr>
                <w:color w:val="auto"/>
                <w:vertAlign w:val="superscript"/>
              </w:rPr>
              <w:t>3</w:t>
            </w:r>
            <w:r>
              <w:rPr>
                <w:color w:val="auto"/>
              </w:rPr>
              <w:t>/h，H=11m，过流部件材质：SS304</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9</w:t>
            </w:r>
          </w:p>
        </w:tc>
        <w:tc>
          <w:tcPr>
            <w:tcW w:w="996" w:type="pct"/>
            <w:vAlign w:val="center"/>
          </w:tcPr>
          <w:p>
            <w:pPr>
              <w:pStyle w:val="182"/>
              <w:bidi w:val="0"/>
              <w:rPr>
                <w:color w:val="auto"/>
              </w:rPr>
            </w:pPr>
            <w:r>
              <w:rPr>
                <w:color w:val="auto"/>
              </w:rPr>
              <w:t>Ⅲ效黑液循环泵</w:t>
            </w:r>
          </w:p>
        </w:tc>
        <w:tc>
          <w:tcPr>
            <w:tcW w:w="2583" w:type="pct"/>
            <w:vAlign w:val="center"/>
          </w:tcPr>
          <w:p>
            <w:pPr>
              <w:pStyle w:val="182"/>
              <w:bidi w:val="0"/>
              <w:rPr>
                <w:color w:val="auto"/>
              </w:rPr>
            </w:pPr>
            <w:r>
              <w:rPr>
                <w:color w:val="auto"/>
              </w:rPr>
              <w:t>Q=520m</w:t>
            </w:r>
            <w:r>
              <w:rPr>
                <w:color w:val="auto"/>
                <w:vertAlign w:val="superscript"/>
              </w:rPr>
              <w:t>3</w:t>
            </w:r>
            <w:r>
              <w:rPr>
                <w:color w:val="auto"/>
              </w:rPr>
              <w:t>/h，H=11m，过流部件材质：SS304</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10</w:t>
            </w:r>
          </w:p>
        </w:tc>
        <w:tc>
          <w:tcPr>
            <w:tcW w:w="996" w:type="pct"/>
            <w:vAlign w:val="center"/>
          </w:tcPr>
          <w:p>
            <w:pPr>
              <w:pStyle w:val="182"/>
              <w:bidi w:val="0"/>
              <w:rPr>
                <w:color w:val="auto"/>
              </w:rPr>
            </w:pPr>
            <w:r>
              <w:rPr>
                <w:color w:val="auto"/>
              </w:rPr>
              <w:t>Ⅳ效黑液循环泵</w:t>
            </w:r>
          </w:p>
        </w:tc>
        <w:tc>
          <w:tcPr>
            <w:tcW w:w="2583" w:type="pct"/>
            <w:vAlign w:val="center"/>
          </w:tcPr>
          <w:p>
            <w:pPr>
              <w:pStyle w:val="182"/>
              <w:bidi w:val="0"/>
              <w:rPr>
                <w:color w:val="auto"/>
              </w:rPr>
            </w:pPr>
            <w:r>
              <w:rPr>
                <w:color w:val="auto"/>
              </w:rPr>
              <w:t>Q=520m</w:t>
            </w:r>
            <w:r>
              <w:rPr>
                <w:color w:val="auto"/>
                <w:vertAlign w:val="superscript"/>
              </w:rPr>
              <w:t>3</w:t>
            </w:r>
            <w:r>
              <w:rPr>
                <w:color w:val="auto"/>
              </w:rPr>
              <w:t>/h，H=11m，过流部件材质：SS304</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11</w:t>
            </w:r>
          </w:p>
        </w:tc>
        <w:tc>
          <w:tcPr>
            <w:tcW w:w="996" w:type="pct"/>
            <w:vAlign w:val="center"/>
          </w:tcPr>
          <w:p>
            <w:pPr>
              <w:pStyle w:val="182"/>
              <w:bidi w:val="0"/>
              <w:rPr>
                <w:color w:val="auto"/>
              </w:rPr>
            </w:pPr>
            <w:r>
              <w:rPr>
                <w:color w:val="auto"/>
              </w:rPr>
              <w:t>Ⅴ效黑液循环泵</w:t>
            </w:r>
          </w:p>
        </w:tc>
        <w:tc>
          <w:tcPr>
            <w:tcW w:w="2583" w:type="pct"/>
            <w:vAlign w:val="center"/>
          </w:tcPr>
          <w:p>
            <w:pPr>
              <w:pStyle w:val="182"/>
              <w:bidi w:val="0"/>
              <w:rPr>
                <w:color w:val="auto"/>
              </w:rPr>
            </w:pPr>
            <w:r>
              <w:rPr>
                <w:color w:val="auto"/>
              </w:rPr>
              <w:t>Q=520m</w:t>
            </w:r>
            <w:r>
              <w:rPr>
                <w:color w:val="auto"/>
                <w:vertAlign w:val="superscript"/>
              </w:rPr>
              <w:t>3</w:t>
            </w:r>
            <w:r>
              <w:rPr>
                <w:color w:val="auto"/>
              </w:rPr>
              <w:t>/h，H=11m，过流部件材质：SS304</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12</w:t>
            </w:r>
          </w:p>
        </w:tc>
        <w:tc>
          <w:tcPr>
            <w:tcW w:w="996" w:type="pct"/>
            <w:vAlign w:val="center"/>
          </w:tcPr>
          <w:p>
            <w:pPr>
              <w:pStyle w:val="182"/>
              <w:bidi w:val="0"/>
              <w:rPr>
                <w:color w:val="auto"/>
              </w:rPr>
            </w:pPr>
            <w:r>
              <w:rPr>
                <w:color w:val="auto"/>
              </w:rPr>
              <w:t>浓黑液闪蒸罐</w:t>
            </w:r>
          </w:p>
        </w:tc>
        <w:tc>
          <w:tcPr>
            <w:tcW w:w="2583" w:type="pct"/>
            <w:vAlign w:val="center"/>
          </w:tcPr>
          <w:p>
            <w:pPr>
              <w:pStyle w:val="182"/>
              <w:bidi w:val="0"/>
              <w:rPr>
                <w:color w:val="auto"/>
              </w:rPr>
            </w:pPr>
            <w:r>
              <w:rPr>
                <w:color w:val="auto"/>
              </w:rPr>
              <w:t>Φ800×1000mm，材质：SS304</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13</w:t>
            </w:r>
          </w:p>
        </w:tc>
        <w:tc>
          <w:tcPr>
            <w:tcW w:w="996" w:type="pct"/>
            <w:vAlign w:val="center"/>
          </w:tcPr>
          <w:p>
            <w:pPr>
              <w:pStyle w:val="182"/>
              <w:bidi w:val="0"/>
              <w:rPr>
                <w:color w:val="auto"/>
              </w:rPr>
            </w:pPr>
            <w:r>
              <w:rPr>
                <w:color w:val="auto"/>
              </w:rPr>
              <w:t>出Ⅰ效浓黑液泵</w:t>
            </w:r>
          </w:p>
        </w:tc>
        <w:tc>
          <w:tcPr>
            <w:tcW w:w="2583" w:type="pct"/>
            <w:vAlign w:val="center"/>
          </w:tcPr>
          <w:p>
            <w:pPr>
              <w:pStyle w:val="182"/>
              <w:bidi w:val="0"/>
              <w:rPr>
                <w:color w:val="auto"/>
              </w:rPr>
            </w:pPr>
            <w:r>
              <w:rPr>
                <w:color w:val="auto"/>
              </w:rPr>
              <w:t>Q=30m</w:t>
            </w:r>
            <w:r>
              <w:rPr>
                <w:color w:val="auto"/>
                <w:vertAlign w:val="superscript"/>
              </w:rPr>
              <w:t>3</w:t>
            </w:r>
            <w:r>
              <w:rPr>
                <w:color w:val="auto"/>
              </w:rPr>
              <w:t>/h，H=11m，过流部件材质：SS304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14</w:t>
            </w:r>
          </w:p>
        </w:tc>
        <w:tc>
          <w:tcPr>
            <w:tcW w:w="996" w:type="pct"/>
            <w:vAlign w:val="center"/>
          </w:tcPr>
          <w:p>
            <w:pPr>
              <w:pStyle w:val="182"/>
              <w:bidi w:val="0"/>
              <w:rPr>
                <w:color w:val="auto"/>
              </w:rPr>
            </w:pPr>
            <w:r>
              <w:rPr>
                <w:color w:val="auto"/>
              </w:rPr>
              <w:t>清冷凝水闪蒸罐</w:t>
            </w:r>
          </w:p>
        </w:tc>
        <w:tc>
          <w:tcPr>
            <w:tcW w:w="2583" w:type="pct"/>
            <w:vAlign w:val="center"/>
          </w:tcPr>
          <w:p>
            <w:pPr>
              <w:pStyle w:val="182"/>
              <w:bidi w:val="0"/>
              <w:rPr>
                <w:color w:val="auto"/>
              </w:rPr>
            </w:pPr>
            <w:r>
              <w:rPr>
                <w:color w:val="auto"/>
              </w:rPr>
              <w:t>Φ800×1000mm，材质：Q235-A</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15</w:t>
            </w:r>
          </w:p>
        </w:tc>
        <w:tc>
          <w:tcPr>
            <w:tcW w:w="996" w:type="pct"/>
            <w:vAlign w:val="center"/>
          </w:tcPr>
          <w:p>
            <w:pPr>
              <w:pStyle w:val="182"/>
              <w:bidi w:val="0"/>
              <w:rPr>
                <w:color w:val="auto"/>
              </w:rPr>
            </w:pPr>
            <w:r>
              <w:rPr>
                <w:color w:val="auto"/>
              </w:rPr>
              <w:t>清冷凝水泵</w:t>
            </w:r>
          </w:p>
        </w:tc>
        <w:tc>
          <w:tcPr>
            <w:tcW w:w="2583" w:type="pct"/>
            <w:vAlign w:val="center"/>
          </w:tcPr>
          <w:p>
            <w:pPr>
              <w:pStyle w:val="182"/>
              <w:bidi w:val="0"/>
              <w:rPr>
                <w:color w:val="auto"/>
              </w:rPr>
            </w:pPr>
            <w:r>
              <w:rPr>
                <w:color w:val="auto"/>
              </w:rPr>
              <w:t>Q=25m</w:t>
            </w:r>
            <w:r>
              <w:rPr>
                <w:color w:val="auto"/>
                <w:vertAlign w:val="superscript"/>
              </w:rPr>
              <w:t>3</w:t>
            </w:r>
            <w:r>
              <w:rPr>
                <w:color w:val="auto"/>
              </w:rPr>
              <w:t>/h，H=30m，过流部件材质：SS304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16</w:t>
            </w:r>
          </w:p>
        </w:tc>
        <w:tc>
          <w:tcPr>
            <w:tcW w:w="996" w:type="pct"/>
            <w:vAlign w:val="center"/>
          </w:tcPr>
          <w:p>
            <w:pPr>
              <w:pStyle w:val="182"/>
              <w:bidi w:val="0"/>
              <w:rPr>
                <w:color w:val="auto"/>
              </w:rPr>
            </w:pPr>
            <w:r>
              <w:rPr>
                <w:color w:val="auto"/>
              </w:rPr>
              <w:t>污冷凝水闪蒸罐</w:t>
            </w:r>
          </w:p>
        </w:tc>
        <w:tc>
          <w:tcPr>
            <w:tcW w:w="2583" w:type="pct"/>
            <w:vAlign w:val="center"/>
          </w:tcPr>
          <w:p>
            <w:pPr>
              <w:pStyle w:val="182"/>
              <w:bidi w:val="0"/>
              <w:rPr>
                <w:color w:val="auto"/>
              </w:rPr>
            </w:pPr>
            <w:r>
              <w:rPr>
                <w:color w:val="auto"/>
              </w:rPr>
              <w:t>Φ600×900mm，材质：Q235-A</w:t>
            </w:r>
          </w:p>
        </w:tc>
        <w:tc>
          <w:tcPr>
            <w:tcW w:w="484" w:type="pct"/>
            <w:vAlign w:val="center"/>
          </w:tcPr>
          <w:p>
            <w:pPr>
              <w:pStyle w:val="182"/>
              <w:bidi w:val="0"/>
              <w:rPr>
                <w:color w:val="auto"/>
              </w:rPr>
            </w:pPr>
            <w:r>
              <w:rPr>
                <w:color w:val="auto"/>
              </w:rPr>
              <w:t>4</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17</w:t>
            </w:r>
          </w:p>
        </w:tc>
        <w:tc>
          <w:tcPr>
            <w:tcW w:w="996" w:type="pct"/>
            <w:vAlign w:val="center"/>
          </w:tcPr>
          <w:p>
            <w:pPr>
              <w:pStyle w:val="182"/>
              <w:bidi w:val="0"/>
              <w:rPr>
                <w:color w:val="auto"/>
              </w:rPr>
            </w:pPr>
            <w:r>
              <w:rPr>
                <w:color w:val="auto"/>
              </w:rPr>
              <w:t>污冷凝水泵</w:t>
            </w:r>
          </w:p>
        </w:tc>
        <w:tc>
          <w:tcPr>
            <w:tcW w:w="2583" w:type="pct"/>
            <w:vAlign w:val="center"/>
          </w:tcPr>
          <w:p>
            <w:pPr>
              <w:pStyle w:val="182"/>
              <w:bidi w:val="0"/>
              <w:rPr>
                <w:color w:val="auto"/>
              </w:rPr>
            </w:pPr>
            <w:r>
              <w:rPr>
                <w:color w:val="auto"/>
              </w:rPr>
              <w:t>Q=80m</w:t>
            </w:r>
            <w:r>
              <w:rPr>
                <w:color w:val="auto"/>
                <w:vertAlign w:val="superscript"/>
              </w:rPr>
              <w:t>3</w:t>
            </w:r>
            <w:r>
              <w:rPr>
                <w:color w:val="auto"/>
              </w:rPr>
              <w:t>/h，H=30m，过流部件材质：SS304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1" w:hRule="atLeast"/>
          <w:jc w:val="center"/>
        </w:trPr>
        <w:tc>
          <w:tcPr>
            <w:tcW w:w="455" w:type="pct"/>
            <w:vAlign w:val="center"/>
          </w:tcPr>
          <w:p>
            <w:pPr>
              <w:pStyle w:val="182"/>
              <w:bidi w:val="0"/>
              <w:rPr>
                <w:color w:val="auto"/>
              </w:rPr>
            </w:pPr>
            <w:r>
              <w:rPr>
                <w:color w:val="auto"/>
              </w:rPr>
              <w:t>18</w:t>
            </w:r>
          </w:p>
        </w:tc>
        <w:tc>
          <w:tcPr>
            <w:tcW w:w="996" w:type="pct"/>
            <w:vAlign w:val="center"/>
          </w:tcPr>
          <w:p>
            <w:pPr>
              <w:pStyle w:val="182"/>
              <w:bidi w:val="0"/>
              <w:rPr>
                <w:color w:val="auto"/>
              </w:rPr>
            </w:pPr>
            <w:r>
              <w:rPr>
                <w:color w:val="auto"/>
              </w:rPr>
              <w:t>水环式真空泵</w:t>
            </w:r>
          </w:p>
        </w:tc>
        <w:tc>
          <w:tcPr>
            <w:tcW w:w="2583" w:type="pct"/>
            <w:vAlign w:val="center"/>
          </w:tcPr>
          <w:p>
            <w:pPr>
              <w:pStyle w:val="182"/>
              <w:bidi w:val="0"/>
              <w:rPr>
                <w:color w:val="auto"/>
              </w:rPr>
            </w:pPr>
            <w:r>
              <w:rPr>
                <w:color w:val="auto"/>
              </w:rPr>
              <w:t>Q=8m</w:t>
            </w:r>
            <w:r>
              <w:rPr>
                <w:color w:val="auto"/>
                <w:vertAlign w:val="superscript"/>
              </w:rPr>
              <w:t>3</w:t>
            </w:r>
            <w:r>
              <w:rPr>
                <w:color w:val="auto"/>
              </w:rPr>
              <w:t>/min，最大真空度：0.7-0.8，碳钢</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19</w:t>
            </w:r>
          </w:p>
        </w:tc>
        <w:tc>
          <w:tcPr>
            <w:tcW w:w="996" w:type="pct"/>
            <w:vAlign w:val="center"/>
          </w:tcPr>
          <w:p>
            <w:pPr>
              <w:pStyle w:val="182"/>
              <w:bidi w:val="0"/>
              <w:rPr>
                <w:color w:val="auto"/>
              </w:rPr>
            </w:pPr>
            <w:r>
              <w:rPr>
                <w:color w:val="auto"/>
              </w:rPr>
              <w:t>1#、2#浓黑液槽</w:t>
            </w:r>
          </w:p>
        </w:tc>
        <w:tc>
          <w:tcPr>
            <w:tcW w:w="2583" w:type="pct"/>
            <w:vAlign w:val="center"/>
          </w:tcPr>
          <w:p>
            <w:pPr>
              <w:pStyle w:val="182"/>
              <w:bidi w:val="0"/>
              <w:rPr>
                <w:color w:val="auto"/>
              </w:rPr>
            </w:pPr>
            <w:r>
              <w:rPr>
                <w:color w:val="auto"/>
              </w:rPr>
              <w:t>Φ4000×6000mm，V=75m</w:t>
            </w:r>
            <w:r>
              <w:rPr>
                <w:color w:val="auto"/>
                <w:vertAlign w:val="superscript"/>
              </w:rPr>
              <w:t>3</w:t>
            </w:r>
            <w:r>
              <w:rPr>
                <w:color w:val="auto"/>
              </w:rPr>
              <w:t>，材质：碳钢内衬不锈钢，常压</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20</w:t>
            </w:r>
          </w:p>
        </w:tc>
        <w:tc>
          <w:tcPr>
            <w:tcW w:w="996" w:type="pct"/>
            <w:vAlign w:val="center"/>
          </w:tcPr>
          <w:p>
            <w:pPr>
              <w:pStyle w:val="182"/>
              <w:bidi w:val="0"/>
              <w:rPr>
                <w:color w:val="auto"/>
              </w:rPr>
            </w:pPr>
            <w:r>
              <w:rPr>
                <w:color w:val="auto"/>
              </w:rPr>
              <w:t>浓黑液泵</w:t>
            </w:r>
          </w:p>
        </w:tc>
        <w:tc>
          <w:tcPr>
            <w:tcW w:w="2583" w:type="pct"/>
            <w:vAlign w:val="center"/>
          </w:tcPr>
          <w:p>
            <w:pPr>
              <w:pStyle w:val="182"/>
              <w:bidi w:val="0"/>
              <w:rPr>
                <w:color w:val="auto"/>
              </w:rPr>
            </w:pPr>
            <w:r>
              <w:rPr>
                <w:color w:val="auto"/>
              </w:rPr>
              <w:t>Q=20m</w:t>
            </w:r>
            <w:r>
              <w:rPr>
                <w:color w:val="auto"/>
                <w:vertAlign w:val="superscript"/>
              </w:rPr>
              <w:t>3</w:t>
            </w:r>
            <w:r>
              <w:rPr>
                <w:color w:val="auto"/>
              </w:rPr>
              <w:t>/h，H=36m，过流部件材质：SS304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21</w:t>
            </w:r>
          </w:p>
        </w:tc>
        <w:tc>
          <w:tcPr>
            <w:tcW w:w="996" w:type="pct"/>
            <w:vAlign w:val="center"/>
          </w:tcPr>
          <w:p>
            <w:pPr>
              <w:pStyle w:val="182"/>
              <w:bidi w:val="0"/>
              <w:rPr>
                <w:color w:val="auto"/>
              </w:rPr>
            </w:pPr>
            <w:r>
              <w:rPr>
                <w:color w:val="auto"/>
              </w:rPr>
              <w:t>碱液槽</w:t>
            </w:r>
          </w:p>
        </w:tc>
        <w:tc>
          <w:tcPr>
            <w:tcW w:w="2583" w:type="pct"/>
            <w:vAlign w:val="center"/>
          </w:tcPr>
          <w:p>
            <w:pPr>
              <w:pStyle w:val="182"/>
              <w:bidi w:val="0"/>
              <w:rPr>
                <w:color w:val="auto"/>
              </w:rPr>
            </w:pPr>
            <w:r>
              <w:rPr>
                <w:color w:val="auto"/>
              </w:rPr>
              <w:t>Φ4000×4500mm，V=46m</w:t>
            </w:r>
            <w:r>
              <w:rPr>
                <w:color w:val="auto"/>
                <w:vertAlign w:val="superscript"/>
              </w:rPr>
              <w:t>3</w:t>
            </w:r>
            <w:r>
              <w:rPr>
                <w:color w:val="auto"/>
              </w:rPr>
              <w:t>，材质：碳钢，常压</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22</w:t>
            </w:r>
          </w:p>
        </w:tc>
        <w:tc>
          <w:tcPr>
            <w:tcW w:w="996" w:type="pct"/>
            <w:vAlign w:val="center"/>
          </w:tcPr>
          <w:p>
            <w:pPr>
              <w:pStyle w:val="182"/>
              <w:bidi w:val="0"/>
              <w:rPr>
                <w:color w:val="auto"/>
              </w:rPr>
            </w:pPr>
            <w:r>
              <w:rPr>
                <w:color w:val="auto"/>
              </w:rPr>
              <w:t>出Ⅱ效黑液泵</w:t>
            </w:r>
          </w:p>
        </w:tc>
        <w:tc>
          <w:tcPr>
            <w:tcW w:w="2583" w:type="pct"/>
            <w:vAlign w:val="center"/>
          </w:tcPr>
          <w:p>
            <w:pPr>
              <w:pStyle w:val="182"/>
              <w:bidi w:val="0"/>
              <w:rPr>
                <w:color w:val="auto"/>
              </w:rPr>
            </w:pPr>
            <w:r>
              <w:rPr>
                <w:color w:val="auto"/>
              </w:rPr>
              <w:t>Q=40m</w:t>
            </w:r>
            <w:r>
              <w:rPr>
                <w:color w:val="auto"/>
                <w:vertAlign w:val="superscript"/>
              </w:rPr>
              <w:t>3</w:t>
            </w:r>
            <w:r>
              <w:rPr>
                <w:color w:val="auto"/>
              </w:rPr>
              <w:t>/h，H=11m，过流部件材质：SS304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23</w:t>
            </w:r>
          </w:p>
        </w:tc>
        <w:tc>
          <w:tcPr>
            <w:tcW w:w="996" w:type="pct"/>
            <w:vAlign w:val="center"/>
          </w:tcPr>
          <w:p>
            <w:pPr>
              <w:pStyle w:val="182"/>
              <w:bidi w:val="0"/>
              <w:rPr>
                <w:color w:val="auto"/>
              </w:rPr>
            </w:pPr>
            <w:r>
              <w:rPr>
                <w:color w:val="auto"/>
              </w:rPr>
              <w:t>出Ⅲ效黑液泵</w:t>
            </w:r>
          </w:p>
        </w:tc>
        <w:tc>
          <w:tcPr>
            <w:tcW w:w="2583" w:type="pct"/>
            <w:vAlign w:val="center"/>
          </w:tcPr>
          <w:p>
            <w:pPr>
              <w:pStyle w:val="182"/>
              <w:bidi w:val="0"/>
              <w:rPr>
                <w:color w:val="auto"/>
              </w:rPr>
            </w:pPr>
            <w:r>
              <w:rPr>
                <w:color w:val="auto"/>
              </w:rPr>
              <w:t>Q=50m</w:t>
            </w:r>
            <w:r>
              <w:rPr>
                <w:color w:val="auto"/>
                <w:vertAlign w:val="superscript"/>
              </w:rPr>
              <w:t>3</w:t>
            </w:r>
            <w:r>
              <w:rPr>
                <w:color w:val="auto"/>
              </w:rPr>
              <w:t>/h，H=11m，过流部件材质：SS304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24</w:t>
            </w:r>
          </w:p>
        </w:tc>
        <w:tc>
          <w:tcPr>
            <w:tcW w:w="996" w:type="pct"/>
            <w:vAlign w:val="center"/>
          </w:tcPr>
          <w:p>
            <w:pPr>
              <w:pStyle w:val="182"/>
              <w:bidi w:val="0"/>
              <w:rPr>
                <w:color w:val="auto"/>
              </w:rPr>
            </w:pPr>
            <w:r>
              <w:rPr>
                <w:color w:val="auto"/>
              </w:rPr>
              <w:t>ⅠⅡ效固液分离器</w:t>
            </w:r>
          </w:p>
        </w:tc>
        <w:tc>
          <w:tcPr>
            <w:tcW w:w="2583" w:type="pct"/>
            <w:vAlign w:val="center"/>
          </w:tcPr>
          <w:p>
            <w:pPr>
              <w:pStyle w:val="182"/>
              <w:bidi w:val="0"/>
              <w:rPr>
                <w:color w:val="auto"/>
              </w:rPr>
            </w:pPr>
            <w:r>
              <w:rPr>
                <w:color w:val="auto"/>
              </w:rPr>
              <w:t>DN400mm，SS304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25</w:t>
            </w:r>
          </w:p>
        </w:tc>
        <w:tc>
          <w:tcPr>
            <w:tcW w:w="996" w:type="pct"/>
            <w:vAlign w:val="center"/>
          </w:tcPr>
          <w:p>
            <w:pPr>
              <w:pStyle w:val="182"/>
              <w:bidi w:val="0"/>
              <w:rPr>
                <w:color w:val="auto"/>
              </w:rPr>
            </w:pPr>
            <w:r>
              <w:rPr>
                <w:color w:val="auto"/>
              </w:rPr>
              <w:t>污冷凝水槽</w:t>
            </w:r>
          </w:p>
        </w:tc>
        <w:tc>
          <w:tcPr>
            <w:tcW w:w="2583" w:type="pct"/>
            <w:vAlign w:val="center"/>
          </w:tcPr>
          <w:p>
            <w:pPr>
              <w:pStyle w:val="182"/>
              <w:bidi w:val="0"/>
              <w:rPr>
                <w:color w:val="auto"/>
              </w:rPr>
            </w:pPr>
            <w:r>
              <w:rPr>
                <w:color w:val="auto"/>
              </w:rPr>
              <w:t>Φ2200×3500mm，V=12m</w:t>
            </w:r>
            <w:r>
              <w:rPr>
                <w:color w:val="auto"/>
                <w:vertAlign w:val="superscript"/>
              </w:rPr>
              <w:t>3</w:t>
            </w:r>
            <w:r>
              <w:rPr>
                <w:color w:val="auto"/>
              </w:rPr>
              <w:t>，材质：碳钢，常压</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26</w:t>
            </w:r>
          </w:p>
        </w:tc>
        <w:tc>
          <w:tcPr>
            <w:tcW w:w="996" w:type="pct"/>
            <w:vAlign w:val="center"/>
          </w:tcPr>
          <w:p>
            <w:pPr>
              <w:pStyle w:val="182"/>
              <w:bidi w:val="0"/>
              <w:rPr>
                <w:color w:val="auto"/>
              </w:rPr>
            </w:pPr>
            <w:r>
              <w:rPr>
                <w:color w:val="auto"/>
              </w:rPr>
              <w:t>污冷凝水泵</w:t>
            </w:r>
          </w:p>
        </w:tc>
        <w:tc>
          <w:tcPr>
            <w:tcW w:w="2583" w:type="pct"/>
            <w:vAlign w:val="center"/>
          </w:tcPr>
          <w:p>
            <w:pPr>
              <w:pStyle w:val="182"/>
              <w:bidi w:val="0"/>
              <w:rPr>
                <w:color w:val="auto"/>
              </w:rPr>
            </w:pPr>
            <w:r>
              <w:rPr>
                <w:color w:val="auto"/>
              </w:rPr>
              <w:t>Q=50m</w:t>
            </w:r>
            <w:r>
              <w:rPr>
                <w:color w:val="auto"/>
                <w:vertAlign w:val="superscript"/>
              </w:rPr>
              <w:t>3</w:t>
            </w:r>
            <w:r>
              <w:rPr>
                <w:color w:val="auto"/>
              </w:rPr>
              <w:t>/h，H=30m，过流部件材质：SS304</w:t>
            </w:r>
          </w:p>
        </w:tc>
        <w:tc>
          <w:tcPr>
            <w:tcW w:w="484" w:type="pct"/>
            <w:vAlign w:val="center"/>
          </w:tcPr>
          <w:p>
            <w:pPr>
              <w:pStyle w:val="182"/>
              <w:bidi w:val="0"/>
              <w:rPr>
                <w:color w:val="auto"/>
              </w:rPr>
            </w:pPr>
            <w:r>
              <w:rPr>
                <w:color w:val="auto"/>
              </w:rPr>
              <w:t>2</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27</w:t>
            </w:r>
          </w:p>
        </w:tc>
        <w:tc>
          <w:tcPr>
            <w:tcW w:w="996" w:type="pct"/>
            <w:vAlign w:val="center"/>
          </w:tcPr>
          <w:p>
            <w:pPr>
              <w:pStyle w:val="182"/>
              <w:bidi w:val="0"/>
              <w:rPr>
                <w:color w:val="auto"/>
              </w:rPr>
            </w:pPr>
            <w:r>
              <w:rPr>
                <w:color w:val="auto"/>
              </w:rPr>
              <w:t>蒸馏水泵</w:t>
            </w:r>
          </w:p>
        </w:tc>
        <w:tc>
          <w:tcPr>
            <w:tcW w:w="2583" w:type="pct"/>
            <w:vAlign w:val="center"/>
          </w:tcPr>
          <w:p>
            <w:pPr>
              <w:pStyle w:val="182"/>
              <w:bidi w:val="0"/>
              <w:rPr>
                <w:color w:val="auto"/>
              </w:rPr>
            </w:pPr>
            <w:r>
              <w:rPr>
                <w:color w:val="auto"/>
              </w:rPr>
              <w:t>Q=45m</w:t>
            </w:r>
            <w:r>
              <w:rPr>
                <w:color w:val="auto"/>
                <w:vertAlign w:val="superscript"/>
              </w:rPr>
              <w:t>3</w:t>
            </w:r>
            <w:r>
              <w:rPr>
                <w:color w:val="auto"/>
              </w:rPr>
              <w:t>/h，H=24m，过流部件材质：SS304</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28</w:t>
            </w:r>
          </w:p>
        </w:tc>
        <w:tc>
          <w:tcPr>
            <w:tcW w:w="996" w:type="pct"/>
            <w:vAlign w:val="center"/>
          </w:tcPr>
          <w:p>
            <w:pPr>
              <w:pStyle w:val="182"/>
              <w:bidi w:val="0"/>
              <w:rPr>
                <w:color w:val="auto"/>
              </w:rPr>
            </w:pPr>
            <w:r>
              <w:rPr>
                <w:color w:val="auto"/>
              </w:rPr>
              <w:t>蒸发进校泵</w:t>
            </w:r>
          </w:p>
        </w:tc>
        <w:tc>
          <w:tcPr>
            <w:tcW w:w="2583" w:type="pct"/>
            <w:vAlign w:val="center"/>
          </w:tcPr>
          <w:p>
            <w:pPr>
              <w:pStyle w:val="182"/>
              <w:bidi w:val="0"/>
              <w:rPr>
                <w:color w:val="auto"/>
              </w:rPr>
            </w:pPr>
            <w:r>
              <w:rPr>
                <w:color w:val="auto"/>
              </w:rPr>
              <w:t>YE3-132S1-2</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29</w:t>
            </w:r>
          </w:p>
        </w:tc>
        <w:tc>
          <w:tcPr>
            <w:tcW w:w="996" w:type="pct"/>
            <w:vAlign w:val="center"/>
          </w:tcPr>
          <w:p>
            <w:pPr>
              <w:pStyle w:val="182"/>
              <w:bidi w:val="0"/>
              <w:rPr>
                <w:color w:val="auto"/>
              </w:rPr>
            </w:pPr>
            <w:r>
              <w:rPr>
                <w:color w:val="auto"/>
              </w:rPr>
              <w:t>蒸发出料泵</w:t>
            </w:r>
          </w:p>
        </w:tc>
        <w:tc>
          <w:tcPr>
            <w:tcW w:w="2583" w:type="pct"/>
            <w:vAlign w:val="center"/>
          </w:tcPr>
          <w:p>
            <w:pPr>
              <w:pStyle w:val="182"/>
              <w:bidi w:val="0"/>
              <w:rPr>
                <w:color w:val="auto"/>
              </w:rPr>
            </w:pPr>
            <w:r>
              <w:rPr>
                <w:color w:val="auto"/>
              </w:rPr>
              <w:t>YE3-132S1-2</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5" w:hRule="atLeast"/>
          <w:jc w:val="center"/>
        </w:trPr>
        <w:tc>
          <w:tcPr>
            <w:tcW w:w="455" w:type="pct"/>
            <w:vAlign w:val="center"/>
          </w:tcPr>
          <w:p>
            <w:pPr>
              <w:pStyle w:val="182"/>
              <w:bidi w:val="0"/>
              <w:rPr>
                <w:color w:val="auto"/>
              </w:rPr>
            </w:pPr>
            <w:r>
              <w:rPr>
                <w:color w:val="auto"/>
              </w:rPr>
              <w:t>30</w:t>
            </w:r>
          </w:p>
        </w:tc>
        <w:tc>
          <w:tcPr>
            <w:tcW w:w="996" w:type="pct"/>
            <w:vAlign w:val="center"/>
          </w:tcPr>
          <w:p>
            <w:pPr>
              <w:pStyle w:val="182"/>
              <w:bidi w:val="0"/>
              <w:rPr>
                <w:color w:val="auto"/>
              </w:rPr>
            </w:pPr>
            <w:r>
              <w:rPr>
                <w:color w:val="auto"/>
              </w:rPr>
              <w:t>木质素上料泵</w:t>
            </w:r>
          </w:p>
        </w:tc>
        <w:tc>
          <w:tcPr>
            <w:tcW w:w="2583" w:type="pct"/>
            <w:vAlign w:val="center"/>
          </w:tcPr>
          <w:p>
            <w:pPr>
              <w:pStyle w:val="182"/>
              <w:bidi w:val="0"/>
              <w:rPr>
                <w:color w:val="auto"/>
              </w:rPr>
            </w:pPr>
            <w:r>
              <w:rPr>
                <w:color w:val="auto"/>
              </w:rPr>
              <w:t>G50-IAJST-4CJ383</w:t>
            </w:r>
          </w:p>
        </w:tc>
        <w:tc>
          <w:tcPr>
            <w:tcW w:w="484" w:type="pct"/>
            <w:vAlign w:val="center"/>
          </w:tcPr>
          <w:p>
            <w:pPr>
              <w:pStyle w:val="182"/>
              <w:bidi w:val="0"/>
              <w:rPr>
                <w:color w:val="auto"/>
              </w:rPr>
            </w:pP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31</w:t>
            </w:r>
          </w:p>
        </w:tc>
        <w:tc>
          <w:tcPr>
            <w:tcW w:w="996" w:type="pct"/>
            <w:vAlign w:val="center"/>
          </w:tcPr>
          <w:p>
            <w:pPr>
              <w:pStyle w:val="182"/>
              <w:bidi w:val="0"/>
              <w:rPr>
                <w:color w:val="auto"/>
              </w:rPr>
            </w:pPr>
            <w:r>
              <w:rPr>
                <w:color w:val="auto"/>
              </w:rPr>
              <w:t>热风</w:t>
            </w:r>
            <w:r>
              <w:rPr>
                <w:rFonts w:hint="eastAsia"/>
                <w:color w:val="auto"/>
              </w:rPr>
              <w:t>换</w:t>
            </w:r>
            <w:r>
              <w:rPr>
                <w:color w:val="auto"/>
              </w:rPr>
              <w:t>热器</w:t>
            </w:r>
          </w:p>
        </w:tc>
        <w:tc>
          <w:tcPr>
            <w:tcW w:w="2583" w:type="pct"/>
            <w:vAlign w:val="center"/>
          </w:tcPr>
          <w:p>
            <w:pPr>
              <w:pStyle w:val="182"/>
              <w:bidi w:val="0"/>
              <w:rPr>
                <w:color w:val="auto"/>
              </w:rPr>
            </w:pPr>
            <w:r>
              <w:rPr>
                <w:color w:val="auto"/>
              </w:rPr>
              <w:t>BRS-380</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32</w:t>
            </w:r>
          </w:p>
        </w:tc>
        <w:tc>
          <w:tcPr>
            <w:tcW w:w="996" w:type="pct"/>
            <w:vAlign w:val="center"/>
          </w:tcPr>
          <w:p>
            <w:pPr>
              <w:pStyle w:val="182"/>
              <w:bidi w:val="0"/>
              <w:rPr>
                <w:color w:val="auto"/>
              </w:rPr>
            </w:pPr>
            <w:r>
              <w:rPr>
                <w:color w:val="auto"/>
              </w:rPr>
              <w:t>干燥塔</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color w:val="auto"/>
              </w:rPr>
              <w:t>33</w:t>
            </w:r>
          </w:p>
        </w:tc>
        <w:tc>
          <w:tcPr>
            <w:tcW w:w="996" w:type="pct"/>
            <w:vAlign w:val="center"/>
          </w:tcPr>
          <w:p>
            <w:pPr>
              <w:pStyle w:val="182"/>
              <w:bidi w:val="0"/>
              <w:rPr>
                <w:color w:val="auto"/>
              </w:rPr>
            </w:pPr>
            <w:r>
              <w:rPr>
                <w:color w:val="auto"/>
              </w:rPr>
              <w:t>干燥雾化器</w:t>
            </w:r>
          </w:p>
        </w:tc>
        <w:tc>
          <w:tcPr>
            <w:tcW w:w="2583" w:type="pct"/>
            <w:vAlign w:val="center"/>
          </w:tcPr>
          <w:p>
            <w:pPr>
              <w:pStyle w:val="182"/>
              <w:bidi w:val="0"/>
              <w:rPr>
                <w:color w:val="auto"/>
              </w:rPr>
            </w:pP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rFonts w:hint="eastAsia"/>
                <w:color w:val="auto"/>
              </w:rPr>
              <w:t>3</w:t>
            </w:r>
            <w:r>
              <w:rPr>
                <w:color w:val="auto"/>
              </w:rPr>
              <w:t>4</w:t>
            </w:r>
          </w:p>
        </w:tc>
        <w:tc>
          <w:tcPr>
            <w:tcW w:w="996" w:type="pct"/>
            <w:vAlign w:val="center"/>
          </w:tcPr>
          <w:p>
            <w:pPr>
              <w:pStyle w:val="182"/>
              <w:bidi w:val="0"/>
              <w:rPr>
                <w:color w:val="auto"/>
              </w:rPr>
            </w:pPr>
            <w:r>
              <w:rPr>
                <w:color w:val="auto"/>
              </w:rPr>
              <w:t>引风机</w:t>
            </w:r>
          </w:p>
        </w:tc>
        <w:tc>
          <w:tcPr>
            <w:tcW w:w="2583" w:type="pct"/>
            <w:vAlign w:val="center"/>
          </w:tcPr>
          <w:p>
            <w:pPr>
              <w:pStyle w:val="182"/>
              <w:bidi w:val="0"/>
              <w:rPr>
                <w:color w:val="auto"/>
              </w:rPr>
            </w:pPr>
            <w:r>
              <w:rPr>
                <w:color w:val="auto"/>
              </w:rPr>
              <w:t>4-73-12D</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pPr>
              <w:pStyle w:val="182"/>
              <w:bidi w:val="0"/>
              <w:rPr>
                <w:color w:val="auto"/>
              </w:rPr>
            </w:pPr>
            <w:r>
              <w:rPr>
                <w:rFonts w:hint="eastAsia"/>
                <w:color w:val="auto"/>
              </w:rPr>
              <w:t>3</w:t>
            </w:r>
            <w:r>
              <w:rPr>
                <w:color w:val="auto"/>
              </w:rPr>
              <w:t>5</w:t>
            </w:r>
          </w:p>
        </w:tc>
        <w:tc>
          <w:tcPr>
            <w:tcW w:w="996" w:type="pct"/>
            <w:vAlign w:val="center"/>
          </w:tcPr>
          <w:p>
            <w:pPr>
              <w:pStyle w:val="182"/>
              <w:bidi w:val="0"/>
              <w:rPr>
                <w:color w:val="auto"/>
              </w:rPr>
            </w:pPr>
            <w:r>
              <w:rPr>
                <w:color w:val="auto"/>
              </w:rPr>
              <w:t>回流风机</w:t>
            </w:r>
          </w:p>
        </w:tc>
        <w:tc>
          <w:tcPr>
            <w:tcW w:w="2583" w:type="pct"/>
            <w:vAlign w:val="center"/>
          </w:tcPr>
          <w:p>
            <w:pPr>
              <w:pStyle w:val="182"/>
              <w:bidi w:val="0"/>
              <w:rPr>
                <w:color w:val="auto"/>
              </w:rPr>
            </w:pPr>
            <w:r>
              <w:rPr>
                <w:color w:val="auto"/>
              </w:rPr>
              <w:t>9-19-9D</w:t>
            </w:r>
          </w:p>
        </w:tc>
        <w:tc>
          <w:tcPr>
            <w:tcW w:w="484" w:type="pct"/>
            <w:vAlign w:val="center"/>
          </w:tcPr>
          <w:p>
            <w:pPr>
              <w:pStyle w:val="182"/>
              <w:bidi w:val="0"/>
              <w:rPr>
                <w:color w:val="auto"/>
              </w:rPr>
            </w:pPr>
            <w:r>
              <w:rPr>
                <w:color w:val="auto"/>
              </w:rPr>
              <w:t>1</w:t>
            </w:r>
          </w:p>
        </w:tc>
        <w:tc>
          <w:tcPr>
            <w:tcW w:w="479" w:type="pct"/>
            <w:vAlign w:val="center"/>
          </w:tcPr>
          <w:p>
            <w:pPr>
              <w:pStyle w:val="182"/>
              <w:bidi w:val="0"/>
              <w:rPr>
                <w:color w:val="auto"/>
              </w:rPr>
            </w:pPr>
          </w:p>
        </w:tc>
      </w:tr>
    </w:tbl>
    <w:p>
      <w:pPr>
        <w:pStyle w:val="9"/>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7</w:t>
      </w:r>
      <w:r>
        <w:rPr>
          <w:rFonts w:hint="eastAsia"/>
          <w:color w:val="auto"/>
        </w:rPr>
        <w:t>厂内外运输情况</w:t>
      </w:r>
    </w:p>
    <w:p>
      <w:pPr>
        <w:bidi w:val="0"/>
        <w:rPr>
          <w:color w:val="auto"/>
        </w:rPr>
      </w:pPr>
      <w:r>
        <w:rPr>
          <w:color w:val="auto"/>
        </w:rPr>
        <w:t>工厂运输设计应符合企业总体规划要求，并根据生产要求，运输现状，统筹安排，合理组织人流、货流，确保工厂原材料运进和成品运出，使运输路线短捷，经济合理，有利于提高劳动生产率，减轻劳动强度，使厂内外运输、装卸和储存形成一个完整、连续的运输体系。</w:t>
      </w:r>
    </w:p>
    <w:p>
      <w:pPr>
        <w:bidi w:val="0"/>
        <w:rPr>
          <w:b/>
          <w:bCs/>
          <w:color w:val="auto"/>
          <w:u w:val="single"/>
        </w:rPr>
      </w:pPr>
      <w:r>
        <w:rPr>
          <w:b/>
          <w:bCs/>
          <w:color w:val="auto"/>
          <w:u w:val="single"/>
        </w:rPr>
        <w:t>本项目达产后，全年总运输量为</w:t>
      </w:r>
      <w:r>
        <w:rPr>
          <w:rFonts w:hint="eastAsia"/>
          <w:b/>
          <w:bCs/>
          <w:color w:val="auto"/>
          <w:u w:val="single"/>
          <w:lang w:val="en-US" w:eastAsia="zh-CN"/>
        </w:rPr>
        <w:t>11079.47</w:t>
      </w:r>
      <w:r>
        <w:rPr>
          <w:b/>
          <w:bCs/>
          <w:color w:val="auto"/>
          <w:u w:val="single"/>
        </w:rPr>
        <w:t>t</w:t>
      </w:r>
      <w:r>
        <w:rPr>
          <w:rFonts w:hint="eastAsia"/>
          <w:b/>
          <w:bCs/>
          <w:color w:val="auto"/>
          <w:u w:val="single"/>
          <w:lang w:eastAsia="zh-CN"/>
        </w:rPr>
        <w:t>，</w:t>
      </w:r>
      <w:r>
        <w:rPr>
          <w:rFonts w:hint="eastAsia"/>
          <w:b/>
          <w:bCs/>
          <w:color w:val="auto"/>
          <w:u w:val="single"/>
          <w:lang w:val="en-US" w:eastAsia="zh-CN"/>
        </w:rPr>
        <w:t>均为</w:t>
      </w:r>
      <w:r>
        <w:rPr>
          <w:b/>
          <w:bCs/>
          <w:color w:val="auto"/>
          <w:u w:val="single"/>
        </w:rPr>
        <w:t>运入量</w:t>
      </w:r>
      <w:r>
        <w:rPr>
          <w:rFonts w:hint="eastAsia"/>
          <w:b/>
          <w:bCs/>
          <w:color w:val="auto"/>
          <w:u w:val="single"/>
          <w:lang w:val="en-US" w:eastAsia="zh-CN"/>
        </w:rPr>
        <w:t>11079.47</w:t>
      </w:r>
      <w:r>
        <w:rPr>
          <w:b/>
          <w:bCs/>
          <w:color w:val="auto"/>
          <w:u w:val="single"/>
        </w:rPr>
        <w:t>/a</w:t>
      </w:r>
      <w:r>
        <w:rPr>
          <w:rFonts w:hint="eastAsia"/>
          <w:b/>
          <w:bCs/>
          <w:color w:val="auto"/>
          <w:u w:val="single"/>
          <w:lang w:eastAsia="zh-CN"/>
        </w:rPr>
        <w:t>，</w:t>
      </w:r>
      <w:r>
        <w:rPr>
          <w:rFonts w:hint="eastAsia"/>
          <w:b/>
          <w:bCs/>
          <w:color w:val="auto"/>
          <w:u w:val="single"/>
          <w:lang w:val="en-US" w:eastAsia="zh-CN"/>
        </w:rPr>
        <w:t>本项目产品作为厂区其他项目的原材料，在厂区内部消耗</w:t>
      </w:r>
      <w:r>
        <w:rPr>
          <w:b/>
          <w:bCs/>
          <w:color w:val="auto"/>
          <w:u w:val="single"/>
        </w:rPr>
        <w:t>。</w:t>
      </w:r>
      <w:r>
        <w:rPr>
          <w:rFonts w:hint="eastAsia"/>
          <w:b/>
          <w:bCs/>
          <w:color w:val="auto"/>
          <w:u w:val="single"/>
        </w:rPr>
        <w:t>本项目运输量一览表见表3.</w:t>
      </w:r>
      <w:r>
        <w:rPr>
          <w:rFonts w:hint="eastAsia"/>
          <w:b/>
          <w:bCs/>
          <w:color w:val="auto"/>
          <w:u w:val="single"/>
          <w:lang w:val="en-US" w:eastAsia="zh-CN"/>
        </w:rPr>
        <w:t>8</w:t>
      </w:r>
      <w:r>
        <w:rPr>
          <w:rFonts w:hint="eastAsia"/>
          <w:b/>
          <w:bCs/>
          <w:color w:val="auto"/>
          <w:u w:val="single"/>
        </w:rPr>
        <w:t>-</w:t>
      </w:r>
      <w:r>
        <w:rPr>
          <w:b/>
          <w:bCs/>
          <w:color w:val="auto"/>
          <w:u w:val="single"/>
        </w:rPr>
        <w:t>8</w:t>
      </w:r>
      <w:r>
        <w:rPr>
          <w:rFonts w:hint="eastAsia"/>
          <w:b/>
          <w:bCs/>
          <w:color w:val="auto"/>
          <w:u w:val="single"/>
        </w:rPr>
        <w:t>。</w:t>
      </w:r>
    </w:p>
    <w:p>
      <w:pPr>
        <w:pStyle w:val="181"/>
        <w:bidi w:val="0"/>
        <w:rPr>
          <w:b/>
          <w:bCs/>
          <w:color w:val="auto"/>
          <w:u w:val="single"/>
        </w:rPr>
      </w:pPr>
      <w:r>
        <w:rPr>
          <w:rFonts w:hint="eastAsia"/>
          <w:b/>
          <w:bCs/>
          <w:color w:val="auto"/>
          <w:u w:val="single"/>
        </w:rPr>
        <w:t>表3</w:t>
      </w:r>
      <w:r>
        <w:rPr>
          <w:b/>
          <w:bCs/>
          <w:color w:val="auto"/>
          <w:u w:val="single"/>
        </w:rPr>
        <w:t>.</w:t>
      </w:r>
      <w:r>
        <w:rPr>
          <w:rFonts w:hint="eastAsia"/>
          <w:b/>
          <w:bCs/>
          <w:color w:val="auto"/>
          <w:u w:val="single"/>
          <w:lang w:val="en-US" w:eastAsia="zh-CN"/>
        </w:rPr>
        <w:t>8</w:t>
      </w:r>
      <w:r>
        <w:rPr>
          <w:rFonts w:hint="eastAsia"/>
          <w:b/>
          <w:bCs/>
          <w:color w:val="auto"/>
          <w:u w:val="single"/>
        </w:rPr>
        <w:t>-</w:t>
      </w:r>
      <w:r>
        <w:rPr>
          <w:rFonts w:hint="eastAsia"/>
          <w:b/>
          <w:bCs/>
          <w:color w:val="auto"/>
          <w:u w:val="single"/>
          <w:lang w:val="en-US" w:eastAsia="zh-CN"/>
        </w:rPr>
        <w:t xml:space="preserve">8                </w:t>
      </w:r>
      <w:r>
        <w:rPr>
          <w:rFonts w:hint="eastAsia"/>
          <w:b/>
          <w:bCs/>
          <w:color w:val="auto"/>
          <w:u w:val="single"/>
        </w:rPr>
        <w:t>项目</w:t>
      </w:r>
      <w:r>
        <w:rPr>
          <w:b/>
          <w:bCs/>
          <w:color w:val="auto"/>
          <w:u w:val="single"/>
        </w:rPr>
        <w:t>运输量表</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4"/>
        <w:gridCol w:w="3774"/>
        <w:gridCol w:w="1887"/>
        <w:gridCol w:w="2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35" w:type="pct"/>
            <w:vAlign w:val="center"/>
          </w:tcPr>
          <w:p>
            <w:pPr>
              <w:pStyle w:val="182"/>
              <w:bidi w:val="0"/>
              <w:rPr>
                <w:b/>
                <w:bCs/>
                <w:color w:val="auto"/>
                <w:u w:val="single"/>
              </w:rPr>
            </w:pPr>
            <w:r>
              <w:rPr>
                <w:b/>
                <w:bCs/>
                <w:color w:val="auto"/>
                <w:u w:val="single"/>
              </w:rPr>
              <w:t>序号</w:t>
            </w:r>
          </w:p>
        </w:tc>
        <w:tc>
          <w:tcPr>
            <w:tcW w:w="2096" w:type="pct"/>
            <w:vAlign w:val="center"/>
          </w:tcPr>
          <w:p>
            <w:pPr>
              <w:pStyle w:val="182"/>
              <w:bidi w:val="0"/>
              <w:rPr>
                <w:b/>
                <w:bCs/>
                <w:color w:val="auto"/>
                <w:u w:val="single"/>
              </w:rPr>
            </w:pPr>
            <w:r>
              <w:rPr>
                <w:b/>
                <w:bCs/>
                <w:color w:val="auto"/>
                <w:u w:val="single"/>
              </w:rPr>
              <w:t>货物名称</w:t>
            </w:r>
          </w:p>
        </w:tc>
        <w:tc>
          <w:tcPr>
            <w:tcW w:w="1048" w:type="pct"/>
            <w:vAlign w:val="center"/>
          </w:tcPr>
          <w:p>
            <w:pPr>
              <w:pStyle w:val="182"/>
              <w:bidi w:val="0"/>
              <w:rPr>
                <w:b/>
                <w:bCs/>
                <w:color w:val="auto"/>
                <w:u w:val="single"/>
              </w:rPr>
            </w:pPr>
            <w:r>
              <w:rPr>
                <w:b/>
                <w:bCs/>
                <w:color w:val="auto"/>
                <w:u w:val="single"/>
              </w:rPr>
              <w:t>单位</w:t>
            </w:r>
          </w:p>
        </w:tc>
        <w:tc>
          <w:tcPr>
            <w:tcW w:w="1119" w:type="pct"/>
            <w:vAlign w:val="center"/>
          </w:tcPr>
          <w:p>
            <w:pPr>
              <w:pStyle w:val="182"/>
              <w:bidi w:val="0"/>
              <w:rPr>
                <w:b/>
                <w:bCs/>
                <w:color w:val="auto"/>
                <w:u w:val="single"/>
              </w:rPr>
            </w:pPr>
            <w:r>
              <w:rPr>
                <w:b/>
                <w:bCs/>
                <w:color w:val="auto"/>
                <w:u w:val="single"/>
              </w:rPr>
              <w:t>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5" w:type="pct"/>
            <w:vAlign w:val="center"/>
          </w:tcPr>
          <w:p>
            <w:pPr>
              <w:pStyle w:val="182"/>
              <w:bidi w:val="0"/>
              <w:rPr>
                <w:b/>
                <w:bCs/>
                <w:color w:val="auto"/>
                <w:u w:val="single"/>
              </w:rPr>
            </w:pPr>
            <w:r>
              <w:rPr>
                <w:b/>
                <w:bCs/>
                <w:color w:val="auto"/>
                <w:u w:val="single"/>
              </w:rPr>
              <w:t>一</w:t>
            </w:r>
          </w:p>
        </w:tc>
        <w:tc>
          <w:tcPr>
            <w:tcW w:w="2096" w:type="pct"/>
            <w:vAlign w:val="center"/>
          </w:tcPr>
          <w:p>
            <w:pPr>
              <w:pStyle w:val="182"/>
              <w:bidi w:val="0"/>
              <w:rPr>
                <w:b/>
                <w:bCs/>
                <w:color w:val="auto"/>
                <w:u w:val="single"/>
              </w:rPr>
            </w:pPr>
            <w:r>
              <w:rPr>
                <w:b/>
                <w:bCs/>
                <w:color w:val="auto"/>
                <w:u w:val="single"/>
              </w:rPr>
              <w:t>运入</w:t>
            </w:r>
          </w:p>
        </w:tc>
        <w:tc>
          <w:tcPr>
            <w:tcW w:w="1048" w:type="pct"/>
            <w:vAlign w:val="center"/>
          </w:tcPr>
          <w:p>
            <w:pPr>
              <w:pStyle w:val="182"/>
              <w:bidi w:val="0"/>
              <w:rPr>
                <w:b/>
                <w:bCs/>
                <w:color w:val="auto"/>
                <w:u w:val="single"/>
              </w:rPr>
            </w:pPr>
          </w:p>
        </w:tc>
        <w:tc>
          <w:tcPr>
            <w:tcW w:w="111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11079.47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5" w:type="pct"/>
            <w:vAlign w:val="center"/>
          </w:tcPr>
          <w:p>
            <w:pPr>
              <w:pStyle w:val="182"/>
              <w:bidi w:val="0"/>
              <w:rPr>
                <w:b/>
                <w:bCs/>
                <w:color w:val="auto"/>
                <w:u w:val="single"/>
              </w:rPr>
            </w:pPr>
            <w:r>
              <w:rPr>
                <w:b/>
                <w:bCs/>
                <w:color w:val="auto"/>
                <w:u w:val="single"/>
              </w:rPr>
              <w:t>1</w:t>
            </w:r>
          </w:p>
        </w:tc>
        <w:tc>
          <w:tcPr>
            <w:tcW w:w="2096" w:type="pct"/>
            <w:vAlign w:val="center"/>
          </w:tcPr>
          <w:p>
            <w:pPr>
              <w:pStyle w:val="182"/>
              <w:bidi w:val="0"/>
              <w:rPr>
                <w:b/>
                <w:bCs/>
                <w:color w:val="auto"/>
                <w:u w:val="single"/>
              </w:rPr>
            </w:pPr>
            <w:r>
              <w:rPr>
                <w:b/>
                <w:bCs/>
                <w:color w:val="auto"/>
                <w:u w:val="single"/>
              </w:rPr>
              <w:t>菌草</w:t>
            </w:r>
          </w:p>
        </w:tc>
        <w:tc>
          <w:tcPr>
            <w:tcW w:w="1048" w:type="pct"/>
            <w:vAlign w:val="center"/>
          </w:tcPr>
          <w:p>
            <w:pPr>
              <w:pStyle w:val="182"/>
              <w:bidi w:val="0"/>
              <w:rPr>
                <w:b/>
                <w:bCs/>
                <w:color w:val="auto"/>
                <w:u w:val="single"/>
              </w:rPr>
            </w:pPr>
            <w:r>
              <w:rPr>
                <w:b/>
                <w:bCs/>
                <w:color w:val="auto"/>
                <w:u w:val="single"/>
              </w:rPr>
              <w:t>t</w:t>
            </w:r>
          </w:p>
        </w:tc>
        <w:tc>
          <w:tcPr>
            <w:tcW w:w="111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5" w:type="pct"/>
            <w:vAlign w:val="center"/>
          </w:tcPr>
          <w:p>
            <w:pPr>
              <w:pStyle w:val="182"/>
              <w:bidi w:val="0"/>
              <w:rPr>
                <w:b/>
                <w:bCs/>
                <w:color w:val="auto"/>
                <w:u w:val="single"/>
              </w:rPr>
            </w:pPr>
            <w:r>
              <w:rPr>
                <w:b/>
                <w:bCs/>
                <w:color w:val="auto"/>
                <w:u w:val="single"/>
              </w:rPr>
              <w:t>2</w:t>
            </w:r>
          </w:p>
        </w:tc>
        <w:tc>
          <w:tcPr>
            <w:tcW w:w="2096" w:type="pct"/>
            <w:vAlign w:val="center"/>
          </w:tcPr>
          <w:p>
            <w:pPr>
              <w:pStyle w:val="182"/>
              <w:bidi w:val="0"/>
              <w:rPr>
                <w:rFonts w:hint="eastAsia" w:eastAsia="宋体"/>
                <w:b/>
                <w:bCs/>
                <w:color w:val="auto"/>
                <w:u w:val="single"/>
                <w:lang w:eastAsia="zh-CN"/>
              </w:rPr>
            </w:pPr>
            <w:r>
              <w:rPr>
                <w:b/>
                <w:bCs/>
                <w:color w:val="auto"/>
                <w:u w:val="single"/>
              </w:rPr>
              <w:t>烧碱</w:t>
            </w:r>
            <w:r>
              <w:rPr>
                <w:rFonts w:hint="eastAsia"/>
                <w:b/>
                <w:bCs/>
                <w:color w:val="auto"/>
                <w:u w:val="single"/>
                <w:lang w:eastAsia="zh-CN"/>
              </w:rPr>
              <w:t>（</w:t>
            </w:r>
            <w:r>
              <w:rPr>
                <w:rFonts w:hint="eastAsia"/>
                <w:b/>
                <w:bCs/>
                <w:color w:val="auto"/>
                <w:u w:val="single"/>
                <w:lang w:val="en-US" w:eastAsia="zh-CN"/>
              </w:rPr>
              <w:t>依托</w:t>
            </w:r>
            <w:r>
              <w:rPr>
                <w:rFonts w:hint="eastAsia"/>
                <w:b/>
                <w:bCs/>
                <w:color w:val="auto"/>
                <w:u w:val="single"/>
                <w:lang w:eastAsia="zh-CN"/>
              </w:rPr>
              <w:t>）</w:t>
            </w:r>
          </w:p>
        </w:tc>
        <w:tc>
          <w:tcPr>
            <w:tcW w:w="1048" w:type="pct"/>
            <w:vAlign w:val="center"/>
          </w:tcPr>
          <w:p>
            <w:pPr>
              <w:pStyle w:val="182"/>
              <w:bidi w:val="0"/>
              <w:rPr>
                <w:b/>
                <w:bCs/>
                <w:color w:val="auto"/>
                <w:u w:val="single"/>
              </w:rPr>
            </w:pPr>
            <w:r>
              <w:rPr>
                <w:b/>
                <w:bCs/>
                <w:color w:val="auto"/>
                <w:u w:val="single"/>
              </w:rPr>
              <w:t>t</w:t>
            </w:r>
          </w:p>
        </w:tc>
        <w:tc>
          <w:tcPr>
            <w:tcW w:w="1119" w:type="pct"/>
            <w:vAlign w:val="center"/>
          </w:tcPr>
          <w:p>
            <w:pPr>
              <w:pStyle w:val="182"/>
              <w:bidi w:val="0"/>
              <w:rPr>
                <w:b/>
                <w:bCs/>
                <w:color w:val="auto"/>
                <w:u w:val="single"/>
              </w:rPr>
            </w:pPr>
            <w:r>
              <w:rPr>
                <w:b/>
                <w:bCs/>
                <w:color w:val="auto"/>
                <w:u w:val="single"/>
              </w:rPr>
              <w:t>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5" w:type="pct"/>
            <w:vAlign w:val="center"/>
          </w:tcPr>
          <w:p>
            <w:pPr>
              <w:pStyle w:val="182"/>
              <w:bidi w:val="0"/>
              <w:rPr>
                <w:b/>
                <w:bCs/>
                <w:color w:val="auto"/>
                <w:u w:val="single"/>
              </w:rPr>
            </w:pPr>
            <w:r>
              <w:rPr>
                <w:b/>
                <w:bCs/>
                <w:color w:val="auto"/>
                <w:u w:val="single"/>
              </w:rPr>
              <w:t>3</w:t>
            </w:r>
          </w:p>
        </w:tc>
        <w:tc>
          <w:tcPr>
            <w:tcW w:w="2096" w:type="pct"/>
            <w:vAlign w:val="center"/>
          </w:tcPr>
          <w:p>
            <w:pPr>
              <w:pStyle w:val="182"/>
              <w:bidi w:val="0"/>
              <w:rPr>
                <w:rFonts w:hint="eastAsia" w:eastAsia="宋体"/>
                <w:b/>
                <w:bCs/>
                <w:color w:val="auto"/>
                <w:u w:val="single"/>
                <w:lang w:eastAsia="zh-CN"/>
              </w:rPr>
            </w:pPr>
            <w:r>
              <w:rPr>
                <w:b/>
                <w:bCs/>
                <w:color w:val="auto"/>
                <w:u w:val="single"/>
              </w:rPr>
              <w:t>硫酸</w:t>
            </w:r>
            <w:r>
              <w:rPr>
                <w:rFonts w:hint="eastAsia"/>
                <w:b/>
                <w:bCs/>
                <w:color w:val="auto"/>
                <w:u w:val="single"/>
                <w:lang w:eastAsia="zh-CN"/>
              </w:rPr>
              <w:t>（</w:t>
            </w:r>
            <w:r>
              <w:rPr>
                <w:rFonts w:hint="eastAsia"/>
                <w:b/>
                <w:bCs/>
                <w:color w:val="auto"/>
                <w:u w:val="single"/>
                <w:lang w:val="en-US" w:eastAsia="zh-CN"/>
              </w:rPr>
              <w:t>依托酸站</w:t>
            </w:r>
            <w:r>
              <w:rPr>
                <w:rFonts w:hint="eastAsia"/>
                <w:b/>
                <w:bCs/>
                <w:color w:val="auto"/>
                <w:u w:val="single"/>
                <w:lang w:eastAsia="zh-CN"/>
              </w:rPr>
              <w:t>）</w:t>
            </w:r>
          </w:p>
        </w:tc>
        <w:tc>
          <w:tcPr>
            <w:tcW w:w="1048" w:type="pct"/>
            <w:vAlign w:val="center"/>
          </w:tcPr>
          <w:p>
            <w:pPr>
              <w:pStyle w:val="182"/>
              <w:bidi w:val="0"/>
              <w:rPr>
                <w:b/>
                <w:bCs/>
                <w:color w:val="auto"/>
                <w:u w:val="single"/>
              </w:rPr>
            </w:pPr>
            <w:r>
              <w:rPr>
                <w:b/>
                <w:bCs/>
                <w:color w:val="auto"/>
                <w:u w:val="single"/>
              </w:rPr>
              <w:t>t</w:t>
            </w:r>
          </w:p>
        </w:tc>
        <w:tc>
          <w:tcPr>
            <w:tcW w:w="111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5" w:type="pct"/>
            <w:vAlign w:val="center"/>
          </w:tcPr>
          <w:p>
            <w:pPr>
              <w:pStyle w:val="182"/>
              <w:bidi w:val="0"/>
              <w:rPr>
                <w:b/>
                <w:bCs/>
                <w:color w:val="auto"/>
                <w:u w:val="single"/>
              </w:rPr>
            </w:pPr>
            <w:r>
              <w:rPr>
                <w:b/>
                <w:bCs/>
                <w:color w:val="auto"/>
                <w:u w:val="single"/>
              </w:rPr>
              <w:t>4</w:t>
            </w:r>
          </w:p>
        </w:tc>
        <w:tc>
          <w:tcPr>
            <w:tcW w:w="2096" w:type="pct"/>
            <w:vAlign w:val="center"/>
          </w:tcPr>
          <w:p>
            <w:pPr>
              <w:pStyle w:val="182"/>
              <w:bidi w:val="0"/>
              <w:rPr>
                <w:b/>
                <w:bCs/>
                <w:color w:val="auto"/>
                <w:u w:val="single"/>
              </w:rPr>
            </w:pPr>
            <w:r>
              <w:rPr>
                <w:rFonts w:hint="eastAsia"/>
                <w:b/>
                <w:bCs/>
                <w:color w:val="auto"/>
                <w:u w:val="single"/>
                <w:lang w:val="en-US" w:eastAsia="zh-CN"/>
              </w:rPr>
              <w:t>固体二氧化氯释放剂（含7%二氧化氯，按二氧化氯计）</w:t>
            </w:r>
          </w:p>
        </w:tc>
        <w:tc>
          <w:tcPr>
            <w:tcW w:w="1048" w:type="pct"/>
            <w:vAlign w:val="center"/>
          </w:tcPr>
          <w:p>
            <w:pPr>
              <w:pStyle w:val="182"/>
              <w:bidi w:val="0"/>
              <w:rPr>
                <w:b/>
                <w:bCs/>
                <w:color w:val="auto"/>
                <w:u w:val="single"/>
              </w:rPr>
            </w:pPr>
            <w:r>
              <w:rPr>
                <w:rFonts w:hint="eastAsia"/>
                <w:b/>
                <w:bCs/>
                <w:color w:val="auto"/>
                <w:u w:val="single"/>
              </w:rPr>
              <w:t>t</w:t>
            </w:r>
          </w:p>
        </w:tc>
        <w:tc>
          <w:tcPr>
            <w:tcW w:w="1119" w:type="pct"/>
            <w:vAlign w:val="center"/>
          </w:tcPr>
          <w:p>
            <w:pPr>
              <w:pStyle w:val="182"/>
              <w:bidi w:val="0"/>
              <w:rPr>
                <w:b/>
                <w:bCs/>
                <w:color w:val="auto"/>
                <w:u w:val="single"/>
              </w:rPr>
            </w:pPr>
            <w:r>
              <w:rPr>
                <w:rFonts w:hint="eastAsia"/>
                <w:b/>
                <w:bCs/>
                <w:color w:val="auto"/>
                <w:u w:val="single"/>
              </w:rPr>
              <w:t>1</w:t>
            </w:r>
            <w:r>
              <w:rPr>
                <w:b/>
                <w:bCs/>
                <w:color w:val="auto"/>
                <w:u w:val="singl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5" w:type="pct"/>
            <w:vAlign w:val="center"/>
          </w:tcPr>
          <w:p>
            <w:pPr>
              <w:pStyle w:val="182"/>
              <w:bidi w:val="0"/>
              <w:rPr>
                <w:b/>
                <w:bCs/>
                <w:color w:val="auto"/>
                <w:u w:val="single"/>
              </w:rPr>
            </w:pPr>
            <w:r>
              <w:rPr>
                <w:b/>
                <w:bCs/>
                <w:color w:val="auto"/>
                <w:u w:val="single"/>
              </w:rPr>
              <w:t>二</w:t>
            </w:r>
          </w:p>
        </w:tc>
        <w:tc>
          <w:tcPr>
            <w:tcW w:w="2096" w:type="pct"/>
            <w:vAlign w:val="center"/>
          </w:tcPr>
          <w:p>
            <w:pPr>
              <w:pStyle w:val="182"/>
              <w:bidi w:val="0"/>
              <w:rPr>
                <w:b/>
                <w:bCs/>
                <w:color w:val="auto"/>
                <w:u w:val="single"/>
              </w:rPr>
            </w:pPr>
            <w:r>
              <w:rPr>
                <w:b/>
                <w:bCs/>
                <w:color w:val="auto"/>
                <w:u w:val="single"/>
              </w:rPr>
              <w:t>运出</w:t>
            </w:r>
          </w:p>
        </w:tc>
        <w:tc>
          <w:tcPr>
            <w:tcW w:w="1048" w:type="pct"/>
            <w:vAlign w:val="center"/>
          </w:tcPr>
          <w:p>
            <w:pPr>
              <w:pStyle w:val="182"/>
              <w:bidi w:val="0"/>
              <w:rPr>
                <w:b/>
                <w:bCs/>
                <w:color w:val="auto"/>
                <w:u w:val="single"/>
              </w:rPr>
            </w:pPr>
          </w:p>
        </w:tc>
        <w:tc>
          <w:tcPr>
            <w:tcW w:w="111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5" w:type="pct"/>
            <w:vAlign w:val="center"/>
          </w:tcPr>
          <w:p>
            <w:pPr>
              <w:pStyle w:val="182"/>
              <w:bidi w:val="0"/>
              <w:rPr>
                <w:b/>
                <w:bCs/>
                <w:color w:val="auto"/>
                <w:u w:val="single"/>
              </w:rPr>
            </w:pPr>
            <w:r>
              <w:rPr>
                <w:b/>
                <w:bCs/>
                <w:color w:val="auto"/>
                <w:u w:val="single"/>
              </w:rPr>
              <w:t>三</w:t>
            </w:r>
          </w:p>
        </w:tc>
        <w:tc>
          <w:tcPr>
            <w:tcW w:w="2096" w:type="pct"/>
            <w:vAlign w:val="center"/>
          </w:tcPr>
          <w:p>
            <w:pPr>
              <w:pStyle w:val="182"/>
              <w:bidi w:val="0"/>
              <w:rPr>
                <w:b/>
                <w:bCs/>
                <w:color w:val="auto"/>
                <w:u w:val="single"/>
              </w:rPr>
            </w:pPr>
            <w:r>
              <w:rPr>
                <w:b/>
                <w:bCs/>
                <w:color w:val="auto"/>
                <w:u w:val="single"/>
              </w:rPr>
              <w:t>合计</w:t>
            </w:r>
          </w:p>
        </w:tc>
        <w:tc>
          <w:tcPr>
            <w:tcW w:w="1048" w:type="pct"/>
            <w:vAlign w:val="center"/>
          </w:tcPr>
          <w:p>
            <w:pPr>
              <w:pStyle w:val="182"/>
              <w:bidi w:val="0"/>
              <w:rPr>
                <w:b/>
                <w:bCs/>
                <w:color w:val="auto"/>
                <w:u w:val="single"/>
              </w:rPr>
            </w:pPr>
            <w:r>
              <w:rPr>
                <w:b/>
                <w:bCs/>
                <w:color w:val="auto"/>
                <w:u w:val="single"/>
              </w:rPr>
              <w:t>t</w:t>
            </w:r>
          </w:p>
        </w:tc>
        <w:tc>
          <w:tcPr>
            <w:tcW w:w="111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11079.47</w:t>
            </w:r>
          </w:p>
        </w:tc>
      </w:tr>
    </w:tbl>
    <w:p>
      <w:pPr>
        <w:bidi w:val="0"/>
        <w:rPr>
          <w:color w:val="auto"/>
        </w:rPr>
      </w:pPr>
      <w:r>
        <w:rPr>
          <w:color w:val="auto"/>
        </w:rPr>
        <w:t>本项目运输全部为公路运输，由于运输量不大，因此货运主要委托地方物流企业承担。</w:t>
      </w:r>
    </w:p>
    <w:p>
      <w:pPr>
        <w:pStyle w:val="9"/>
        <w:bidi w:val="0"/>
        <w:rPr>
          <w:color w:val="auto"/>
        </w:rPr>
      </w:pPr>
      <w:r>
        <w:rPr>
          <w:rFonts w:hint="eastAsia"/>
          <w:color w:val="auto"/>
        </w:rPr>
        <w:t>3</w:t>
      </w:r>
      <w:r>
        <w:rPr>
          <w:color w:val="auto"/>
        </w:rPr>
        <w:t>.</w:t>
      </w:r>
      <w:r>
        <w:rPr>
          <w:rFonts w:hint="eastAsia"/>
          <w:color w:val="auto"/>
          <w:lang w:val="en-US" w:eastAsia="zh-CN"/>
        </w:rPr>
        <w:t>8.8</w:t>
      </w:r>
      <w:r>
        <w:rPr>
          <w:rFonts w:hint="eastAsia"/>
          <w:color w:val="auto"/>
        </w:rPr>
        <w:t>公用工程</w:t>
      </w:r>
    </w:p>
    <w:p>
      <w:pPr>
        <w:bidi w:val="0"/>
        <w:rPr>
          <w:color w:val="auto"/>
        </w:rPr>
      </w:pPr>
      <w:r>
        <w:rPr>
          <w:rFonts w:hint="eastAsia"/>
          <w:color w:val="auto"/>
        </w:rPr>
        <w:t>（1）给水</w:t>
      </w:r>
    </w:p>
    <w:p>
      <w:pPr>
        <w:bidi w:val="0"/>
        <w:rPr>
          <w:color w:val="auto"/>
        </w:rPr>
      </w:pPr>
      <w:r>
        <w:rPr>
          <w:rFonts w:hint="eastAsia"/>
          <w:color w:val="auto"/>
        </w:rPr>
        <w:t>本项目用水主要为生产用水，给水由新乡市兴鹭水务提供。</w:t>
      </w:r>
    </w:p>
    <w:p>
      <w:pPr>
        <w:bidi w:val="0"/>
        <w:rPr>
          <w:color w:val="auto"/>
        </w:rPr>
      </w:pPr>
      <w:r>
        <w:rPr>
          <w:rFonts w:hint="eastAsia"/>
          <w:color w:val="auto"/>
        </w:rPr>
        <w:t>1）生活用水</w:t>
      </w:r>
    </w:p>
    <w:p>
      <w:pPr>
        <w:bidi w:val="0"/>
        <w:rPr>
          <w:color w:val="auto"/>
        </w:rPr>
      </w:pPr>
      <w:r>
        <w:rPr>
          <w:color w:val="auto"/>
        </w:rPr>
        <w:t>本项目</w:t>
      </w:r>
      <w:r>
        <w:rPr>
          <w:rFonts w:hint="eastAsia"/>
          <w:color w:val="auto"/>
        </w:rPr>
        <w:t>新增</w:t>
      </w:r>
      <w:r>
        <w:rPr>
          <w:color w:val="auto"/>
        </w:rPr>
        <w:t>劳动定员共100人，</w:t>
      </w:r>
      <w:r>
        <w:rPr>
          <w:rFonts w:hint="eastAsia"/>
          <w:color w:val="auto"/>
        </w:rPr>
        <w:t>厂内设有食堂和洗浴装置，</w:t>
      </w:r>
      <w:r>
        <w:rPr>
          <w:color w:val="auto"/>
        </w:rPr>
        <w:t>根据河南省地方标准《工业与城镇生活用水定额》（DB41/T385-2020），用水量按120L/人·d计，则生活用水量12m</w:t>
      </w:r>
      <w:r>
        <w:rPr>
          <w:color w:val="auto"/>
          <w:vertAlign w:val="superscript"/>
        </w:rPr>
        <w:t>3</w:t>
      </w:r>
      <w:r>
        <w:rPr>
          <w:color w:val="auto"/>
        </w:rPr>
        <w:t>/d（0.5m</w:t>
      </w:r>
      <w:r>
        <w:rPr>
          <w:color w:val="auto"/>
          <w:vertAlign w:val="superscript"/>
        </w:rPr>
        <w:t>3</w:t>
      </w:r>
      <w:r>
        <w:rPr>
          <w:color w:val="auto"/>
        </w:rPr>
        <w:t>/</w:t>
      </w:r>
      <w:r>
        <w:rPr>
          <w:rFonts w:hint="eastAsia"/>
          <w:color w:val="auto"/>
        </w:rPr>
        <w:t>h</w:t>
      </w:r>
      <w:r>
        <w:rPr>
          <w:rFonts w:hint="eastAsia"/>
          <w:color w:val="auto"/>
          <w:lang w:eastAsia="zh-CN"/>
        </w:rPr>
        <w:t>，</w:t>
      </w:r>
      <w:r>
        <w:rPr>
          <w:rFonts w:hint="eastAsia"/>
          <w:color w:val="auto"/>
          <w:lang w:val="en-US" w:eastAsia="zh-CN"/>
        </w:rPr>
        <w:t>079</w:t>
      </w:r>
      <w:r>
        <w:rPr>
          <w:color w:val="auto"/>
        </w:rPr>
        <w:t>m</w:t>
      </w:r>
      <w:r>
        <w:rPr>
          <w:color w:val="auto"/>
          <w:vertAlign w:val="superscript"/>
        </w:rPr>
        <w:t>3</w:t>
      </w:r>
      <w:r>
        <w:rPr>
          <w:rFonts w:hint="eastAsia"/>
          <w:color w:val="auto"/>
          <w:vertAlign w:val="baseline"/>
          <w:lang w:val="en-US" w:eastAsia="zh-CN"/>
        </w:rPr>
        <w:t>/t产品</w:t>
      </w:r>
      <w:r>
        <w:rPr>
          <w:color w:val="auto"/>
        </w:rPr>
        <w:t>）。</w:t>
      </w:r>
    </w:p>
    <w:p>
      <w:pPr>
        <w:bidi w:val="0"/>
        <w:rPr>
          <w:color w:val="auto"/>
        </w:rPr>
      </w:pPr>
      <w:r>
        <w:rPr>
          <w:rFonts w:hint="eastAsia"/>
          <w:color w:val="auto"/>
        </w:rPr>
        <w:t>2）生产用水</w:t>
      </w:r>
    </w:p>
    <w:p>
      <w:pPr>
        <w:bidi w:val="0"/>
        <w:rPr>
          <w:color w:val="auto"/>
        </w:rPr>
      </w:pPr>
      <w:r>
        <w:rPr>
          <w:rFonts w:hint="eastAsia"/>
          <w:color w:val="auto"/>
        </w:rPr>
        <w:t>本项目生产用水包括水力除杂用水、蒸煮挤浆用水、水洗漂白用水、抄浆用水和蒸发烘干用水，其中新鲜水主要用于水洗漂白和抄浆工序，其他工序主要使用循环水和回用水。根据建设单位提供的资料，本项目水洗漂白工序新鲜水用量为2</w:t>
      </w:r>
      <w:r>
        <w:rPr>
          <w:color w:val="auto"/>
        </w:rPr>
        <w:t>9m</w:t>
      </w:r>
      <w:r>
        <w:rPr>
          <w:color w:val="auto"/>
          <w:vertAlign w:val="superscript"/>
        </w:rPr>
        <w:t>3</w:t>
      </w:r>
      <w:r>
        <w:rPr>
          <w:color w:val="auto"/>
        </w:rPr>
        <w:t>/</w:t>
      </w:r>
      <w:r>
        <w:rPr>
          <w:rFonts w:hint="eastAsia"/>
          <w:color w:val="auto"/>
          <w:lang w:val="en-US" w:eastAsia="zh-CN"/>
        </w:rPr>
        <w:t>t产品</w:t>
      </w:r>
      <w:r>
        <w:rPr>
          <w:rFonts w:hint="eastAsia"/>
          <w:color w:val="auto"/>
        </w:rPr>
        <w:t>，抄浆工序新鲜水用量为</w:t>
      </w:r>
      <w:r>
        <w:rPr>
          <w:color w:val="auto"/>
        </w:rPr>
        <w:t>30m</w:t>
      </w:r>
      <w:r>
        <w:rPr>
          <w:color w:val="auto"/>
          <w:vertAlign w:val="superscript"/>
        </w:rPr>
        <w:t>3</w:t>
      </w:r>
      <w:r>
        <w:rPr>
          <w:color w:val="auto"/>
        </w:rPr>
        <w:t>/</w:t>
      </w:r>
      <w:r>
        <w:rPr>
          <w:rFonts w:hint="eastAsia"/>
          <w:color w:val="auto"/>
          <w:lang w:val="en-US" w:eastAsia="zh-CN"/>
        </w:rPr>
        <w:t>t产品</w:t>
      </w:r>
      <w:r>
        <w:rPr>
          <w:rFonts w:hint="eastAsia"/>
          <w:color w:val="auto"/>
        </w:rPr>
        <w:t>，新鲜水合计用量为</w:t>
      </w:r>
      <w:r>
        <w:rPr>
          <w:color w:val="auto"/>
        </w:rPr>
        <w:t>59m</w:t>
      </w:r>
      <w:r>
        <w:rPr>
          <w:color w:val="auto"/>
          <w:vertAlign w:val="superscript"/>
        </w:rPr>
        <w:t>3</w:t>
      </w:r>
      <w:r>
        <w:rPr>
          <w:color w:val="auto"/>
        </w:rPr>
        <w:t>/</w:t>
      </w:r>
      <w:r>
        <w:rPr>
          <w:rFonts w:hint="eastAsia"/>
          <w:color w:val="auto"/>
          <w:lang w:val="en-US" w:eastAsia="zh-CN"/>
        </w:rPr>
        <w:t>t产品</w:t>
      </w:r>
      <w:r>
        <w:rPr>
          <w:rFonts w:hint="eastAsia"/>
          <w:color w:val="auto"/>
        </w:rPr>
        <w:t>。</w:t>
      </w:r>
    </w:p>
    <w:p>
      <w:pPr>
        <w:bidi w:val="0"/>
        <w:rPr>
          <w:color w:val="auto"/>
        </w:rPr>
      </w:pPr>
      <w:r>
        <w:rPr>
          <w:rFonts w:hint="eastAsia"/>
          <w:color w:val="auto"/>
        </w:rPr>
        <w:t>综上，本项目新鲜水总用水量为</w:t>
      </w:r>
      <w:r>
        <w:rPr>
          <w:rFonts w:hint="eastAsia"/>
          <w:color w:val="auto"/>
          <w:lang w:val="en-US" w:eastAsia="zh-CN"/>
        </w:rPr>
        <w:t xml:space="preserve">37.75 </w:t>
      </w:r>
      <w:r>
        <w:rPr>
          <w:color w:val="auto"/>
        </w:rPr>
        <w:t>m</w:t>
      </w:r>
      <w:r>
        <w:rPr>
          <w:color w:val="auto"/>
          <w:vertAlign w:val="superscript"/>
        </w:rPr>
        <w:t>3</w:t>
      </w:r>
      <w:r>
        <w:rPr>
          <w:rFonts w:hint="eastAsia"/>
          <w:color w:val="auto"/>
        </w:rPr>
        <w:t>/</w:t>
      </w:r>
      <w:r>
        <w:rPr>
          <w:color w:val="auto"/>
        </w:rPr>
        <w:t>h</w:t>
      </w:r>
      <w:r>
        <w:rPr>
          <w:rFonts w:hint="eastAsia"/>
          <w:color w:val="auto"/>
        </w:rPr>
        <w:t>，其中生活用水量</w:t>
      </w:r>
      <w:r>
        <w:rPr>
          <w:color w:val="auto"/>
        </w:rPr>
        <w:t>0.5</w:t>
      </w:r>
      <w:r>
        <w:rPr>
          <w:rFonts w:hint="eastAsia"/>
          <w:color w:val="auto"/>
          <w:lang w:val="en-US" w:eastAsia="zh-CN"/>
        </w:rPr>
        <w:t xml:space="preserve"> </w:t>
      </w:r>
      <w:r>
        <w:rPr>
          <w:color w:val="auto"/>
        </w:rPr>
        <w:t>m</w:t>
      </w:r>
      <w:r>
        <w:rPr>
          <w:color w:val="auto"/>
          <w:vertAlign w:val="superscript"/>
        </w:rPr>
        <w:t>3</w:t>
      </w:r>
      <w:r>
        <w:rPr>
          <w:color w:val="auto"/>
        </w:rPr>
        <w:t>/</w:t>
      </w:r>
      <w:r>
        <w:rPr>
          <w:rFonts w:hint="eastAsia"/>
          <w:color w:val="auto"/>
        </w:rPr>
        <w:t>h，生产用水量</w:t>
      </w:r>
      <w:r>
        <w:rPr>
          <w:rFonts w:hint="eastAsia"/>
          <w:color w:val="auto"/>
          <w:lang w:val="en-US" w:eastAsia="zh-CN"/>
        </w:rPr>
        <w:t xml:space="preserve">37.25 </w:t>
      </w:r>
      <w:r>
        <w:rPr>
          <w:color w:val="auto"/>
        </w:rPr>
        <w:t>m</w:t>
      </w:r>
      <w:r>
        <w:rPr>
          <w:color w:val="auto"/>
          <w:vertAlign w:val="superscript"/>
        </w:rPr>
        <w:t>3</w:t>
      </w:r>
      <w:r>
        <w:rPr>
          <w:rFonts w:hint="eastAsia"/>
          <w:color w:val="auto"/>
        </w:rPr>
        <w:t>/</w:t>
      </w:r>
      <w:r>
        <w:rPr>
          <w:color w:val="auto"/>
        </w:rPr>
        <w:t>h</w:t>
      </w:r>
      <w:r>
        <w:rPr>
          <w:rFonts w:hint="eastAsia"/>
          <w:color w:val="auto"/>
          <w:lang w:eastAsia="zh-CN"/>
        </w:rPr>
        <w:t>（</w:t>
      </w:r>
      <w:r>
        <w:rPr>
          <w:rFonts w:hint="eastAsia"/>
          <w:color w:val="auto"/>
          <w:lang w:val="en-US" w:eastAsia="zh-CN"/>
        </w:rPr>
        <w:t>59m</w:t>
      </w:r>
      <w:r>
        <w:rPr>
          <w:rFonts w:hint="eastAsia"/>
          <w:color w:val="auto"/>
          <w:vertAlign w:val="superscript"/>
          <w:lang w:val="en-US" w:eastAsia="zh-CN"/>
        </w:rPr>
        <w:t>3</w:t>
      </w:r>
      <w:r>
        <w:rPr>
          <w:rFonts w:hint="eastAsia"/>
          <w:color w:val="auto"/>
          <w:lang w:val="en-US" w:eastAsia="zh-CN"/>
        </w:rPr>
        <w:t>/t产品</w:t>
      </w:r>
      <w:r>
        <w:rPr>
          <w:rFonts w:hint="eastAsia"/>
          <w:color w:val="auto"/>
          <w:lang w:eastAsia="zh-CN"/>
        </w:rPr>
        <w:t>），</w:t>
      </w:r>
      <w:r>
        <w:rPr>
          <w:rFonts w:hint="eastAsia"/>
          <w:color w:val="auto"/>
          <w:lang w:val="en-US" w:eastAsia="zh-CN"/>
        </w:rPr>
        <w:t xml:space="preserve">循环用水量为84.09 </w:t>
      </w:r>
      <w:r>
        <w:rPr>
          <w:color w:val="auto"/>
        </w:rPr>
        <w:t>m</w:t>
      </w:r>
      <w:r>
        <w:rPr>
          <w:color w:val="auto"/>
          <w:vertAlign w:val="superscript"/>
        </w:rPr>
        <w:t>3</w:t>
      </w:r>
      <w:r>
        <w:rPr>
          <w:color w:val="auto"/>
        </w:rPr>
        <w:t>/h</w:t>
      </w:r>
      <w:r>
        <w:rPr>
          <w:rFonts w:hint="eastAsia"/>
          <w:color w:val="auto"/>
          <w:lang w:eastAsia="zh-CN"/>
        </w:rPr>
        <w:t>（</w:t>
      </w:r>
      <w:r>
        <w:rPr>
          <w:rFonts w:hint="eastAsia"/>
          <w:color w:val="auto"/>
          <w:lang w:val="en-US" w:eastAsia="zh-CN"/>
        </w:rPr>
        <w:t>133.2m</w:t>
      </w:r>
      <w:r>
        <w:rPr>
          <w:rFonts w:hint="eastAsia"/>
          <w:color w:val="auto"/>
          <w:vertAlign w:val="superscript"/>
          <w:lang w:val="en-US" w:eastAsia="zh-CN"/>
        </w:rPr>
        <w:t>3</w:t>
      </w:r>
      <w:r>
        <w:rPr>
          <w:rFonts w:hint="eastAsia"/>
          <w:color w:val="auto"/>
          <w:lang w:val="en-US" w:eastAsia="zh-CN"/>
        </w:rPr>
        <w:t>/t产品</w:t>
      </w:r>
      <w:r>
        <w:rPr>
          <w:rFonts w:hint="eastAsia"/>
          <w:color w:val="auto"/>
          <w:lang w:eastAsia="zh-CN"/>
        </w:rPr>
        <w:t>），</w:t>
      </w:r>
      <w:r>
        <w:rPr>
          <w:rFonts w:hint="eastAsia"/>
          <w:color w:val="auto"/>
        </w:rPr>
        <w:t>项目用水及排水量详见表3</w:t>
      </w:r>
      <w:r>
        <w:rPr>
          <w:color w:val="auto"/>
        </w:rPr>
        <w:t>.</w:t>
      </w:r>
      <w:r>
        <w:rPr>
          <w:rFonts w:hint="eastAsia"/>
          <w:color w:val="auto"/>
          <w:lang w:val="en-US" w:eastAsia="zh-CN"/>
        </w:rPr>
        <w:t>8</w:t>
      </w:r>
      <w:r>
        <w:rPr>
          <w:rFonts w:hint="eastAsia"/>
          <w:color w:val="auto"/>
        </w:rPr>
        <w:t>-</w:t>
      </w:r>
      <w:r>
        <w:rPr>
          <w:color w:val="auto"/>
        </w:rPr>
        <w:t>9</w:t>
      </w:r>
      <w:r>
        <w:rPr>
          <w:rFonts w:hint="eastAsia"/>
          <w:color w:val="auto"/>
        </w:rPr>
        <w:t>。</w:t>
      </w:r>
    </w:p>
    <w:p>
      <w:pPr>
        <w:pStyle w:val="181"/>
        <w:bidi w:val="0"/>
        <w:rPr>
          <w:b/>
          <w:bCs/>
          <w:color w:val="auto"/>
          <w:u w:val="single"/>
        </w:rPr>
      </w:pPr>
      <w:r>
        <w:rPr>
          <w:b/>
          <w:bCs/>
          <w:color w:val="auto"/>
          <w:u w:val="single"/>
        </w:rPr>
        <w:t>表3.</w:t>
      </w:r>
      <w:r>
        <w:rPr>
          <w:rFonts w:hint="eastAsia"/>
          <w:b/>
          <w:bCs/>
          <w:color w:val="auto"/>
          <w:u w:val="single"/>
          <w:lang w:val="en-US" w:eastAsia="zh-CN"/>
        </w:rPr>
        <w:t>8</w:t>
      </w:r>
      <w:r>
        <w:rPr>
          <w:b/>
          <w:bCs/>
          <w:color w:val="auto"/>
          <w:u w:val="single"/>
        </w:rPr>
        <w:t>-</w:t>
      </w:r>
      <w:r>
        <w:rPr>
          <w:rFonts w:hint="eastAsia"/>
          <w:b/>
          <w:bCs/>
          <w:color w:val="auto"/>
          <w:u w:val="single"/>
          <w:lang w:val="en-US" w:eastAsia="zh-CN"/>
        </w:rPr>
        <w:t xml:space="preserve">9                  </w:t>
      </w:r>
      <w:r>
        <w:rPr>
          <w:b/>
          <w:bCs/>
          <w:color w:val="auto"/>
          <w:u w:val="single"/>
        </w:rPr>
        <w:t>项目用水及排水量一览表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5"/>
        <w:gridCol w:w="668"/>
        <w:gridCol w:w="702"/>
        <w:gridCol w:w="527"/>
        <w:gridCol w:w="684"/>
        <w:gridCol w:w="673"/>
        <w:gridCol w:w="1551"/>
        <w:gridCol w:w="1039"/>
        <w:gridCol w:w="890"/>
        <w:gridCol w:w="1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restart"/>
            <w:vAlign w:val="center"/>
          </w:tcPr>
          <w:p>
            <w:pPr>
              <w:pStyle w:val="182"/>
              <w:bidi w:val="0"/>
              <w:rPr>
                <w:b/>
                <w:bCs/>
                <w:color w:val="auto"/>
                <w:u w:val="single"/>
              </w:rPr>
            </w:pPr>
            <w:r>
              <w:rPr>
                <w:b/>
                <w:bCs/>
                <w:color w:val="auto"/>
                <w:u w:val="single"/>
              </w:rPr>
              <w:t>序号</w:t>
            </w:r>
          </w:p>
        </w:tc>
        <w:tc>
          <w:tcPr>
            <w:tcW w:w="371" w:type="pct"/>
            <w:vMerge w:val="restart"/>
            <w:vAlign w:val="center"/>
          </w:tcPr>
          <w:p>
            <w:pPr>
              <w:pStyle w:val="182"/>
              <w:bidi w:val="0"/>
              <w:rPr>
                <w:b/>
                <w:bCs/>
                <w:color w:val="auto"/>
                <w:u w:val="single"/>
              </w:rPr>
            </w:pPr>
            <w:r>
              <w:rPr>
                <w:b/>
                <w:bCs/>
                <w:color w:val="auto"/>
                <w:u w:val="single"/>
              </w:rPr>
              <w:t>用水项目</w:t>
            </w:r>
          </w:p>
        </w:tc>
        <w:tc>
          <w:tcPr>
            <w:tcW w:w="2296" w:type="pct"/>
            <w:gridSpan w:val="5"/>
            <w:vAlign w:val="center"/>
          </w:tcPr>
          <w:p>
            <w:pPr>
              <w:pStyle w:val="182"/>
              <w:bidi w:val="0"/>
              <w:rPr>
                <w:b/>
                <w:bCs/>
                <w:color w:val="auto"/>
                <w:u w:val="single"/>
              </w:rPr>
            </w:pPr>
            <w:r>
              <w:rPr>
                <w:rFonts w:hint="eastAsia"/>
                <w:b/>
                <w:bCs/>
                <w:color w:val="auto"/>
                <w:u w:val="single"/>
              </w:rPr>
              <w:t>用水量</w:t>
            </w:r>
            <w:r>
              <w:rPr>
                <w:b/>
                <w:bCs/>
                <w:color w:val="auto"/>
                <w:u w:val="single"/>
              </w:rPr>
              <w:t>（m</w:t>
            </w:r>
            <w:r>
              <w:rPr>
                <w:b/>
                <w:bCs/>
                <w:color w:val="auto"/>
                <w:u w:val="single"/>
                <w:vertAlign w:val="superscript"/>
              </w:rPr>
              <w:t>3</w:t>
            </w:r>
            <w:r>
              <w:rPr>
                <w:b/>
                <w:bCs/>
                <w:color w:val="auto"/>
                <w:u w:val="single"/>
              </w:rPr>
              <w:t>/</w:t>
            </w:r>
            <w:r>
              <w:rPr>
                <w:rFonts w:hint="eastAsia"/>
                <w:b/>
                <w:bCs/>
                <w:color w:val="auto"/>
                <w:u w:val="single"/>
                <w:lang w:val="en-US" w:eastAsia="zh-CN"/>
              </w:rPr>
              <w:t>t产品</w:t>
            </w:r>
            <w:r>
              <w:rPr>
                <w:b/>
                <w:bCs/>
                <w:color w:val="auto"/>
                <w:u w:val="single"/>
              </w:rPr>
              <w:t>）</w:t>
            </w:r>
          </w:p>
        </w:tc>
        <w:tc>
          <w:tcPr>
            <w:tcW w:w="1996" w:type="pct"/>
            <w:gridSpan w:val="3"/>
            <w:vAlign w:val="center"/>
          </w:tcPr>
          <w:p>
            <w:pPr>
              <w:pStyle w:val="182"/>
              <w:bidi w:val="0"/>
              <w:rPr>
                <w:b/>
                <w:bCs/>
                <w:color w:val="auto"/>
                <w:u w:val="single"/>
              </w:rPr>
            </w:pPr>
            <w:r>
              <w:rPr>
                <w:rFonts w:hint="eastAsia"/>
                <w:b/>
                <w:bCs/>
                <w:color w:val="auto"/>
                <w:u w:val="single"/>
              </w:rPr>
              <w:t>排水量</w:t>
            </w:r>
            <w:r>
              <w:rPr>
                <w:b/>
                <w:bCs/>
                <w:color w:val="auto"/>
                <w:u w:val="single"/>
              </w:rPr>
              <w:t>（m</w:t>
            </w:r>
            <w:r>
              <w:rPr>
                <w:b/>
                <w:bCs/>
                <w:color w:val="auto"/>
                <w:u w:val="single"/>
                <w:vertAlign w:val="superscript"/>
              </w:rPr>
              <w:t>3</w:t>
            </w:r>
            <w:r>
              <w:rPr>
                <w:b/>
                <w:bCs/>
                <w:color w:val="auto"/>
                <w:u w:val="single"/>
              </w:rPr>
              <w:t>/</w:t>
            </w:r>
            <w:r>
              <w:rPr>
                <w:rFonts w:hint="eastAsia"/>
                <w:b/>
                <w:bCs/>
                <w:color w:val="auto"/>
                <w:u w:val="single"/>
                <w:lang w:val="en-US" w:eastAsia="zh-CN"/>
              </w:rPr>
              <w:t>t产品</w:t>
            </w:r>
            <w:r>
              <w:rPr>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Merge w:val="continue"/>
            <w:vAlign w:val="center"/>
          </w:tcPr>
          <w:p>
            <w:pPr>
              <w:pStyle w:val="182"/>
              <w:bidi w:val="0"/>
              <w:rPr>
                <w:b/>
                <w:bCs/>
                <w:color w:val="auto"/>
                <w:u w:val="single"/>
              </w:rPr>
            </w:pPr>
          </w:p>
        </w:tc>
        <w:tc>
          <w:tcPr>
            <w:tcW w:w="371" w:type="pct"/>
            <w:vMerge w:val="continue"/>
            <w:vAlign w:val="center"/>
          </w:tcPr>
          <w:p>
            <w:pPr>
              <w:pStyle w:val="182"/>
              <w:bidi w:val="0"/>
              <w:rPr>
                <w:b/>
                <w:bCs/>
                <w:color w:val="auto"/>
                <w:u w:val="single"/>
              </w:rPr>
            </w:pPr>
          </w:p>
        </w:tc>
        <w:tc>
          <w:tcPr>
            <w:tcW w:w="681" w:type="pct"/>
            <w:gridSpan w:val="2"/>
            <w:vAlign w:val="center"/>
          </w:tcPr>
          <w:p>
            <w:pPr>
              <w:pStyle w:val="182"/>
              <w:bidi w:val="0"/>
              <w:rPr>
                <w:b/>
                <w:bCs/>
                <w:color w:val="auto"/>
                <w:u w:val="single"/>
              </w:rPr>
            </w:pPr>
            <w:r>
              <w:rPr>
                <w:b/>
                <w:bCs/>
                <w:color w:val="auto"/>
                <w:u w:val="single"/>
              </w:rPr>
              <w:t>新鲜水</w:t>
            </w:r>
          </w:p>
        </w:tc>
        <w:tc>
          <w:tcPr>
            <w:tcW w:w="379" w:type="pct"/>
            <w:vAlign w:val="center"/>
          </w:tcPr>
          <w:p>
            <w:pPr>
              <w:pStyle w:val="182"/>
              <w:bidi w:val="0"/>
              <w:rPr>
                <w:b/>
                <w:bCs/>
                <w:color w:val="auto"/>
                <w:u w:val="single"/>
              </w:rPr>
            </w:pPr>
            <w:r>
              <w:rPr>
                <w:rFonts w:hint="eastAsia"/>
                <w:b/>
                <w:bCs/>
                <w:color w:val="auto"/>
                <w:u w:val="single"/>
              </w:rPr>
              <w:t>循环水</w:t>
            </w:r>
          </w:p>
        </w:tc>
        <w:tc>
          <w:tcPr>
            <w:tcW w:w="374" w:type="pct"/>
            <w:vAlign w:val="center"/>
          </w:tcPr>
          <w:p>
            <w:pPr>
              <w:pStyle w:val="182"/>
              <w:bidi w:val="0"/>
              <w:rPr>
                <w:b/>
                <w:bCs/>
                <w:color w:val="auto"/>
                <w:u w:val="single"/>
              </w:rPr>
            </w:pPr>
            <w:r>
              <w:rPr>
                <w:b/>
                <w:bCs/>
                <w:color w:val="auto"/>
                <w:u w:val="single"/>
              </w:rPr>
              <w:t>回用水</w:t>
            </w:r>
          </w:p>
        </w:tc>
        <w:tc>
          <w:tcPr>
            <w:tcW w:w="861" w:type="pct"/>
            <w:vAlign w:val="center"/>
          </w:tcPr>
          <w:p>
            <w:pPr>
              <w:pStyle w:val="182"/>
              <w:bidi w:val="0"/>
              <w:rPr>
                <w:b/>
                <w:bCs/>
                <w:color w:val="auto"/>
                <w:u w:val="single"/>
              </w:rPr>
            </w:pPr>
            <w:r>
              <w:rPr>
                <w:rFonts w:hint="eastAsia"/>
                <w:b/>
                <w:bCs/>
                <w:color w:val="auto"/>
                <w:u w:val="single"/>
              </w:rPr>
              <w:t>其他</w:t>
            </w:r>
          </w:p>
        </w:tc>
        <w:tc>
          <w:tcPr>
            <w:tcW w:w="577" w:type="pct"/>
            <w:vAlign w:val="center"/>
          </w:tcPr>
          <w:p>
            <w:pPr>
              <w:pStyle w:val="182"/>
              <w:bidi w:val="0"/>
              <w:rPr>
                <w:b/>
                <w:bCs/>
                <w:color w:val="auto"/>
                <w:u w:val="single"/>
              </w:rPr>
            </w:pPr>
            <w:r>
              <w:rPr>
                <w:rFonts w:hint="eastAsia"/>
                <w:b/>
                <w:bCs/>
                <w:color w:val="auto"/>
                <w:u w:val="single"/>
              </w:rPr>
              <w:t>回用其他工序</w:t>
            </w:r>
          </w:p>
        </w:tc>
        <w:tc>
          <w:tcPr>
            <w:tcW w:w="494" w:type="pct"/>
            <w:vAlign w:val="center"/>
          </w:tcPr>
          <w:p>
            <w:pPr>
              <w:pStyle w:val="182"/>
              <w:bidi w:val="0"/>
              <w:rPr>
                <w:b/>
                <w:bCs/>
                <w:color w:val="auto"/>
                <w:u w:val="single"/>
              </w:rPr>
            </w:pPr>
            <w:r>
              <w:rPr>
                <w:rFonts w:hint="eastAsia"/>
                <w:b/>
                <w:bCs/>
                <w:color w:val="auto"/>
                <w:u w:val="single"/>
              </w:rPr>
              <w:t>直接排放</w:t>
            </w:r>
          </w:p>
        </w:tc>
        <w:tc>
          <w:tcPr>
            <w:tcW w:w="925" w:type="pct"/>
            <w:vAlign w:val="center"/>
          </w:tcPr>
          <w:p>
            <w:pPr>
              <w:pStyle w:val="182"/>
              <w:bidi w:val="0"/>
              <w:rPr>
                <w:b/>
                <w:bCs/>
                <w:color w:val="auto"/>
                <w:u w:val="single"/>
              </w:rPr>
            </w:pPr>
            <w:r>
              <w:rPr>
                <w:rFonts w:hint="eastAsia"/>
                <w:b/>
                <w:bCs/>
                <w:color w:val="auto"/>
                <w:u w:val="single"/>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Align w:val="center"/>
          </w:tcPr>
          <w:p>
            <w:pPr>
              <w:pStyle w:val="182"/>
              <w:bidi w:val="0"/>
              <w:rPr>
                <w:b/>
                <w:bCs/>
                <w:color w:val="auto"/>
                <w:u w:val="single"/>
              </w:rPr>
            </w:pPr>
            <w:r>
              <w:rPr>
                <w:b/>
                <w:bCs/>
                <w:color w:val="auto"/>
                <w:u w:val="single"/>
              </w:rPr>
              <w:t>1</w:t>
            </w:r>
          </w:p>
        </w:tc>
        <w:tc>
          <w:tcPr>
            <w:tcW w:w="371" w:type="pct"/>
            <w:vAlign w:val="center"/>
          </w:tcPr>
          <w:p>
            <w:pPr>
              <w:pStyle w:val="182"/>
              <w:bidi w:val="0"/>
              <w:rPr>
                <w:b/>
                <w:bCs/>
                <w:color w:val="auto"/>
                <w:u w:val="single"/>
              </w:rPr>
            </w:pPr>
            <w:r>
              <w:rPr>
                <w:b/>
                <w:bCs/>
                <w:color w:val="auto"/>
                <w:u w:val="single"/>
              </w:rPr>
              <w:t>生活用水</w:t>
            </w:r>
          </w:p>
        </w:tc>
        <w:tc>
          <w:tcPr>
            <w:tcW w:w="681" w:type="pct"/>
            <w:gridSpan w:val="2"/>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0.5</w:t>
            </w:r>
            <w:r>
              <w:rPr>
                <w:b/>
                <w:bCs/>
                <w:color w:val="auto"/>
                <w:u w:val="single"/>
              </w:rPr>
              <w:t>m</w:t>
            </w:r>
            <w:r>
              <w:rPr>
                <w:b/>
                <w:bCs/>
                <w:color w:val="auto"/>
                <w:u w:val="single"/>
                <w:vertAlign w:val="superscript"/>
              </w:rPr>
              <w:t>3</w:t>
            </w:r>
            <w:r>
              <w:rPr>
                <w:rFonts w:hint="eastAsia"/>
                <w:b/>
                <w:bCs/>
                <w:color w:val="auto"/>
                <w:u w:val="single"/>
              </w:rPr>
              <w:t>/</w:t>
            </w:r>
            <w:r>
              <w:rPr>
                <w:b/>
                <w:bCs/>
                <w:color w:val="auto"/>
                <w:u w:val="single"/>
              </w:rPr>
              <w:t>h</w:t>
            </w:r>
          </w:p>
        </w:tc>
        <w:tc>
          <w:tcPr>
            <w:tcW w:w="379" w:type="pct"/>
            <w:vAlign w:val="center"/>
          </w:tcPr>
          <w:p>
            <w:pPr>
              <w:pStyle w:val="182"/>
              <w:bidi w:val="0"/>
              <w:rPr>
                <w:b/>
                <w:bCs/>
                <w:color w:val="auto"/>
                <w:u w:val="single"/>
              </w:rPr>
            </w:pPr>
            <w:r>
              <w:rPr>
                <w:rFonts w:hint="eastAsia"/>
                <w:b/>
                <w:bCs/>
                <w:color w:val="auto"/>
                <w:u w:val="single"/>
              </w:rPr>
              <w:t>0</w:t>
            </w:r>
          </w:p>
        </w:tc>
        <w:tc>
          <w:tcPr>
            <w:tcW w:w="374" w:type="pct"/>
            <w:vAlign w:val="center"/>
          </w:tcPr>
          <w:p>
            <w:pPr>
              <w:pStyle w:val="182"/>
              <w:bidi w:val="0"/>
              <w:rPr>
                <w:b/>
                <w:bCs/>
                <w:color w:val="auto"/>
                <w:u w:val="single"/>
              </w:rPr>
            </w:pPr>
            <w:r>
              <w:rPr>
                <w:rFonts w:hint="eastAsia"/>
                <w:b/>
                <w:bCs/>
                <w:color w:val="auto"/>
                <w:u w:val="single"/>
              </w:rPr>
              <w:t>0</w:t>
            </w:r>
          </w:p>
        </w:tc>
        <w:tc>
          <w:tcPr>
            <w:tcW w:w="861" w:type="pct"/>
            <w:vAlign w:val="center"/>
          </w:tcPr>
          <w:p>
            <w:pPr>
              <w:pStyle w:val="182"/>
              <w:bidi w:val="0"/>
              <w:rPr>
                <w:b/>
                <w:bCs/>
                <w:color w:val="auto"/>
                <w:u w:val="single"/>
              </w:rPr>
            </w:pPr>
            <w:r>
              <w:rPr>
                <w:rFonts w:hint="eastAsia"/>
                <w:b/>
                <w:bCs/>
                <w:color w:val="auto"/>
                <w:u w:val="single"/>
              </w:rPr>
              <w:t>0</w:t>
            </w:r>
          </w:p>
        </w:tc>
        <w:tc>
          <w:tcPr>
            <w:tcW w:w="577" w:type="pct"/>
            <w:vAlign w:val="center"/>
          </w:tcPr>
          <w:p>
            <w:pPr>
              <w:pStyle w:val="182"/>
              <w:bidi w:val="0"/>
              <w:rPr>
                <w:b/>
                <w:bCs/>
                <w:color w:val="auto"/>
                <w:u w:val="single"/>
              </w:rPr>
            </w:pPr>
            <w:r>
              <w:rPr>
                <w:rFonts w:hint="eastAsia"/>
                <w:b/>
                <w:bCs/>
                <w:color w:val="auto"/>
                <w:u w:val="single"/>
              </w:rPr>
              <w:t>0</w:t>
            </w:r>
          </w:p>
        </w:tc>
        <w:tc>
          <w:tcPr>
            <w:tcW w:w="49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0.4</w:t>
            </w:r>
            <w:r>
              <w:rPr>
                <w:b/>
                <w:bCs/>
                <w:color w:val="auto"/>
                <w:u w:val="single"/>
              </w:rPr>
              <w:t>m</w:t>
            </w:r>
            <w:r>
              <w:rPr>
                <w:b/>
                <w:bCs/>
                <w:color w:val="auto"/>
                <w:u w:val="single"/>
                <w:vertAlign w:val="superscript"/>
              </w:rPr>
              <w:t>3</w:t>
            </w:r>
            <w:r>
              <w:rPr>
                <w:rFonts w:hint="eastAsia"/>
                <w:b/>
                <w:bCs/>
                <w:color w:val="auto"/>
                <w:u w:val="single"/>
              </w:rPr>
              <w:t>/</w:t>
            </w:r>
            <w:r>
              <w:rPr>
                <w:b/>
                <w:bCs/>
                <w:color w:val="auto"/>
                <w:u w:val="single"/>
              </w:rPr>
              <w:t>h</w:t>
            </w:r>
          </w:p>
        </w:tc>
        <w:tc>
          <w:tcPr>
            <w:tcW w:w="925" w:type="pct"/>
            <w:vAlign w:val="center"/>
          </w:tcPr>
          <w:p>
            <w:pPr>
              <w:pStyle w:val="182"/>
              <w:bidi w:val="0"/>
              <w:rPr>
                <w:b/>
                <w:bCs/>
                <w:color w:val="auto"/>
                <w:u w:val="single"/>
              </w:rPr>
            </w:pPr>
            <w:r>
              <w:rPr>
                <w:rFonts w:hint="eastAsia"/>
                <w:b/>
                <w:bCs/>
                <w:color w:val="auto"/>
                <w:u w:val="single"/>
                <w:lang w:val="en-US" w:eastAsia="zh-CN"/>
              </w:rPr>
              <w:t>0.1</w:t>
            </w:r>
            <w:r>
              <w:rPr>
                <w:b/>
                <w:bCs/>
                <w:color w:val="auto"/>
                <w:u w:val="single"/>
              </w:rPr>
              <w:t>m</w:t>
            </w:r>
            <w:r>
              <w:rPr>
                <w:b/>
                <w:bCs/>
                <w:color w:val="auto"/>
                <w:u w:val="single"/>
                <w:vertAlign w:val="superscript"/>
              </w:rPr>
              <w:t>3</w:t>
            </w:r>
            <w:r>
              <w:rPr>
                <w:rFonts w:hint="eastAsia"/>
                <w:b/>
                <w:bCs/>
                <w:color w:val="auto"/>
                <w:u w:val="single"/>
              </w:rPr>
              <w:t>/</w:t>
            </w:r>
            <w:r>
              <w:rPr>
                <w:b/>
                <w:bCs/>
                <w:color w:val="auto"/>
                <w:u w:val="single"/>
              </w:rPr>
              <w:t>h</w:t>
            </w:r>
          </w:p>
          <w:p>
            <w:pPr>
              <w:pStyle w:val="182"/>
              <w:bidi w:val="0"/>
              <w:rPr>
                <w:b/>
                <w:bCs/>
                <w:color w:val="auto"/>
                <w:u w:val="single"/>
              </w:rPr>
            </w:pPr>
            <w:r>
              <w:rPr>
                <w:rFonts w:hint="eastAsia"/>
                <w:b/>
                <w:bCs/>
                <w:color w:val="auto"/>
                <w:u w:val="single"/>
              </w:rPr>
              <w:t>（损耗）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335" w:type="pct"/>
            <w:vMerge w:val="restart"/>
            <w:vAlign w:val="center"/>
          </w:tcPr>
          <w:p>
            <w:pPr>
              <w:pStyle w:val="182"/>
              <w:bidi w:val="0"/>
              <w:rPr>
                <w:b/>
                <w:bCs/>
                <w:color w:val="auto"/>
                <w:u w:val="single"/>
              </w:rPr>
            </w:pPr>
            <w:r>
              <w:rPr>
                <w:rFonts w:hint="eastAsia"/>
                <w:b/>
                <w:bCs/>
                <w:color w:val="auto"/>
                <w:u w:val="single"/>
              </w:rPr>
              <w:t>2</w:t>
            </w:r>
          </w:p>
        </w:tc>
        <w:tc>
          <w:tcPr>
            <w:tcW w:w="371" w:type="pct"/>
            <w:vMerge w:val="restart"/>
            <w:vAlign w:val="center"/>
          </w:tcPr>
          <w:p>
            <w:pPr>
              <w:pStyle w:val="182"/>
              <w:bidi w:val="0"/>
              <w:rPr>
                <w:b/>
                <w:bCs/>
                <w:color w:val="auto"/>
                <w:u w:val="single"/>
              </w:rPr>
            </w:pPr>
            <w:r>
              <w:rPr>
                <w:rFonts w:hint="eastAsia"/>
                <w:b/>
                <w:bCs/>
                <w:color w:val="auto"/>
                <w:u w:val="single"/>
              </w:rPr>
              <w:t>生产用水</w:t>
            </w:r>
          </w:p>
        </w:tc>
        <w:tc>
          <w:tcPr>
            <w:tcW w:w="389"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合计</w:t>
            </w:r>
          </w:p>
        </w:tc>
        <w:tc>
          <w:tcPr>
            <w:tcW w:w="29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59</w:t>
            </w:r>
          </w:p>
        </w:tc>
        <w:tc>
          <w:tcPr>
            <w:tcW w:w="379" w:type="pct"/>
            <w:vMerge w:val="restar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133.2</w:t>
            </w:r>
          </w:p>
        </w:tc>
        <w:tc>
          <w:tcPr>
            <w:tcW w:w="374" w:type="pct"/>
            <w:vMerge w:val="restar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58.25</w:t>
            </w:r>
          </w:p>
        </w:tc>
        <w:tc>
          <w:tcPr>
            <w:tcW w:w="861" w:type="pct"/>
            <w:vMerge w:val="restar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55.05</w:t>
            </w:r>
          </w:p>
        </w:tc>
        <w:tc>
          <w:tcPr>
            <w:tcW w:w="577" w:type="pct"/>
            <w:vMerge w:val="restar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58.25</w:t>
            </w:r>
          </w:p>
        </w:tc>
        <w:tc>
          <w:tcPr>
            <w:tcW w:w="494" w:type="pct"/>
            <w:vMerge w:val="restar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62.55</w:t>
            </w:r>
          </w:p>
        </w:tc>
        <w:tc>
          <w:tcPr>
            <w:tcW w:w="925" w:type="pct"/>
            <w:vMerge w:val="restar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35" w:type="pct"/>
            <w:vMerge w:val="continue"/>
            <w:vAlign w:val="center"/>
          </w:tcPr>
          <w:p>
            <w:pPr>
              <w:pStyle w:val="182"/>
              <w:bidi w:val="0"/>
              <w:rPr>
                <w:rFonts w:hint="eastAsia"/>
                <w:b/>
                <w:bCs/>
                <w:color w:val="auto"/>
                <w:u w:val="single"/>
              </w:rPr>
            </w:pPr>
          </w:p>
        </w:tc>
        <w:tc>
          <w:tcPr>
            <w:tcW w:w="371" w:type="pct"/>
            <w:vMerge w:val="continue"/>
            <w:vAlign w:val="center"/>
          </w:tcPr>
          <w:p>
            <w:pPr>
              <w:pStyle w:val="182"/>
              <w:bidi w:val="0"/>
              <w:rPr>
                <w:rFonts w:hint="eastAsia"/>
                <w:b/>
                <w:bCs/>
                <w:color w:val="auto"/>
                <w:u w:val="single"/>
              </w:rPr>
            </w:pPr>
          </w:p>
        </w:tc>
        <w:tc>
          <w:tcPr>
            <w:tcW w:w="389"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水洗漂白</w:t>
            </w:r>
          </w:p>
        </w:tc>
        <w:tc>
          <w:tcPr>
            <w:tcW w:w="29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29</w:t>
            </w:r>
          </w:p>
        </w:tc>
        <w:tc>
          <w:tcPr>
            <w:tcW w:w="379" w:type="pct"/>
            <w:vMerge w:val="continue"/>
            <w:vAlign w:val="center"/>
          </w:tcPr>
          <w:p>
            <w:pPr>
              <w:pStyle w:val="182"/>
              <w:bidi w:val="0"/>
              <w:rPr>
                <w:rFonts w:hint="eastAsia"/>
                <w:b/>
                <w:bCs/>
                <w:color w:val="auto"/>
                <w:u w:val="single"/>
              </w:rPr>
            </w:pPr>
          </w:p>
        </w:tc>
        <w:tc>
          <w:tcPr>
            <w:tcW w:w="374" w:type="pct"/>
            <w:vMerge w:val="continue"/>
            <w:vAlign w:val="center"/>
          </w:tcPr>
          <w:p>
            <w:pPr>
              <w:pStyle w:val="182"/>
              <w:bidi w:val="0"/>
              <w:rPr>
                <w:rFonts w:hint="eastAsia"/>
                <w:b/>
                <w:bCs/>
                <w:color w:val="auto"/>
                <w:u w:val="single"/>
              </w:rPr>
            </w:pPr>
          </w:p>
        </w:tc>
        <w:tc>
          <w:tcPr>
            <w:tcW w:w="861" w:type="pct"/>
            <w:vMerge w:val="continue"/>
            <w:vAlign w:val="center"/>
          </w:tcPr>
          <w:p>
            <w:pPr>
              <w:pStyle w:val="182"/>
              <w:bidi w:val="0"/>
              <w:rPr>
                <w:rFonts w:hint="eastAsia"/>
                <w:b/>
                <w:bCs/>
                <w:color w:val="auto"/>
                <w:u w:val="single"/>
              </w:rPr>
            </w:pPr>
          </w:p>
        </w:tc>
        <w:tc>
          <w:tcPr>
            <w:tcW w:w="577" w:type="pct"/>
            <w:vMerge w:val="continue"/>
            <w:vAlign w:val="center"/>
          </w:tcPr>
          <w:p>
            <w:pPr>
              <w:pStyle w:val="182"/>
              <w:bidi w:val="0"/>
              <w:rPr>
                <w:rFonts w:hint="eastAsia"/>
                <w:b/>
                <w:bCs/>
                <w:color w:val="auto"/>
                <w:u w:val="single"/>
              </w:rPr>
            </w:pPr>
          </w:p>
        </w:tc>
        <w:tc>
          <w:tcPr>
            <w:tcW w:w="494" w:type="pct"/>
            <w:vMerge w:val="continue"/>
            <w:vAlign w:val="center"/>
          </w:tcPr>
          <w:p>
            <w:pPr>
              <w:pStyle w:val="182"/>
              <w:bidi w:val="0"/>
              <w:rPr>
                <w:b/>
                <w:bCs/>
                <w:color w:val="auto"/>
                <w:u w:val="single"/>
              </w:rPr>
            </w:pPr>
          </w:p>
        </w:tc>
        <w:tc>
          <w:tcPr>
            <w:tcW w:w="925" w:type="pct"/>
            <w:vMerge w:val="continue"/>
            <w:vAlign w:val="center"/>
          </w:tcPr>
          <w:p>
            <w:pPr>
              <w:pStyle w:val="182"/>
              <w:bidi w:val="0"/>
              <w:rPr>
                <w:rFonts w:hint="eastAsia"/>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35" w:type="pct"/>
            <w:vMerge w:val="continue"/>
            <w:vAlign w:val="center"/>
          </w:tcPr>
          <w:p>
            <w:pPr>
              <w:pStyle w:val="182"/>
              <w:bidi w:val="0"/>
              <w:rPr>
                <w:b/>
                <w:bCs/>
                <w:color w:val="auto"/>
                <w:u w:val="single"/>
              </w:rPr>
            </w:pPr>
          </w:p>
        </w:tc>
        <w:tc>
          <w:tcPr>
            <w:tcW w:w="371" w:type="pct"/>
            <w:vMerge w:val="continue"/>
            <w:vAlign w:val="center"/>
          </w:tcPr>
          <w:p>
            <w:pPr>
              <w:pStyle w:val="182"/>
              <w:bidi w:val="0"/>
              <w:rPr>
                <w:b/>
                <w:bCs/>
                <w:color w:val="auto"/>
                <w:u w:val="single"/>
              </w:rPr>
            </w:pPr>
          </w:p>
        </w:tc>
        <w:tc>
          <w:tcPr>
            <w:tcW w:w="38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抄浆工序</w:t>
            </w:r>
          </w:p>
        </w:tc>
        <w:tc>
          <w:tcPr>
            <w:tcW w:w="29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30</w:t>
            </w:r>
          </w:p>
        </w:tc>
        <w:tc>
          <w:tcPr>
            <w:tcW w:w="379" w:type="pct"/>
            <w:vMerge w:val="continue"/>
            <w:vAlign w:val="center"/>
          </w:tcPr>
          <w:p>
            <w:pPr>
              <w:pStyle w:val="182"/>
              <w:bidi w:val="0"/>
              <w:rPr>
                <w:b/>
                <w:bCs/>
                <w:color w:val="auto"/>
                <w:u w:val="single"/>
              </w:rPr>
            </w:pPr>
          </w:p>
        </w:tc>
        <w:tc>
          <w:tcPr>
            <w:tcW w:w="374" w:type="pct"/>
            <w:vMerge w:val="continue"/>
            <w:vAlign w:val="center"/>
          </w:tcPr>
          <w:p>
            <w:pPr>
              <w:pStyle w:val="182"/>
              <w:bidi w:val="0"/>
              <w:rPr>
                <w:b/>
                <w:bCs/>
                <w:color w:val="auto"/>
                <w:u w:val="single"/>
              </w:rPr>
            </w:pPr>
          </w:p>
        </w:tc>
        <w:tc>
          <w:tcPr>
            <w:tcW w:w="861" w:type="pct"/>
            <w:vMerge w:val="continue"/>
            <w:vAlign w:val="center"/>
          </w:tcPr>
          <w:p>
            <w:pPr>
              <w:pStyle w:val="182"/>
              <w:bidi w:val="0"/>
              <w:rPr>
                <w:b/>
                <w:bCs/>
                <w:color w:val="auto"/>
                <w:u w:val="single"/>
              </w:rPr>
            </w:pPr>
          </w:p>
        </w:tc>
        <w:tc>
          <w:tcPr>
            <w:tcW w:w="577" w:type="pct"/>
            <w:vMerge w:val="continue"/>
            <w:vAlign w:val="center"/>
          </w:tcPr>
          <w:p>
            <w:pPr>
              <w:pStyle w:val="182"/>
              <w:bidi w:val="0"/>
              <w:rPr>
                <w:b/>
                <w:bCs/>
                <w:color w:val="auto"/>
                <w:u w:val="single"/>
              </w:rPr>
            </w:pPr>
          </w:p>
        </w:tc>
        <w:tc>
          <w:tcPr>
            <w:tcW w:w="494" w:type="pct"/>
            <w:vMerge w:val="continue"/>
            <w:vAlign w:val="center"/>
          </w:tcPr>
          <w:p>
            <w:pPr>
              <w:pStyle w:val="182"/>
              <w:bidi w:val="0"/>
              <w:rPr>
                <w:b/>
                <w:bCs/>
                <w:color w:val="auto"/>
                <w:u w:val="single"/>
              </w:rPr>
            </w:pPr>
          </w:p>
        </w:tc>
        <w:tc>
          <w:tcPr>
            <w:tcW w:w="925" w:type="pct"/>
            <w:vMerge w:val="continue"/>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Align w:val="center"/>
          </w:tcPr>
          <w:p>
            <w:pPr>
              <w:pStyle w:val="182"/>
              <w:bidi w:val="0"/>
              <w:rPr>
                <w:b/>
                <w:bCs/>
                <w:color w:val="auto"/>
                <w:u w:val="single"/>
              </w:rPr>
            </w:pPr>
            <w:r>
              <w:rPr>
                <w:b/>
                <w:bCs/>
                <w:color w:val="auto"/>
                <w:u w:val="single"/>
              </w:rPr>
              <w:t>2.1</w:t>
            </w:r>
          </w:p>
        </w:tc>
        <w:tc>
          <w:tcPr>
            <w:tcW w:w="371" w:type="pct"/>
            <w:vAlign w:val="center"/>
          </w:tcPr>
          <w:p>
            <w:pPr>
              <w:pStyle w:val="182"/>
              <w:bidi w:val="0"/>
              <w:rPr>
                <w:b/>
                <w:bCs/>
                <w:color w:val="auto"/>
                <w:u w:val="single"/>
              </w:rPr>
            </w:pPr>
            <w:r>
              <w:rPr>
                <w:rFonts w:hint="eastAsia"/>
                <w:b/>
                <w:bCs/>
                <w:color w:val="auto"/>
                <w:u w:val="single"/>
              </w:rPr>
              <w:t>水力除杂</w:t>
            </w:r>
          </w:p>
        </w:tc>
        <w:tc>
          <w:tcPr>
            <w:tcW w:w="681" w:type="pct"/>
            <w:gridSpan w:val="2"/>
            <w:vAlign w:val="center"/>
          </w:tcPr>
          <w:p>
            <w:pPr>
              <w:pStyle w:val="182"/>
              <w:bidi w:val="0"/>
              <w:rPr>
                <w:b/>
                <w:bCs/>
                <w:color w:val="auto"/>
                <w:u w:val="single"/>
              </w:rPr>
            </w:pPr>
            <w:r>
              <w:rPr>
                <w:rFonts w:hint="eastAsia"/>
                <w:b/>
                <w:bCs/>
                <w:color w:val="auto"/>
                <w:u w:val="single"/>
              </w:rPr>
              <w:t>0</w:t>
            </w:r>
          </w:p>
        </w:tc>
        <w:tc>
          <w:tcPr>
            <w:tcW w:w="37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10</w:t>
            </w:r>
          </w:p>
        </w:tc>
        <w:tc>
          <w:tcPr>
            <w:tcW w:w="37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0.5</w:t>
            </w:r>
          </w:p>
        </w:tc>
        <w:tc>
          <w:tcPr>
            <w:tcW w:w="861" w:type="pct"/>
            <w:vAlign w:val="center"/>
          </w:tcPr>
          <w:p>
            <w:pPr>
              <w:pStyle w:val="182"/>
              <w:bidi w:val="0"/>
              <w:rPr>
                <w:b/>
                <w:bCs/>
                <w:color w:val="auto"/>
                <w:u w:val="single"/>
              </w:rPr>
            </w:pPr>
            <w:r>
              <w:rPr>
                <w:rFonts w:hint="eastAsia"/>
                <w:b/>
                <w:bCs/>
                <w:color w:val="auto"/>
                <w:u w:val="single"/>
                <w:lang w:val="en-US" w:eastAsia="zh-CN"/>
              </w:rPr>
              <w:t>0.1</w:t>
            </w:r>
            <w:r>
              <w:rPr>
                <w:rFonts w:hint="eastAsia"/>
                <w:b/>
                <w:bCs/>
                <w:color w:val="auto"/>
                <w:u w:val="single"/>
              </w:rPr>
              <w:t>（原料含水）</w:t>
            </w:r>
          </w:p>
        </w:tc>
        <w:tc>
          <w:tcPr>
            <w:tcW w:w="577" w:type="pct"/>
            <w:vAlign w:val="center"/>
          </w:tcPr>
          <w:p>
            <w:pPr>
              <w:pStyle w:val="182"/>
              <w:bidi w:val="0"/>
              <w:rPr>
                <w:b/>
                <w:bCs/>
                <w:color w:val="auto"/>
                <w:u w:val="single"/>
              </w:rPr>
            </w:pPr>
            <w:r>
              <w:rPr>
                <w:b/>
                <w:bCs/>
                <w:color w:val="auto"/>
                <w:u w:val="single"/>
              </w:rPr>
              <w:t>0</w:t>
            </w:r>
          </w:p>
        </w:tc>
        <w:tc>
          <w:tcPr>
            <w:tcW w:w="49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0.6</w:t>
            </w:r>
          </w:p>
        </w:tc>
        <w:tc>
          <w:tcPr>
            <w:tcW w:w="925"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Align w:val="center"/>
          </w:tcPr>
          <w:p>
            <w:pPr>
              <w:pStyle w:val="182"/>
              <w:bidi w:val="0"/>
              <w:rPr>
                <w:b/>
                <w:bCs/>
                <w:color w:val="auto"/>
                <w:u w:val="single"/>
              </w:rPr>
            </w:pPr>
            <w:r>
              <w:rPr>
                <w:b/>
                <w:bCs/>
                <w:color w:val="auto"/>
                <w:u w:val="single"/>
              </w:rPr>
              <w:t>2.2</w:t>
            </w:r>
          </w:p>
        </w:tc>
        <w:tc>
          <w:tcPr>
            <w:tcW w:w="371" w:type="pct"/>
            <w:vAlign w:val="center"/>
          </w:tcPr>
          <w:p>
            <w:pPr>
              <w:pStyle w:val="182"/>
              <w:bidi w:val="0"/>
              <w:rPr>
                <w:b/>
                <w:bCs/>
                <w:color w:val="auto"/>
                <w:u w:val="single"/>
              </w:rPr>
            </w:pPr>
            <w:r>
              <w:rPr>
                <w:rFonts w:hint="eastAsia"/>
                <w:b/>
                <w:bCs/>
                <w:color w:val="auto"/>
                <w:u w:val="single"/>
              </w:rPr>
              <w:t>蒸煮挤浆</w:t>
            </w:r>
          </w:p>
        </w:tc>
        <w:tc>
          <w:tcPr>
            <w:tcW w:w="681" w:type="pct"/>
            <w:gridSpan w:val="2"/>
            <w:vAlign w:val="center"/>
          </w:tcPr>
          <w:p>
            <w:pPr>
              <w:pStyle w:val="182"/>
              <w:bidi w:val="0"/>
              <w:rPr>
                <w:b/>
                <w:bCs/>
                <w:color w:val="auto"/>
                <w:u w:val="single"/>
              </w:rPr>
            </w:pPr>
            <w:r>
              <w:rPr>
                <w:rFonts w:hint="eastAsia"/>
                <w:b/>
                <w:bCs/>
                <w:color w:val="auto"/>
                <w:u w:val="single"/>
              </w:rPr>
              <w:t>0</w:t>
            </w:r>
          </w:p>
        </w:tc>
        <w:tc>
          <w:tcPr>
            <w:tcW w:w="37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30</w:t>
            </w:r>
          </w:p>
        </w:tc>
        <w:tc>
          <w:tcPr>
            <w:tcW w:w="37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2.95</w:t>
            </w:r>
          </w:p>
        </w:tc>
        <w:tc>
          <w:tcPr>
            <w:tcW w:w="861"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9.85</w:t>
            </w:r>
            <w:r>
              <w:rPr>
                <w:rFonts w:hint="eastAsia"/>
                <w:b/>
                <w:bCs/>
                <w:color w:val="auto"/>
                <w:u w:val="single"/>
              </w:rPr>
              <w:t>（蒸汽</w:t>
            </w:r>
            <w:r>
              <w:rPr>
                <w:rFonts w:hint="eastAsia"/>
                <w:b/>
                <w:bCs/>
                <w:color w:val="auto"/>
                <w:u w:val="single"/>
                <w:lang w:val="en-US" w:eastAsia="zh-CN"/>
              </w:rPr>
              <w:t>0.8</w:t>
            </w:r>
            <w:r>
              <w:rPr>
                <w:rFonts w:hint="eastAsia"/>
                <w:b/>
                <w:bCs/>
                <w:color w:val="auto"/>
                <w:u w:val="single"/>
              </w:rPr>
              <w:t>，辅料</w:t>
            </w:r>
            <w:r>
              <w:rPr>
                <w:rFonts w:hint="eastAsia"/>
                <w:b/>
                <w:bCs/>
                <w:color w:val="auto"/>
                <w:u w:val="single"/>
                <w:lang w:val="en-US" w:eastAsia="zh-CN"/>
              </w:rPr>
              <w:t>0.9，污凝结水8.15</w:t>
            </w:r>
            <w:r>
              <w:rPr>
                <w:rFonts w:hint="eastAsia"/>
                <w:b/>
                <w:bCs/>
                <w:color w:val="auto"/>
                <w:u w:val="single"/>
              </w:rPr>
              <w:t>）</w:t>
            </w:r>
          </w:p>
        </w:tc>
        <w:tc>
          <w:tcPr>
            <w:tcW w:w="577"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w:t>
            </w:r>
          </w:p>
        </w:tc>
        <w:tc>
          <w:tcPr>
            <w:tcW w:w="494" w:type="pct"/>
            <w:vAlign w:val="center"/>
          </w:tcPr>
          <w:p>
            <w:pPr>
              <w:pStyle w:val="182"/>
              <w:bidi w:val="0"/>
              <w:rPr>
                <w:b/>
                <w:bCs/>
                <w:color w:val="auto"/>
                <w:u w:val="single"/>
              </w:rPr>
            </w:pPr>
            <w:r>
              <w:rPr>
                <w:b/>
                <w:bCs/>
                <w:color w:val="auto"/>
                <w:u w:val="single"/>
              </w:rPr>
              <w:t>0</w:t>
            </w:r>
          </w:p>
        </w:tc>
        <w:tc>
          <w:tcPr>
            <w:tcW w:w="925" w:type="pct"/>
            <w:vAlign w:val="center"/>
          </w:tcPr>
          <w:p>
            <w:pPr>
              <w:pStyle w:val="182"/>
              <w:bidi w:val="0"/>
              <w:rPr>
                <w:b/>
                <w:bCs/>
                <w:color w:val="auto"/>
                <w:u w:val="single"/>
              </w:rPr>
            </w:pPr>
            <w:r>
              <w:rPr>
                <w:rFonts w:hint="eastAsia"/>
                <w:b/>
                <w:bCs/>
                <w:color w:val="auto"/>
                <w:u w:val="single"/>
                <w:lang w:val="en-US" w:eastAsia="zh-CN"/>
              </w:rPr>
              <w:t>12.8（黑液10，冷凝水0.8，产品含水2）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Align w:val="center"/>
          </w:tcPr>
          <w:p>
            <w:pPr>
              <w:pStyle w:val="182"/>
              <w:bidi w:val="0"/>
              <w:rPr>
                <w:b/>
                <w:bCs/>
                <w:color w:val="auto"/>
                <w:u w:val="single"/>
              </w:rPr>
            </w:pPr>
            <w:r>
              <w:rPr>
                <w:b/>
                <w:bCs/>
                <w:color w:val="auto"/>
                <w:u w:val="single"/>
              </w:rPr>
              <w:t>2.3</w:t>
            </w:r>
          </w:p>
        </w:tc>
        <w:tc>
          <w:tcPr>
            <w:tcW w:w="371" w:type="pct"/>
            <w:vAlign w:val="center"/>
          </w:tcPr>
          <w:p>
            <w:pPr>
              <w:pStyle w:val="182"/>
              <w:bidi w:val="0"/>
              <w:rPr>
                <w:b/>
                <w:bCs/>
                <w:color w:val="auto"/>
                <w:u w:val="single"/>
              </w:rPr>
            </w:pPr>
            <w:r>
              <w:rPr>
                <w:rFonts w:hint="eastAsia"/>
                <w:b/>
                <w:bCs/>
                <w:color w:val="auto"/>
                <w:u w:val="single"/>
              </w:rPr>
              <w:t>水洗漂白</w:t>
            </w:r>
          </w:p>
        </w:tc>
        <w:tc>
          <w:tcPr>
            <w:tcW w:w="681" w:type="pct"/>
            <w:gridSpan w:val="2"/>
            <w:vAlign w:val="center"/>
          </w:tcPr>
          <w:p>
            <w:pPr>
              <w:pStyle w:val="182"/>
              <w:bidi w:val="0"/>
              <w:rPr>
                <w:rFonts w:hint="default"/>
                <w:b/>
                <w:bCs/>
                <w:color w:val="auto"/>
                <w:u w:val="single"/>
                <w:lang w:val="en-US"/>
              </w:rPr>
            </w:pPr>
            <w:r>
              <w:rPr>
                <w:rFonts w:hint="eastAsia"/>
                <w:b/>
                <w:bCs/>
                <w:color w:val="auto"/>
                <w:u w:val="single"/>
                <w:lang w:val="en-US" w:eastAsia="zh-CN"/>
              </w:rPr>
              <w:t>29</w:t>
            </w:r>
          </w:p>
        </w:tc>
        <w:tc>
          <w:tcPr>
            <w:tcW w:w="37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93.2</w:t>
            </w:r>
          </w:p>
        </w:tc>
        <w:tc>
          <w:tcPr>
            <w:tcW w:w="37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54.8</w:t>
            </w:r>
          </w:p>
        </w:tc>
        <w:tc>
          <w:tcPr>
            <w:tcW w:w="861" w:type="pct"/>
            <w:vAlign w:val="center"/>
          </w:tcPr>
          <w:p>
            <w:pPr>
              <w:pStyle w:val="182"/>
              <w:bidi w:val="0"/>
              <w:rPr>
                <w:b/>
                <w:bCs/>
                <w:color w:val="auto"/>
                <w:u w:val="single"/>
              </w:rPr>
            </w:pPr>
            <w:r>
              <w:rPr>
                <w:rFonts w:hint="eastAsia"/>
                <w:b/>
                <w:bCs/>
                <w:color w:val="auto"/>
                <w:u w:val="single"/>
                <w:lang w:val="en-US" w:eastAsia="zh-CN"/>
              </w:rPr>
              <w:t>7</w:t>
            </w:r>
            <w:r>
              <w:rPr>
                <w:rFonts w:hint="eastAsia"/>
                <w:b/>
                <w:bCs/>
                <w:color w:val="auto"/>
                <w:u w:val="single"/>
              </w:rPr>
              <w:t>（冷凝水</w:t>
            </w:r>
            <w:r>
              <w:rPr>
                <w:rFonts w:hint="eastAsia"/>
                <w:b/>
                <w:bCs/>
                <w:color w:val="auto"/>
                <w:u w:val="single"/>
                <w:lang w:val="en-US" w:eastAsia="zh-CN"/>
              </w:rPr>
              <w:t>4.5，蒸汽0.5，产品2t</w:t>
            </w:r>
            <w:r>
              <w:rPr>
                <w:rFonts w:hint="eastAsia"/>
                <w:b/>
                <w:bCs/>
                <w:color w:val="auto"/>
                <w:u w:val="single"/>
              </w:rPr>
              <w:t>）</w:t>
            </w:r>
          </w:p>
        </w:tc>
        <w:tc>
          <w:tcPr>
            <w:tcW w:w="577" w:type="pct"/>
            <w:vAlign w:val="center"/>
          </w:tcPr>
          <w:p>
            <w:pPr>
              <w:pStyle w:val="182"/>
              <w:bidi w:val="0"/>
              <w:rPr>
                <w:b/>
                <w:bCs/>
                <w:color w:val="auto"/>
                <w:u w:val="single"/>
              </w:rPr>
            </w:pPr>
            <w:r>
              <w:rPr>
                <w:rFonts w:hint="eastAsia"/>
                <w:b/>
                <w:bCs/>
                <w:color w:val="auto"/>
                <w:u w:val="single"/>
                <w:lang w:val="en-US" w:eastAsia="zh-CN"/>
              </w:rPr>
              <w:t>3.45（回</w:t>
            </w:r>
            <w:r>
              <w:rPr>
                <w:rFonts w:hint="eastAsia"/>
                <w:b/>
                <w:bCs/>
                <w:color w:val="auto"/>
                <w:u w:val="single"/>
              </w:rPr>
              <w:t>水力除杂0</w:t>
            </w:r>
            <w:r>
              <w:rPr>
                <w:rFonts w:hint="eastAsia"/>
                <w:b/>
                <w:bCs/>
                <w:color w:val="auto"/>
                <w:u w:val="single"/>
                <w:lang w:val="en-US" w:eastAsia="zh-CN"/>
              </w:rPr>
              <w:t>.5</w:t>
            </w:r>
            <w:r>
              <w:rPr>
                <w:rFonts w:hint="eastAsia"/>
                <w:b/>
                <w:bCs/>
                <w:color w:val="auto"/>
                <w:u w:val="single"/>
              </w:rPr>
              <w:t>，</w:t>
            </w:r>
            <w:r>
              <w:rPr>
                <w:rFonts w:hint="eastAsia"/>
                <w:b/>
                <w:bCs/>
                <w:color w:val="auto"/>
                <w:u w:val="single"/>
                <w:lang w:val="en-US" w:eastAsia="zh-CN"/>
              </w:rPr>
              <w:t>回</w:t>
            </w:r>
            <w:r>
              <w:rPr>
                <w:rFonts w:hint="eastAsia"/>
                <w:b/>
                <w:bCs/>
                <w:color w:val="auto"/>
                <w:u w:val="single"/>
              </w:rPr>
              <w:t>蒸煮</w:t>
            </w:r>
            <w:r>
              <w:rPr>
                <w:rFonts w:hint="eastAsia"/>
                <w:b/>
                <w:bCs/>
                <w:color w:val="auto"/>
                <w:u w:val="single"/>
                <w:lang w:val="en-US" w:eastAsia="zh-CN"/>
              </w:rPr>
              <w:t>2.95）</w:t>
            </w:r>
          </w:p>
        </w:tc>
        <w:tc>
          <w:tcPr>
            <w:tcW w:w="49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61.95</w:t>
            </w:r>
          </w:p>
        </w:tc>
        <w:tc>
          <w:tcPr>
            <w:tcW w:w="925"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25.4</w:t>
            </w:r>
            <w:r>
              <w:rPr>
                <w:rFonts w:hint="eastAsia"/>
                <w:b/>
                <w:bCs/>
                <w:color w:val="auto"/>
                <w:u w:val="single"/>
              </w:rPr>
              <w:t>（</w:t>
            </w:r>
            <w:r>
              <w:rPr>
                <w:rFonts w:hint="eastAsia"/>
                <w:b/>
                <w:bCs/>
                <w:color w:val="auto"/>
                <w:u w:val="single"/>
                <w:lang w:val="en-US" w:eastAsia="zh-CN"/>
              </w:rPr>
              <w:t>冷凝水0.5t，去</w:t>
            </w:r>
            <w:r>
              <w:rPr>
                <w:rFonts w:hint="eastAsia"/>
                <w:b/>
                <w:bCs/>
                <w:color w:val="auto"/>
                <w:u w:val="single"/>
              </w:rPr>
              <w:t>抄浆</w:t>
            </w:r>
            <w:r>
              <w:rPr>
                <w:rFonts w:hint="eastAsia"/>
                <w:b/>
                <w:bCs/>
                <w:color w:val="auto"/>
                <w:u w:val="single"/>
                <w:lang w:val="en-US" w:eastAsia="zh-CN"/>
              </w:rPr>
              <w:t>24.9</w:t>
            </w:r>
            <w:r>
              <w:rPr>
                <w:rFonts w:hint="eastAsia"/>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Align w:val="center"/>
          </w:tcPr>
          <w:p>
            <w:pPr>
              <w:pStyle w:val="182"/>
              <w:bidi w:val="0"/>
              <w:rPr>
                <w:b/>
                <w:bCs/>
                <w:color w:val="auto"/>
                <w:u w:val="single"/>
              </w:rPr>
            </w:pPr>
            <w:r>
              <w:rPr>
                <w:b/>
                <w:bCs/>
                <w:color w:val="auto"/>
                <w:u w:val="single"/>
              </w:rPr>
              <w:t>2.4</w:t>
            </w:r>
          </w:p>
        </w:tc>
        <w:tc>
          <w:tcPr>
            <w:tcW w:w="371" w:type="pct"/>
            <w:vAlign w:val="center"/>
          </w:tcPr>
          <w:p>
            <w:pPr>
              <w:pStyle w:val="182"/>
              <w:bidi w:val="0"/>
              <w:rPr>
                <w:b/>
                <w:bCs/>
                <w:color w:val="auto"/>
                <w:u w:val="single"/>
              </w:rPr>
            </w:pPr>
            <w:r>
              <w:rPr>
                <w:rFonts w:hint="eastAsia"/>
                <w:b/>
                <w:bCs/>
                <w:color w:val="auto"/>
                <w:u w:val="single"/>
              </w:rPr>
              <w:t>抄浆</w:t>
            </w:r>
          </w:p>
        </w:tc>
        <w:tc>
          <w:tcPr>
            <w:tcW w:w="681" w:type="pct"/>
            <w:gridSpan w:val="2"/>
            <w:vAlign w:val="center"/>
          </w:tcPr>
          <w:p>
            <w:pPr>
              <w:pStyle w:val="182"/>
              <w:bidi w:val="0"/>
              <w:rPr>
                <w:rFonts w:hint="default"/>
                <w:b/>
                <w:bCs/>
                <w:color w:val="auto"/>
                <w:u w:val="single"/>
                <w:lang w:val="en-US"/>
              </w:rPr>
            </w:pPr>
            <w:r>
              <w:rPr>
                <w:rFonts w:hint="eastAsia"/>
                <w:b/>
                <w:bCs/>
                <w:color w:val="auto"/>
                <w:u w:val="single"/>
                <w:lang w:val="en-US" w:eastAsia="zh-CN"/>
              </w:rPr>
              <w:t>30</w:t>
            </w:r>
          </w:p>
        </w:tc>
        <w:tc>
          <w:tcPr>
            <w:tcW w:w="379" w:type="pct"/>
            <w:vAlign w:val="center"/>
          </w:tcPr>
          <w:p>
            <w:pPr>
              <w:pStyle w:val="182"/>
              <w:bidi w:val="0"/>
              <w:rPr>
                <w:b/>
                <w:bCs/>
                <w:color w:val="auto"/>
                <w:u w:val="single"/>
              </w:rPr>
            </w:pPr>
            <w:r>
              <w:rPr>
                <w:rFonts w:hint="eastAsia"/>
                <w:b/>
                <w:bCs/>
                <w:color w:val="auto"/>
                <w:u w:val="single"/>
              </w:rPr>
              <w:t>0</w:t>
            </w:r>
          </w:p>
        </w:tc>
        <w:tc>
          <w:tcPr>
            <w:tcW w:w="37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w:t>
            </w:r>
          </w:p>
        </w:tc>
        <w:tc>
          <w:tcPr>
            <w:tcW w:w="861"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25.9（产品24.9，蒸汽1.0）</w:t>
            </w:r>
          </w:p>
        </w:tc>
        <w:tc>
          <w:tcPr>
            <w:tcW w:w="577" w:type="pct"/>
            <w:vAlign w:val="center"/>
          </w:tcPr>
          <w:p>
            <w:pPr>
              <w:pStyle w:val="182"/>
              <w:bidi w:val="0"/>
              <w:rPr>
                <w:rFonts w:hint="default"/>
                <w:b/>
                <w:bCs/>
                <w:color w:val="auto"/>
                <w:u w:val="single"/>
                <w:lang w:val="en-US"/>
              </w:rPr>
            </w:pPr>
            <w:r>
              <w:rPr>
                <w:rFonts w:hint="eastAsia"/>
                <w:b/>
                <w:bCs/>
                <w:color w:val="auto"/>
                <w:u w:val="single"/>
                <w:lang w:val="en-US" w:eastAsia="zh-CN"/>
              </w:rPr>
              <w:t>54.8</w:t>
            </w:r>
          </w:p>
        </w:tc>
        <w:tc>
          <w:tcPr>
            <w:tcW w:w="494" w:type="pct"/>
            <w:vAlign w:val="center"/>
          </w:tcPr>
          <w:p>
            <w:pPr>
              <w:pStyle w:val="182"/>
              <w:bidi w:val="0"/>
              <w:rPr>
                <w:b/>
                <w:bCs/>
                <w:color w:val="auto"/>
                <w:u w:val="single"/>
              </w:rPr>
            </w:pPr>
            <w:r>
              <w:rPr>
                <w:rFonts w:hint="eastAsia"/>
                <w:b/>
                <w:bCs/>
                <w:color w:val="auto"/>
                <w:u w:val="single"/>
              </w:rPr>
              <w:t>0</w:t>
            </w:r>
          </w:p>
        </w:tc>
        <w:tc>
          <w:tcPr>
            <w:tcW w:w="925"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1.1</w:t>
            </w:r>
            <w:r>
              <w:rPr>
                <w:rFonts w:hint="eastAsia"/>
                <w:b/>
                <w:bCs/>
                <w:color w:val="auto"/>
                <w:u w:val="single"/>
              </w:rPr>
              <w:t>（产品</w:t>
            </w:r>
            <w:r>
              <w:rPr>
                <w:rFonts w:hint="eastAsia"/>
                <w:b/>
                <w:bCs/>
                <w:color w:val="auto"/>
                <w:u w:val="single"/>
                <w:lang w:val="en-US" w:eastAsia="zh-CN"/>
              </w:rPr>
              <w:t>0.1，冷凝水1.0，</w:t>
            </w:r>
            <w:r>
              <w:rPr>
                <w:rFonts w:hint="eastAsia"/>
                <w:b/>
                <w:bCs/>
                <w:color w:val="auto"/>
                <w:u w:val="single"/>
              </w:rPr>
              <w:t>）</w:t>
            </w:r>
            <w:r>
              <w:rPr>
                <w:rFonts w:hint="eastAsia"/>
                <w:b/>
                <w:bCs/>
                <w:color w:val="auto"/>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5" w:type="pct"/>
            <w:vAlign w:val="center"/>
          </w:tcPr>
          <w:p>
            <w:pPr>
              <w:pStyle w:val="182"/>
              <w:bidi w:val="0"/>
              <w:rPr>
                <w:b/>
                <w:bCs/>
                <w:color w:val="auto"/>
                <w:u w:val="single"/>
              </w:rPr>
            </w:pPr>
            <w:r>
              <w:rPr>
                <w:b/>
                <w:bCs/>
                <w:color w:val="auto"/>
                <w:u w:val="single"/>
              </w:rPr>
              <w:t>2.5</w:t>
            </w:r>
          </w:p>
        </w:tc>
        <w:tc>
          <w:tcPr>
            <w:tcW w:w="371" w:type="pct"/>
            <w:vAlign w:val="center"/>
          </w:tcPr>
          <w:p>
            <w:pPr>
              <w:pStyle w:val="182"/>
              <w:bidi w:val="0"/>
              <w:rPr>
                <w:b/>
                <w:bCs/>
                <w:color w:val="auto"/>
                <w:u w:val="single"/>
              </w:rPr>
            </w:pPr>
            <w:r>
              <w:rPr>
                <w:rFonts w:hint="eastAsia"/>
                <w:b/>
                <w:bCs/>
                <w:color w:val="auto"/>
                <w:u w:val="single"/>
                <w:lang w:val="en-US" w:eastAsia="zh-CN"/>
              </w:rPr>
              <w:t>五效</w:t>
            </w:r>
            <w:r>
              <w:rPr>
                <w:rFonts w:hint="eastAsia"/>
                <w:b/>
                <w:bCs/>
                <w:color w:val="auto"/>
                <w:u w:val="single"/>
              </w:rPr>
              <w:t>蒸发</w:t>
            </w:r>
            <w:r>
              <w:rPr>
                <w:rFonts w:hint="eastAsia"/>
                <w:b/>
                <w:bCs/>
                <w:color w:val="auto"/>
                <w:u w:val="single"/>
                <w:lang w:eastAsia="zh-CN"/>
              </w:rPr>
              <w:t>、</w:t>
            </w:r>
            <w:r>
              <w:rPr>
                <w:rFonts w:hint="eastAsia"/>
                <w:b/>
                <w:bCs/>
                <w:color w:val="auto"/>
                <w:u w:val="single"/>
              </w:rPr>
              <w:t>烘干</w:t>
            </w:r>
          </w:p>
        </w:tc>
        <w:tc>
          <w:tcPr>
            <w:tcW w:w="681" w:type="pct"/>
            <w:gridSpan w:val="2"/>
            <w:vAlign w:val="center"/>
          </w:tcPr>
          <w:p>
            <w:pPr>
              <w:pStyle w:val="182"/>
              <w:bidi w:val="0"/>
              <w:rPr>
                <w:b/>
                <w:bCs/>
                <w:color w:val="auto"/>
                <w:u w:val="single"/>
              </w:rPr>
            </w:pPr>
            <w:r>
              <w:rPr>
                <w:rFonts w:hint="eastAsia"/>
                <w:b/>
                <w:bCs/>
                <w:color w:val="auto"/>
                <w:u w:val="single"/>
              </w:rPr>
              <w:t>0</w:t>
            </w:r>
          </w:p>
        </w:tc>
        <w:tc>
          <w:tcPr>
            <w:tcW w:w="379" w:type="pct"/>
            <w:vAlign w:val="center"/>
          </w:tcPr>
          <w:p>
            <w:pPr>
              <w:pStyle w:val="182"/>
              <w:bidi w:val="0"/>
              <w:rPr>
                <w:b/>
                <w:bCs/>
                <w:color w:val="auto"/>
                <w:u w:val="single"/>
              </w:rPr>
            </w:pPr>
            <w:r>
              <w:rPr>
                <w:rFonts w:hint="eastAsia"/>
                <w:b/>
                <w:bCs/>
                <w:color w:val="auto"/>
                <w:u w:val="single"/>
              </w:rPr>
              <w:t>0</w:t>
            </w:r>
          </w:p>
        </w:tc>
        <w:tc>
          <w:tcPr>
            <w:tcW w:w="37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w:t>
            </w:r>
          </w:p>
        </w:tc>
        <w:tc>
          <w:tcPr>
            <w:tcW w:w="861" w:type="pct"/>
            <w:vAlign w:val="center"/>
          </w:tcPr>
          <w:p>
            <w:pPr>
              <w:pStyle w:val="182"/>
              <w:bidi w:val="0"/>
              <w:rPr>
                <w:b/>
                <w:bCs/>
                <w:color w:val="auto"/>
                <w:u w:val="single"/>
              </w:rPr>
            </w:pPr>
            <w:r>
              <w:rPr>
                <w:rFonts w:hint="eastAsia"/>
                <w:b/>
                <w:bCs/>
                <w:color w:val="auto"/>
                <w:u w:val="single"/>
                <w:lang w:val="en-US" w:eastAsia="zh-CN"/>
              </w:rPr>
              <w:t>12.2（黑液含水10，蒸汽2.2）</w:t>
            </w:r>
          </w:p>
        </w:tc>
        <w:tc>
          <w:tcPr>
            <w:tcW w:w="577" w:type="pct"/>
            <w:vAlign w:val="center"/>
          </w:tcPr>
          <w:p>
            <w:pPr>
              <w:pStyle w:val="182"/>
              <w:bidi w:val="0"/>
              <w:rPr>
                <w:b/>
                <w:bCs/>
                <w:color w:val="auto"/>
                <w:u w:val="single"/>
              </w:rPr>
            </w:pPr>
            <w:r>
              <w:rPr>
                <w:rFonts w:hint="eastAsia"/>
                <w:b/>
                <w:bCs/>
                <w:color w:val="auto"/>
                <w:u w:val="single"/>
                <w:lang w:val="en-US" w:eastAsia="zh-CN"/>
              </w:rPr>
              <w:t>0</w:t>
            </w:r>
          </w:p>
        </w:tc>
        <w:tc>
          <w:tcPr>
            <w:tcW w:w="494" w:type="pct"/>
            <w:vAlign w:val="center"/>
          </w:tcPr>
          <w:p>
            <w:pPr>
              <w:pStyle w:val="182"/>
              <w:bidi w:val="0"/>
              <w:rPr>
                <w:b/>
                <w:bCs/>
                <w:color w:val="auto"/>
                <w:u w:val="single"/>
              </w:rPr>
            </w:pPr>
            <w:r>
              <w:rPr>
                <w:rFonts w:hint="eastAsia"/>
                <w:b/>
                <w:bCs/>
                <w:color w:val="auto"/>
                <w:u w:val="single"/>
              </w:rPr>
              <w:t>0</w:t>
            </w:r>
          </w:p>
        </w:tc>
        <w:tc>
          <w:tcPr>
            <w:tcW w:w="925"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12.2（污凝结水8.15，冷凝水2.2，木质素含水0.08，蒸发1.77）</w:t>
            </w:r>
          </w:p>
        </w:tc>
      </w:tr>
    </w:tbl>
    <w:p>
      <w:pPr>
        <w:spacing w:line="520" w:lineRule="exact"/>
        <w:ind w:firstLine="480" w:firstLineChars="200"/>
        <w:rPr>
          <w:color w:val="auto"/>
        </w:rPr>
      </w:pPr>
      <w:r>
        <w:rPr>
          <w:rFonts w:hint="eastAsia"/>
          <w:color w:val="auto"/>
        </w:rPr>
        <w:t>（2）排水</w:t>
      </w:r>
    </w:p>
    <w:p>
      <w:pPr>
        <w:spacing w:line="520" w:lineRule="exact"/>
        <w:ind w:firstLine="482" w:firstLineChars="200"/>
        <w:rPr>
          <w:b/>
          <w:bCs/>
          <w:color w:val="auto"/>
          <w:u w:val="single"/>
        </w:rPr>
      </w:pPr>
      <w:r>
        <w:rPr>
          <w:rFonts w:hint="eastAsia"/>
          <w:b/>
          <w:bCs/>
          <w:color w:val="auto"/>
          <w:u w:val="single"/>
        </w:rPr>
        <w:t>本项目废水主要</w:t>
      </w:r>
      <w:r>
        <w:rPr>
          <w:rFonts w:hint="eastAsia"/>
          <w:b/>
          <w:bCs/>
          <w:color w:val="auto"/>
          <w:u w:val="single"/>
          <w:lang w:val="en-US" w:eastAsia="zh-CN"/>
        </w:rPr>
        <w:t>为</w:t>
      </w:r>
      <w:r>
        <w:rPr>
          <w:rFonts w:hint="eastAsia"/>
          <w:b/>
          <w:bCs/>
          <w:color w:val="auto"/>
          <w:u w:val="single"/>
        </w:rPr>
        <w:t>生产废水和生活污水。</w:t>
      </w:r>
      <w:r>
        <w:rPr>
          <w:rFonts w:hint="eastAsia"/>
          <w:b/>
          <w:bCs/>
          <w:color w:val="auto"/>
          <w:u w:val="single"/>
          <w:lang w:val="en-US" w:eastAsia="zh-CN"/>
        </w:rPr>
        <w:t>本项目建设增加的</w:t>
      </w:r>
      <w:r>
        <w:rPr>
          <w:rFonts w:hint="eastAsia"/>
          <w:b/>
          <w:bCs/>
          <w:color w:val="auto"/>
          <w:u w:val="single"/>
        </w:rPr>
        <w:t>生活污水量为</w:t>
      </w:r>
      <w:r>
        <w:rPr>
          <w:b/>
          <w:bCs/>
          <w:color w:val="auto"/>
          <w:u w:val="single"/>
        </w:rPr>
        <w:t>0.4</w:t>
      </w:r>
      <w:r>
        <w:rPr>
          <w:rFonts w:hint="eastAsia"/>
          <w:b/>
          <w:bCs/>
          <w:color w:val="auto"/>
          <w:u w:val="single"/>
        </w:rPr>
        <w:t>m</w:t>
      </w:r>
      <w:r>
        <w:rPr>
          <w:rFonts w:hint="eastAsia"/>
          <w:b/>
          <w:bCs/>
          <w:color w:val="auto"/>
          <w:u w:val="single"/>
          <w:vertAlign w:val="superscript"/>
        </w:rPr>
        <w:t>3</w:t>
      </w:r>
      <w:r>
        <w:rPr>
          <w:rFonts w:hint="eastAsia"/>
          <w:b/>
          <w:bCs/>
          <w:color w:val="auto"/>
          <w:u w:val="single"/>
        </w:rPr>
        <w:t>/h</w:t>
      </w:r>
      <w:r>
        <w:rPr>
          <w:rFonts w:hint="eastAsia"/>
          <w:b/>
          <w:bCs/>
          <w:color w:val="auto"/>
          <w:u w:val="single"/>
          <w:lang w:eastAsia="zh-CN"/>
        </w:rPr>
        <w:t>，</w:t>
      </w:r>
      <w:r>
        <w:rPr>
          <w:rFonts w:hint="eastAsia"/>
          <w:b/>
          <w:bCs/>
          <w:color w:val="auto"/>
          <w:u w:val="single"/>
          <w:lang w:val="en-US" w:eastAsia="zh-CN"/>
        </w:rPr>
        <w:t>依托厂区现有基础设施</w:t>
      </w:r>
      <w:r>
        <w:rPr>
          <w:rFonts w:hint="eastAsia"/>
          <w:b/>
          <w:bCs/>
          <w:color w:val="auto"/>
          <w:u w:val="single"/>
        </w:rPr>
        <w:t>；生产废水主要是水洗、漂白等工序产生的废水，废水量为</w:t>
      </w:r>
      <w:r>
        <w:rPr>
          <w:rFonts w:hint="eastAsia"/>
          <w:b/>
          <w:bCs/>
          <w:color w:val="auto"/>
          <w:u w:val="single"/>
          <w:lang w:val="en-US" w:eastAsia="zh-CN"/>
        </w:rPr>
        <w:t>39.49</w:t>
      </w:r>
      <w:r>
        <w:rPr>
          <w:rFonts w:hint="eastAsia"/>
          <w:b/>
          <w:bCs/>
          <w:color w:val="auto"/>
          <w:u w:val="single"/>
        </w:rPr>
        <w:t>m</w:t>
      </w:r>
      <w:r>
        <w:rPr>
          <w:rFonts w:hint="eastAsia"/>
          <w:b/>
          <w:bCs/>
          <w:color w:val="auto"/>
          <w:u w:val="single"/>
          <w:vertAlign w:val="superscript"/>
        </w:rPr>
        <w:t>3</w:t>
      </w:r>
      <w:r>
        <w:rPr>
          <w:rFonts w:hint="eastAsia"/>
          <w:b/>
          <w:bCs/>
          <w:color w:val="auto"/>
          <w:u w:val="single"/>
        </w:rPr>
        <w:t>/h</w:t>
      </w:r>
      <w:r>
        <w:rPr>
          <w:rFonts w:hint="eastAsia"/>
          <w:b/>
          <w:bCs/>
          <w:color w:val="auto"/>
          <w:u w:val="single"/>
          <w:lang w:eastAsia="zh-CN"/>
        </w:rPr>
        <w:t>（</w:t>
      </w:r>
      <w:r>
        <w:rPr>
          <w:rFonts w:hint="eastAsia"/>
          <w:b/>
          <w:bCs/>
          <w:color w:val="auto"/>
          <w:u w:val="single"/>
          <w:lang w:val="en-US" w:eastAsia="zh-CN"/>
        </w:rPr>
        <w:t>947.73t/d</w:t>
      </w:r>
      <w:r>
        <w:rPr>
          <w:rFonts w:hint="eastAsia"/>
          <w:b/>
          <w:bCs/>
          <w:color w:val="auto"/>
          <w:u w:val="single"/>
          <w:lang w:eastAsia="zh-CN"/>
        </w:rPr>
        <w:t>）</w:t>
      </w:r>
      <w:r>
        <w:rPr>
          <w:rFonts w:hint="eastAsia"/>
          <w:b/>
          <w:bCs/>
          <w:color w:val="auto"/>
          <w:u w:val="single"/>
        </w:rPr>
        <w:t>。</w:t>
      </w:r>
      <w:r>
        <w:rPr>
          <w:rFonts w:hint="eastAsia"/>
          <w:b/>
          <w:bCs/>
          <w:color w:val="auto"/>
          <w:u w:val="single"/>
          <w:lang w:val="en-US" w:eastAsia="zh-CN"/>
        </w:rPr>
        <w:t>项目</w:t>
      </w:r>
      <w:r>
        <w:rPr>
          <w:rFonts w:hint="eastAsia"/>
          <w:b/>
          <w:bCs/>
          <w:color w:val="auto"/>
          <w:u w:val="single"/>
        </w:rPr>
        <w:t>生产废水经厂区污水管道收集后送入厂区污水处理站处理后排入小店污水处理厂进一步处理，最终排入大沙河。</w:t>
      </w:r>
    </w:p>
    <w:p>
      <w:pPr>
        <w:spacing w:line="520" w:lineRule="exact"/>
        <w:ind w:firstLine="480" w:firstLineChars="200"/>
        <w:rPr>
          <w:rFonts w:hint="eastAsia"/>
          <w:bCs/>
          <w:color w:val="auto"/>
        </w:rPr>
      </w:pPr>
      <w:r>
        <w:rPr>
          <w:rFonts w:hint="eastAsia"/>
          <w:color w:val="auto"/>
        </w:rPr>
        <w:t>厂区污水处理站设计规模为3</w:t>
      </w:r>
      <w:r>
        <w:rPr>
          <w:color w:val="auto"/>
        </w:rPr>
        <w:t>.8</w:t>
      </w:r>
      <w:r>
        <w:rPr>
          <w:rFonts w:hint="eastAsia"/>
          <w:color w:val="auto"/>
        </w:rPr>
        <w:t>万t</w:t>
      </w:r>
      <w:r>
        <w:rPr>
          <w:color w:val="auto"/>
        </w:rPr>
        <w:t>/d</w:t>
      </w:r>
      <w:r>
        <w:rPr>
          <w:rFonts w:hint="eastAsia"/>
          <w:color w:val="auto"/>
        </w:rPr>
        <w:t>，根据水质不同分为四个处理单元：1）粘胶废水处理单元（</w:t>
      </w:r>
      <w:r>
        <w:rPr>
          <w:rFonts w:hint="eastAsia"/>
          <w:color w:val="auto"/>
          <w:lang w:val="en-US" w:eastAsia="zh-CN"/>
        </w:rPr>
        <w:t>设计处理能力</w:t>
      </w:r>
      <w:r>
        <w:rPr>
          <w:rFonts w:hint="eastAsia"/>
          <w:color w:val="auto"/>
        </w:rPr>
        <w:t>6000m</w:t>
      </w:r>
      <w:r>
        <w:rPr>
          <w:rFonts w:hint="eastAsia"/>
          <w:color w:val="auto"/>
          <w:vertAlign w:val="superscript"/>
        </w:rPr>
        <w:t>3</w:t>
      </w:r>
      <w:r>
        <w:rPr>
          <w:rFonts w:hint="eastAsia"/>
          <w:color w:val="auto"/>
        </w:rPr>
        <w:t>/d），主要处理粘胶废水以及锅炉脱硫废水，处理工艺为“酸化（仅粘胶废水需要）+调节+中和+沉淀+氧化沟+二沉池”；2）</w:t>
      </w:r>
      <w:r>
        <w:rPr>
          <w:rFonts w:hint="eastAsia"/>
          <w:color w:val="auto"/>
          <w:lang w:val="en-US" w:eastAsia="zh-CN"/>
        </w:rPr>
        <w:t>长丝</w:t>
      </w:r>
      <w:r>
        <w:rPr>
          <w:rFonts w:hint="eastAsia"/>
          <w:color w:val="auto"/>
        </w:rPr>
        <w:t>酸性废水处理一区（</w:t>
      </w:r>
      <w:r>
        <w:rPr>
          <w:rFonts w:hint="eastAsia"/>
          <w:color w:val="auto"/>
          <w:lang w:val="en-US" w:eastAsia="zh-CN"/>
        </w:rPr>
        <w:t>设计处理能力</w:t>
      </w:r>
      <w:r>
        <w:rPr>
          <w:rFonts w:hint="eastAsia"/>
          <w:color w:val="auto"/>
        </w:rPr>
        <w:t>19000m</w:t>
      </w:r>
      <w:r>
        <w:rPr>
          <w:rFonts w:hint="eastAsia"/>
          <w:color w:val="auto"/>
          <w:vertAlign w:val="superscript"/>
        </w:rPr>
        <w:t>3</w:t>
      </w:r>
      <w:r>
        <w:rPr>
          <w:rFonts w:hint="eastAsia"/>
          <w:color w:val="auto"/>
        </w:rPr>
        <w:t>/d），主要处理长丝和短丝的酸性废水</w:t>
      </w:r>
      <w:r>
        <w:rPr>
          <w:rFonts w:hint="eastAsia"/>
          <w:color w:val="auto"/>
          <w:lang w:eastAsia="zh-CN"/>
        </w:rPr>
        <w:t>（</w:t>
      </w:r>
      <w:r>
        <w:rPr>
          <w:rFonts w:hint="eastAsia"/>
          <w:color w:val="auto"/>
          <w:lang w:val="en-US" w:eastAsia="zh-CN"/>
        </w:rPr>
        <w:t>短丝生产线已关停</w:t>
      </w:r>
      <w:r>
        <w:rPr>
          <w:rFonts w:hint="eastAsia"/>
          <w:color w:val="auto"/>
          <w:lang w:eastAsia="zh-CN"/>
        </w:rPr>
        <w:t>）</w:t>
      </w:r>
      <w:r>
        <w:rPr>
          <w:rFonts w:hint="eastAsia"/>
          <w:color w:val="auto"/>
        </w:rPr>
        <w:t>，处理工艺为“中和</w:t>
      </w:r>
      <w:r>
        <w:rPr>
          <w:rFonts w:hint="eastAsia"/>
          <w:color w:val="auto"/>
          <w:lang w:eastAsia="zh-CN"/>
        </w:rPr>
        <w:t>－</w:t>
      </w:r>
      <w:r>
        <w:rPr>
          <w:rFonts w:hint="eastAsia"/>
          <w:color w:val="auto"/>
        </w:rPr>
        <w:t>沉淀-pH调节”；3）氨纶</w:t>
      </w:r>
      <w:r>
        <w:rPr>
          <w:rFonts w:hint="eastAsia"/>
          <w:color w:val="auto"/>
          <w:lang w:eastAsia="zh-CN"/>
        </w:rPr>
        <w:t>、</w:t>
      </w:r>
      <w:r>
        <w:rPr>
          <w:rFonts w:hint="eastAsia"/>
          <w:color w:val="auto"/>
        </w:rPr>
        <w:t>绿纤废水处理单元（</w:t>
      </w:r>
      <w:r>
        <w:rPr>
          <w:rFonts w:hint="eastAsia"/>
          <w:color w:val="auto"/>
          <w:lang w:val="en-US" w:eastAsia="zh-CN"/>
        </w:rPr>
        <w:t>设计处理能力</w:t>
      </w:r>
      <w:r>
        <w:rPr>
          <w:rFonts w:hint="eastAsia"/>
          <w:color w:val="auto"/>
        </w:rPr>
        <w:t>3000m</w:t>
      </w:r>
      <w:r>
        <w:rPr>
          <w:rFonts w:hint="eastAsia"/>
          <w:color w:val="auto"/>
          <w:vertAlign w:val="superscript"/>
        </w:rPr>
        <w:t>3</w:t>
      </w:r>
      <w:r>
        <w:rPr>
          <w:rFonts w:hint="eastAsia"/>
          <w:color w:val="auto"/>
        </w:rPr>
        <w:t>/d），主要处理氨纶项目和中纺院绿色纤维项目产生的废水，处理工艺为“调节+混合池+沉淀+水解酸化+氧化沟+二沉池</w:t>
      </w:r>
      <w:r>
        <w:rPr>
          <w:rFonts w:hint="eastAsia"/>
          <w:color w:val="auto"/>
          <w:lang w:val="en-US" w:eastAsia="zh-CN"/>
        </w:rPr>
        <w:t>+混凝池+终沉池</w:t>
      </w:r>
      <w:r>
        <w:rPr>
          <w:rFonts w:hint="eastAsia"/>
          <w:color w:val="auto"/>
        </w:rPr>
        <w:t>”；4）</w:t>
      </w:r>
      <w:r>
        <w:rPr>
          <w:rFonts w:hint="eastAsia"/>
          <w:color w:val="auto"/>
          <w:lang w:val="en-US" w:eastAsia="zh-CN"/>
        </w:rPr>
        <w:t>长丝</w:t>
      </w:r>
      <w:r>
        <w:rPr>
          <w:rFonts w:hint="eastAsia"/>
          <w:color w:val="auto"/>
        </w:rPr>
        <w:t>酸性废水处理二区（</w:t>
      </w:r>
      <w:r>
        <w:rPr>
          <w:rFonts w:hint="eastAsia"/>
          <w:color w:val="auto"/>
          <w:lang w:val="en-US" w:eastAsia="zh-CN"/>
        </w:rPr>
        <w:t>设计处理能力</w:t>
      </w:r>
      <w:r>
        <w:rPr>
          <w:rFonts w:hint="eastAsia"/>
          <w:color w:val="auto"/>
        </w:rPr>
        <w:t>10000m</w:t>
      </w:r>
      <w:r>
        <w:rPr>
          <w:rFonts w:hint="eastAsia"/>
          <w:color w:val="auto"/>
          <w:vertAlign w:val="superscript"/>
        </w:rPr>
        <w:t>3</w:t>
      </w:r>
      <w:r>
        <w:rPr>
          <w:rFonts w:hint="eastAsia"/>
          <w:color w:val="auto"/>
        </w:rPr>
        <w:t>/d），主要处理长丝和短丝的酸性废水，处理工艺为“中和-沉淀-pH调节”。由于两条年产4万吨短丝的生产线已经淘汰拆除，新厂区污水处理站目前富余污水处理能力</w:t>
      </w:r>
      <w:r>
        <w:rPr>
          <w:rFonts w:hint="eastAsia"/>
          <w:color w:val="auto"/>
          <w:lang w:val="en-US" w:eastAsia="zh-CN"/>
        </w:rPr>
        <w:t>为</w:t>
      </w:r>
      <w:r>
        <w:rPr>
          <w:rFonts w:hint="eastAsia"/>
          <w:b w:val="0"/>
          <w:bCs w:val="0"/>
          <w:color w:val="auto"/>
          <w:u w:val="none"/>
          <w:lang w:val="en-US" w:eastAsia="zh-CN"/>
        </w:rPr>
        <w:t>21595.57</w:t>
      </w:r>
      <w:r>
        <w:rPr>
          <w:rFonts w:hint="eastAsia"/>
          <w:b w:val="0"/>
          <w:bCs w:val="0"/>
          <w:color w:val="auto"/>
          <w:u w:val="none"/>
        </w:rPr>
        <w:t>m</w:t>
      </w:r>
      <w:r>
        <w:rPr>
          <w:rFonts w:hint="eastAsia"/>
          <w:b w:val="0"/>
          <w:bCs w:val="0"/>
          <w:color w:val="auto"/>
          <w:u w:val="none"/>
          <w:vertAlign w:val="superscript"/>
        </w:rPr>
        <w:t>3</w:t>
      </w:r>
      <w:r>
        <w:rPr>
          <w:rFonts w:hint="eastAsia"/>
          <w:b w:val="0"/>
          <w:bCs w:val="0"/>
          <w:color w:val="auto"/>
          <w:u w:val="none"/>
        </w:rPr>
        <w:t>/d</w:t>
      </w:r>
      <w:r>
        <w:rPr>
          <w:rFonts w:hint="eastAsia"/>
          <w:color w:val="auto"/>
        </w:rPr>
        <w:t>，其中氨纶</w:t>
      </w:r>
      <w:r>
        <w:rPr>
          <w:rFonts w:hint="eastAsia"/>
          <w:color w:val="auto"/>
          <w:lang w:eastAsia="zh-CN"/>
        </w:rPr>
        <w:t>、</w:t>
      </w:r>
      <w:r>
        <w:rPr>
          <w:rFonts w:hint="eastAsia"/>
          <w:color w:val="auto"/>
        </w:rPr>
        <w:t>绿纤废水处理单元富余污水处理能力约418.47m</w:t>
      </w:r>
      <w:r>
        <w:rPr>
          <w:rFonts w:hint="eastAsia"/>
          <w:color w:val="auto"/>
          <w:vertAlign w:val="superscript"/>
        </w:rPr>
        <w:t>3</w:t>
      </w:r>
      <w:r>
        <w:rPr>
          <w:rFonts w:hint="eastAsia"/>
          <w:color w:val="auto"/>
        </w:rPr>
        <w:t>/d，2023年5月份</w:t>
      </w:r>
      <w:r>
        <w:rPr>
          <w:rFonts w:hint="eastAsia"/>
          <w:color w:val="auto"/>
          <w:lang w:val="en-US" w:eastAsia="zh-CN"/>
        </w:rPr>
        <w:t>绿纤公司运行新建设的污水处理站，新厂区污水处理站</w:t>
      </w:r>
      <w:r>
        <w:rPr>
          <w:rFonts w:hint="eastAsia"/>
          <w:color w:val="auto"/>
        </w:rPr>
        <w:t>不再接收</w:t>
      </w:r>
      <w:r>
        <w:rPr>
          <w:rFonts w:hint="eastAsia"/>
          <w:color w:val="auto"/>
          <w:lang w:val="en-US" w:eastAsia="zh-CN"/>
        </w:rPr>
        <w:t>任何绿纤公司的废水。届时</w:t>
      </w:r>
      <w:r>
        <w:rPr>
          <w:rFonts w:hint="eastAsia"/>
          <w:color w:val="auto"/>
        </w:rPr>
        <w:t>氨纶</w:t>
      </w:r>
      <w:r>
        <w:rPr>
          <w:rFonts w:hint="eastAsia"/>
          <w:color w:val="auto"/>
          <w:lang w:eastAsia="zh-CN"/>
        </w:rPr>
        <w:t>、</w:t>
      </w:r>
      <w:r>
        <w:rPr>
          <w:rFonts w:hint="eastAsia"/>
          <w:color w:val="auto"/>
        </w:rPr>
        <w:t>绿纤废水处理单元</w:t>
      </w:r>
      <w:r>
        <w:rPr>
          <w:rFonts w:hint="eastAsia"/>
          <w:color w:val="auto"/>
          <w:lang w:val="en-US" w:eastAsia="zh-CN"/>
        </w:rPr>
        <w:t>富余污水处理能力约为2130.21</w:t>
      </w:r>
      <w:r>
        <w:rPr>
          <w:rFonts w:hint="eastAsia"/>
          <w:color w:val="auto"/>
        </w:rPr>
        <w:t>m</w:t>
      </w:r>
      <w:r>
        <w:rPr>
          <w:rFonts w:hint="eastAsia"/>
          <w:color w:val="auto"/>
          <w:vertAlign w:val="superscript"/>
        </w:rPr>
        <w:t>3</w:t>
      </w:r>
      <w:r>
        <w:rPr>
          <w:rFonts w:hint="eastAsia"/>
          <w:color w:val="auto"/>
        </w:rPr>
        <w:t>/d</w:t>
      </w:r>
      <w:r>
        <w:rPr>
          <w:rFonts w:hint="eastAsia"/>
          <w:bCs/>
          <w:color w:val="auto"/>
        </w:rPr>
        <w:t>，能够满足本项目（中试）废水处理需求。</w:t>
      </w:r>
    </w:p>
    <w:p>
      <w:pPr>
        <w:spacing w:line="520" w:lineRule="exact"/>
        <w:ind w:firstLine="480" w:firstLineChars="200"/>
        <w:rPr>
          <w:color w:val="auto"/>
        </w:rPr>
      </w:pPr>
      <w:r>
        <w:rPr>
          <w:rFonts w:hint="eastAsia"/>
          <w:color w:val="auto"/>
        </w:rPr>
        <w:t>（3）供电</w:t>
      </w:r>
    </w:p>
    <w:p>
      <w:pPr>
        <w:spacing w:line="520" w:lineRule="exact"/>
        <w:ind w:firstLine="480" w:firstLineChars="200"/>
        <w:rPr>
          <w:color w:val="auto"/>
          <w:highlight w:val="yellow"/>
        </w:rPr>
      </w:pPr>
      <w:r>
        <w:rPr>
          <w:rFonts w:hint="eastAsia"/>
          <w:color w:val="auto"/>
        </w:rPr>
        <w:t>经开区现状有三处变电站，其中110KV彩虹变和110KV白鹭变，电源接自220KV古固寨变；110KV氨纶变T接自林彩线，可以为进区企业提供生产、生活用电。</w:t>
      </w:r>
    </w:p>
    <w:p>
      <w:pPr>
        <w:spacing w:line="520" w:lineRule="exact"/>
        <w:ind w:firstLine="480" w:firstLineChars="200"/>
        <w:rPr>
          <w:color w:val="auto"/>
          <w:highlight w:val="yellow"/>
        </w:rPr>
      </w:pPr>
      <w:r>
        <w:rPr>
          <w:rFonts w:hint="eastAsia"/>
          <w:color w:val="auto"/>
        </w:rPr>
        <w:t>110KV白鹭变电站建于2005年，位于公司现有厂区中部，配置31500KVA变压器两台、20000KVA变压器一台，主要供厂区早期建设的生产车间使用。本项目建设地址与该变电站较近，按照目前使用情况及项目规划，110kV白鹭变电站完全能够满足本项目用电需要。</w:t>
      </w:r>
    </w:p>
    <w:p>
      <w:pPr>
        <w:spacing w:line="520" w:lineRule="exact"/>
        <w:ind w:firstLine="480" w:firstLineChars="200"/>
        <w:rPr>
          <w:color w:val="auto"/>
        </w:rPr>
      </w:pPr>
      <w:r>
        <w:rPr>
          <w:rFonts w:hint="eastAsia"/>
          <w:color w:val="auto"/>
        </w:rPr>
        <w:t>（4）供热</w:t>
      </w:r>
    </w:p>
    <w:p>
      <w:pPr>
        <w:spacing w:line="520" w:lineRule="exact"/>
        <w:ind w:firstLine="480" w:firstLineChars="200"/>
        <w:rPr>
          <w:color w:val="auto"/>
        </w:rPr>
      </w:pPr>
      <w:r>
        <w:rPr>
          <w:rFonts w:hint="eastAsia"/>
          <w:color w:val="auto"/>
        </w:rPr>
        <w:t>本项目蒸煮挤浆、五效蒸发等工序需要蒸汽作为热源加热。用热负荷详见表3</w:t>
      </w:r>
      <w:r>
        <w:rPr>
          <w:color w:val="auto"/>
        </w:rPr>
        <w:t>.</w:t>
      </w:r>
      <w:r>
        <w:rPr>
          <w:rFonts w:hint="eastAsia"/>
          <w:color w:val="auto"/>
          <w:lang w:val="en-US" w:eastAsia="zh-CN"/>
        </w:rPr>
        <w:t>8</w:t>
      </w:r>
      <w:r>
        <w:rPr>
          <w:rFonts w:hint="eastAsia"/>
          <w:color w:val="auto"/>
        </w:rPr>
        <w:t>-</w:t>
      </w:r>
      <w:r>
        <w:rPr>
          <w:color w:val="auto"/>
        </w:rPr>
        <w:t>10</w:t>
      </w:r>
      <w:r>
        <w:rPr>
          <w:rFonts w:hint="eastAsia"/>
          <w:color w:val="auto"/>
        </w:rPr>
        <w:t>。</w:t>
      </w:r>
    </w:p>
    <w:p>
      <w:pPr>
        <w:pStyle w:val="181"/>
        <w:bidi w:val="0"/>
        <w:rPr>
          <w:color w:val="auto"/>
        </w:rPr>
      </w:pPr>
      <w:r>
        <w:rPr>
          <w:rFonts w:hint="eastAsia"/>
          <w:color w:val="auto"/>
        </w:rPr>
        <w:t>表3</w:t>
      </w:r>
      <w:r>
        <w:rPr>
          <w:color w:val="auto"/>
        </w:rPr>
        <w:t>.</w:t>
      </w:r>
      <w:r>
        <w:rPr>
          <w:rFonts w:hint="eastAsia"/>
          <w:color w:val="auto"/>
          <w:lang w:val="en-US" w:eastAsia="zh-CN"/>
        </w:rPr>
        <w:t>8</w:t>
      </w:r>
      <w:r>
        <w:rPr>
          <w:rFonts w:hint="eastAsia"/>
          <w:color w:val="auto"/>
        </w:rPr>
        <w:t>-</w:t>
      </w:r>
      <w:r>
        <w:rPr>
          <w:color w:val="auto"/>
        </w:rPr>
        <w:t>1</w:t>
      </w:r>
      <w:r>
        <w:rPr>
          <w:rFonts w:hint="eastAsia"/>
          <w:color w:val="auto"/>
          <w:lang w:val="en-US" w:eastAsia="zh-CN"/>
        </w:rPr>
        <w:t xml:space="preserve">0              </w:t>
      </w:r>
      <w:r>
        <w:rPr>
          <w:rFonts w:hint="eastAsia"/>
          <w:color w:val="auto"/>
        </w:rPr>
        <w:t>项目热负荷一览表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1453"/>
        <w:gridCol w:w="2415"/>
        <w:gridCol w:w="1813"/>
        <w:gridCol w:w="1374"/>
        <w:gridCol w:w="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pPr>
              <w:pStyle w:val="182"/>
              <w:bidi w:val="0"/>
              <w:rPr>
                <w:b/>
                <w:bCs/>
                <w:color w:val="auto"/>
                <w:u w:val="single"/>
              </w:rPr>
            </w:pPr>
            <w:r>
              <w:rPr>
                <w:rFonts w:hint="eastAsia"/>
                <w:b/>
                <w:bCs/>
                <w:color w:val="auto"/>
                <w:u w:val="single"/>
              </w:rPr>
              <w:t>序号</w:t>
            </w:r>
          </w:p>
        </w:tc>
        <w:tc>
          <w:tcPr>
            <w:tcW w:w="807" w:type="pct"/>
            <w:vAlign w:val="center"/>
          </w:tcPr>
          <w:p>
            <w:pPr>
              <w:pStyle w:val="182"/>
              <w:bidi w:val="0"/>
              <w:rPr>
                <w:b/>
                <w:bCs/>
                <w:color w:val="auto"/>
                <w:u w:val="single"/>
              </w:rPr>
            </w:pPr>
            <w:r>
              <w:rPr>
                <w:rFonts w:hint="eastAsia"/>
                <w:b/>
                <w:bCs/>
                <w:color w:val="auto"/>
                <w:u w:val="single"/>
              </w:rPr>
              <w:t>用热单元</w:t>
            </w:r>
          </w:p>
        </w:tc>
        <w:tc>
          <w:tcPr>
            <w:tcW w:w="1341" w:type="pct"/>
            <w:vAlign w:val="center"/>
          </w:tcPr>
          <w:p>
            <w:pPr>
              <w:pStyle w:val="182"/>
              <w:bidi w:val="0"/>
              <w:rPr>
                <w:b/>
                <w:bCs/>
                <w:color w:val="auto"/>
                <w:u w:val="single"/>
              </w:rPr>
            </w:pPr>
            <w:r>
              <w:rPr>
                <w:rFonts w:hint="eastAsia"/>
                <w:b/>
                <w:bCs/>
                <w:color w:val="auto"/>
                <w:u w:val="single"/>
              </w:rPr>
              <w:t>平均用汽量（t/</w:t>
            </w:r>
            <w:r>
              <w:rPr>
                <w:rFonts w:hint="eastAsia"/>
                <w:b/>
                <w:bCs/>
                <w:color w:val="auto"/>
                <w:u w:val="single"/>
                <w:lang w:val="en-US" w:eastAsia="zh-CN"/>
              </w:rPr>
              <w:t>t产品</w:t>
            </w:r>
            <w:r>
              <w:rPr>
                <w:rFonts w:hint="eastAsia"/>
                <w:b/>
                <w:bCs/>
                <w:color w:val="auto"/>
                <w:u w:val="single"/>
              </w:rPr>
              <w:t>）</w:t>
            </w:r>
          </w:p>
        </w:tc>
        <w:tc>
          <w:tcPr>
            <w:tcW w:w="1007" w:type="pct"/>
            <w:vAlign w:val="center"/>
          </w:tcPr>
          <w:p>
            <w:pPr>
              <w:pStyle w:val="182"/>
              <w:bidi w:val="0"/>
              <w:rPr>
                <w:b/>
                <w:bCs/>
                <w:color w:val="auto"/>
                <w:u w:val="single"/>
              </w:rPr>
            </w:pPr>
            <w:r>
              <w:rPr>
                <w:rFonts w:hint="eastAsia"/>
                <w:b/>
                <w:bCs/>
                <w:color w:val="auto"/>
                <w:u w:val="single"/>
              </w:rPr>
              <w:t>日用汽量</w:t>
            </w:r>
            <w:r>
              <w:rPr>
                <w:rFonts w:hint="eastAsia"/>
                <w:b/>
                <w:bCs/>
                <w:color w:val="auto"/>
                <w:u w:val="single"/>
                <w:lang w:eastAsia="zh-CN"/>
              </w:rPr>
              <w:t>(</w:t>
            </w:r>
            <w:r>
              <w:rPr>
                <w:rFonts w:hint="eastAsia"/>
                <w:b/>
                <w:bCs/>
                <w:color w:val="auto"/>
                <w:u w:val="single"/>
              </w:rPr>
              <w:t xml:space="preserve">t/d) </w:t>
            </w:r>
          </w:p>
        </w:tc>
        <w:tc>
          <w:tcPr>
            <w:tcW w:w="763" w:type="pct"/>
            <w:vAlign w:val="center"/>
          </w:tcPr>
          <w:p>
            <w:pPr>
              <w:pStyle w:val="182"/>
              <w:bidi w:val="0"/>
              <w:rPr>
                <w:b/>
                <w:bCs/>
                <w:color w:val="auto"/>
                <w:u w:val="single"/>
              </w:rPr>
            </w:pPr>
            <w:r>
              <w:rPr>
                <w:rFonts w:hint="eastAsia"/>
                <w:b/>
                <w:bCs/>
                <w:color w:val="auto"/>
                <w:u w:val="single"/>
              </w:rPr>
              <w:t>表压</w:t>
            </w:r>
            <w:r>
              <w:rPr>
                <w:rFonts w:hint="eastAsia"/>
                <w:b/>
                <w:bCs/>
                <w:color w:val="auto"/>
                <w:u w:val="single"/>
                <w:lang w:eastAsia="zh-CN"/>
              </w:rPr>
              <w:t>(</w:t>
            </w:r>
            <w:r>
              <w:rPr>
                <w:rFonts w:hint="eastAsia"/>
                <w:b/>
                <w:bCs/>
                <w:color w:val="auto"/>
                <w:u w:val="single"/>
              </w:rPr>
              <w:t>MPa)</w:t>
            </w:r>
          </w:p>
        </w:tc>
        <w:tc>
          <w:tcPr>
            <w:tcW w:w="518" w:type="pct"/>
            <w:vAlign w:val="center"/>
          </w:tcPr>
          <w:p>
            <w:pPr>
              <w:pStyle w:val="182"/>
              <w:bidi w:val="0"/>
              <w:rPr>
                <w:b/>
                <w:bCs/>
                <w:color w:val="auto"/>
                <w:u w:val="single"/>
              </w:rPr>
            </w:pPr>
            <w:r>
              <w:rPr>
                <w:rFonts w:hint="eastAsia"/>
                <w:b/>
                <w:bCs/>
                <w:color w:val="auto"/>
                <w:u w:val="singl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pPr>
              <w:pStyle w:val="182"/>
              <w:bidi w:val="0"/>
              <w:rPr>
                <w:b/>
                <w:bCs/>
                <w:color w:val="auto"/>
                <w:u w:val="single"/>
              </w:rPr>
            </w:pPr>
            <w:r>
              <w:rPr>
                <w:rFonts w:hint="eastAsia"/>
                <w:b/>
                <w:bCs/>
                <w:color w:val="auto"/>
                <w:u w:val="single"/>
              </w:rPr>
              <w:t>1</w:t>
            </w:r>
          </w:p>
        </w:tc>
        <w:tc>
          <w:tcPr>
            <w:tcW w:w="807" w:type="pct"/>
            <w:vAlign w:val="center"/>
          </w:tcPr>
          <w:p>
            <w:pPr>
              <w:pStyle w:val="182"/>
              <w:bidi w:val="0"/>
              <w:rPr>
                <w:b/>
                <w:bCs/>
                <w:color w:val="auto"/>
                <w:u w:val="single"/>
              </w:rPr>
            </w:pPr>
            <w:r>
              <w:rPr>
                <w:rFonts w:hint="eastAsia"/>
                <w:b/>
                <w:bCs/>
                <w:color w:val="auto"/>
                <w:u w:val="single"/>
              </w:rPr>
              <w:t>蒸煮</w:t>
            </w:r>
          </w:p>
        </w:tc>
        <w:tc>
          <w:tcPr>
            <w:tcW w:w="1341" w:type="pct"/>
            <w:vAlign w:val="center"/>
          </w:tcPr>
          <w:p>
            <w:pPr>
              <w:pStyle w:val="182"/>
              <w:bidi w:val="0"/>
              <w:rPr>
                <w:b/>
                <w:bCs/>
                <w:color w:val="auto"/>
                <w:u w:val="single"/>
              </w:rPr>
            </w:pPr>
            <w:r>
              <w:rPr>
                <w:rFonts w:hint="eastAsia"/>
                <w:b/>
                <w:bCs/>
                <w:color w:val="auto"/>
                <w:u w:val="single"/>
              </w:rPr>
              <w:t>0</w:t>
            </w:r>
            <w:r>
              <w:rPr>
                <w:b/>
                <w:bCs/>
                <w:color w:val="auto"/>
                <w:u w:val="single"/>
              </w:rPr>
              <w:t>.8</w:t>
            </w:r>
          </w:p>
        </w:tc>
        <w:tc>
          <w:tcPr>
            <w:tcW w:w="1007"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12.12</w:t>
            </w:r>
          </w:p>
        </w:tc>
        <w:tc>
          <w:tcPr>
            <w:tcW w:w="763" w:type="pct"/>
            <w:vAlign w:val="center"/>
          </w:tcPr>
          <w:p>
            <w:pPr>
              <w:pStyle w:val="182"/>
              <w:bidi w:val="0"/>
              <w:rPr>
                <w:b/>
                <w:bCs/>
                <w:color w:val="auto"/>
                <w:u w:val="single"/>
              </w:rPr>
            </w:pPr>
            <w:r>
              <w:rPr>
                <w:rFonts w:hint="eastAsia"/>
                <w:b/>
                <w:bCs/>
                <w:color w:val="auto"/>
                <w:u w:val="single"/>
              </w:rPr>
              <w:t>0</w:t>
            </w:r>
            <w:r>
              <w:rPr>
                <w:b/>
                <w:bCs/>
                <w:color w:val="auto"/>
                <w:u w:val="single"/>
              </w:rPr>
              <w:t>.6</w:t>
            </w:r>
          </w:p>
        </w:tc>
        <w:tc>
          <w:tcPr>
            <w:tcW w:w="518" w:type="pct"/>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pPr>
              <w:pStyle w:val="182"/>
              <w:bidi w:val="0"/>
              <w:rPr>
                <w:b/>
                <w:bCs/>
                <w:color w:val="auto"/>
                <w:u w:val="single"/>
              </w:rPr>
            </w:pPr>
            <w:r>
              <w:rPr>
                <w:rFonts w:hint="eastAsia"/>
                <w:b/>
                <w:bCs/>
                <w:color w:val="auto"/>
                <w:u w:val="single"/>
              </w:rPr>
              <w:t>2</w:t>
            </w:r>
          </w:p>
        </w:tc>
        <w:tc>
          <w:tcPr>
            <w:tcW w:w="807"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水洗、漂白</w:t>
            </w:r>
          </w:p>
        </w:tc>
        <w:tc>
          <w:tcPr>
            <w:tcW w:w="1341"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0.5</w:t>
            </w:r>
          </w:p>
        </w:tc>
        <w:tc>
          <w:tcPr>
            <w:tcW w:w="1007"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7.58</w:t>
            </w:r>
          </w:p>
        </w:tc>
        <w:tc>
          <w:tcPr>
            <w:tcW w:w="763" w:type="pct"/>
            <w:vAlign w:val="center"/>
          </w:tcPr>
          <w:p>
            <w:pPr>
              <w:pStyle w:val="182"/>
              <w:bidi w:val="0"/>
              <w:rPr>
                <w:b/>
                <w:bCs/>
                <w:color w:val="auto"/>
                <w:u w:val="single"/>
              </w:rPr>
            </w:pPr>
            <w:r>
              <w:rPr>
                <w:rFonts w:hint="eastAsia"/>
                <w:b/>
                <w:bCs/>
                <w:color w:val="auto"/>
                <w:u w:val="single"/>
              </w:rPr>
              <w:t>0</w:t>
            </w:r>
            <w:r>
              <w:rPr>
                <w:b/>
                <w:bCs/>
                <w:color w:val="auto"/>
                <w:u w:val="single"/>
              </w:rPr>
              <w:t>.6</w:t>
            </w:r>
          </w:p>
        </w:tc>
        <w:tc>
          <w:tcPr>
            <w:tcW w:w="518" w:type="pct"/>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3</w:t>
            </w:r>
          </w:p>
        </w:tc>
        <w:tc>
          <w:tcPr>
            <w:tcW w:w="807" w:type="pct"/>
            <w:vAlign w:val="center"/>
          </w:tcPr>
          <w:p>
            <w:pPr>
              <w:pStyle w:val="182"/>
              <w:bidi w:val="0"/>
              <w:rPr>
                <w:rFonts w:hint="default"/>
                <w:b/>
                <w:bCs/>
                <w:color w:val="auto"/>
                <w:u w:val="single"/>
                <w:lang w:val="en-US" w:eastAsia="zh-CN"/>
              </w:rPr>
            </w:pPr>
            <w:r>
              <w:rPr>
                <w:rFonts w:hint="eastAsia"/>
                <w:b/>
                <w:bCs/>
                <w:color w:val="auto"/>
                <w:u w:val="single"/>
                <w:lang w:val="en-US" w:eastAsia="zh-CN"/>
              </w:rPr>
              <w:t>抄浆</w:t>
            </w:r>
          </w:p>
        </w:tc>
        <w:tc>
          <w:tcPr>
            <w:tcW w:w="1341" w:type="pct"/>
            <w:vAlign w:val="center"/>
          </w:tcPr>
          <w:p>
            <w:pPr>
              <w:pStyle w:val="182"/>
              <w:bidi w:val="0"/>
              <w:rPr>
                <w:rFonts w:hint="default"/>
                <w:b/>
                <w:bCs/>
                <w:color w:val="auto"/>
                <w:u w:val="single"/>
                <w:lang w:val="en-US" w:eastAsia="zh-CN"/>
              </w:rPr>
            </w:pPr>
            <w:r>
              <w:rPr>
                <w:rFonts w:hint="eastAsia"/>
                <w:b/>
                <w:bCs/>
                <w:color w:val="auto"/>
                <w:u w:val="single"/>
                <w:lang w:val="en-US" w:eastAsia="zh-CN"/>
              </w:rPr>
              <w:t>1</w:t>
            </w:r>
          </w:p>
        </w:tc>
        <w:tc>
          <w:tcPr>
            <w:tcW w:w="1007" w:type="pct"/>
            <w:vAlign w:val="center"/>
          </w:tcPr>
          <w:p>
            <w:pPr>
              <w:pStyle w:val="182"/>
              <w:bidi w:val="0"/>
              <w:rPr>
                <w:rFonts w:hint="default"/>
                <w:b/>
                <w:bCs/>
                <w:color w:val="auto"/>
                <w:u w:val="single"/>
                <w:lang w:val="en-US" w:eastAsia="zh-CN"/>
              </w:rPr>
            </w:pPr>
            <w:r>
              <w:rPr>
                <w:rFonts w:hint="eastAsia"/>
                <w:b/>
                <w:bCs/>
                <w:color w:val="auto"/>
                <w:u w:val="single"/>
                <w:lang w:val="en-US" w:eastAsia="zh-CN"/>
              </w:rPr>
              <w:t>15.15</w:t>
            </w:r>
          </w:p>
        </w:tc>
        <w:tc>
          <w:tcPr>
            <w:tcW w:w="763"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0.6</w:t>
            </w:r>
          </w:p>
        </w:tc>
        <w:tc>
          <w:tcPr>
            <w:tcW w:w="518" w:type="pct"/>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4</w:t>
            </w:r>
          </w:p>
        </w:tc>
        <w:tc>
          <w:tcPr>
            <w:tcW w:w="807" w:type="pct"/>
            <w:vAlign w:val="center"/>
          </w:tcPr>
          <w:p>
            <w:pPr>
              <w:pStyle w:val="182"/>
              <w:bidi w:val="0"/>
              <w:rPr>
                <w:b/>
                <w:bCs/>
                <w:color w:val="auto"/>
                <w:u w:val="single"/>
              </w:rPr>
            </w:pPr>
            <w:r>
              <w:rPr>
                <w:rFonts w:hint="eastAsia"/>
                <w:b/>
                <w:bCs/>
                <w:color w:val="auto"/>
                <w:u w:val="single"/>
              </w:rPr>
              <w:t>烘干</w:t>
            </w:r>
          </w:p>
        </w:tc>
        <w:tc>
          <w:tcPr>
            <w:tcW w:w="1341"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2.2</w:t>
            </w:r>
          </w:p>
        </w:tc>
        <w:tc>
          <w:tcPr>
            <w:tcW w:w="1007"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33.33</w:t>
            </w:r>
          </w:p>
        </w:tc>
        <w:tc>
          <w:tcPr>
            <w:tcW w:w="763" w:type="pct"/>
            <w:vAlign w:val="center"/>
          </w:tcPr>
          <w:p>
            <w:pPr>
              <w:pStyle w:val="182"/>
              <w:bidi w:val="0"/>
              <w:rPr>
                <w:b/>
                <w:bCs/>
                <w:color w:val="auto"/>
                <w:u w:val="single"/>
              </w:rPr>
            </w:pPr>
            <w:r>
              <w:rPr>
                <w:rFonts w:hint="eastAsia"/>
                <w:b/>
                <w:bCs/>
                <w:color w:val="auto"/>
                <w:u w:val="single"/>
              </w:rPr>
              <w:t>0</w:t>
            </w:r>
            <w:r>
              <w:rPr>
                <w:b/>
                <w:bCs/>
                <w:color w:val="auto"/>
                <w:u w:val="single"/>
              </w:rPr>
              <w:t>.6</w:t>
            </w:r>
          </w:p>
        </w:tc>
        <w:tc>
          <w:tcPr>
            <w:tcW w:w="518" w:type="pct"/>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pPr>
              <w:pStyle w:val="182"/>
              <w:bidi w:val="0"/>
              <w:rPr>
                <w:b/>
                <w:bCs/>
                <w:color w:val="auto"/>
                <w:u w:val="single"/>
              </w:rPr>
            </w:pPr>
          </w:p>
        </w:tc>
        <w:tc>
          <w:tcPr>
            <w:tcW w:w="807" w:type="pct"/>
            <w:vAlign w:val="center"/>
          </w:tcPr>
          <w:p>
            <w:pPr>
              <w:pStyle w:val="182"/>
              <w:bidi w:val="0"/>
              <w:rPr>
                <w:b/>
                <w:bCs/>
                <w:color w:val="auto"/>
                <w:u w:val="single"/>
              </w:rPr>
            </w:pPr>
            <w:r>
              <w:rPr>
                <w:rFonts w:hint="eastAsia"/>
                <w:b/>
                <w:bCs/>
                <w:color w:val="auto"/>
                <w:u w:val="single"/>
              </w:rPr>
              <w:t>合计</w:t>
            </w:r>
          </w:p>
        </w:tc>
        <w:tc>
          <w:tcPr>
            <w:tcW w:w="1341" w:type="pct"/>
            <w:vAlign w:val="center"/>
          </w:tcPr>
          <w:p>
            <w:pPr>
              <w:pStyle w:val="182"/>
              <w:bidi w:val="0"/>
              <w:rPr>
                <w:b/>
                <w:bCs/>
                <w:color w:val="auto"/>
                <w:u w:val="single"/>
              </w:rPr>
            </w:pPr>
            <w:r>
              <w:rPr>
                <w:rFonts w:hint="eastAsia"/>
                <w:b/>
                <w:bCs/>
                <w:color w:val="auto"/>
                <w:u w:val="single"/>
              </w:rPr>
              <w:t>4</w:t>
            </w:r>
            <w:r>
              <w:rPr>
                <w:b/>
                <w:bCs/>
                <w:color w:val="auto"/>
                <w:u w:val="single"/>
              </w:rPr>
              <w:t>.5</w:t>
            </w:r>
          </w:p>
        </w:tc>
        <w:tc>
          <w:tcPr>
            <w:tcW w:w="1007"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68.18</w:t>
            </w:r>
          </w:p>
        </w:tc>
        <w:tc>
          <w:tcPr>
            <w:tcW w:w="763" w:type="pct"/>
            <w:vAlign w:val="center"/>
          </w:tcPr>
          <w:p>
            <w:pPr>
              <w:pStyle w:val="182"/>
              <w:bidi w:val="0"/>
              <w:rPr>
                <w:b/>
                <w:bCs/>
                <w:color w:val="auto"/>
                <w:u w:val="single"/>
              </w:rPr>
            </w:pPr>
          </w:p>
        </w:tc>
        <w:tc>
          <w:tcPr>
            <w:tcW w:w="518" w:type="pct"/>
            <w:vAlign w:val="center"/>
          </w:tcPr>
          <w:p>
            <w:pPr>
              <w:pStyle w:val="182"/>
              <w:bidi w:val="0"/>
              <w:rPr>
                <w:b/>
                <w:bCs/>
                <w:color w:val="auto"/>
                <w:u w:val="single"/>
              </w:rPr>
            </w:pPr>
          </w:p>
        </w:tc>
      </w:tr>
    </w:tbl>
    <w:p>
      <w:pPr>
        <w:spacing w:line="520" w:lineRule="exact"/>
        <w:ind w:firstLine="480" w:firstLineChars="200"/>
        <w:rPr>
          <w:color w:val="auto"/>
        </w:rPr>
      </w:pPr>
      <w:r>
        <w:rPr>
          <w:rFonts w:hint="eastAsia"/>
          <w:color w:val="auto"/>
        </w:rPr>
        <w:t>根据全厂热负荷表，本项目平均</w:t>
      </w:r>
      <w:r>
        <w:rPr>
          <w:rFonts w:hint="eastAsia"/>
          <w:color w:val="auto"/>
          <w:lang w:eastAsia="zh-CN"/>
        </w:rPr>
        <w:t>用汽负荷</w:t>
      </w:r>
      <w:r>
        <w:rPr>
          <w:rFonts w:hint="eastAsia"/>
          <w:color w:val="auto"/>
        </w:rPr>
        <w:t>为4.5t/</w:t>
      </w:r>
      <w:r>
        <w:rPr>
          <w:rFonts w:hint="eastAsia"/>
          <w:color w:val="auto"/>
          <w:lang w:val="en-US" w:eastAsia="zh-CN"/>
        </w:rPr>
        <w:t>t产品</w:t>
      </w:r>
      <w:r>
        <w:rPr>
          <w:rFonts w:hint="eastAsia"/>
          <w:color w:val="auto"/>
        </w:rPr>
        <w:t>。年耗0.6MPa饱和蒸汽</w:t>
      </w:r>
      <w:r>
        <w:rPr>
          <w:rFonts w:hint="eastAsia"/>
          <w:color w:val="auto"/>
          <w:lang w:val="en-US" w:eastAsia="zh-CN"/>
        </w:rPr>
        <w:t>22500</w:t>
      </w:r>
      <w:r>
        <w:rPr>
          <w:rFonts w:hint="eastAsia"/>
          <w:color w:val="auto"/>
        </w:rPr>
        <w:t>吨。</w:t>
      </w:r>
    </w:p>
    <w:p>
      <w:pPr>
        <w:spacing w:line="520" w:lineRule="exact"/>
        <w:ind w:firstLine="480" w:firstLineChars="200"/>
        <w:rPr>
          <w:rFonts w:hint="default" w:eastAsia="宋体"/>
          <w:color w:val="auto"/>
          <w:lang w:val="en-US" w:eastAsia="zh-CN"/>
        </w:rPr>
      </w:pPr>
      <w:r>
        <w:rPr>
          <w:rFonts w:hint="eastAsia"/>
          <w:color w:val="auto"/>
        </w:rPr>
        <w:t>经开区的两个集中</w:t>
      </w:r>
      <w:r>
        <w:rPr>
          <w:rFonts w:hint="eastAsia"/>
          <w:color w:val="auto"/>
          <w:lang w:eastAsia="zh-CN"/>
        </w:rPr>
        <w:t>热</w:t>
      </w:r>
      <w:r>
        <w:rPr>
          <w:rFonts w:hint="eastAsia"/>
          <w:color w:val="auto"/>
        </w:rPr>
        <w:t>源点分别为新奥集团供热厂和新乡化纤股份有限公司，现状新奥集团供热厂供热锅炉1台15t/h的燃气锅炉，新乡化纤股份有限公司供热锅炉为2台170t/h锅炉，1台75t/h锅炉，供热能力为“2×170t/h+75t/h”。在建一台360t/h高温高压锅炉已于2022年7月开工建设，预计于202</w:t>
      </w:r>
      <w:r>
        <w:rPr>
          <w:color w:val="auto"/>
        </w:rPr>
        <w:t>3</w:t>
      </w:r>
      <w:r>
        <w:rPr>
          <w:rFonts w:hint="eastAsia"/>
          <w:color w:val="auto"/>
        </w:rPr>
        <w:t>年7月份投入使用。</w:t>
      </w:r>
      <w:r>
        <w:rPr>
          <w:rFonts w:hint="eastAsia"/>
          <w:b/>
          <w:bCs/>
          <w:color w:val="auto"/>
          <w:u w:val="single"/>
          <w:lang w:val="en-US" w:eastAsia="zh-CN"/>
        </w:rPr>
        <w:t>360t/h锅炉规划用途分别为2</w:t>
      </w:r>
      <w:r>
        <w:rPr>
          <w:rFonts w:hint="default" w:ascii="Arial" w:hAnsi="Arial" w:cs="Arial"/>
          <w:b/>
          <w:bCs/>
          <w:color w:val="auto"/>
          <w:u w:val="single"/>
          <w:lang w:val="en-US" w:eastAsia="zh-CN"/>
        </w:rPr>
        <w:t>×</w:t>
      </w:r>
      <w:r>
        <w:rPr>
          <w:rFonts w:hint="eastAsia"/>
          <w:b/>
          <w:bCs/>
          <w:color w:val="auto"/>
          <w:u w:val="single"/>
          <w:lang w:val="en-US" w:eastAsia="zh-CN"/>
        </w:rPr>
        <w:t>25MW发电机组用量54.25t/h，在建年产十万吨高品质超细旦氨纶纤维项目规划用量106.25t/h，规划老厂搬迁年产2万吨连续聚合差别化氨纶纤维项目规划用量21.25t/h，规划年产10万吨高品质超细旦氨纶纤维项目规划用量106.25t/h，共规划用量约288t/h，剩余蒸汽生产能力为72t/h，本项目用蒸汽68.18t/d，2.84t/h，占360t锅炉项目总生产能力的0.79%，占剩余蒸汽生产能力的3.94%</w:t>
      </w:r>
      <w:r>
        <w:rPr>
          <w:rFonts w:hint="eastAsia"/>
          <w:b/>
          <w:bCs/>
          <w:color w:val="auto"/>
          <w:u w:val="single"/>
          <w:lang w:eastAsia="zh-CN"/>
        </w:rPr>
        <w:t>，</w:t>
      </w:r>
      <w:r>
        <w:rPr>
          <w:rFonts w:hint="eastAsia"/>
          <w:b/>
          <w:bCs/>
          <w:color w:val="auto"/>
          <w:u w:val="single"/>
          <w:lang w:val="en-US" w:eastAsia="zh-CN"/>
        </w:rPr>
        <w:t>且</w:t>
      </w:r>
      <w:r>
        <w:rPr>
          <w:rFonts w:hint="eastAsia"/>
          <w:b/>
          <w:bCs/>
          <w:color w:val="auto"/>
          <w:u w:val="single"/>
        </w:rPr>
        <w:t>供热锅炉距离本项目约400m</w:t>
      </w:r>
      <w:r>
        <w:rPr>
          <w:rFonts w:hint="eastAsia"/>
          <w:b/>
          <w:bCs/>
          <w:color w:val="auto"/>
          <w:u w:val="single"/>
          <w:lang w:val="en-US" w:eastAsia="zh-CN"/>
        </w:rPr>
        <w:t>，蒸汽供应可</w:t>
      </w:r>
      <w:r>
        <w:rPr>
          <w:rFonts w:hint="eastAsia"/>
          <w:b/>
          <w:bCs/>
          <w:color w:val="auto"/>
          <w:u w:val="single"/>
        </w:rPr>
        <w:t>满足本项目用热需求。</w:t>
      </w:r>
    </w:p>
    <w:p>
      <w:pPr>
        <w:pStyle w:val="9"/>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9</w:t>
      </w:r>
      <w:r>
        <w:rPr>
          <w:rFonts w:hint="eastAsia"/>
          <w:color w:val="auto"/>
        </w:rPr>
        <w:t>工艺流程</w:t>
      </w:r>
    </w:p>
    <w:p>
      <w:pPr>
        <w:spacing w:line="520" w:lineRule="exact"/>
        <w:ind w:firstLine="482" w:firstLineChars="200"/>
        <w:rPr>
          <w:b/>
          <w:bCs/>
          <w:color w:val="auto"/>
          <w:u w:val="single"/>
        </w:rPr>
      </w:pPr>
      <w:r>
        <w:rPr>
          <w:rFonts w:hint="eastAsia"/>
          <w:b/>
          <w:bCs/>
          <w:color w:val="auto"/>
          <w:u w:val="single"/>
        </w:rPr>
        <w:t>本项目以菌草为原料，采用碱法制浆，菌草经过水力除杂、蒸煮、挤浆、洗浆、漂白、打浆、抄浆后得到菌草纤维素（浆粕），在蒸煮和挤浆过程中产生的黑液经五效蒸发、中和、干燥后生产木质素</w:t>
      </w:r>
      <w:r>
        <w:rPr>
          <w:rFonts w:hint="eastAsia"/>
          <w:b/>
          <w:bCs/>
          <w:color w:val="auto"/>
          <w:u w:val="single"/>
          <w:lang w:val="en-US" w:eastAsia="zh-CN"/>
        </w:rPr>
        <w:t>混合物</w:t>
      </w:r>
      <w:r>
        <w:rPr>
          <w:rFonts w:hint="eastAsia"/>
          <w:b/>
          <w:bCs/>
          <w:color w:val="auto"/>
          <w:u w:val="single"/>
        </w:rPr>
        <w:t>。菌草纤维素（浆粕）再经黄化、纺丝加工后得到菌草纤维产品。本项目总工艺流程简图见图3.</w:t>
      </w:r>
      <w:r>
        <w:rPr>
          <w:rFonts w:hint="eastAsia"/>
          <w:b/>
          <w:bCs/>
          <w:color w:val="auto"/>
          <w:u w:val="single"/>
          <w:lang w:val="en-US" w:eastAsia="zh-CN"/>
        </w:rPr>
        <w:t>8</w:t>
      </w:r>
      <w:r>
        <w:rPr>
          <w:rFonts w:hint="eastAsia"/>
          <w:b/>
          <w:bCs/>
          <w:color w:val="auto"/>
          <w:u w:val="single"/>
        </w:rPr>
        <w:t>-1。</w:t>
      </w:r>
    </w:p>
    <w:p>
      <w:pPr>
        <w:bidi w:val="0"/>
        <w:ind w:left="0" w:leftChars="0" w:firstLine="0" w:firstLineChars="0"/>
        <w:rPr>
          <w:color w:val="auto"/>
        </w:rPr>
      </w:pPr>
      <w:r>
        <w:rPr>
          <w:color w:val="auto"/>
        </w:rPr>
        <w:drawing>
          <wp:inline distT="0" distB="0" distL="114300" distR="114300">
            <wp:extent cx="5577205" cy="3993515"/>
            <wp:effectExtent l="0" t="0" r="635" b="14605"/>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40"/>
                    <a:stretch>
                      <a:fillRect/>
                    </a:stretch>
                  </pic:blipFill>
                  <pic:spPr>
                    <a:xfrm>
                      <a:off x="0" y="0"/>
                      <a:ext cx="5577205" cy="3993515"/>
                    </a:xfrm>
                    <a:prstGeom prst="rect">
                      <a:avLst/>
                    </a:prstGeom>
                    <a:noFill/>
                    <a:ln>
                      <a:noFill/>
                    </a:ln>
                  </pic:spPr>
                </pic:pic>
              </a:graphicData>
            </a:graphic>
          </wp:inline>
        </w:drawing>
      </w:r>
    </w:p>
    <w:p>
      <w:pPr>
        <w:pStyle w:val="181"/>
        <w:bidi w:val="0"/>
        <w:ind w:left="0" w:leftChars="0" w:firstLine="0" w:firstLineChars="0"/>
        <w:jc w:val="center"/>
        <w:rPr>
          <w:rFonts w:hint="eastAsia"/>
          <w:color w:val="auto"/>
          <w:u w:val="single"/>
        </w:rPr>
      </w:pPr>
      <w:r>
        <w:rPr>
          <w:rFonts w:hint="eastAsia"/>
          <w:color w:val="auto"/>
          <w:u w:val="single"/>
        </w:rPr>
        <w:t>图3</w:t>
      </w:r>
      <w:r>
        <w:rPr>
          <w:color w:val="auto"/>
          <w:u w:val="single"/>
        </w:rPr>
        <w:t>.</w:t>
      </w:r>
      <w:r>
        <w:rPr>
          <w:rFonts w:hint="eastAsia"/>
          <w:color w:val="auto"/>
          <w:u w:val="single"/>
          <w:lang w:val="en-US" w:eastAsia="zh-CN"/>
        </w:rPr>
        <w:t>8</w:t>
      </w:r>
      <w:r>
        <w:rPr>
          <w:rFonts w:hint="eastAsia"/>
          <w:color w:val="auto"/>
          <w:u w:val="single"/>
        </w:rPr>
        <w:t>-</w:t>
      </w:r>
      <w:r>
        <w:rPr>
          <w:color w:val="auto"/>
          <w:u w:val="single"/>
        </w:rPr>
        <w:t xml:space="preserve">1  </w:t>
      </w:r>
      <w:r>
        <w:rPr>
          <w:rFonts w:hint="eastAsia"/>
          <w:color w:val="auto"/>
          <w:u w:val="single"/>
        </w:rPr>
        <w:t>项目工艺流程图</w:t>
      </w:r>
    </w:p>
    <w:p>
      <w:pPr>
        <w:pStyle w:val="10"/>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9</w:t>
      </w:r>
      <w:r>
        <w:rPr>
          <w:color w:val="auto"/>
        </w:rPr>
        <w:t>.1</w:t>
      </w:r>
      <w:r>
        <w:rPr>
          <w:rFonts w:hint="eastAsia"/>
          <w:color w:val="auto"/>
        </w:rPr>
        <w:t>菌草制浆工艺流程</w:t>
      </w:r>
    </w:p>
    <w:p>
      <w:pPr>
        <w:bidi w:val="0"/>
        <w:rPr>
          <w:color w:val="auto"/>
        </w:rPr>
      </w:pPr>
      <w:bookmarkStart w:id="194" w:name="_Hlk120345377"/>
      <w:r>
        <w:rPr>
          <w:rFonts w:hint="eastAsia"/>
          <w:color w:val="auto"/>
        </w:rPr>
        <w:t>菌草制浆工艺流程简述如下：</w:t>
      </w:r>
    </w:p>
    <w:bookmarkEnd w:id="194"/>
    <w:p>
      <w:pPr>
        <w:bidi w:val="0"/>
        <w:rPr>
          <w:color w:val="auto"/>
        </w:rPr>
      </w:pPr>
      <w:r>
        <w:rPr>
          <w:rFonts w:hint="eastAsia"/>
          <w:color w:val="auto"/>
        </w:rPr>
        <w:t>（1）备料</w:t>
      </w:r>
    </w:p>
    <w:p>
      <w:pPr>
        <w:bidi w:val="0"/>
        <w:rPr>
          <w:color w:val="auto"/>
        </w:rPr>
      </w:pPr>
      <w:r>
        <w:rPr>
          <w:rFonts w:hint="eastAsia"/>
          <w:color w:val="auto"/>
        </w:rPr>
        <w:t>切段、整理</w:t>
      </w:r>
      <w:r>
        <w:rPr>
          <w:rFonts w:hint="eastAsia"/>
          <w:color w:val="auto"/>
          <w:lang w:val="en-US" w:eastAsia="zh-CN"/>
        </w:rPr>
        <w:t>打包</w:t>
      </w:r>
      <w:r>
        <w:rPr>
          <w:rFonts w:hint="eastAsia"/>
          <w:color w:val="auto"/>
        </w:rPr>
        <w:t>好的菌草原料经汽车运输入厂后，通过卸料机由密闭式皮带输送机运往</w:t>
      </w:r>
      <w:bookmarkStart w:id="195" w:name="_Hlk120298784"/>
      <w:r>
        <w:rPr>
          <w:rFonts w:hint="eastAsia"/>
          <w:color w:val="auto"/>
        </w:rPr>
        <w:t>菌草堆料库</w:t>
      </w:r>
      <w:bookmarkEnd w:id="195"/>
      <w:r>
        <w:rPr>
          <w:rFonts w:hint="eastAsia"/>
          <w:color w:val="auto"/>
        </w:rPr>
        <w:t>，采用堆料机进行堆垛贮存。上料时，通过皮带输送机将菌草送入清洗机，菌草原料经水洗、筛分后进入料仓，料仓底部的出料螺旋送料给预热螺旋输送机，最后经过</w:t>
      </w:r>
      <w:bookmarkStart w:id="196" w:name="_Hlk119853302"/>
      <w:r>
        <w:rPr>
          <w:rFonts w:hint="eastAsia"/>
          <w:color w:val="auto"/>
        </w:rPr>
        <w:t>螺旋进料器</w:t>
      </w:r>
      <w:bookmarkEnd w:id="196"/>
      <w:r>
        <w:rPr>
          <w:rFonts w:hint="eastAsia"/>
          <w:color w:val="auto"/>
        </w:rPr>
        <w:t>将菌草送入蒸煮器</w:t>
      </w:r>
      <w:r>
        <w:rPr>
          <w:rFonts w:hint="eastAsia"/>
          <w:color w:val="auto"/>
          <w:lang w:eastAsia="zh-CN"/>
        </w:rPr>
        <w:t>，</w:t>
      </w:r>
      <w:r>
        <w:rPr>
          <w:rFonts w:hint="eastAsia"/>
          <w:color w:val="auto"/>
          <w:lang w:val="en-US" w:eastAsia="zh-CN"/>
        </w:rPr>
        <w:t>废水进入企业污水处理站进行预处理，清洗的杂质收集后送入厂区锅炉焚烧</w:t>
      </w:r>
      <w:r>
        <w:rPr>
          <w:rFonts w:hint="eastAsia"/>
          <w:color w:val="auto"/>
        </w:rPr>
        <w:t>。</w:t>
      </w:r>
    </w:p>
    <w:p>
      <w:pPr>
        <w:bidi w:val="0"/>
        <w:rPr>
          <w:color w:val="auto"/>
        </w:rPr>
      </w:pPr>
      <w:r>
        <w:rPr>
          <w:rFonts w:hint="eastAsia"/>
          <w:color w:val="auto"/>
        </w:rPr>
        <w:t>（2）蒸煮</w:t>
      </w:r>
    </w:p>
    <w:p>
      <w:pPr>
        <w:bidi w:val="0"/>
        <w:rPr>
          <w:color w:val="auto"/>
        </w:rPr>
      </w:pPr>
      <w:r>
        <w:rPr>
          <w:rFonts w:hint="eastAsia"/>
          <w:color w:val="auto"/>
        </w:rPr>
        <w:t>备料车间来合格菌草原料通过预热螺旋输送机和螺旋进料器进入立式蒸煮器中进行蒸煮处理。立式蒸煮器是一种固定直立式的大型间歇生产纸浆的蒸煮器，顶部和底部是半圆球形或锥形，中部是圆柱形，具有容量大、劳动生产率高、产浆量大、占地面积小、纸浆质量均匀等优点，适用于硫酸盐法、亚硫酸盐法和碱法生产木浆、苇浆、草浆等。</w:t>
      </w:r>
    </w:p>
    <w:p>
      <w:pPr>
        <w:bidi w:val="0"/>
        <w:rPr>
          <w:rFonts w:hint="default"/>
          <w:b/>
          <w:bCs/>
          <w:color w:val="auto"/>
          <w:u w:val="single"/>
          <w:lang w:val="en-US" w:eastAsia="zh-CN"/>
        </w:rPr>
      </w:pPr>
      <w:r>
        <w:rPr>
          <w:rFonts w:hint="eastAsia"/>
          <w:b/>
          <w:bCs/>
          <w:color w:val="auto"/>
          <w:u w:val="single"/>
        </w:rPr>
        <w:t>本项目采用间歇式立式蒸煮器，进入蒸煮器的菌草，加碱并通入蒸汽进行蒸煮，</w:t>
      </w:r>
      <w:r>
        <w:rPr>
          <w:rFonts w:hint="eastAsia"/>
          <w:b/>
          <w:bCs/>
          <w:color w:val="auto"/>
          <w:u w:val="single"/>
          <w:lang w:val="en-US" w:eastAsia="zh-CN"/>
        </w:rPr>
        <w:t>蒸煮器有效容积</w:t>
      </w:r>
      <w:r>
        <w:rPr>
          <w:rFonts w:hint="eastAsia"/>
          <w:b/>
          <w:bCs/>
          <w:color w:val="auto"/>
          <w:u w:val="single"/>
        </w:rPr>
        <w:t>100m</w:t>
      </w:r>
      <w:r>
        <w:rPr>
          <w:rFonts w:hint="eastAsia"/>
          <w:b/>
          <w:bCs/>
          <w:color w:val="auto"/>
          <w:u w:val="single"/>
          <w:vertAlign w:val="superscript"/>
        </w:rPr>
        <w:t>3</w:t>
      </w:r>
      <w:r>
        <w:rPr>
          <w:rFonts w:hint="eastAsia"/>
          <w:b/>
          <w:bCs/>
          <w:color w:val="auto"/>
          <w:u w:val="single"/>
        </w:rPr>
        <w:t>/台，用碱浓度53±2g/l</w:t>
      </w:r>
      <w:r>
        <w:rPr>
          <w:rFonts w:hint="eastAsia"/>
          <w:b/>
          <w:bCs/>
          <w:color w:val="auto"/>
          <w:u w:val="single"/>
          <w:lang w:eastAsia="zh-CN"/>
        </w:rPr>
        <w:t>，</w:t>
      </w:r>
      <w:r>
        <w:rPr>
          <w:rFonts w:hint="eastAsia"/>
          <w:b/>
          <w:bCs/>
          <w:color w:val="auto"/>
          <w:u w:val="single"/>
          <w:lang w:val="en-US" w:eastAsia="zh-CN"/>
        </w:rPr>
        <w:t>蒸煮</w:t>
      </w:r>
      <w:r>
        <w:rPr>
          <w:rFonts w:hint="eastAsia"/>
          <w:b/>
          <w:bCs/>
          <w:color w:val="auto"/>
          <w:u w:val="single"/>
        </w:rPr>
        <w:t>液比1：3.0—3.5</w:t>
      </w:r>
      <w:r>
        <w:rPr>
          <w:rFonts w:hint="eastAsia"/>
          <w:b/>
          <w:bCs/>
          <w:color w:val="auto"/>
          <w:u w:val="single"/>
          <w:lang w:eastAsia="zh-CN"/>
        </w:rPr>
        <w:t>，</w:t>
      </w:r>
      <w:r>
        <w:rPr>
          <w:rFonts w:hint="eastAsia"/>
          <w:b/>
          <w:bCs/>
          <w:color w:val="auto"/>
          <w:u w:val="single"/>
        </w:rPr>
        <w:t>预水解60</w:t>
      </w:r>
      <w:r>
        <w:rPr>
          <w:rFonts w:hint="eastAsia"/>
          <w:b/>
          <w:bCs/>
          <w:color w:val="auto"/>
          <w:u w:val="single"/>
          <w:lang w:eastAsia="zh-CN"/>
        </w:rPr>
        <w:t>—</w:t>
      </w:r>
      <w:r>
        <w:rPr>
          <w:rFonts w:hint="eastAsia"/>
          <w:b/>
          <w:bCs/>
          <w:color w:val="auto"/>
          <w:u w:val="single"/>
        </w:rPr>
        <w:t>90分钟，温度100</w:t>
      </w:r>
      <w:r>
        <w:rPr>
          <w:rFonts w:hint="eastAsia"/>
          <w:b/>
          <w:bCs/>
          <w:color w:val="auto"/>
          <w:u w:val="single"/>
          <w:lang w:val="en-US" w:eastAsia="zh-CN"/>
        </w:rPr>
        <w:t>-</w:t>
      </w:r>
      <w:r>
        <w:rPr>
          <w:rFonts w:hint="eastAsia"/>
          <w:b/>
          <w:bCs/>
          <w:color w:val="auto"/>
          <w:u w:val="single"/>
        </w:rPr>
        <w:t>120℃</w:t>
      </w:r>
      <w:r>
        <w:rPr>
          <w:rFonts w:hint="eastAsia"/>
          <w:b/>
          <w:bCs/>
          <w:color w:val="auto"/>
          <w:u w:val="single"/>
          <w:lang w:eastAsia="zh-CN"/>
        </w:rPr>
        <w:t>，</w:t>
      </w:r>
      <w:r>
        <w:rPr>
          <w:rFonts w:hint="eastAsia"/>
          <w:b/>
          <w:bCs/>
          <w:color w:val="auto"/>
          <w:u w:val="single"/>
        </w:rPr>
        <w:t>三次升温，保温温度</w:t>
      </w:r>
      <w:r>
        <w:rPr>
          <w:rFonts w:hint="eastAsia"/>
          <w:b/>
          <w:bCs/>
          <w:color w:val="auto"/>
          <w:u w:val="single"/>
          <w:lang w:val="en-US" w:eastAsia="zh-CN"/>
        </w:rPr>
        <w:t>165-</w:t>
      </w:r>
      <w:r>
        <w:rPr>
          <w:rFonts w:hint="eastAsia"/>
          <w:b/>
          <w:bCs/>
          <w:color w:val="auto"/>
          <w:u w:val="single"/>
        </w:rPr>
        <w:t>17</w:t>
      </w:r>
      <w:r>
        <w:rPr>
          <w:rFonts w:hint="eastAsia"/>
          <w:b/>
          <w:bCs/>
          <w:color w:val="auto"/>
          <w:u w:val="single"/>
          <w:lang w:val="en-US" w:eastAsia="zh-CN"/>
        </w:rPr>
        <w:t>0</w:t>
      </w:r>
      <w:r>
        <w:rPr>
          <w:rFonts w:hint="eastAsia"/>
          <w:b/>
          <w:bCs/>
          <w:color w:val="auto"/>
          <w:u w:val="single"/>
        </w:rPr>
        <w:t>℃，压力0.</w:t>
      </w:r>
      <w:r>
        <w:rPr>
          <w:rFonts w:hint="eastAsia"/>
          <w:b/>
          <w:bCs/>
          <w:color w:val="auto"/>
          <w:u w:val="single"/>
          <w:lang w:val="en-US" w:eastAsia="zh-CN"/>
        </w:rPr>
        <w:t>7</w:t>
      </w:r>
      <w:r>
        <w:rPr>
          <w:rFonts w:hint="eastAsia"/>
          <w:b/>
          <w:bCs/>
          <w:color w:val="auto"/>
          <w:u w:val="single"/>
        </w:rPr>
        <w:t>Mpa.s。保温时间180分钟左右</w:t>
      </w:r>
      <w:r>
        <w:rPr>
          <w:rFonts w:hint="eastAsia"/>
          <w:b/>
          <w:bCs/>
          <w:color w:val="auto"/>
          <w:u w:val="single"/>
          <w:lang w:eastAsia="zh-CN"/>
        </w:rPr>
        <w:t>，</w:t>
      </w:r>
      <w:r>
        <w:rPr>
          <w:rFonts w:hint="eastAsia"/>
          <w:b/>
          <w:bCs/>
          <w:color w:val="auto"/>
          <w:u w:val="single"/>
        </w:rPr>
        <w:t>蒸煮工艺周期10小时左右。</w:t>
      </w:r>
      <w:r>
        <w:rPr>
          <w:rFonts w:hint="eastAsia"/>
          <w:b/>
          <w:bCs/>
          <w:color w:val="auto"/>
          <w:u w:val="single"/>
          <w:lang w:val="en-US" w:eastAsia="zh-CN"/>
        </w:rPr>
        <w:t>蒸煮工序产生的冷凝水去水洗漂白工序。</w:t>
      </w:r>
    </w:p>
    <w:p>
      <w:pPr>
        <w:bidi w:val="0"/>
        <w:rPr>
          <w:b/>
          <w:bCs/>
          <w:color w:val="auto"/>
          <w:u w:val="single"/>
        </w:rPr>
      </w:pPr>
      <w:r>
        <w:rPr>
          <w:rFonts w:hint="eastAsia"/>
          <w:b/>
          <w:bCs/>
          <w:color w:val="auto"/>
          <w:u w:val="single"/>
        </w:rPr>
        <w:t>（</w:t>
      </w:r>
      <w:r>
        <w:rPr>
          <w:b/>
          <w:bCs/>
          <w:color w:val="auto"/>
          <w:u w:val="single"/>
        </w:rPr>
        <w:t>3</w:t>
      </w:r>
      <w:r>
        <w:rPr>
          <w:rFonts w:hint="eastAsia"/>
          <w:b/>
          <w:bCs/>
          <w:color w:val="auto"/>
          <w:u w:val="single"/>
        </w:rPr>
        <w:t>）</w:t>
      </w:r>
      <w:bookmarkStart w:id="197" w:name="_Hlk120340778"/>
      <w:r>
        <w:rPr>
          <w:rFonts w:hint="eastAsia"/>
          <w:b/>
          <w:bCs/>
          <w:color w:val="auto"/>
          <w:u w:val="single"/>
        </w:rPr>
        <w:t>挤浆</w:t>
      </w:r>
      <w:bookmarkEnd w:id="197"/>
      <w:r>
        <w:rPr>
          <w:rFonts w:hint="eastAsia"/>
          <w:b/>
          <w:bCs/>
          <w:color w:val="auto"/>
          <w:u w:val="single"/>
        </w:rPr>
        <w:t>和</w:t>
      </w:r>
      <w:bookmarkStart w:id="198" w:name="_Hlk120340797"/>
      <w:r>
        <w:rPr>
          <w:rFonts w:hint="eastAsia"/>
          <w:b/>
          <w:bCs/>
          <w:color w:val="auto"/>
          <w:u w:val="single"/>
        </w:rPr>
        <w:t>洗浆</w:t>
      </w:r>
      <w:bookmarkEnd w:id="198"/>
    </w:p>
    <w:p>
      <w:pPr>
        <w:bidi w:val="0"/>
        <w:rPr>
          <w:rFonts w:hint="default"/>
          <w:b/>
          <w:bCs/>
          <w:color w:val="auto"/>
          <w:u w:val="single"/>
          <w:lang w:val="en-US"/>
        </w:rPr>
      </w:pPr>
      <w:r>
        <w:rPr>
          <w:rFonts w:hint="eastAsia"/>
          <w:b/>
          <w:bCs/>
          <w:color w:val="auto"/>
          <w:u w:val="single"/>
        </w:rPr>
        <w:t>物料通过蒸煮后得到粗浆</w:t>
      </w:r>
      <w:r>
        <w:rPr>
          <w:rFonts w:hint="eastAsia"/>
          <w:b/>
          <w:bCs/>
          <w:color w:val="auto"/>
          <w:u w:val="single"/>
          <w:lang w:eastAsia="zh-CN"/>
        </w:rPr>
        <w:t>，</w:t>
      </w:r>
      <w:r>
        <w:rPr>
          <w:rFonts w:hint="eastAsia"/>
          <w:b/>
          <w:bCs/>
          <w:color w:val="auto"/>
          <w:u w:val="single"/>
        </w:rPr>
        <w:t>粗浆要经过挤浆机设备提取粗浆中的黑液。挤浆采用两台挤浆机串联、逆流洗涤的方式，该流程可以获得最大的黑液提取率</w:t>
      </w:r>
      <w:r>
        <w:rPr>
          <w:rFonts w:hint="eastAsia"/>
          <w:b/>
          <w:bCs/>
          <w:color w:val="auto"/>
          <w:u w:val="single"/>
          <w:lang w:val="en-US" w:eastAsia="zh-CN"/>
        </w:rPr>
        <w:t>，</w:t>
      </w:r>
      <w:r>
        <w:rPr>
          <w:rFonts w:hint="eastAsia"/>
          <w:b/>
          <w:bCs/>
          <w:color w:val="auto"/>
          <w:u w:val="single"/>
        </w:rPr>
        <w:t>充分回收木质素；采用挤浆机能降低洗浆的稀释因子，节约用水的同时也提高了黑液提取率和外送的黑液浓度，有利于环境保护和节能、节水，还减少了浆中的残碱，提高产品质量</w:t>
      </w:r>
      <w:r>
        <w:rPr>
          <w:rFonts w:hint="eastAsia"/>
          <w:b/>
          <w:bCs/>
          <w:color w:val="auto"/>
          <w:u w:val="single"/>
          <w:lang w:eastAsia="zh-CN"/>
        </w:rPr>
        <w:t>，</w:t>
      </w:r>
      <w:r>
        <w:rPr>
          <w:rFonts w:hint="eastAsia"/>
          <w:b/>
          <w:bCs/>
          <w:color w:val="auto"/>
          <w:u w:val="single"/>
          <w:lang w:val="en-US" w:eastAsia="zh-CN"/>
        </w:rPr>
        <w:t>同时粗产品进入洗浆工序。</w:t>
      </w:r>
    </w:p>
    <w:p>
      <w:pPr>
        <w:bidi w:val="0"/>
        <w:rPr>
          <w:b/>
          <w:bCs/>
          <w:color w:val="auto"/>
          <w:u w:val="single"/>
        </w:rPr>
      </w:pPr>
      <w:r>
        <w:rPr>
          <w:rFonts w:hint="eastAsia"/>
          <w:b/>
          <w:bCs/>
          <w:color w:val="auto"/>
          <w:u w:val="single"/>
        </w:rPr>
        <w:t>（</w:t>
      </w:r>
      <w:r>
        <w:rPr>
          <w:b/>
          <w:bCs/>
          <w:color w:val="auto"/>
          <w:u w:val="single"/>
        </w:rPr>
        <w:t>4</w:t>
      </w:r>
      <w:r>
        <w:rPr>
          <w:rFonts w:hint="eastAsia"/>
          <w:b/>
          <w:bCs/>
          <w:color w:val="auto"/>
          <w:u w:val="single"/>
        </w:rPr>
        <w:t>）漂白</w:t>
      </w:r>
    </w:p>
    <w:p>
      <w:pPr>
        <w:bidi w:val="0"/>
        <w:rPr>
          <w:rFonts w:hint="eastAsia"/>
          <w:b/>
          <w:bCs/>
          <w:color w:val="auto"/>
          <w:u w:val="single"/>
          <w:lang w:val="en-US" w:eastAsia="zh-CN"/>
        </w:rPr>
      </w:pPr>
      <w:r>
        <w:rPr>
          <w:rFonts w:hint="eastAsia"/>
          <w:b/>
          <w:bCs/>
          <w:color w:val="auto"/>
          <w:u w:val="single"/>
        </w:rPr>
        <w:t>鉴于传统氯漂白的废液对环境污染的程度，为了降低纸浆漂白废液中有机卤化物含量，本项目采用二氧化氯漂白技术</w:t>
      </w:r>
      <w:r>
        <w:rPr>
          <w:rFonts w:hint="eastAsia"/>
          <w:b/>
          <w:bCs/>
          <w:color w:val="auto"/>
          <w:u w:val="single"/>
          <w:lang w:eastAsia="zh-CN"/>
        </w:rPr>
        <w:t>，</w:t>
      </w:r>
      <w:r>
        <w:rPr>
          <w:rFonts w:hint="eastAsia"/>
          <w:b/>
          <w:bCs/>
          <w:color w:val="auto"/>
          <w:u w:val="single"/>
          <w:lang w:val="en-US" w:eastAsia="zh-CN"/>
        </w:rPr>
        <w:t>使用外购的固体二氧化氯缓释剂提供二氧化氯漂白，用量为0.5%，硫酸调节PH至3-4。</w:t>
      </w:r>
    </w:p>
    <w:p>
      <w:pPr>
        <w:bidi w:val="0"/>
        <w:rPr>
          <w:rFonts w:hint="default"/>
          <w:color w:val="auto"/>
          <w:lang w:val="en-US" w:eastAsia="zh-CN"/>
        </w:rPr>
      </w:pPr>
      <w:r>
        <w:rPr>
          <w:rFonts w:hint="default"/>
          <w:color w:val="auto"/>
          <w:lang w:val="en-US" w:eastAsia="zh-CN"/>
        </w:rPr>
        <w:t>二氧化氯是一种强氧化剂，相同质量时，二氧化氯的氧化能力是氯气的2.63倍，次氯酸钠的2.76倍，在相同有效氯浓度下，二氧化氯产生的AOX是用元素氯产生AOX的1/5，能与很多有机和无机化合物发生氧化还原反应，其漂白作用主要来自氧化漂白。对于ClO</w:t>
      </w:r>
      <w:r>
        <w:rPr>
          <w:rFonts w:hint="default"/>
          <w:color w:val="auto"/>
          <w:vertAlign w:val="subscript"/>
          <w:lang w:val="en-US" w:eastAsia="zh-CN"/>
        </w:rPr>
        <w:t>2</w:t>
      </w:r>
      <w:r>
        <w:rPr>
          <w:rFonts w:hint="default"/>
          <w:color w:val="auto"/>
          <w:lang w:val="en-US" w:eastAsia="zh-CN"/>
        </w:rPr>
        <w:t>反应：</w:t>
      </w:r>
    </w:p>
    <w:p>
      <w:pPr>
        <w:bidi w:val="0"/>
        <w:ind w:left="0" w:leftChars="0" w:firstLine="0" w:firstLineChars="0"/>
        <w:jc w:val="center"/>
        <w:rPr>
          <w:color w:val="auto"/>
        </w:rPr>
      </w:pPr>
      <w:r>
        <w:rPr>
          <w:color w:val="auto"/>
        </w:rPr>
        <w:drawing>
          <wp:inline distT="0" distB="0" distL="114300" distR="114300">
            <wp:extent cx="3592830" cy="259080"/>
            <wp:effectExtent l="0" t="0" r="3810" b="0"/>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41"/>
                    <a:stretch>
                      <a:fillRect/>
                    </a:stretch>
                  </pic:blipFill>
                  <pic:spPr>
                    <a:xfrm>
                      <a:off x="0" y="0"/>
                      <a:ext cx="3592830" cy="259080"/>
                    </a:xfrm>
                    <a:prstGeom prst="rect">
                      <a:avLst/>
                    </a:prstGeom>
                    <a:noFill/>
                    <a:ln>
                      <a:noFill/>
                    </a:ln>
                  </pic:spPr>
                </pic:pic>
              </a:graphicData>
            </a:graphic>
          </wp:inline>
        </w:drawing>
      </w:r>
    </w:p>
    <w:p>
      <w:pPr>
        <w:bidi w:val="0"/>
        <w:rPr>
          <w:rFonts w:hint="default"/>
          <w:color w:val="auto"/>
          <w:lang w:val="en-US" w:eastAsia="zh-CN"/>
        </w:rPr>
      </w:pPr>
      <w:r>
        <w:rPr>
          <w:rFonts w:hint="default"/>
          <w:color w:val="auto"/>
          <w:lang w:val="en-US" w:eastAsia="zh-CN"/>
        </w:rPr>
        <w:t>天然纤维素纤维分子式为（C</w:t>
      </w:r>
      <w:r>
        <w:rPr>
          <w:rFonts w:hint="default"/>
          <w:color w:val="auto"/>
          <w:vertAlign w:val="subscript"/>
          <w:lang w:val="en-US" w:eastAsia="zh-CN"/>
        </w:rPr>
        <w:t>6</w:t>
      </w:r>
      <w:r>
        <w:rPr>
          <w:rFonts w:hint="default"/>
          <w:color w:val="auto"/>
          <w:lang w:val="en-US" w:eastAsia="zh-CN"/>
        </w:rPr>
        <w:t>H</w:t>
      </w:r>
      <w:r>
        <w:rPr>
          <w:rFonts w:hint="default"/>
          <w:color w:val="auto"/>
          <w:vertAlign w:val="subscript"/>
          <w:lang w:val="en-US" w:eastAsia="zh-CN"/>
        </w:rPr>
        <w:t>10</w:t>
      </w:r>
      <w:r>
        <w:rPr>
          <w:rFonts w:hint="default"/>
          <w:color w:val="auto"/>
          <w:lang w:val="en-US" w:eastAsia="zh-CN"/>
        </w:rPr>
        <w:t>O</w:t>
      </w:r>
      <w:r>
        <w:rPr>
          <w:rFonts w:hint="default"/>
          <w:color w:val="auto"/>
          <w:vertAlign w:val="subscript"/>
          <w:lang w:val="en-US" w:eastAsia="zh-CN"/>
        </w:rPr>
        <w:t>5</w:t>
      </w:r>
      <w:r>
        <w:rPr>
          <w:rFonts w:hint="default"/>
          <w:color w:val="auto"/>
          <w:lang w:val="en-US" w:eastAsia="zh-CN"/>
        </w:rPr>
        <w:t>）n，是由碳、氢、氧构成的线性大分子，其结构式如下：</w:t>
      </w:r>
    </w:p>
    <w:p>
      <w:pPr>
        <w:bidi w:val="0"/>
        <w:ind w:left="0" w:leftChars="0" w:firstLine="0" w:firstLineChars="0"/>
        <w:jc w:val="center"/>
        <w:rPr>
          <w:rFonts w:hint="default"/>
          <w:color w:val="auto"/>
          <w:lang w:val="en-US" w:eastAsia="zh-CN"/>
        </w:rPr>
      </w:pPr>
      <w:r>
        <w:rPr>
          <w:color w:val="auto"/>
        </w:rPr>
        <w:drawing>
          <wp:inline distT="0" distB="0" distL="114300" distR="114300">
            <wp:extent cx="3502660" cy="1311910"/>
            <wp:effectExtent l="0" t="0" r="2540" b="1397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42"/>
                    <a:stretch>
                      <a:fillRect/>
                    </a:stretch>
                  </pic:blipFill>
                  <pic:spPr>
                    <a:xfrm>
                      <a:off x="0" y="0"/>
                      <a:ext cx="3502660" cy="1311910"/>
                    </a:xfrm>
                    <a:prstGeom prst="rect">
                      <a:avLst/>
                    </a:prstGeom>
                    <a:noFill/>
                    <a:ln>
                      <a:noFill/>
                    </a:ln>
                  </pic:spPr>
                </pic:pic>
              </a:graphicData>
            </a:graphic>
          </wp:inline>
        </w:drawing>
      </w:r>
    </w:p>
    <w:p>
      <w:pPr>
        <w:bidi w:val="0"/>
        <w:rPr>
          <w:rFonts w:hint="default"/>
          <w:color w:val="auto"/>
          <w:lang w:val="en-US" w:eastAsia="zh-CN"/>
        </w:rPr>
      </w:pPr>
      <w:r>
        <w:rPr>
          <w:rFonts w:hint="default"/>
          <w:color w:val="auto"/>
          <w:lang w:val="en-US" w:eastAsia="zh-CN"/>
        </w:rPr>
        <w:t>二氧化氯的漂白机理是通过放出原子氧和自身的强氧化能力而达到分解色素和杂质的目的。</w:t>
      </w:r>
    </w:p>
    <w:p>
      <w:pPr>
        <w:bidi w:val="0"/>
        <w:rPr>
          <w:color w:val="auto"/>
        </w:rPr>
      </w:pPr>
      <w:r>
        <w:rPr>
          <w:rFonts w:hint="eastAsia"/>
          <w:color w:val="auto"/>
        </w:rPr>
        <w:t>（</w:t>
      </w:r>
      <w:r>
        <w:rPr>
          <w:color w:val="auto"/>
        </w:rPr>
        <w:t>5</w:t>
      </w:r>
      <w:r>
        <w:rPr>
          <w:rFonts w:hint="eastAsia"/>
          <w:color w:val="auto"/>
        </w:rPr>
        <w:t>）打浆抄浆</w:t>
      </w:r>
    </w:p>
    <w:p>
      <w:pPr>
        <w:bidi w:val="0"/>
        <w:rPr>
          <w:rFonts w:hint="eastAsia"/>
          <w:color w:val="auto"/>
          <w:lang w:val="en-US" w:eastAsia="zh-CN"/>
        </w:rPr>
      </w:pPr>
      <w:r>
        <w:rPr>
          <w:rFonts w:hint="eastAsia"/>
          <w:color w:val="auto"/>
        </w:rPr>
        <w:t>漂白后的浆液经打浆机打浆，以便使纤维被切断和形成一定叩解度的浆料，以提高纤维素的反应性能，并便于后续抄造。进入抄浆抄造工序后，抄浆网部，浆料形成湿纸页。打浆抄浆</w:t>
      </w:r>
      <w:r>
        <w:rPr>
          <w:rFonts w:hint="eastAsia"/>
          <w:color w:val="auto"/>
          <w:lang w:val="en-US" w:eastAsia="zh-CN"/>
        </w:rPr>
        <w:t>工序产生的废水、冷凝水回用进入水洗漂白工序。</w:t>
      </w:r>
    </w:p>
    <w:p>
      <w:pPr>
        <w:bidi w:val="0"/>
        <w:rPr>
          <w:rFonts w:hint="default"/>
          <w:b/>
          <w:bCs/>
          <w:i w:val="0"/>
          <w:iCs w:val="0"/>
          <w:color w:val="auto"/>
          <w:u w:val="single"/>
          <w:lang w:val="en-US" w:eastAsia="zh-CN"/>
        </w:rPr>
      </w:pPr>
      <w:r>
        <w:rPr>
          <w:rFonts w:hint="default"/>
          <w:b/>
          <w:bCs/>
          <w:i w:val="0"/>
          <w:iCs w:val="0"/>
          <w:color w:val="auto"/>
          <w:u w:val="single"/>
          <w:lang w:val="en-US" w:eastAsia="zh-CN"/>
        </w:rPr>
        <w:t>抄浆</w:t>
      </w:r>
      <w:r>
        <w:rPr>
          <w:rFonts w:hint="eastAsia"/>
          <w:b/>
          <w:bCs/>
          <w:i w:val="0"/>
          <w:iCs w:val="0"/>
          <w:color w:val="auto"/>
          <w:u w:val="single"/>
          <w:lang w:val="en-US" w:eastAsia="zh-CN"/>
        </w:rPr>
        <w:t>采用</w:t>
      </w:r>
      <w:r>
        <w:rPr>
          <w:rFonts w:hint="default"/>
          <w:b/>
          <w:bCs/>
          <w:i w:val="0"/>
          <w:iCs w:val="0"/>
          <w:color w:val="auto"/>
          <w:u w:val="single"/>
          <w:lang w:val="en-US" w:eastAsia="zh-CN"/>
        </w:rPr>
        <w:t>长网多缸浆板机</w:t>
      </w:r>
      <w:r>
        <w:rPr>
          <w:rFonts w:hint="eastAsia"/>
          <w:b/>
          <w:bCs/>
          <w:i w:val="0"/>
          <w:iCs w:val="0"/>
          <w:color w:val="auto"/>
          <w:u w:val="single"/>
          <w:lang w:val="en-US" w:eastAsia="zh-CN"/>
        </w:rPr>
        <w:t>，</w:t>
      </w:r>
      <w:r>
        <w:rPr>
          <w:rFonts w:hint="default"/>
          <w:b/>
          <w:bCs/>
          <w:i w:val="0"/>
          <w:iCs w:val="0"/>
          <w:color w:val="auto"/>
          <w:u w:val="single"/>
          <w:lang w:val="en-US" w:eastAsia="zh-CN"/>
        </w:rPr>
        <w:t>日产60t/d；上网浆浓</w:t>
      </w:r>
      <w:r>
        <w:rPr>
          <w:rFonts w:hint="eastAsia"/>
          <w:b/>
          <w:bCs/>
          <w:i w:val="0"/>
          <w:iCs w:val="0"/>
          <w:color w:val="auto"/>
          <w:u w:val="single"/>
          <w:lang w:val="en-US" w:eastAsia="zh-CN"/>
        </w:rPr>
        <w:t>1.0%—1.2%</w:t>
      </w:r>
      <w:r>
        <w:rPr>
          <w:rFonts w:hint="default"/>
          <w:b/>
          <w:bCs/>
          <w:i w:val="0"/>
          <w:iCs w:val="0"/>
          <w:color w:val="auto"/>
          <w:u w:val="single"/>
          <w:lang w:val="en-US" w:eastAsia="zh-CN"/>
        </w:rPr>
        <w:t>，压榨压力0.2</w:t>
      </w:r>
      <w:r>
        <w:rPr>
          <w:rFonts w:hint="eastAsia"/>
          <w:b/>
          <w:bCs/>
          <w:i w:val="0"/>
          <w:iCs w:val="0"/>
          <w:color w:val="auto"/>
          <w:u w:val="single"/>
          <w:lang w:val="en-US" w:eastAsia="zh-CN"/>
        </w:rPr>
        <w:t>-</w:t>
      </w:r>
      <w:r>
        <w:rPr>
          <w:rFonts w:hint="default"/>
          <w:b/>
          <w:bCs/>
          <w:i w:val="0"/>
          <w:iCs w:val="0"/>
          <w:color w:val="auto"/>
          <w:u w:val="single"/>
          <w:lang w:val="en-US" w:eastAsia="zh-CN"/>
        </w:rPr>
        <w:t>0.4mpa，烘缸汽压</w:t>
      </w:r>
      <w:r>
        <w:rPr>
          <w:rFonts w:hint="eastAsia"/>
          <w:b/>
          <w:bCs/>
          <w:i w:val="0"/>
          <w:iCs w:val="0"/>
          <w:color w:val="auto"/>
          <w:u w:val="single"/>
          <w:lang w:val="en-US" w:eastAsia="zh-CN"/>
        </w:rPr>
        <w:t>为</w:t>
      </w:r>
      <w:r>
        <w:rPr>
          <w:rFonts w:hint="default"/>
          <w:b/>
          <w:bCs/>
          <w:i w:val="0"/>
          <w:iCs w:val="0"/>
          <w:color w:val="auto"/>
          <w:u w:val="single"/>
          <w:lang w:val="en-US" w:eastAsia="zh-CN"/>
        </w:rPr>
        <w:t>0.2-0.3mpa</w:t>
      </w:r>
      <w:r>
        <w:rPr>
          <w:rFonts w:hint="eastAsia"/>
          <w:b/>
          <w:bCs/>
          <w:i w:val="0"/>
          <w:iCs w:val="0"/>
          <w:color w:val="auto"/>
          <w:u w:val="single"/>
          <w:lang w:val="en-US" w:eastAsia="zh-CN"/>
        </w:rPr>
        <w:t>，</w:t>
      </w:r>
      <w:r>
        <w:rPr>
          <w:rFonts w:hint="default"/>
          <w:b/>
          <w:bCs/>
          <w:i w:val="0"/>
          <w:iCs w:val="0"/>
          <w:color w:val="auto"/>
          <w:u w:val="single"/>
          <w:lang w:val="en-US" w:eastAsia="zh-CN"/>
        </w:rPr>
        <w:t>浆板</w:t>
      </w:r>
      <w:r>
        <w:rPr>
          <w:rFonts w:hint="eastAsia"/>
          <w:b/>
          <w:bCs/>
          <w:i w:val="0"/>
          <w:iCs w:val="0"/>
          <w:color w:val="auto"/>
          <w:u w:val="single"/>
          <w:lang w:val="en-US" w:eastAsia="zh-CN"/>
        </w:rPr>
        <w:t>水分</w:t>
      </w:r>
      <w:r>
        <w:rPr>
          <w:rFonts w:hint="default"/>
          <w:b/>
          <w:bCs/>
          <w:i w:val="0"/>
          <w:iCs w:val="0"/>
          <w:color w:val="auto"/>
          <w:u w:val="single"/>
          <w:lang w:val="en-US" w:eastAsia="zh-CN"/>
        </w:rPr>
        <w:t>10%</w:t>
      </w:r>
      <w:r>
        <w:rPr>
          <w:rFonts w:hint="eastAsia"/>
          <w:b/>
          <w:bCs/>
          <w:i w:val="0"/>
          <w:iCs w:val="0"/>
          <w:color w:val="auto"/>
          <w:u w:val="single"/>
          <w:lang w:val="en-US" w:eastAsia="zh-CN"/>
        </w:rPr>
        <w:t>。</w:t>
      </w:r>
    </w:p>
    <w:p>
      <w:pPr>
        <w:pStyle w:val="10"/>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9</w:t>
      </w:r>
      <w:r>
        <w:rPr>
          <w:color w:val="auto"/>
        </w:rPr>
        <w:t>.2</w:t>
      </w:r>
      <w:r>
        <w:rPr>
          <w:rFonts w:hint="eastAsia"/>
          <w:color w:val="auto"/>
        </w:rPr>
        <w:t>木质素提取工艺流程</w:t>
      </w:r>
    </w:p>
    <w:p>
      <w:pPr>
        <w:bidi w:val="0"/>
        <w:rPr>
          <w:color w:val="auto"/>
        </w:rPr>
      </w:pPr>
      <w:r>
        <w:rPr>
          <w:color w:val="auto"/>
        </w:rPr>
        <w:t>制浆过程中产生的黑液含有大量的</w:t>
      </w:r>
      <w:r>
        <w:rPr>
          <w:rFonts w:hint="eastAsia"/>
          <w:color w:val="auto"/>
        </w:rPr>
        <w:t>木质素</w:t>
      </w:r>
      <w:r>
        <w:rPr>
          <w:color w:val="auto"/>
        </w:rPr>
        <w:t>，其中</w:t>
      </w:r>
      <w:r>
        <w:rPr>
          <w:rFonts w:hint="eastAsia"/>
          <w:color w:val="auto"/>
        </w:rPr>
        <w:t>9</w:t>
      </w:r>
      <w:r>
        <w:rPr>
          <w:color w:val="auto"/>
        </w:rPr>
        <w:t>5</w:t>
      </w:r>
      <w:r>
        <w:rPr>
          <w:rFonts w:hint="eastAsia"/>
          <w:color w:val="auto"/>
        </w:rPr>
        <w:t>%</w:t>
      </w:r>
      <w:r>
        <w:rPr>
          <w:color w:val="auto"/>
        </w:rPr>
        <w:t>为有机物，有机物大部分是由木质素构成的，木质素存在于植物细胞壁内，在制浆工艺的高温、高压、高p</w:t>
      </w:r>
      <w:r>
        <w:rPr>
          <w:rFonts w:hint="eastAsia"/>
          <w:color w:val="auto"/>
        </w:rPr>
        <w:t>H</w:t>
      </w:r>
      <w:r>
        <w:rPr>
          <w:color w:val="auto"/>
        </w:rPr>
        <w:t>值的情况下溶解于水中，构成黑液</w:t>
      </w:r>
      <w:r>
        <w:rPr>
          <w:rFonts w:hint="eastAsia"/>
          <w:color w:val="auto"/>
          <w:lang w:eastAsia="zh-CN"/>
        </w:rPr>
        <w:t>的主要成分</w:t>
      </w:r>
      <w:r>
        <w:rPr>
          <w:color w:val="auto"/>
        </w:rPr>
        <w:t>。</w:t>
      </w:r>
      <w:r>
        <w:rPr>
          <w:rFonts w:hint="eastAsia"/>
          <w:color w:val="auto"/>
        </w:rPr>
        <w:t>本项目采用先进的制浆黑液提取技术，黑液提取率达到95%以上，提取的高浓度黑液再经过蒸发浓缩、加酸中和、干燥塔干燥后，生成粉末状木质素</w:t>
      </w:r>
      <w:r>
        <w:rPr>
          <w:rFonts w:hint="eastAsia"/>
          <w:color w:val="auto"/>
          <w:lang w:val="en-US" w:eastAsia="zh-CN"/>
        </w:rPr>
        <w:t>混合物</w:t>
      </w:r>
      <w:r>
        <w:rPr>
          <w:rFonts w:hint="eastAsia"/>
          <w:color w:val="auto"/>
        </w:rPr>
        <w:t>成品</w:t>
      </w:r>
      <w:r>
        <w:rPr>
          <w:rFonts w:hint="eastAsia"/>
          <w:color w:val="auto"/>
          <w:lang w:eastAsia="zh-CN"/>
        </w:rPr>
        <w:t>，含水率约5%—8%</w:t>
      </w:r>
      <w:r>
        <w:rPr>
          <w:rFonts w:hint="eastAsia"/>
          <w:color w:val="auto"/>
        </w:rPr>
        <w:t>。</w:t>
      </w:r>
    </w:p>
    <w:p>
      <w:pPr>
        <w:bidi w:val="0"/>
        <w:rPr>
          <w:color w:val="auto"/>
        </w:rPr>
      </w:pPr>
      <w:r>
        <w:rPr>
          <w:rFonts w:hint="eastAsia"/>
          <w:color w:val="auto"/>
        </w:rPr>
        <w:t>生产工艺流程如下：</w:t>
      </w:r>
    </w:p>
    <w:p>
      <w:pPr>
        <w:spacing w:line="240" w:lineRule="auto"/>
        <w:ind w:left="0" w:leftChars="0" w:firstLine="0" w:firstLineChars="0"/>
        <w:jc w:val="center"/>
        <w:rPr>
          <w:color w:val="auto"/>
        </w:rPr>
      </w:pPr>
      <w:r>
        <w:rPr>
          <w:color w:val="auto"/>
        </w:rPr>
        <w:drawing>
          <wp:inline distT="0" distB="0" distL="114300" distR="114300">
            <wp:extent cx="1958340" cy="3352800"/>
            <wp:effectExtent l="0" t="0" r="7620" b="0"/>
            <wp:docPr id="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pic:cNvPicPr>
                      <a:picLocks noChangeAspect="1"/>
                    </pic:cNvPicPr>
                  </pic:nvPicPr>
                  <pic:blipFill>
                    <a:blip r:embed="rId43"/>
                    <a:stretch>
                      <a:fillRect/>
                    </a:stretch>
                  </pic:blipFill>
                  <pic:spPr>
                    <a:xfrm>
                      <a:off x="0" y="0"/>
                      <a:ext cx="1958340" cy="3352800"/>
                    </a:xfrm>
                    <a:prstGeom prst="rect">
                      <a:avLst/>
                    </a:prstGeom>
                    <a:noFill/>
                    <a:ln>
                      <a:noFill/>
                    </a:ln>
                  </pic:spPr>
                </pic:pic>
              </a:graphicData>
            </a:graphic>
          </wp:inline>
        </w:drawing>
      </w:r>
    </w:p>
    <w:p>
      <w:pPr>
        <w:pStyle w:val="181"/>
        <w:bidi w:val="0"/>
        <w:ind w:left="0" w:leftChars="0" w:firstLine="0" w:firstLineChars="0"/>
        <w:jc w:val="center"/>
        <w:rPr>
          <w:color w:val="auto"/>
          <w:u w:val="single"/>
        </w:rPr>
      </w:pPr>
      <w:r>
        <w:rPr>
          <w:rFonts w:hint="eastAsia"/>
          <w:color w:val="auto"/>
          <w:u w:val="single"/>
        </w:rPr>
        <w:t>图3</w:t>
      </w:r>
      <w:r>
        <w:rPr>
          <w:color w:val="auto"/>
          <w:u w:val="single"/>
        </w:rPr>
        <w:t>.</w:t>
      </w:r>
      <w:r>
        <w:rPr>
          <w:rFonts w:hint="eastAsia"/>
          <w:color w:val="auto"/>
          <w:u w:val="single"/>
          <w:lang w:val="en-US" w:eastAsia="zh-CN"/>
        </w:rPr>
        <w:t>8</w:t>
      </w:r>
      <w:r>
        <w:rPr>
          <w:rFonts w:hint="eastAsia"/>
          <w:color w:val="auto"/>
          <w:u w:val="single"/>
        </w:rPr>
        <w:t>-</w:t>
      </w:r>
      <w:r>
        <w:rPr>
          <w:color w:val="auto"/>
          <w:u w:val="single"/>
        </w:rPr>
        <w:t xml:space="preserve">2  </w:t>
      </w:r>
      <w:r>
        <w:rPr>
          <w:rFonts w:hint="eastAsia"/>
          <w:color w:val="auto"/>
          <w:u w:val="single"/>
        </w:rPr>
        <w:t>木质素</w:t>
      </w:r>
      <w:r>
        <w:rPr>
          <w:rFonts w:hint="eastAsia"/>
          <w:color w:val="auto"/>
          <w:u w:val="single"/>
          <w:lang w:val="en-US" w:eastAsia="zh-CN"/>
        </w:rPr>
        <w:t>混合物</w:t>
      </w:r>
      <w:r>
        <w:rPr>
          <w:rFonts w:hint="eastAsia"/>
          <w:color w:val="auto"/>
          <w:u w:val="single"/>
        </w:rPr>
        <w:t>提取工艺流程图</w:t>
      </w:r>
    </w:p>
    <w:p>
      <w:pPr>
        <w:bidi w:val="0"/>
        <w:rPr>
          <w:color w:val="auto"/>
        </w:rPr>
      </w:pPr>
      <w:r>
        <w:rPr>
          <w:rFonts w:hint="eastAsia"/>
          <w:color w:val="auto"/>
        </w:rPr>
        <w:t>木质素</w:t>
      </w:r>
      <w:r>
        <w:rPr>
          <w:rFonts w:hint="eastAsia"/>
          <w:color w:val="auto"/>
          <w:lang w:val="en-US" w:eastAsia="zh-CN"/>
        </w:rPr>
        <w:t>混合物</w:t>
      </w:r>
      <w:r>
        <w:rPr>
          <w:rFonts w:hint="eastAsia"/>
          <w:color w:val="auto"/>
        </w:rPr>
        <w:t>提取工艺流程简述如下：</w:t>
      </w:r>
    </w:p>
    <w:p>
      <w:pPr>
        <w:spacing w:line="520" w:lineRule="exact"/>
        <w:ind w:firstLine="480" w:firstLineChars="200"/>
        <w:rPr>
          <w:color w:val="auto"/>
        </w:rPr>
      </w:pPr>
      <w:r>
        <w:rPr>
          <w:rFonts w:hint="eastAsia"/>
          <w:color w:val="auto"/>
        </w:rPr>
        <w:t>（1）蒸发浓缩</w:t>
      </w:r>
    </w:p>
    <w:p>
      <w:pPr>
        <w:spacing w:line="520" w:lineRule="exact"/>
        <w:ind w:firstLine="482" w:firstLineChars="200"/>
        <w:rPr>
          <w:color w:val="auto"/>
        </w:rPr>
      </w:pPr>
      <w:r>
        <w:rPr>
          <w:rFonts w:hint="eastAsia"/>
          <w:b/>
          <w:bCs/>
          <w:color w:val="auto"/>
          <w:u w:val="single"/>
        </w:rPr>
        <w:t>蒸煮和挤浆工序产生的高浓度黑液进入黑液槽，通过黑液泵打入五效蒸发器进行蒸发浓缩</w:t>
      </w:r>
      <w:r>
        <w:rPr>
          <w:rFonts w:hint="eastAsia"/>
          <w:b/>
          <w:bCs/>
          <w:color w:val="auto"/>
          <w:u w:val="single"/>
          <w:lang w:eastAsia="zh-CN"/>
        </w:rPr>
        <w:t>，</w:t>
      </w:r>
      <w:r>
        <w:rPr>
          <w:rFonts w:hint="eastAsia"/>
          <w:b/>
          <w:bCs/>
          <w:color w:val="auto"/>
          <w:u w:val="single"/>
          <w:lang w:val="en-US" w:eastAsia="zh-CN"/>
        </w:rPr>
        <w:t>汽水比1:5</w:t>
      </w:r>
      <w:r>
        <w:rPr>
          <w:rFonts w:hint="eastAsia"/>
          <w:b/>
          <w:bCs/>
          <w:color w:val="auto"/>
          <w:u w:val="single"/>
        </w:rPr>
        <w:t>。</w:t>
      </w:r>
      <w:r>
        <w:rPr>
          <w:rFonts w:hint="eastAsia"/>
          <w:color w:val="auto"/>
        </w:rPr>
        <w:t>五效蒸发器采用负压闪蒸工艺，黑液蒸发蒸汽压力0.03～0.1M</w:t>
      </w:r>
      <w:r>
        <w:rPr>
          <w:color w:val="auto"/>
        </w:rPr>
        <w:t>p</w:t>
      </w:r>
      <w:r>
        <w:rPr>
          <w:rFonts w:hint="eastAsia"/>
          <w:color w:val="auto"/>
        </w:rPr>
        <w:t>a，黑液出校浓度25～30波美，浓缩液进入后续工序，闪蒸出来的水分经收集后回用于制浆系统。</w:t>
      </w:r>
    </w:p>
    <w:p>
      <w:pPr>
        <w:spacing w:line="520" w:lineRule="exact"/>
        <w:ind w:firstLine="480" w:firstLineChars="200"/>
        <w:rPr>
          <w:color w:val="auto"/>
        </w:rPr>
      </w:pPr>
      <w:r>
        <w:rPr>
          <w:rFonts w:hint="eastAsia"/>
          <w:color w:val="auto"/>
        </w:rPr>
        <w:t>五效蒸发器由真空泵、冷凝水泵、操作平台、各效蒸发分离器、冷凝器、电器仪表控制柜、各效强制循环泵、各种料液输送泵及界内管道阀门等组成，其工作原理是在真空的状态下，利用一定抽气量的真空泵对系统进行抽真空，抽取系统中的</w:t>
      </w:r>
      <w:r>
        <w:rPr>
          <w:rFonts w:hint="eastAsia"/>
          <w:color w:val="auto"/>
          <w:lang w:val="en-US" w:eastAsia="zh-CN"/>
        </w:rPr>
        <w:t>气体</w:t>
      </w:r>
      <w:r>
        <w:rPr>
          <w:rFonts w:hint="eastAsia"/>
          <w:color w:val="auto"/>
        </w:rPr>
        <w:t>，使系统处于负压状态，实现低温蒸发。同时能够利用一效的二次蒸汽，并对二效进行加热，二效产生的二次蒸汽被三效利用，三效产生的二次蒸汽给四效进行加热，四效产生的二次蒸汽给五效进行加热，五效产生的二次蒸汽被冷凝处理，冷凝水回用于水洗、漂白工序，物料浓缩被排出系统。</w:t>
      </w:r>
    </w:p>
    <w:p>
      <w:pPr>
        <w:spacing w:line="520" w:lineRule="exact"/>
        <w:ind w:firstLine="480" w:firstLineChars="200"/>
        <w:rPr>
          <w:color w:val="auto"/>
        </w:rPr>
      </w:pPr>
      <w:r>
        <w:rPr>
          <w:rFonts w:hint="eastAsia"/>
          <w:color w:val="auto"/>
        </w:rPr>
        <w:t>五效蒸发器通常采用强制循环蒸发器工艺，该多效与强制循环蒸发组合工艺具有以下优势：</w:t>
      </w:r>
      <w:r>
        <w:rPr>
          <w:color w:val="auto"/>
        </w:rPr>
        <w:t>1</w:t>
      </w:r>
      <w:r>
        <w:rPr>
          <w:rFonts w:hint="eastAsia"/>
          <w:color w:val="auto"/>
        </w:rPr>
        <w:t>）蒸发的过程中其物料加热主要是通过强制循环，在管内流动的速度快且受热均匀，在进行使用时传热系数高，这样就可以在一定程度上</w:t>
      </w:r>
      <w:r>
        <w:rPr>
          <w:rFonts w:hint="eastAsia"/>
          <w:color w:val="auto"/>
          <w:lang w:eastAsia="zh-CN"/>
        </w:rPr>
        <w:t>有效地防止</w:t>
      </w:r>
      <w:r>
        <w:rPr>
          <w:rFonts w:hint="eastAsia"/>
          <w:color w:val="auto"/>
        </w:rPr>
        <w:t>其干壁现象；2）料液通过强制循环泵快速经加热器加热，这样顶部出来会直接切线式进入蒸发分离器，这样汽液分离效果好，物料通过抽真空低温蒸发浓缩，加上连续式进出料，加热蒸发时间短；3）随着效数的增加蒸汽耗量将逐渐减少，节约能耗成本更低，效数越高能耗成本将越低。</w:t>
      </w:r>
    </w:p>
    <w:p>
      <w:pPr>
        <w:spacing w:line="520" w:lineRule="exact"/>
        <w:ind w:firstLine="480" w:firstLineChars="200"/>
        <w:rPr>
          <w:color w:val="auto"/>
        </w:rPr>
      </w:pPr>
      <w:r>
        <w:rPr>
          <w:rFonts w:hint="eastAsia"/>
          <w:color w:val="auto"/>
        </w:rPr>
        <w:t>（2）中和</w:t>
      </w:r>
    </w:p>
    <w:p>
      <w:pPr>
        <w:spacing w:line="520" w:lineRule="exact"/>
        <w:ind w:firstLine="480" w:firstLineChars="200"/>
        <w:rPr>
          <w:color w:val="auto"/>
        </w:rPr>
      </w:pPr>
      <w:r>
        <w:rPr>
          <w:rFonts w:hint="eastAsia"/>
          <w:color w:val="auto"/>
        </w:rPr>
        <w:t>经五效蒸发器蒸发浓缩的黑液呈强碱性，其pH值在1</w:t>
      </w:r>
      <w:r>
        <w:rPr>
          <w:color w:val="auto"/>
        </w:rPr>
        <w:t>2</w:t>
      </w:r>
      <w:r>
        <w:rPr>
          <w:rFonts w:hint="eastAsia"/>
          <w:color w:val="auto"/>
        </w:rPr>
        <w:t>左右，需要加酸中和。利用该厂区长丝生产过程中产生的废H</w:t>
      </w:r>
      <w:r>
        <w:rPr>
          <w:rFonts w:hint="eastAsia"/>
          <w:color w:val="auto"/>
          <w:vertAlign w:val="subscript"/>
        </w:rPr>
        <w:t>2</w:t>
      </w:r>
      <w:r>
        <w:rPr>
          <w:rFonts w:hint="eastAsia"/>
          <w:color w:val="auto"/>
        </w:rPr>
        <w:t>SO</w:t>
      </w:r>
      <w:r>
        <w:rPr>
          <w:rFonts w:hint="eastAsia"/>
          <w:color w:val="auto"/>
          <w:vertAlign w:val="subscript"/>
        </w:rPr>
        <w:t>4</w:t>
      </w:r>
      <w:r>
        <w:rPr>
          <w:rFonts w:hint="eastAsia"/>
          <w:color w:val="auto"/>
        </w:rPr>
        <w:t>，将黑液中和至pH值7～8。</w:t>
      </w:r>
    </w:p>
    <w:p>
      <w:pPr>
        <w:spacing w:line="520" w:lineRule="exact"/>
        <w:ind w:firstLine="480" w:firstLineChars="200"/>
        <w:rPr>
          <w:color w:val="auto"/>
        </w:rPr>
      </w:pPr>
      <w:r>
        <w:rPr>
          <w:rFonts w:hint="eastAsia"/>
          <w:color w:val="auto"/>
        </w:rPr>
        <w:t>（3）干燥</w:t>
      </w:r>
    </w:p>
    <w:p>
      <w:pPr>
        <w:spacing w:line="520" w:lineRule="exact"/>
        <w:ind w:firstLine="482" w:firstLineChars="200"/>
        <w:rPr>
          <w:b/>
          <w:bCs/>
          <w:color w:val="auto"/>
          <w:u w:val="single"/>
        </w:rPr>
      </w:pPr>
      <w:r>
        <w:rPr>
          <w:rFonts w:hint="eastAsia"/>
          <w:b/>
          <w:bCs/>
          <w:color w:val="auto"/>
          <w:u w:val="single"/>
        </w:rPr>
        <w:t>将中和后的黑液引入干燥塔，对黑液进行干燥后提取木质素</w:t>
      </w:r>
      <w:r>
        <w:rPr>
          <w:rFonts w:hint="eastAsia"/>
          <w:b/>
          <w:bCs/>
          <w:color w:val="auto"/>
          <w:u w:val="single"/>
          <w:lang w:val="en-US" w:eastAsia="zh-CN"/>
        </w:rPr>
        <w:t>混合物</w:t>
      </w:r>
      <w:r>
        <w:rPr>
          <w:rFonts w:hint="eastAsia"/>
          <w:b/>
          <w:bCs/>
          <w:color w:val="auto"/>
          <w:u w:val="single"/>
        </w:rPr>
        <w:t>，干燥后木质素</w:t>
      </w:r>
      <w:r>
        <w:rPr>
          <w:rFonts w:hint="eastAsia"/>
          <w:b/>
          <w:bCs/>
          <w:color w:val="auto"/>
          <w:u w:val="single"/>
          <w:lang w:val="en-US" w:eastAsia="zh-CN"/>
        </w:rPr>
        <w:t>混合物</w:t>
      </w:r>
      <w:r>
        <w:rPr>
          <w:rFonts w:hint="eastAsia"/>
          <w:b/>
          <w:bCs/>
          <w:color w:val="auto"/>
          <w:u w:val="single"/>
        </w:rPr>
        <w:t>含水量</w:t>
      </w:r>
      <w:r>
        <w:rPr>
          <w:rFonts w:hint="eastAsia"/>
          <w:b/>
          <w:bCs/>
          <w:color w:val="auto"/>
          <w:u w:val="single"/>
          <w:lang w:eastAsia="zh-CN"/>
        </w:rPr>
        <w:t>5%～8%，</w:t>
      </w:r>
      <w:r>
        <w:rPr>
          <w:rFonts w:hint="eastAsia"/>
          <w:b/>
          <w:bCs/>
          <w:color w:val="auto"/>
          <w:u w:val="single"/>
          <w:lang w:val="en-US" w:eastAsia="zh-CN"/>
        </w:rPr>
        <w:t>主要成分为木质素、多糖、盐类等</w:t>
      </w:r>
      <w:r>
        <w:rPr>
          <w:rFonts w:hint="eastAsia"/>
          <w:b/>
          <w:bCs/>
          <w:color w:val="auto"/>
          <w:u w:val="single"/>
        </w:rPr>
        <w:t>。干燥后的木质素经卸料、包装后得到成品。</w:t>
      </w:r>
    </w:p>
    <w:p>
      <w:pPr>
        <w:pStyle w:val="10"/>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9</w:t>
      </w:r>
      <w:r>
        <w:rPr>
          <w:color w:val="auto"/>
        </w:rPr>
        <w:t>.3</w:t>
      </w:r>
      <w:r>
        <w:rPr>
          <w:rFonts w:hint="eastAsia"/>
          <w:color w:val="auto"/>
        </w:rPr>
        <w:t>纺丝工艺流程</w:t>
      </w:r>
    </w:p>
    <w:p>
      <w:pPr>
        <w:bidi w:val="0"/>
        <w:rPr>
          <w:rFonts w:hint="eastAsia"/>
          <w:b/>
          <w:bCs/>
          <w:color w:val="auto"/>
          <w:u w:val="single"/>
        </w:rPr>
      </w:pPr>
      <w:r>
        <w:rPr>
          <w:rFonts w:hint="eastAsia"/>
          <w:b/>
          <w:bCs/>
          <w:color w:val="auto"/>
          <w:u w:val="single"/>
        </w:rPr>
        <w:t>由于本项目为中试</w:t>
      </w:r>
      <w:r>
        <w:rPr>
          <w:rFonts w:hint="eastAsia"/>
          <w:b/>
          <w:bCs/>
          <w:color w:val="auto"/>
          <w:u w:val="single"/>
          <w:lang w:val="en-US" w:eastAsia="zh-CN"/>
        </w:rPr>
        <w:t>项目</w:t>
      </w:r>
      <w:r>
        <w:rPr>
          <w:rFonts w:hint="eastAsia"/>
          <w:b/>
          <w:bCs/>
          <w:color w:val="auto"/>
          <w:u w:val="single"/>
        </w:rPr>
        <w:t>，拟利用现有的纺丝生产线，不再新建纺丝生产线。纺丝过程中，仅用本项目生产的浆粕作为原料来代替现有生产线正在使用的浆粕，设备、工艺、产能、产污环节、污染治理措施等均按正常生产，未发生</w:t>
      </w:r>
      <w:r>
        <w:rPr>
          <w:rFonts w:hint="eastAsia"/>
          <w:b/>
          <w:bCs/>
          <w:color w:val="auto"/>
          <w:u w:val="single"/>
          <w:lang w:eastAsia="zh-CN"/>
        </w:rPr>
        <w:t>其他</w:t>
      </w:r>
      <w:r>
        <w:rPr>
          <w:rFonts w:hint="eastAsia"/>
          <w:b/>
          <w:bCs/>
          <w:color w:val="auto"/>
          <w:u w:val="single"/>
        </w:rPr>
        <w:t>变化，现有的纺丝生产线均已经过环评和验收，因此，纺丝过程不会对全厂的污染物产</w:t>
      </w:r>
      <w:r>
        <w:rPr>
          <w:rFonts w:hint="eastAsia"/>
          <w:b/>
          <w:bCs/>
          <w:color w:val="auto"/>
          <w:u w:val="single"/>
          <w:lang w:eastAsia="zh-CN"/>
        </w:rPr>
        <w:t>排放</w:t>
      </w:r>
      <w:r>
        <w:rPr>
          <w:rFonts w:hint="eastAsia"/>
          <w:b/>
          <w:bCs/>
          <w:color w:val="auto"/>
          <w:u w:val="single"/>
        </w:rPr>
        <w:t>情况产生影响，本次评价不再考察纺丝过程的环境影响情况，而仅对制浆过程的环境影响情况进行评价。</w:t>
      </w:r>
    </w:p>
    <w:p>
      <w:pPr>
        <w:bidi w:val="0"/>
        <w:rPr>
          <w:rFonts w:hint="default" w:eastAsia="宋体"/>
          <w:b/>
          <w:bCs/>
          <w:color w:val="auto"/>
          <w:u w:val="single"/>
          <w:lang w:val="en-US" w:eastAsia="zh-CN"/>
        </w:rPr>
      </w:pPr>
      <w:r>
        <w:rPr>
          <w:rFonts w:hint="eastAsia"/>
          <w:b/>
          <w:bCs/>
          <w:color w:val="auto"/>
          <w:u w:val="single"/>
        </w:rPr>
        <w:t>目前新厂区已建成年产5000吨差别化新型连续纺粘胶长丝项目、年产一万吨新型纤维素长丝项目、年产2万吨生物质纤维素项目（一期）等多个纤维素长丝生产项目，</w:t>
      </w:r>
      <w:r>
        <w:rPr>
          <w:rFonts w:hint="eastAsia"/>
          <w:b/>
          <w:bCs/>
          <w:color w:val="auto"/>
          <w:u w:val="single"/>
          <w:lang w:val="en-US" w:eastAsia="zh-CN"/>
        </w:rPr>
        <w:t>现有生产线完全可以满足本项目生产需要。</w:t>
      </w:r>
    </w:p>
    <w:p>
      <w:pPr>
        <w:pStyle w:val="9"/>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10</w:t>
      </w:r>
      <w:r>
        <w:rPr>
          <w:rFonts w:hint="eastAsia"/>
          <w:color w:val="auto"/>
        </w:rPr>
        <w:t>物料平衡</w:t>
      </w:r>
    </w:p>
    <w:p>
      <w:pPr>
        <w:bidi w:val="0"/>
        <w:rPr>
          <w:color w:val="auto"/>
        </w:rPr>
      </w:pPr>
      <w:r>
        <w:rPr>
          <w:rFonts w:hint="eastAsia"/>
          <w:color w:val="auto"/>
        </w:rPr>
        <w:t>本项目物料平衡详见下表。</w:t>
      </w:r>
    </w:p>
    <w:p>
      <w:pPr>
        <w:pStyle w:val="181"/>
        <w:bidi w:val="0"/>
        <w:rPr>
          <w:rFonts w:hint="eastAsia"/>
          <w:b/>
          <w:bCs/>
          <w:color w:val="auto"/>
        </w:rPr>
      </w:pPr>
      <w:r>
        <w:rPr>
          <w:rFonts w:hint="eastAsia"/>
          <w:b/>
          <w:bCs/>
          <w:color w:val="auto"/>
        </w:rPr>
        <w:t>表</w:t>
      </w:r>
      <w:r>
        <w:rPr>
          <w:b/>
          <w:bCs/>
          <w:color w:val="auto"/>
        </w:rPr>
        <w:t>3.</w:t>
      </w:r>
      <w:r>
        <w:rPr>
          <w:rFonts w:hint="eastAsia"/>
          <w:b/>
          <w:bCs/>
          <w:color w:val="auto"/>
          <w:lang w:val="en-US" w:eastAsia="zh-CN"/>
        </w:rPr>
        <w:t>8</w:t>
      </w:r>
      <w:r>
        <w:rPr>
          <w:rFonts w:hint="eastAsia"/>
          <w:b/>
          <w:bCs/>
          <w:color w:val="auto"/>
        </w:rPr>
        <w:t>-</w:t>
      </w:r>
      <w:r>
        <w:rPr>
          <w:b/>
          <w:bCs/>
          <w:color w:val="auto"/>
        </w:rPr>
        <w:t>1</w:t>
      </w:r>
      <w:r>
        <w:rPr>
          <w:rFonts w:hint="eastAsia"/>
          <w:b/>
          <w:bCs/>
          <w:color w:val="auto"/>
          <w:lang w:val="en-US" w:eastAsia="zh-CN"/>
        </w:rPr>
        <w:t>1</w:t>
      </w:r>
      <w:r>
        <w:rPr>
          <w:b/>
          <w:bCs/>
          <w:color w:val="auto"/>
        </w:rPr>
        <w:t xml:space="preserve">  </w:t>
      </w:r>
      <w:r>
        <w:rPr>
          <w:rFonts w:hint="eastAsia"/>
          <w:b/>
          <w:bCs/>
          <w:color w:val="auto"/>
          <w:lang w:val="en-US" w:eastAsia="zh-CN"/>
        </w:rPr>
        <w:t xml:space="preserve">          </w:t>
      </w:r>
      <w:r>
        <w:rPr>
          <w:rFonts w:hint="eastAsia"/>
          <w:b/>
          <w:bCs/>
          <w:color w:val="auto"/>
        </w:rPr>
        <w:t>菌草制浆单元物料平衡表</w:t>
      </w:r>
    </w:p>
    <w:p>
      <w:pPr>
        <w:pStyle w:val="182"/>
        <w:rPr>
          <w:rFonts w:hint="eastAsia"/>
          <w:color w:val="auto"/>
        </w:rPr>
      </w:pPr>
    </w:p>
    <w:tbl>
      <w:tblPr>
        <w:tblStyle w:val="32"/>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35"/>
        <w:gridCol w:w="2777"/>
        <w:gridCol w:w="1911"/>
        <w:gridCol w:w="258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451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投入（t/a）</w:t>
            </w:r>
          </w:p>
        </w:tc>
        <w:tc>
          <w:tcPr>
            <w:tcW w:w="449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产出（t/a）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菌草</w:t>
            </w:r>
          </w:p>
        </w:tc>
        <w:tc>
          <w:tcPr>
            <w:tcW w:w="27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10000</w:t>
            </w:r>
          </w:p>
        </w:tc>
        <w:tc>
          <w:tcPr>
            <w:tcW w:w="1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杂质</w:t>
            </w:r>
          </w:p>
        </w:tc>
        <w:tc>
          <w:tcPr>
            <w:tcW w:w="2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bidi w:val="0"/>
              <w:rPr>
                <w:rFonts w:hint="default"/>
                <w:b/>
                <w:bCs/>
                <w:u w:val="single"/>
              </w:rPr>
            </w:pPr>
            <w:r>
              <w:rPr>
                <w:rFonts w:hint="eastAsia"/>
                <w:b/>
                <w:bCs/>
                <w:u w:val="single"/>
                <w:lang w:val="en-US" w:eastAsia="zh-CN"/>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烧碱（32%）</w:t>
            </w:r>
          </w:p>
        </w:tc>
        <w:tc>
          <w:tcPr>
            <w:tcW w:w="27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1050</w:t>
            </w:r>
          </w:p>
        </w:tc>
        <w:tc>
          <w:tcPr>
            <w:tcW w:w="1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菌草纤维</w:t>
            </w:r>
          </w:p>
        </w:tc>
        <w:tc>
          <w:tcPr>
            <w:tcW w:w="2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bidi w:val="0"/>
              <w:rPr>
                <w:rFonts w:hint="default"/>
                <w:b/>
                <w:bCs/>
                <w:u w:val="single"/>
              </w:rPr>
            </w:pPr>
            <w:r>
              <w:rPr>
                <w:rFonts w:hint="eastAsia"/>
                <w:b/>
                <w:bCs/>
                <w:u w:val="single"/>
                <w:lang w:val="en-US" w:eastAsia="zh-CN"/>
              </w:rPr>
              <w:t>5000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硫酸（</w:t>
            </w:r>
            <w:r>
              <w:rPr>
                <w:rFonts w:hint="default"/>
                <w:b/>
                <w:bCs/>
                <w:color w:val="auto"/>
                <w:u w:val="single"/>
                <w:lang w:val="en-US" w:eastAsia="zh-CN"/>
              </w:rPr>
              <w:t>92.5%</w:t>
            </w:r>
            <w:r>
              <w:rPr>
                <w:rFonts w:hint="eastAsia"/>
                <w:b/>
                <w:bCs/>
                <w:color w:val="auto"/>
                <w:u w:val="single"/>
                <w:lang w:val="en-US" w:eastAsia="zh-CN"/>
              </w:rPr>
              <w:t>）</w:t>
            </w:r>
          </w:p>
        </w:tc>
        <w:tc>
          <w:tcPr>
            <w:tcW w:w="27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17.47</w:t>
            </w:r>
          </w:p>
        </w:tc>
        <w:tc>
          <w:tcPr>
            <w:tcW w:w="1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木质素混合物</w:t>
            </w:r>
          </w:p>
        </w:tc>
        <w:tc>
          <w:tcPr>
            <w:tcW w:w="2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bidi w:val="0"/>
              <w:rPr>
                <w:rFonts w:hint="default"/>
                <w:b/>
                <w:bCs/>
                <w:u w:val="single"/>
              </w:rPr>
            </w:pPr>
            <w:r>
              <w:rPr>
                <w:rFonts w:hint="eastAsia"/>
                <w:b/>
                <w:bCs/>
                <w:u w:val="single"/>
                <w:lang w:val="en-US" w:eastAsia="zh-CN"/>
              </w:rPr>
              <w:t xml:space="preserve">3530.05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73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固体二氧化氯释放剂（含7%二氧化氯，按二氧化氯计）</w:t>
            </w:r>
          </w:p>
        </w:tc>
        <w:tc>
          <w:tcPr>
            <w:tcW w:w="27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12</w:t>
            </w:r>
          </w:p>
        </w:tc>
        <w:tc>
          <w:tcPr>
            <w:tcW w:w="1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有组织废气产生</w:t>
            </w:r>
          </w:p>
        </w:tc>
        <w:tc>
          <w:tcPr>
            <w:tcW w:w="2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bidi w:val="0"/>
              <w:rPr>
                <w:rFonts w:hint="default"/>
                <w:b/>
                <w:bCs/>
                <w:u w:val="single"/>
              </w:rPr>
            </w:pPr>
            <w:r>
              <w:rPr>
                <w:rFonts w:hint="eastAsia"/>
                <w:b/>
                <w:bCs/>
                <w:u w:val="single"/>
                <w:lang w:val="en-US" w:eastAsia="zh-CN"/>
              </w:rPr>
              <w:t xml:space="preserve">185.79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jc w:val="center"/>
              <w:rPr>
                <w:rFonts w:hint="default"/>
                <w:b/>
                <w:bCs/>
                <w:color w:val="auto"/>
                <w:u w:val="single"/>
              </w:rPr>
            </w:pPr>
          </w:p>
        </w:tc>
        <w:tc>
          <w:tcPr>
            <w:tcW w:w="27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jc w:val="center"/>
              <w:rPr>
                <w:rFonts w:hint="default"/>
                <w:b/>
                <w:bCs/>
                <w:color w:val="auto"/>
                <w:u w:val="single"/>
              </w:rPr>
            </w:pPr>
          </w:p>
        </w:tc>
        <w:tc>
          <w:tcPr>
            <w:tcW w:w="1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废水排放</w:t>
            </w:r>
          </w:p>
        </w:tc>
        <w:tc>
          <w:tcPr>
            <w:tcW w:w="2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bidi w:val="0"/>
              <w:rPr>
                <w:rFonts w:hint="default"/>
                <w:b/>
                <w:bCs/>
                <w:u w:val="single"/>
              </w:rPr>
            </w:pPr>
            <w:r>
              <w:rPr>
                <w:rFonts w:hint="eastAsia"/>
                <w:b/>
                <w:bCs/>
                <w:u w:val="single"/>
                <w:lang w:val="en-US" w:eastAsia="zh-CN"/>
              </w:rPr>
              <w:t xml:space="preserve">1663.63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jc w:val="center"/>
              <w:rPr>
                <w:rFonts w:hint="default"/>
                <w:b/>
                <w:bCs/>
                <w:color w:val="auto"/>
                <w:u w:val="single"/>
              </w:rPr>
            </w:pPr>
          </w:p>
        </w:tc>
        <w:tc>
          <w:tcPr>
            <w:tcW w:w="27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jc w:val="center"/>
              <w:rPr>
                <w:rFonts w:hint="default"/>
                <w:b/>
                <w:bCs/>
                <w:color w:val="auto"/>
                <w:u w:val="single"/>
              </w:rPr>
            </w:pPr>
          </w:p>
        </w:tc>
        <w:tc>
          <w:tcPr>
            <w:tcW w:w="1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滤渣</w:t>
            </w:r>
          </w:p>
        </w:tc>
        <w:tc>
          <w:tcPr>
            <w:tcW w:w="2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bidi w:val="0"/>
              <w:rPr>
                <w:rFonts w:hint="default"/>
                <w:b/>
                <w:bCs/>
                <w:u w:val="single"/>
              </w:rPr>
            </w:pPr>
            <w:r>
              <w:rPr>
                <w:rFonts w:hint="eastAsia"/>
                <w:b/>
                <w:bCs/>
                <w:u w:val="single"/>
                <w:lang w:val="en-US" w:eastAsia="zh-CN"/>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jc w:val="center"/>
              <w:rPr>
                <w:rFonts w:hint="eastAsia"/>
                <w:b/>
                <w:bCs/>
                <w:color w:val="auto"/>
                <w:u w:val="single"/>
              </w:rPr>
            </w:pPr>
            <w:r>
              <w:rPr>
                <w:rFonts w:hint="eastAsia"/>
                <w:b/>
                <w:bCs/>
                <w:color w:val="auto"/>
                <w:u w:val="single"/>
                <w:lang w:val="en-US" w:eastAsia="zh-CN"/>
              </w:rPr>
              <w:t>合计</w:t>
            </w:r>
          </w:p>
        </w:tc>
        <w:tc>
          <w:tcPr>
            <w:tcW w:w="27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11079.47</w:t>
            </w:r>
          </w:p>
        </w:tc>
        <w:tc>
          <w:tcPr>
            <w:tcW w:w="1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jc w:val="center"/>
              <w:rPr>
                <w:rFonts w:hint="eastAsia"/>
                <w:b/>
                <w:bCs/>
                <w:color w:val="auto"/>
                <w:u w:val="single"/>
              </w:rPr>
            </w:pPr>
            <w:r>
              <w:rPr>
                <w:rFonts w:hint="eastAsia"/>
                <w:b/>
                <w:bCs/>
                <w:color w:val="auto"/>
                <w:u w:val="single"/>
                <w:lang w:val="en-US" w:eastAsia="zh-CN"/>
              </w:rPr>
              <w:t>合计</w:t>
            </w:r>
          </w:p>
        </w:tc>
        <w:tc>
          <w:tcPr>
            <w:tcW w:w="2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82"/>
              <w:bidi w:val="0"/>
              <w:rPr>
                <w:rFonts w:hint="default"/>
                <w:b/>
                <w:bCs/>
                <w:u w:val="single"/>
              </w:rPr>
            </w:pPr>
            <w:r>
              <w:rPr>
                <w:rFonts w:hint="eastAsia"/>
                <w:b/>
                <w:bCs/>
                <w:u w:val="single"/>
                <w:lang w:val="en-US" w:eastAsia="zh-CN"/>
              </w:rPr>
              <w:t>11079.47</w:t>
            </w:r>
          </w:p>
        </w:tc>
      </w:tr>
    </w:tbl>
    <w:p>
      <w:pPr>
        <w:bidi w:val="0"/>
        <w:rPr>
          <w:rFonts w:hint="default"/>
          <w:b/>
          <w:bCs/>
          <w:color w:val="auto"/>
          <w:u w:val="single"/>
          <w:lang w:val="en-US" w:eastAsia="zh-CN"/>
        </w:rPr>
      </w:pPr>
      <w:r>
        <w:rPr>
          <w:rFonts w:hint="eastAsia"/>
          <w:b/>
          <w:bCs/>
          <w:color w:val="auto"/>
          <w:u w:val="single"/>
          <w:lang w:val="en-US" w:eastAsia="zh-CN"/>
        </w:rPr>
        <w:t>注：生产出的木质素混合物首先进行试验鉴别，分析其资源化的可能性，如不能进行资源化利用则作为一般固废处理。</w:t>
      </w:r>
    </w:p>
    <w:p>
      <w:pPr>
        <w:pStyle w:val="9"/>
        <w:bidi w:val="0"/>
        <w:rPr>
          <w:color w:val="auto"/>
        </w:rPr>
      </w:pPr>
      <w:r>
        <w:rPr>
          <w:rFonts w:hint="eastAsia"/>
          <w:color w:val="auto"/>
        </w:rPr>
        <w:t>3</w:t>
      </w:r>
      <w:r>
        <w:rPr>
          <w:color w:val="auto"/>
        </w:rPr>
        <w:t>.</w:t>
      </w:r>
      <w:r>
        <w:rPr>
          <w:rFonts w:hint="eastAsia"/>
          <w:color w:val="auto"/>
          <w:lang w:val="en-US" w:eastAsia="zh-CN"/>
        </w:rPr>
        <w:t>8.11</w:t>
      </w:r>
      <w:r>
        <w:rPr>
          <w:rFonts w:hint="eastAsia"/>
          <w:color w:val="auto"/>
        </w:rPr>
        <w:t>水平衡和蒸汽平衡</w:t>
      </w:r>
    </w:p>
    <w:p>
      <w:pPr>
        <w:spacing w:line="520" w:lineRule="exact"/>
        <w:ind w:firstLine="480" w:firstLineChars="200"/>
        <w:rPr>
          <w:color w:val="auto"/>
        </w:rPr>
      </w:pPr>
      <w:r>
        <w:rPr>
          <w:rFonts w:hint="eastAsia"/>
          <w:color w:val="auto"/>
        </w:rPr>
        <w:t>本项目水平衡和蒸汽平衡详见图3</w:t>
      </w:r>
      <w:r>
        <w:rPr>
          <w:color w:val="auto"/>
        </w:rPr>
        <w:t>.</w:t>
      </w:r>
      <w:r>
        <w:rPr>
          <w:rFonts w:hint="eastAsia"/>
          <w:color w:val="auto"/>
          <w:lang w:val="en-US" w:eastAsia="zh-CN"/>
        </w:rPr>
        <w:t>8</w:t>
      </w:r>
      <w:r>
        <w:rPr>
          <w:rFonts w:hint="eastAsia"/>
          <w:color w:val="auto"/>
        </w:rPr>
        <w:t>-</w:t>
      </w:r>
      <w:r>
        <w:rPr>
          <w:rFonts w:hint="eastAsia"/>
          <w:color w:val="auto"/>
          <w:lang w:val="en-US" w:eastAsia="zh-CN"/>
        </w:rPr>
        <w:t>3</w:t>
      </w:r>
      <w:r>
        <w:rPr>
          <w:rFonts w:hint="eastAsia"/>
          <w:color w:val="auto"/>
        </w:rPr>
        <w:t>。</w:t>
      </w:r>
    </w:p>
    <w:p>
      <w:pPr>
        <w:spacing w:line="240" w:lineRule="auto"/>
        <w:ind w:left="0" w:leftChars="0" w:firstLine="0" w:firstLineChars="0"/>
        <w:jc w:val="center"/>
        <w:rPr>
          <w:color w:val="auto"/>
        </w:rPr>
        <w:sectPr>
          <w:pgSz w:w="11907" w:h="16840"/>
          <w:pgMar w:top="1417" w:right="1417" w:bottom="1417" w:left="1701"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181"/>
        <w:bidi w:val="0"/>
        <w:ind w:left="0" w:leftChars="0" w:firstLine="0" w:firstLineChars="0"/>
        <w:jc w:val="center"/>
        <w:rPr>
          <w:rFonts w:hint="eastAsia"/>
          <w:color w:val="auto"/>
          <w:u w:val="single"/>
        </w:rPr>
      </w:pPr>
      <w:r>
        <w:rPr>
          <w:color w:val="auto"/>
        </w:rPr>
        <w:drawing>
          <wp:inline distT="0" distB="0" distL="114300" distR="114300">
            <wp:extent cx="8785860" cy="4610100"/>
            <wp:effectExtent l="0" t="0" r="7620" b="7620"/>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44"/>
                    <a:stretch>
                      <a:fillRect/>
                    </a:stretch>
                  </pic:blipFill>
                  <pic:spPr>
                    <a:xfrm>
                      <a:off x="0" y="0"/>
                      <a:ext cx="8785860" cy="4610100"/>
                    </a:xfrm>
                    <a:prstGeom prst="rect">
                      <a:avLst/>
                    </a:prstGeom>
                    <a:noFill/>
                    <a:ln>
                      <a:noFill/>
                    </a:ln>
                  </pic:spPr>
                </pic:pic>
              </a:graphicData>
            </a:graphic>
          </wp:inline>
        </w:drawing>
      </w:r>
      <w:r>
        <w:rPr>
          <w:rFonts w:hint="eastAsia"/>
          <w:color w:val="auto"/>
          <w:u w:val="single"/>
        </w:rPr>
        <w:t>图3</w:t>
      </w:r>
      <w:r>
        <w:rPr>
          <w:color w:val="auto"/>
          <w:u w:val="single"/>
        </w:rPr>
        <w:t>.</w:t>
      </w:r>
      <w:r>
        <w:rPr>
          <w:rFonts w:hint="eastAsia"/>
          <w:color w:val="auto"/>
          <w:u w:val="single"/>
          <w:lang w:val="en-US" w:eastAsia="zh-CN"/>
        </w:rPr>
        <w:t>8</w:t>
      </w:r>
      <w:r>
        <w:rPr>
          <w:rFonts w:hint="eastAsia"/>
          <w:color w:val="auto"/>
          <w:u w:val="single"/>
        </w:rPr>
        <w:t>-</w:t>
      </w:r>
      <w:r>
        <w:rPr>
          <w:rFonts w:hint="eastAsia"/>
          <w:color w:val="auto"/>
          <w:u w:val="single"/>
          <w:lang w:val="en-US" w:eastAsia="zh-CN"/>
        </w:rPr>
        <w:t>3</w:t>
      </w:r>
      <w:r>
        <w:rPr>
          <w:color w:val="auto"/>
          <w:u w:val="single"/>
        </w:rPr>
        <w:t xml:space="preserve">  </w:t>
      </w:r>
      <w:r>
        <w:rPr>
          <w:rFonts w:hint="eastAsia"/>
          <w:color w:val="auto"/>
          <w:u w:val="single"/>
        </w:rPr>
        <w:t>项目水平衡图和蒸汽平衡图</w:t>
      </w:r>
    </w:p>
    <w:p>
      <w:pPr>
        <w:bidi w:val="0"/>
        <w:rPr>
          <w:rFonts w:hint="eastAsia"/>
          <w:color w:val="auto"/>
          <w:lang w:eastAsia="zh-CN"/>
        </w:rPr>
      </w:pPr>
    </w:p>
    <w:p>
      <w:pPr>
        <w:pStyle w:val="2"/>
        <w:rPr>
          <w:rFonts w:hint="eastAsia"/>
          <w:color w:val="auto"/>
          <w:lang w:eastAsia="zh-CN"/>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ind w:left="0" w:leftChars="0" w:firstLine="0" w:firstLineChars="0"/>
        <w:jc w:val="center"/>
        <w:rPr>
          <w:color w:val="auto"/>
        </w:rPr>
      </w:pPr>
      <w:r>
        <w:rPr>
          <w:color w:val="auto"/>
        </w:rPr>
        <w:drawing>
          <wp:inline distT="0" distB="0" distL="114300" distR="114300">
            <wp:extent cx="4632960" cy="5875020"/>
            <wp:effectExtent l="0" t="0" r="0" b="7620"/>
            <wp:docPr id="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
                    <pic:cNvPicPr>
                      <a:picLocks noChangeAspect="1"/>
                    </pic:cNvPicPr>
                  </pic:nvPicPr>
                  <pic:blipFill>
                    <a:blip r:embed="rId45"/>
                    <a:stretch>
                      <a:fillRect/>
                    </a:stretch>
                  </pic:blipFill>
                  <pic:spPr>
                    <a:xfrm>
                      <a:off x="0" y="0"/>
                      <a:ext cx="4632960" cy="5875020"/>
                    </a:xfrm>
                    <a:prstGeom prst="rect">
                      <a:avLst/>
                    </a:prstGeom>
                    <a:noFill/>
                    <a:ln>
                      <a:noFill/>
                    </a:ln>
                  </pic:spPr>
                </pic:pic>
              </a:graphicData>
            </a:graphic>
          </wp:inline>
        </w:drawing>
      </w:r>
    </w:p>
    <w:p>
      <w:pPr>
        <w:pStyle w:val="181"/>
        <w:bidi w:val="0"/>
        <w:ind w:left="0" w:leftChars="0" w:firstLine="0" w:firstLineChars="0"/>
        <w:jc w:val="center"/>
        <w:rPr>
          <w:rFonts w:hint="eastAsia"/>
          <w:color w:val="auto"/>
          <w:u w:val="single"/>
          <w:lang w:val="en-US" w:eastAsia="zh-CN"/>
        </w:rPr>
      </w:pPr>
      <w:r>
        <w:rPr>
          <w:rFonts w:hint="eastAsia"/>
          <w:color w:val="auto"/>
          <w:u w:val="single"/>
          <w:lang w:val="en-US" w:eastAsia="zh-CN"/>
        </w:rPr>
        <w:t>图3.8-4  本项目建成后全厂水平衡图（含中纺绿纤废水）（t/d）</w:t>
      </w:r>
    </w:p>
    <w:p>
      <w:pPr>
        <w:ind w:firstLine="0" w:firstLineChars="0"/>
        <w:rPr>
          <w:rFonts w:hint="default"/>
          <w:color w:val="auto"/>
          <w:lang w:val="en-US" w:eastAsia="zh-CN"/>
        </w:rPr>
      </w:pPr>
    </w:p>
    <w:p>
      <w:pPr>
        <w:ind w:firstLine="0" w:firstLineChars="0"/>
        <w:jc w:val="center"/>
        <w:rPr>
          <w:rFonts w:hint="default"/>
          <w:color w:val="auto"/>
          <w:lang w:val="en-US" w:eastAsia="zh-CN"/>
        </w:rPr>
      </w:pPr>
      <w:r>
        <w:rPr>
          <w:color w:val="auto"/>
        </w:rPr>
        <w:drawing>
          <wp:inline distT="0" distB="0" distL="114300" distR="114300">
            <wp:extent cx="4556760" cy="5775960"/>
            <wp:effectExtent l="0" t="0" r="0" b="0"/>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46"/>
                    <a:stretch>
                      <a:fillRect/>
                    </a:stretch>
                  </pic:blipFill>
                  <pic:spPr>
                    <a:xfrm>
                      <a:off x="0" y="0"/>
                      <a:ext cx="4556760" cy="5775960"/>
                    </a:xfrm>
                    <a:prstGeom prst="rect">
                      <a:avLst/>
                    </a:prstGeom>
                    <a:noFill/>
                    <a:ln>
                      <a:noFill/>
                    </a:ln>
                  </pic:spPr>
                </pic:pic>
              </a:graphicData>
            </a:graphic>
          </wp:inline>
        </w:drawing>
      </w:r>
    </w:p>
    <w:p>
      <w:pPr>
        <w:pStyle w:val="181"/>
        <w:bidi w:val="0"/>
        <w:ind w:left="0" w:leftChars="0" w:firstLine="0" w:firstLineChars="0"/>
        <w:jc w:val="center"/>
        <w:rPr>
          <w:rFonts w:hint="eastAsia"/>
          <w:color w:val="auto"/>
          <w:u w:val="single"/>
          <w:lang w:val="en-US" w:eastAsia="zh-CN"/>
        </w:rPr>
      </w:pPr>
      <w:r>
        <w:rPr>
          <w:rFonts w:hint="eastAsia"/>
          <w:color w:val="auto"/>
          <w:u w:val="single"/>
          <w:lang w:val="en-US" w:eastAsia="zh-CN"/>
        </w:rPr>
        <w:t>图3.8-5 本项目建成后全厂水平衡图（不含中纺绿纤废水）（t/d）</w:t>
      </w:r>
    </w:p>
    <w:p>
      <w:pPr>
        <w:pStyle w:val="9"/>
        <w:bidi w:val="0"/>
        <w:rPr>
          <w:rFonts w:hint="default"/>
          <w:lang w:val="en-US" w:eastAsia="zh-CN"/>
        </w:rPr>
      </w:pPr>
      <w:r>
        <w:rPr>
          <w:rFonts w:hint="eastAsia"/>
        </w:rPr>
        <w:t>3</w:t>
      </w:r>
      <w:r>
        <w:t>.</w:t>
      </w:r>
      <w:r>
        <w:rPr>
          <w:rFonts w:hint="eastAsia"/>
          <w:lang w:val="en-US" w:eastAsia="zh-CN"/>
        </w:rPr>
        <w:t>8.12</w:t>
      </w:r>
      <w:r>
        <w:rPr>
          <w:rFonts w:hint="eastAsia"/>
        </w:rPr>
        <w:t>产污环节</w:t>
      </w:r>
      <w:r>
        <w:rPr>
          <w:rFonts w:hint="eastAsia"/>
          <w:lang w:val="en-US" w:eastAsia="zh-CN"/>
        </w:rPr>
        <w:t>及治理措施</w:t>
      </w:r>
    </w:p>
    <w:p>
      <w:pPr>
        <w:bidi w:val="0"/>
        <w:rPr>
          <w:b/>
          <w:bCs/>
          <w:color w:val="auto"/>
          <w:u w:val="single"/>
        </w:rPr>
      </w:pPr>
      <w:r>
        <w:rPr>
          <w:rFonts w:hint="eastAsia"/>
          <w:b/>
          <w:bCs/>
          <w:color w:val="auto"/>
          <w:u w:val="single"/>
        </w:rPr>
        <w:t>（1）废气</w:t>
      </w:r>
    </w:p>
    <w:p>
      <w:pPr>
        <w:bidi w:val="0"/>
        <w:rPr>
          <w:rFonts w:hint="default"/>
          <w:b/>
          <w:bCs/>
          <w:color w:val="auto"/>
          <w:u w:val="single"/>
          <w:lang w:val="en-US"/>
        </w:rPr>
      </w:pPr>
      <w:r>
        <w:rPr>
          <w:rFonts w:hint="eastAsia"/>
          <w:b/>
          <w:bCs/>
          <w:color w:val="auto"/>
          <w:u w:val="single"/>
        </w:rPr>
        <w:t>本项目不新建蒸汽锅炉，生产用蒸汽由新乡化纤股份有限公司拟建的360t/h锅炉供给，原料预处理及上料过程均采用湿法，不产生粉尘</w:t>
      </w:r>
      <w:r>
        <w:rPr>
          <w:rFonts w:hint="eastAsia"/>
          <w:b/>
          <w:bCs/>
          <w:color w:val="auto"/>
          <w:u w:val="single"/>
          <w:lang w:eastAsia="zh-CN"/>
        </w:rPr>
        <w:t>。</w:t>
      </w:r>
      <w:r>
        <w:rPr>
          <w:rFonts w:hint="eastAsia"/>
          <w:b/>
          <w:bCs/>
          <w:color w:val="auto"/>
          <w:u w:val="single"/>
          <w:lang w:val="en-US" w:eastAsia="zh-CN"/>
        </w:rPr>
        <w:t>本项目</w:t>
      </w:r>
      <w:r>
        <w:rPr>
          <w:rFonts w:hint="eastAsia"/>
          <w:b/>
          <w:bCs/>
          <w:color w:val="auto"/>
          <w:u w:val="single"/>
        </w:rPr>
        <w:t>废气主要为：①原料堆放过程中产生的扬尘；②蒸煮工序产生的湿热废气</w:t>
      </w:r>
      <w:r>
        <w:rPr>
          <w:rFonts w:hint="eastAsia"/>
          <w:b/>
          <w:bCs/>
          <w:color w:val="auto"/>
          <w:u w:val="single"/>
          <w:lang w:eastAsia="zh-CN"/>
        </w:rPr>
        <w:t>（</w:t>
      </w:r>
      <w:r>
        <w:rPr>
          <w:rFonts w:hint="eastAsia"/>
          <w:b/>
          <w:bCs/>
          <w:color w:val="auto"/>
          <w:u w:val="single"/>
          <w:lang w:val="en-US" w:eastAsia="zh-CN"/>
        </w:rPr>
        <w:t>G1</w:t>
      </w:r>
      <w:r>
        <w:rPr>
          <w:rFonts w:hint="eastAsia"/>
          <w:b/>
          <w:bCs/>
          <w:color w:val="auto"/>
          <w:u w:val="single"/>
          <w:lang w:eastAsia="zh-CN"/>
        </w:rPr>
        <w:t>）；</w:t>
      </w:r>
      <w:r>
        <w:rPr>
          <w:rFonts w:hint="eastAsia"/>
          <w:b/>
          <w:bCs/>
          <w:color w:val="auto"/>
          <w:u w:val="single"/>
          <w:lang w:val="en-US" w:eastAsia="zh-CN"/>
        </w:rPr>
        <w:t>③项目新增硫酸用量酸站产生的硫酸雾；④木质素混合物干燥过程中产生的有组织颗粒物（G2）；⑤木质素混合物卸料分收集、分装过程中产生的无组织颗粒物（G3）。</w:t>
      </w:r>
    </w:p>
    <w:p>
      <w:pPr>
        <w:bidi w:val="0"/>
        <w:rPr>
          <w:b/>
          <w:bCs/>
          <w:color w:val="auto"/>
          <w:u w:val="single"/>
        </w:rPr>
      </w:pPr>
      <w:r>
        <w:rPr>
          <w:rFonts w:hint="eastAsia"/>
          <w:b/>
          <w:bCs/>
          <w:color w:val="auto"/>
          <w:u w:val="single"/>
        </w:rPr>
        <w:t>（2）废水</w:t>
      </w:r>
    </w:p>
    <w:p>
      <w:pPr>
        <w:bidi w:val="0"/>
        <w:rPr>
          <w:rFonts w:hint="eastAsia" w:eastAsia="宋体"/>
          <w:b/>
          <w:bCs/>
          <w:color w:val="auto"/>
          <w:u w:val="single"/>
          <w:lang w:eastAsia="zh-CN"/>
        </w:rPr>
      </w:pPr>
      <w:r>
        <w:rPr>
          <w:rFonts w:hint="eastAsia"/>
          <w:b/>
          <w:bCs/>
          <w:color w:val="auto"/>
          <w:u w:val="single"/>
        </w:rPr>
        <w:t>本项目产生的废水主要为</w:t>
      </w:r>
      <w:r>
        <w:rPr>
          <w:rFonts w:hint="eastAsia"/>
          <w:b/>
          <w:bCs/>
          <w:color w:val="auto"/>
          <w:u w:val="single"/>
          <w:lang w:val="en-US" w:eastAsia="zh-CN"/>
        </w:rPr>
        <w:t>水力除杂过程中产生的废水，废水排放量为0.6t/t产品；</w:t>
      </w:r>
      <w:r>
        <w:rPr>
          <w:rFonts w:hint="eastAsia"/>
          <w:b/>
          <w:bCs/>
          <w:color w:val="auto"/>
          <w:u w:val="single"/>
        </w:rPr>
        <w:t>水洗</w:t>
      </w:r>
      <w:r>
        <w:rPr>
          <w:rFonts w:hint="eastAsia"/>
          <w:b/>
          <w:bCs/>
          <w:color w:val="auto"/>
          <w:u w:val="single"/>
          <w:lang w:eastAsia="zh-CN"/>
        </w:rPr>
        <w:t>、</w:t>
      </w:r>
      <w:r>
        <w:rPr>
          <w:rFonts w:hint="eastAsia"/>
          <w:b/>
          <w:bCs/>
          <w:color w:val="auto"/>
          <w:u w:val="single"/>
        </w:rPr>
        <w:t>漂白过程中产生的生产废水</w:t>
      </w:r>
      <w:r>
        <w:rPr>
          <w:rFonts w:hint="eastAsia"/>
          <w:b/>
          <w:bCs/>
          <w:color w:val="auto"/>
          <w:u w:val="single"/>
          <w:lang w:eastAsia="zh-CN"/>
        </w:rPr>
        <w:t>，</w:t>
      </w:r>
      <w:r>
        <w:rPr>
          <w:rFonts w:hint="eastAsia"/>
          <w:b/>
          <w:bCs/>
          <w:color w:val="auto"/>
          <w:u w:val="single"/>
          <w:lang w:val="en-US" w:eastAsia="zh-CN"/>
        </w:rPr>
        <w:t>废水排放量为61.95t/t产品</w:t>
      </w:r>
      <w:r>
        <w:rPr>
          <w:rFonts w:hint="eastAsia"/>
          <w:b/>
          <w:bCs/>
          <w:color w:val="auto"/>
          <w:u w:val="single"/>
        </w:rPr>
        <w:t>。废水经收集后排入厂区污水处理站绿纤</w:t>
      </w:r>
      <w:r>
        <w:rPr>
          <w:rFonts w:hint="eastAsia"/>
          <w:b/>
          <w:bCs/>
          <w:color w:val="auto"/>
          <w:u w:val="single"/>
          <w:lang w:eastAsia="zh-CN"/>
        </w:rPr>
        <w:t>、</w:t>
      </w:r>
      <w:r>
        <w:rPr>
          <w:rFonts w:hint="eastAsia"/>
          <w:b/>
          <w:bCs/>
          <w:color w:val="auto"/>
          <w:u w:val="single"/>
        </w:rPr>
        <w:t>氨纶废水处理单元进行处理。</w:t>
      </w:r>
      <w:r>
        <w:rPr>
          <w:rFonts w:hint="eastAsia"/>
          <w:b/>
          <w:bCs/>
          <w:color w:val="auto"/>
          <w:u w:val="single"/>
          <w:lang w:val="en-US" w:eastAsia="zh-CN"/>
        </w:rPr>
        <w:t>处理工艺流程为：</w:t>
      </w:r>
      <w:r>
        <w:rPr>
          <w:rFonts w:hint="eastAsia"/>
          <w:b/>
          <w:bCs/>
          <w:color w:val="auto"/>
          <w:u w:val="single"/>
        </w:rPr>
        <w:t>调节+混合池+沉淀+水解酸化+氧化沟+二沉池+混凝池+终沉池</w:t>
      </w:r>
      <w:r>
        <w:rPr>
          <w:rFonts w:hint="eastAsia"/>
          <w:b/>
          <w:bCs/>
          <w:color w:val="auto"/>
          <w:u w:val="single"/>
          <w:lang w:eastAsia="zh-CN"/>
        </w:rPr>
        <w:t>。</w:t>
      </w:r>
    </w:p>
    <w:p>
      <w:pPr>
        <w:bidi w:val="0"/>
        <w:rPr>
          <w:color w:val="auto"/>
        </w:rPr>
      </w:pPr>
      <w:r>
        <w:rPr>
          <w:rFonts w:hint="eastAsia"/>
          <w:color w:val="auto"/>
        </w:rPr>
        <w:t>（3）噪声</w:t>
      </w:r>
    </w:p>
    <w:p>
      <w:pPr>
        <w:bidi w:val="0"/>
        <w:rPr>
          <w:color w:val="auto"/>
        </w:rPr>
      </w:pPr>
      <w:r>
        <w:rPr>
          <w:rFonts w:hint="eastAsia"/>
          <w:color w:val="auto"/>
        </w:rPr>
        <w:t>本项目营运期噪声主要为各类水泵、物料泵、风机</w:t>
      </w:r>
      <w:r>
        <w:rPr>
          <w:rFonts w:hint="eastAsia"/>
          <w:color w:val="auto"/>
          <w:lang w:eastAsia="zh-CN"/>
        </w:rPr>
        <w:t>、</w:t>
      </w:r>
      <w:r>
        <w:rPr>
          <w:rFonts w:hint="eastAsia"/>
          <w:color w:val="auto"/>
          <w:lang w:val="en-US" w:eastAsia="zh-CN"/>
        </w:rPr>
        <w:t>真空泵</w:t>
      </w:r>
      <w:r>
        <w:rPr>
          <w:rFonts w:hint="eastAsia"/>
          <w:color w:val="auto"/>
        </w:rPr>
        <w:t>，以及挤浆机、抄</w:t>
      </w:r>
      <w:r>
        <w:rPr>
          <w:rFonts w:hint="eastAsia"/>
          <w:color w:val="auto"/>
          <w:lang w:val="en-US" w:eastAsia="zh-CN"/>
        </w:rPr>
        <w:t>浆</w:t>
      </w:r>
      <w:r>
        <w:rPr>
          <w:rFonts w:hint="eastAsia"/>
          <w:color w:val="auto"/>
        </w:rPr>
        <w:t>机</w:t>
      </w:r>
      <w:r>
        <w:rPr>
          <w:color w:val="auto"/>
        </w:rPr>
        <w:t>等</w:t>
      </w:r>
      <w:r>
        <w:rPr>
          <w:rFonts w:hint="eastAsia"/>
          <w:color w:val="auto"/>
        </w:rPr>
        <w:t>高噪声设备产生的噪声，通过采取厂房隔声、基础减振、隔音和加装消音装置等措施可有效降低噪声对周边环境的影响。</w:t>
      </w:r>
    </w:p>
    <w:p>
      <w:pPr>
        <w:bidi w:val="0"/>
        <w:rPr>
          <w:color w:val="auto"/>
        </w:rPr>
      </w:pPr>
      <w:r>
        <w:rPr>
          <w:rFonts w:hint="eastAsia"/>
          <w:color w:val="auto"/>
        </w:rPr>
        <w:t>（4）固体废物</w:t>
      </w:r>
    </w:p>
    <w:p>
      <w:pPr>
        <w:bidi w:val="0"/>
        <w:rPr>
          <w:color w:val="auto"/>
        </w:rPr>
      </w:pPr>
      <w:r>
        <w:rPr>
          <w:rFonts w:hint="eastAsia"/>
          <w:color w:val="auto"/>
        </w:rPr>
        <w:t>本项目固体废物主要有水力除杂沉淀池污泥、</w:t>
      </w:r>
      <w:r>
        <w:rPr>
          <w:rFonts w:hint="eastAsia"/>
          <w:color w:val="auto"/>
          <w:lang w:val="en-US" w:eastAsia="zh-CN"/>
        </w:rPr>
        <w:t>固体二氧化氯缓释剂</w:t>
      </w:r>
      <w:r>
        <w:rPr>
          <w:rFonts w:hint="eastAsia"/>
          <w:color w:val="auto"/>
        </w:rPr>
        <w:t>废包装袋以及生活垃圾等。</w:t>
      </w:r>
    </w:p>
    <w:p>
      <w:pPr>
        <w:bidi w:val="0"/>
        <w:rPr>
          <w:color w:val="auto"/>
        </w:rPr>
      </w:pPr>
      <w:r>
        <w:rPr>
          <w:rFonts w:hint="eastAsia"/>
          <w:color w:val="auto"/>
        </w:rPr>
        <w:t>本项目</w:t>
      </w:r>
      <w:r>
        <w:rPr>
          <w:color w:val="auto"/>
        </w:rPr>
        <w:t>主要产污环节</w:t>
      </w:r>
      <w:r>
        <w:rPr>
          <w:rFonts w:hint="eastAsia"/>
          <w:color w:val="auto"/>
        </w:rPr>
        <w:t>见下</w:t>
      </w:r>
      <w:r>
        <w:rPr>
          <w:color w:val="auto"/>
        </w:rPr>
        <w:t>表。</w:t>
      </w:r>
    </w:p>
    <w:p>
      <w:pPr>
        <w:pStyle w:val="181"/>
        <w:bidi w:val="0"/>
        <w:rPr>
          <w:color w:val="auto"/>
        </w:rPr>
      </w:pPr>
      <w:r>
        <w:rPr>
          <w:color w:val="auto"/>
        </w:rPr>
        <w:t>表3.</w:t>
      </w:r>
      <w:r>
        <w:rPr>
          <w:rFonts w:hint="eastAsia"/>
          <w:color w:val="auto"/>
          <w:lang w:val="en-US" w:eastAsia="zh-CN"/>
        </w:rPr>
        <w:t>8</w:t>
      </w:r>
      <w:r>
        <w:rPr>
          <w:rFonts w:hint="eastAsia"/>
          <w:color w:val="auto"/>
        </w:rPr>
        <w:t>-</w:t>
      </w:r>
      <w:r>
        <w:rPr>
          <w:color w:val="auto"/>
        </w:rPr>
        <w:t>1</w:t>
      </w:r>
      <w:r>
        <w:rPr>
          <w:rFonts w:hint="eastAsia"/>
          <w:color w:val="auto"/>
          <w:lang w:val="en-US" w:eastAsia="zh-CN"/>
        </w:rPr>
        <w:t>2</w:t>
      </w:r>
      <w:r>
        <w:rPr>
          <w:color w:val="auto"/>
        </w:rPr>
        <w:t xml:space="preserve">  </w:t>
      </w:r>
      <w:r>
        <w:rPr>
          <w:rFonts w:hint="eastAsia"/>
          <w:color w:val="auto"/>
          <w:lang w:val="en-US" w:eastAsia="zh-CN"/>
        </w:rPr>
        <w:t xml:space="preserve">        </w:t>
      </w:r>
      <w:r>
        <w:rPr>
          <w:rFonts w:hint="eastAsia"/>
          <w:color w:val="auto"/>
        </w:rPr>
        <w:t>本项目</w:t>
      </w:r>
      <w:r>
        <w:rPr>
          <w:color w:val="auto"/>
        </w:rPr>
        <w:t>运营期产排污</w:t>
      </w:r>
      <w:r>
        <w:rPr>
          <w:rFonts w:hint="eastAsia"/>
          <w:color w:val="auto"/>
        </w:rPr>
        <w:t>环节一览表</w:t>
      </w:r>
    </w:p>
    <w:tbl>
      <w:tblPr>
        <w:tblStyle w:val="32"/>
        <w:tblW w:w="5000"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665"/>
        <w:gridCol w:w="2486"/>
        <w:gridCol w:w="1790"/>
        <w:gridCol w:w="3582"/>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tcBorders>
              <w:top w:val="single" w:color="000000" w:sz="8" w:space="0"/>
              <w:left w:val="single" w:color="000000" w:sz="8" w:space="0"/>
              <w:bottom w:val="single" w:color="000000" w:sz="6" w:space="0"/>
              <w:right w:val="single" w:color="000000" w:sz="6" w:space="0"/>
            </w:tcBorders>
            <w:tcMar>
              <w:top w:w="28" w:type="dxa"/>
              <w:left w:w="108" w:type="dxa"/>
              <w:bottom w:w="28" w:type="dxa"/>
              <w:right w:w="108" w:type="dxa"/>
            </w:tcMar>
            <w:vAlign w:val="center"/>
          </w:tcPr>
          <w:p>
            <w:pPr>
              <w:pStyle w:val="182"/>
              <w:bidi w:val="0"/>
              <w:rPr>
                <w:b/>
                <w:bCs/>
                <w:color w:val="auto"/>
                <w:u w:val="single"/>
              </w:rPr>
            </w:pPr>
            <w:r>
              <w:rPr>
                <w:b/>
                <w:bCs/>
                <w:color w:val="auto"/>
                <w:u w:val="single"/>
              </w:rPr>
              <w:t>项目</w:t>
            </w:r>
          </w:p>
        </w:tc>
        <w:tc>
          <w:tcPr>
            <w:tcW w:w="1458" w:type="pct"/>
            <w:tcBorders>
              <w:top w:val="single" w:color="000000" w:sz="8"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b/>
                <w:bCs/>
                <w:color w:val="auto"/>
                <w:u w:val="single"/>
              </w:rPr>
            </w:pPr>
            <w:r>
              <w:rPr>
                <w:b/>
                <w:bCs/>
                <w:color w:val="auto"/>
                <w:u w:val="single"/>
              </w:rPr>
              <w:t>产污环节</w:t>
            </w:r>
          </w:p>
        </w:tc>
        <w:tc>
          <w:tcPr>
            <w:tcW w:w="1050" w:type="pct"/>
            <w:tcBorders>
              <w:top w:val="single" w:color="000000" w:sz="8"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b/>
                <w:bCs/>
                <w:color w:val="auto"/>
                <w:u w:val="single"/>
              </w:rPr>
            </w:pPr>
            <w:r>
              <w:rPr>
                <w:b/>
                <w:bCs/>
                <w:color w:val="auto"/>
                <w:u w:val="single"/>
              </w:rPr>
              <w:t>污染因子</w:t>
            </w:r>
          </w:p>
        </w:tc>
        <w:tc>
          <w:tcPr>
            <w:tcW w:w="2100" w:type="pct"/>
            <w:tcBorders>
              <w:top w:val="single" w:color="000000" w:sz="8" w:space="0"/>
              <w:left w:val="single" w:color="000000" w:sz="6" w:space="0"/>
              <w:bottom w:val="single" w:color="000000" w:sz="6" w:space="0"/>
              <w:right w:val="single" w:color="000000" w:sz="8" w:space="0"/>
            </w:tcBorders>
            <w:vAlign w:val="center"/>
          </w:tcPr>
          <w:p>
            <w:pPr>
              <w:pStyle w:val="182"/>
              <w:bidi w:val="0"/>
              <w:rPr>
                <w:b/>
                <w:bCs/>
                <w:color w:val="auto"/>
                <w:u w:val="single"/>
              </w:rPr>
            </w:pPr>
            <w:r>
              <w:rPr>
                <w:b/>
                <w:bCs/>
                <w:color w:val="auto"/>
                <w:u w:val="single"/>
              </w:rPr>
              <w:t>治理措施</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vMerge w:val="restart"/>
            <w:tcBorders>
              <w:top w:val="single" w:color="000000" w:sz="6" w:space="0"/>
              <w:left w:val="single" w:color="000000" w:sz="8" w:space="0"/>
              <w:right w:val="single" w:color="000000" w:sz="6" w:space="0"/>
            </w:tcBorders>
            <w:tcMar>
              <w:top w:w="28" w:type="dxa"/>
              <w:left w:w="108" w:type="dxa"/>
              <w:bottom w:w="28" w:type="dxa"/>
              <w:right w:w="108" w:type="dxa"/>
            </w:tcMar>
            <w:vAlign w:val="center"/>
          </w:tcPr>
          <w:p>
            <w:pPr>
              <w:pStyle w:val="182"/>
              <w:bidi w:val="0"/>
              <w:rPr>
                <w:b/>
                <w:bCs/>
                <w:color w:val="auto"/>
                <w:u w:val="single"/>
              </w:rPr>
            </w:pPr>
            <w:r>
              <w:rPr>
                <w:b/>
                <w:bCs/>
                <w:color w:val="auto"/>
                <w:u w:val="single"/>
              </w:rPr>
              <w:t>废气</w:t>
            </w:r>
          </w:p>
        </w:tc>
        <w:tc>
          <w:tcPr>
            <w:tcW w:w="1458" w:type="pc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菌草堆料库</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颗粒物</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rPr>
              <w:t>堆料库密闭、定期洒水抑尘</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vMerge w:val="continue"/>
            <w:tcBorders>
              <w:left w:val="single" w:color="000000" w:sz="8" w:space="0"/>
              <w:right w:val="single" w:color="000000" w:sz="6" w:space="0"/>
            </w:tcBorders>
            <w:tcMar>
              <w:top w:w="28" w:type="dxa"/>
              <w:left w:w="108" w:type="dxa"/>
              <w:bottom w:w="28" w:type="dxa"/>
              <w:right w:w="108" w:type="dxa"/>
            </w:tcMar>
            <w:vAlign w:val="center"/>
          </w:tcPr>
          <w:p>
            <w:pPr>
              <w:pStyle w:val="182"/>
              <w:bidi w:val="0"/>
              <w:rPr>
                <w:b/>
                <w:bCs/>
                <w:color w:val="auto"/>
                <w:u w:val="single"/>
              </w:rPr>
            </w:pPr>
          </w:p>
        </w:tc>
        <w:tc>
          <w:tcPr>
            <w:tcW w:w="1458" w:type="pc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pPr>
              <w:pStyle w:val="182"/>
              <w:bidi w:val="0"/>
              <w:rPr>
                <w:rFonts w:hint="default" w:eastAsia="宋体"/>
                <w:b/>
                <w:bCs/>
                <w:color w:val="auto"/>
                <w:u w:val="single"/>
                <w:lang w:val="en-US" w:eastAsia="zh-CN"/>
              </w:rPr>
            </w:pPr>
            <w:r>
              <w:rPr>
                <w:rFonts w:hint="eastAsia"/>
                <w:b/>
                <w:bCs/>
                <w:color w:val="auto"/>
                <w:u w:val="single"/>
              </w:rPr>
              <w:t>蒸煮工序</w:t>
            </w:r>
            <w:r>
              <w:rPr>
                <w:rFonts w:hint="eastAsia"/>
                <w:b/>
                <w:bCs/>
                <w:color w:val="auto"/>
                <w:u w:val="single"/>
                <w:lang w:val="en-US" w:eastAsia="zh-CN"/>
              </w:rPr>
              <w:t>G1</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b/>
                <w:bCs/>
                <w:color w:val="auto"/>
                <w:u w:val="single"/>
              </w:rPr>
            </w:pPr>
            <w:r>
              <w:rPr>
                <w:rFonts w:hint="eastAsia"/>
                <w:b/>
                <w:bCs/>
                <w:color w:val="auto"/>
                <w:u w:val="single"/>
                <w:lang w:val="en-US" w:eastAsia="zh-CN"/>
              </w:rPr>
              <w:t>蒸煮</w:t>
            </w:r>
            <w:r>
              <w:rPr>
                <w:rFonts w:hint="eastAsia"/>
                <w:b/>
                <w:bCs/>
                <w:color w:val="auto"/>
                <w:u w:val="single"/>
              </w:rPr>
              <w:t>臭气</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rPr>
                <w:rFonts w:hint="default"/>
                <w:b/>
                <w:bCs/>
                <w:color w:val="auto"/>
                <w:u w:val="single"/>
                <w:lang w:val="en-US" w:eastAsia="zh-CN"/>
              </w:rPr>
            </w:pPr>
            <w:r>
              <w:rPr>
                <w:rFonts w:hint="eastAsia"/>
                <w:b/>
                <w:bCs/>
                <w:color w:val="auto"/>
                <w:u w:val="single"/>
              </w:rPr>
              <w:t>在设备顶部配套的管道风机抽至五效蒸发器，少量无组织排放的臭气通过车间</w:t>
            </w:r>
            <w:r>
              <w:rPr>
                <w:rFonts w:hint="eastAsia"/>
                <w:b/>
                <w:bCs/>
                <w:color w:val="auto"/>
                <w:u w:val="single"/>
                <w:lang w:val="en-US" w:eastAsia="zh-CN"/>
              </w:rPr>
              <w:t>排风</w:t>
            </w:r>
            <w:r>
              <w:rPr>
                <w:rFonts w:hint="eastAsia"/>
                <w:b/>
                <w:bCs/>
                <w:color w:val="auto"/>
                <w:u w:val="single"/>
              </w:rPr>
              <w:t>系统</w:t>
            </w:r>
            <w:r>
              <w:rPr>
                <w:rFonts w:hint="eastAsia"/>
                <w:b/>
                <w:bCs/>
                <w:color w:val="auto"/>
                <w:u w:val="single"/>
                <w:lang w:val="en-US" w:eastAsia="zh-CN"/>
              </w:rPr>
              <w:t>外排；加强厂区通风及臭气浓度监测</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10" w:hRule="atLeast"/>
          <w:jc w:val="center"/>
        </w:trPr>
        <w:tc>
          <w:tcPr>
            <w:tcW w:w="390" w:type="pct"/>
            <w:vMerge w:val="continue"/>
            <w:tcBorders>
              <w:left w:val="single" w:color="000000" w:sz="8" w:space="0"/>
              <w:right w:val="single" w:color="000000" w:sz="6" w:space="0"/>
            </w:tcBorders>
            <w:tcMar>
              <w:top w:w="28" w:type="dxa"/>
              <w:left w:w="108" w:type="dxa"/>
              <w:bottom w:w="28" w:type="dxa"/>
              <w:right w:w="108" w:type="dxa"/>
            </w:tcMar>
            <w:vAlign w:val="center"/>
          </w:tcPr>
          <w:p>
            <w:pPr>
              <w:pStyle w:val="182"/>
              <w:bidi w:val="0"/>
              <w:rPr>
                <w:b/>
                <w:bCs/>
                <w:color w:val="auto"/>
                <w:u w:val="single"/>
              </w:rPr>
            </w:pPr>
          </w:p>
        </w:tc>
        <w:tc>
          <w:tcPr>
            <w:tcW w:w="1458" w:type="pc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酸站</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ind w:firstLine="0" w:firstLineChars="0"/>
              <w:rPr>
                <w:rFonts w:hint="eastAsia"/>
                <w:b/>
                <w:bCs/>
                <w:color w:val="auto"/>
                <w:u w:val="single"/>
              </w:rPr>
            </w:pPr>
            <w:r>
              <w:rPr>
                <w:rFonts w:hint="eastAsia"/>
                <w:b/>
                <w:bCs/>
                <w:color w:val="auto"/>
                <w:u w:val="single"/>
                <w:lang w:val="en-US" w:eastAsia="zh-CN"/>
              </w:rPr>
              <w:t>硫酸雾</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ind w:firstLine="0" w:firstLineChars="0"/>
              <w:rPr>
                <w:b/>
                <w:bCs/>
                <w:color w:val="auto"/>
                <w:u w:val="single"/>
              </w:rPr>
            </w:pPr>
            <w:r>
              <w:rPr>
                <w:rFonts w:hint="eastAsia"/>
                <w:b/>
                <w:bCs/>
                <w:color w:val="auto"/>
                <w:u w:val="single"/>
                <w:lang w:val="en-US" w:eastAsia="zh-CN"/>
              </w:rPr>
              <w:t>新增硫酸雾依托酸站原处理设施</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vMerge w:val="continue"/>
            <w:tcBorders>
              <w:left w:val="single" w:color="000000" w:sz="8" w:space="0"/>
              <w:right w:val="single" w:color="000000" w:sz="6" w:space="0"/>
            </w:tcBorders>
            <w:tcMar>
              <w:top w:w="28" w:type="dxa"/>
              <w:left w:w="108" w:type="dxa"/>
              <w:bottom w:w="28" w:type="dxa"/>
              <w:right w:w="108" w:type="dxa"/>
            </w:tcMar>
            <w:vAlign w:val="center"/>
          </w:tcPr>
          <w:p>
            <w:pPr>
              <w:pStyle w:val="182"/>
              <w:bidi w:val="0"/>
              <w:rPr>
                <w:b/>
                <w:bCs/>
                <w:color w:val="auto"/>
                <w:u w:val="single"/>
              </w:rPr>
            </w:pPr>
          </w:p>
        </w:tc>
        <w:tc>
          <w:tcPr>
            <w:tcW w:w="1458" w:type="pc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木质素混合物干燥G2</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颗粒物</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袋式除尘、定期洒水清理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vMerge w:val="continue"/>
            <w:tcBorders>
              <w:left w:val="single" w:color="000000" w:sz="8" w:space="0"/>
              <w:right w:val="single" w:color="000000" w:sz="6" w:space="0"/>
            </w:tcBorders>
            <w:tcMar>
              <w:top w:w="28" w:type="dxa"/>
              <w:left w:w="108" w:type="dxa"/>
              <w:bottom w:w="28" w:type="dxa"/>
              <w:right w:w="108" w:type="dxa"/>
            </w:tcMar>
            <w:vAlign w:val="center"/>
          </w:tcPr>
          <w:p>
            <w:pPr>
              <w:pStyle w:val="182"/>
              <w:bidi w:val="0"/>
              <w:rPr>
                <w:b/>
                <w:bCs/>
                <w:color w:val="auto"/>
                <w:u w:val="single"/>
              </w:rPr>
            </w:pPr>
          </w:p>
        </w:tc>
        <w:tc>
          <w:tcPr>
            <w:tcW w:w="1458" w:type="pc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木质素混合物干燥G3</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颗粒物</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rPr>
                <w:rFonts w:hint="default"/>
                <w:b/>
                <w:bCs/>
                <w:color w:val="auto"/>
                <w:u w:val="single"/>
                <w:lang w:val="en-US" w:eastAsia="zh-CN"/>
              </w:rPr>
            </w:pPr>
            <w:r>
              <w:rPr>
                <w:rFonts w:hint="eastAsia"/>
                <w:b/>
                <w:bCs/>
                <w:color w:val="auto"/>
                <w:u w:val="single"/>
                <w:lang w:val="en-US" w:eastAsia="zh-CN"/>
              </w:rPr>
              <w:t>车间密封、定期洒水清理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vMerge w:val="restart"/>
            <w:tcBorders>
              <w:top w:val="single" w:color="000000" w:sz="6" w:space="0"/>
              <w:left w:val="single" w:color="000000" w:sz="8" w:space="0"/>
              <w:right w:val="single" w:color="000000" w:sz="6" w:space="0"/>
            </w:tcBorders>
            <w:tcMar>
              <w:top w:w="28" w:type="dxa"/>
              <w:left w:w="108" w:type="dxa"/>
              <w:bottom w:w="28" w:type="dxa"/>
              <w:right w:w="108" w:type="dxa"/>
            </w:tcMar>
            <w:vAlign w:val="center"/>
          </w:tcPr>
          <w:p>
            <w:pPr>
              <w:pStyle w:val="182"/>
              <w:bidi w:val="0"/>
              <w:rPr>
                <w:b/>
                <w:bCs/>
                <w:color w:val="auto"/>
                <w:u w:val="single"/>
              </w:rPr>
            </w:pPr>
            <w:r>
              <w:rPr>
                <w:b/>
                <w:bCs/>
                <w:color w:val="auto"/>
                <w:u w:val="single"/>
              </w:rPr>
              <w:t>废水</w:t>
            </w: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rFonts w:hint="default" w:eastAsia="宋体"/>
                <w:b/>
                <w:bCs/>
                <w:color w:val="auto"/>
                <w:u w:val="single"/>
                <w:lang w:val="en-US" w:eastAsia="zh-CN"/>
              </w:rPr>
            </w:pPr>
            <w:r>
              <w:rPr>
                <w:rFonts w:hint="eastAsia"/>
                <w:b/>
                <w:bCs/>
                <w:color w:val="auto"/>
                <w:u w:val="single"/>
              </w:rPr>
              <w:t>生产废水</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pH、</w:t>
            </w:r>
            <w:r>
              <w:rPr>
                <w:b/>
                <w:bCs/>
                <w:color w:val="auto"/>
                <w:u w:val="single"/>
              </w:rPr>
              <w:t>COD、BOD</w:t>
            </w:r>
            <w:r>
              <w:rPr>
                <w:b/>
                <w:bCs/>
                <w:color w:val="auto"/>
                <w:u w:val="single"/>
                <w:vertAlign w:val="subscript"/>
              </w:rPr>
              <w:t>5</w:t>
            </w:r>
            <w:r>
              <w:rPr>
                <w:b/>
                <w:bCs/>
                <w:color w:val="auto"/>
                <w:u w:val="single"/>
              </w:rPr>
              <w:t>、SS</w:t>
            </w:r>
            <w:r>
              <w:rPr>
                <w:rFonts w:hint="eastAsia"/>
                <w:b/>
                <w:bCs/>
                <w:color w:val="auto"/>
                <w:u w:val="single"/>
              </w:rPr>
              <w:t>、</w:t>
            </w:r>
            <w:r>
              <w:rPr>
                <w:b/>
                <w:bCs/>
                <w:color w:val="auto"/>
                <w:u w:val="single"/>
              </w:rPr>
              <w:t>NH</w:t>
            </w:r>
            <w:r>
              <w:rPr>
                <w:b/>
                <w:bCs/>
                <w:color w:val="auto"/>
                <w:u w:val="single"/>
                <w:vertAlign w:val="subscript"/>
              </w:rPr>
              <w:t>3</w:t>
            </w:r>
            <w:r>
              <w:rPr>
                <w:b/>
                <w:bCs/>
                <w:color w:val="auto"/>
                <w:u w:val="single"/>
              </w:rPr>
              <w:t>-N</w:t>
            </w:r>
            <w:r>
              <w:rPr>
                <w:rFonts w:hint="eastAsia"/>
                <w:b/>
                <w:bCs/>
                <w:color w:val="auto"/>
                <w:u w:val="single"/>
                <w:lang w:eastAsia="zh-CN"/>
              </w:rPr>
              <w:t>、</w:t>
            </w:r>
            <w:r>
              <w:rPr>
                <w:rFonts w:hint="eastAsia"/>
                <w:b/>
                <w:bCs/>
                <w:color w:val="auto"/>
                <w:u w:val="single"/>
                <w:lang w:val="en-US" w:eastAsia="zh-CN"/>
              </w:rPr>
              <w:t>TN、TP色度</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rPr>
                <w:b/>
                <w:bCs/>
                <w:color w:val="auto"/>
                <w:u w:val="single"/>
              </w:rPr>
            </w:pPr>
            <w:r>
              <w:rPr>
                <w:rFonts w:hint="eastAsia"/>
                <w:b/>
                <w:bCs/>
                <w:color w:val="auto"/>
                <w:u w:val="single"/>
              </w:rPr>
              <w:t>经收集后排入厂区污水处理站绿纤、氨纶废水处理单元进行处理。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vMerge w:val="continue"/>
            <w:tcBorders>
              <w:left w:val="single" w:color="000000" w:sz="8" w:space="0"/>
              <w:bottom w:val="single" w:color="000000" w:sz="6" w:space="0"/>
              <w:right w:val="single" w:color="000000" w:sz="6" w:space="0"/>
            </w:tcBorders>
            <w:tcMar>
              <w:top w:w="28" w:type="dxa"/>
              <w:left w:w="108" w:type="dxa"/>
              <w:bottom w:w="28" w:type="dxa"/>
              <w:right w:w="108" w:type="dxa"/>
            </w:tcMar>
            <w:vAlign w:val="center"/>
          </w:tcPr>
          <w:p>
            <w:pPr>
              <w:pStyle w:val="182"/>
              <w:bidi w:val="0"/>
              <w:rPr>
                <w:b/>
                <w:bCs/>
                <w:color w:val="auto"/>
                <w:u w:val="single"/>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rFonts w:hint="default" w:eastAsia="宋体"/>
                <w:b/>
                <w:bCs/>
                <w:color w:val="auto"/>
                <w:u w:val="single"/>
                <w:lang w:val="en-US" w:eastAsia="zh-CN"/>
              </w:rPr>
            </w:pPr>
            <w:r>
              <w:rPr>
                <w:rFonts w:hint="eastAsia"/>
                <w:b/>
                <w:bCs/>
                <w:color w:val="auto"/>
                <w:u w:val="single"/>
              </w:rPr>
              <w:t>生活污水</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b/>
                <w:bCs/>
                <w:color w:val="auto"/>
                <w:u w:val="single"/>
              </w:rPr>
            </w:pPr>
            <w:r>
              <w:rPr>
                <w:b/>
                <w:bCs/>
                <w:color w:val="auto"/>
                <w:u w:val="single"/>
              </w:rPr>
              <w:t>pH、COD、NH</w:t>
            </w:r>
            <w:r>
              <w:rPr>
                <w:b/>
                <w:bCs/>
                <w:color w:val="auto"/>
                <w:u w:val="single"/>
                <w:vertAlign w:val="subscript"/>
              </w:rPr>
              <w:t>3</w:t>
            </w:r>
            <w:r>
              <w:rPr>
                <w:b/>
                <w:bCs/>
                <w:color w:val="auto"/>
                <w:u w:val="single"/>
              </w:rPr>
              <w:t>-N、BOD</w:t>
            </w:r>
            <w:r>
              <w:rPr>
                <w:b/>
                <w:bCs/>
                <w:color w:val="auto"/>
                <w:u w:val="single"/>
                <w:vertAlign w:val="subscript"/>
              </w:rPr>
              <w:t>5</w:t>
            </w:r>
            <w:r>
              <w:rPr>
                <w:b/>
                <w:bCs/>
                <w:color w:val="auto"/>
                <w:u w:val="single"/>
              </w:rPr>
              <w:t>、SS</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rPr>
                <w:b/>
                <w:bCs/>
                <w:color w:val="auto"/>
                <w:u w:val="single"/>
              </w:rPr>
            </w:pPr>
            <w:r>
              <w:rPr>
                <w:rFonts w:hint="eastAsia"/>
                <w:b/>
                <w:bCs/>
                <w:color w:val="auto"/>
                <w:u w:val="single"/>
              </w:rPr>
              <w:t>经收集后排入厂区污水处理站绿纤、氨纶废水处理单元进行处理。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tcBorders>
              <w:top w:val="single" w:color="000000" w:sz="6" w:space="0"/>
              <w:left w:val="single" w:color="000000" w:sz="8" w:space="0"/>
              <w:bottom w:val="single" w:color="000000" w:sz="6" w:space="0"/>
              <w:right w:val="single" w:color="000000" w:sz="6" w:space="0"/>
            </w:tcBorders>
            <w:tcMar>
              <w:top w:w="28" w:type="dxa"/>
              <w:left w:w="108" w:type="dxa"/>
              <w:bottom w:w="28" w:type="dxa"/>
              <w:right w:w="108" w:type="dxa"/>
            </w:tcMar>
            <w:vAlign w:val="center"/>
          </w:tcPr>
          <w:p>
            <w:pPr>
              <w:pStyle w:val="182"/>
              <w:bidi w:val="0"/>
              <w:rPr>
                <w:color w:val="auto"/>
              </w:rPr>
            </w:pPr>
            <w:r>
              <w:rPr>
                <w:color w:val="auto"/>
              </w:rPr>
              <w:t>噪声</w:t>
            </w: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color w:val="auto"/>
              </w:rPr>
            </w:pPr>
            <w:r>
              <w:rPr>
                <w:rFonts w:hint="eastAsia"/>
                <w:color w:val="auto"/>
              </w:rPr>
              <w:t>水泵、物料泵、风机、挤浆机、抄</w:t>
            </w:r>
            <w:r>
              <w:rPr>
                <w:rFonts w:hint="eastAsia"/>
                <w:color w:val="auto"/>
                <w:lang w:val="en-US" w:eastAsia="zh-CN"/>
              </w:rPr>
              <w:t>浆</w:t>
            </w:r>
            <w:r>
              <w:rPr>
                <w:rFonts w:hint="eastAsia"/>
                <w:color w:val="auto"/>
              </w:rPr>
              <w:t>机</w:t>
            </w:r>
            <w:r>
              <w:rPr>
                <w:rFonts w:hint="eastAsia"/>
                <w:color w:val="auto"/>
                <w:lang w:eastAsia="zh-CN"/>
              </w:rPr>
              <w:t>、</w:t>
            </w:r>
            <w:r>
              <w:rPr>
                <w:rFonts w:hint="eastAsia"/>
                <w:color w:val="auto"/>
                <w:lang w:val="en-US" w:eastAsia="zh-CN"/>
              </w:rPr>
              <w:t>真空泵</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color w:val="auto"/>
              </w:rPr>
            </w:pPr>
            <w:r>
              <w:rPr>
                <w:color w:val="auto"/>
              </w:rPr>
              <w:t>噪声</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rPr>
                <w:color w:val="auto"/>
              </w:rPr>
            </w:pPr>
            <w:r>
              <w:rPr>
                <w:color w:val="auto"/>
              </w:rPr>
              <w:t>厂房隔声、基础减振、隔音和消音装置</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vMerge w:val="restart"/>
            <w:tcBorders>
              <w:top w:val="single" w:color="000000" w:sz="6" w:space="0"/>
              <w:left w:val="single" w:color="000000" w:sz="8" w:space="0"/>
              <w:right w:val="single" w:color="000000" w:sz="6" w:space="0"/>
            </w:tcBorders>
            <w:tcMar>
              <w:top w:w="28" w:type="dxa"/>
              <w:left w:w="108" w:type="dxa"/>
              <w:bottom w:w="28" w:type="dxa"/>
              <w:right w:w="108" w:type="dxa"/>
            </w:tcMar>
            <w:vAlign w:val="center"/>
          </w:tcPr>
          <w:p>
            <w:pPr>
              <w:pStyle w:val="182"/>
              <w:bidi w:val="0"/>
              <w:rPr>
                <w:color w:val="auto"/>
              </w:rPr>
            </w:pPr>
            <w:r>
              <w:rPr>
                <w:color w:val="auto"/>
              </w:rPr>
              <w:t>固体</w:t>
            </w:r>
          </w:p>
          <w:p>
            <w:pPr>
              <w:pStyle w:val="182"/>
              <w:bidi w:val="0"/>
              <w:rPr>
                <w:color w:val="auto"/>
              </w:rPr>
            </w:pPr>
            <w:r>
              <w:rPr>
                <w:color w:val="auto"/>
              </w:rPr>
              <w:t>废物</w:t>
            </w: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rFonts w:hint="default" w:eastAsia="宋体"/>
                <w:color w:val="auto"/>
                <w:lang w:val="en-US" w:eastAsia="zh-CN"/>
              </w:rPr>
            </w:pPr>
            <w:r>
              <w:rPr>
                <w:rFonts w:hint="eastAsia"/>
                <w:color w:val="auto"/>
              </w:rPr>
              <w:t>水力除杂</w:t>
            </w:r>
            <w:r>
              <w:rPr>
                <w:rFonts w:hint="eastAsia"/>
                <w:color w:val="auto"/>
                <w:lang w:val="en-US" w:eastAsia="zh-CN"/>
              </w:rPr>
              <w:t>杂质，滤渣</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color w:val="auto"/>
              </w:rPr>
            </w:pPr>
            <w:r>
              <w:rPr>
                <w:rFonts w:hint="eastAsia"/>
                <w:color w:val="auto"/>
              </w:rPr>
              <w:t>/</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rPr>
                <w:color w:val="auto"/>
              </w:rPr>
            </w:pPr>
            <w:r>
              <w:rPr>
                <w:rFonts w:hint="eastAsia"/>
                <w:color w:val="auto"/>
              </w:rPr>
              <w:t>依托现有一般固废暂存间（</w:t>
            </w:r>
            <w:r>
              <w:rPr>
                <w:rFonts w:hint="default"/>
                <w:b w:val="0"/>
                <w:bCs w:val="0"/>
                <w:color w:val="auto"/>
                <w:u w:val="none"/>
                <w:vertAlign w:val="baseline"/>
                <w:lang w:val="en-US" w:eastAsia="zh-CN"/>
              </w:rPr>
              <w:t>36m</w:t>
            </w:r>
            <w:r>
              <w:rPr>
                <w:rFonts w:hint="default"/>
                <w:b w:val="0"/>
                <w:bCs w:val="0"/>
                <w:color w:val="auto"/>
                <w:u w:val="none"/>
                <w:vertAlign w:val="superscript"/>
                <w:lang w:val="en-US" w:eastAsia="zh-CN"/>
              </w:rPr>
              <w:t>2</w:t>
            </w:r>
            <w:r>
              <w:rPr>
                <w:rFonts w:hint="eastAsia"/>
                <w:color w:val="auto"/>
              </w:rPr>
              <w:t>）暂存后，送厂区锅炉燃烧</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vMerge w:val="continue"/>
            <w:tcBorders>
              <w:top w:val="single" w:color="000000" w:sz="6" w:space="0"/>
              <w:left w:val="single" w:color="000000" w:sz="8" w:space="0"/>
              <w:right w:val="single" w:color="000000" w:sz="6" w:space="0"/>
            </w:tcBorders>
            <w:tcMar>
              <w:top w:w="28" w:type="dxa"/>
              <w:left w:w="108" w:type="dxa"/>
              <w:bottom w:w="28" w:type="dxa"/>
              <w:right w:w="108" w:type="dxa"/>
            </w:tcMar>
            <w:vAlign w:val="center"/>
          </w:tcPr>
          <w:p>
            <w:pPr>
              <w:pStyle w:val="182"/>
              <w:bidi w:val="0"/>
              <w:rPr>
                <w:color w:val="auto"/>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color w:val="auto"/>
              </w:rPr>
            </w:pPr>
            <w:r>
              <w:rPr>
                <w:rFonts w:hint="eastAsia"/>
                <w:color w:val="auto"/>
              </w:rPr>
              <w:t>废包装袋</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color w:val="auto"/>
              </w:rPr>
            </w:pPr>
            <w:r>
              <w:rPr>
                <w:rFonts w:hint="eastAsia"/>
                <w:color w:val="auto"/>
              </w:rPr>
              <w:t>/</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rPr>
                <w:color w:val="auto"/>
              </w:rPr>
            </w:pPr>
            <w:r>
              <w:rPr>
                <w:rFonts w:hint="eastAsia"/>
                <w:color w:val="auto"/>
              </w:rPr>
              <w:t>危废间暂存，定期交由有资质的单位进行处置</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0" w:type="pct"/>
            <w:vMerge w:val="continue"/>
            <w:tcBorders>
              <w:top w:val="single" w:color="000000" w:sz="6" w:space="0"/>
              <w:left w:val="single" w:color="000000" w:sz="8" w:space="0"/>
              <w:right w:val="single" w:color="000000" w:sz="6" w:space="0"/>
            </w:tcBorders>
            <w:tcMar>
              <w:top w:w="28" w:type="dxa"/>
              <w:left w:w="108" w:type="dxa"/>
              <w:bottom w:w="28" w:type="dxa"/>
              <w:right w:w="108" w:type="dxa"/>
            </w:tcMar>
            <w:vAlign w:val="center"/>
          </w:tcPr>
          <w:p>
            <w:pPr>
              <w:pStyle w:val="182"/>
              <w:bidi w:val="0"/>
              <w:rPr>
                <w:color w:val="auto"/>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color w:val="auto"/>
              </w:rPr>
            </w:pPr>
            <w:r>
              <w:rPr>
                <w:rFonts w:hint="eastAsia"/>
                <w:color w:val="auto"/>
              </w:rPr>
              <w:t>生活垃圾</w:t>
            </w:r>
          </w:p>
        </w:tc>
        <w:tc>
          <w:tcPr>
            <w:tcW w:w="1050"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pPr>
              <w:pStyle w:val="182"/>
              <w:bidi w:val="0"/>
              <w:rPr>
                <w:color w:val="auto"/>
              </w:rPr>
            </w:pPr>
            <w:r>
              <w:rPr>
                <w:rFonts w:hint="eastAsia"/>
                <w:color w:val="auto"/>
              </w:rPr>
              <w:t>/</w:t>
            </w:r>
          </w:p>
        </w:tc>
        <w:tc>
          <w:tcPr>
            <w:tcW w:w="2100" w:type="pct"/>
            <w:tcBorders>
              <w:top w:val="single" w:color="000000" w:sz="6" w:space="0"/>
              <w:left w:val="single" w:color="000000" w:sz="6" w:space="0"/>
              <w:bottom w:val="single" w:color="000000" w:sz="6" w:space="0"/>
              <w:right w:val="single" w:color="000000" w:sz="8" w:space="0"/>
            </w:tcBorders>
            <w:vAlign w:val="center"/>
          </w:tcPr>
          <w:p>
            <w:pPr>
              <w:pStyle w:val="182"/>
              <w:bidi w:val="0"/>
              <w:rPr>
                <w:color w:val="auto"/>
              </w:rPr>
            </w:pPr>
            <w:r>
              <w:rPr>
                <w:rFonts w:hint="eastAsia"/>
                <w:color w:val="auto"/>
              </w:rPr>
              <w:t>集中收集后送环卫部门指定地点处理</w:t>
            </w:r>
          </w:p>
        </w:tc>
      </w:tr>
    </w:tbl>
    <w:p>
      <w:pPr>
        <w:pStyle w:val="9"/>
        <w:bidi w:val="0"/>
        <w:rPr>
          <w:color w:val="auto"/>
        </w:rPr>
      </w:pPr>
      <w:r>
        <w:rPr>
          <w:rFonts w:hint="eastAsia"/>
          <w:color w:val="auto"/>
        </w:rPr>
        <w:t>3</w:t>
      </w:r>
      <w:r>
        <w:rPr>
          <w:color w:val="auto"/>
        </w:rPr>
        <w:t>.</w:t>
      </w:r>
      <w:r>
        <w:rPr>
          <w:rFonts w:hint="eastAsia"/>
          <w:color w:val="auto"/>
          <w:lang w:val="en-US" w:eastAsia="zh-CN"/>
        </w:rPr>
        <w:t>8</w:t>
      </w:r>
      <w:r>
        <w:rPr>
          <w:color w:val="auto"/>
        </w:rPr>
        <w:t>.</w:t>
      </w:r>
      <w:r>
        <w:rPr>
          <w:rFonts w:hint="eastAsia"/>
          <w:color w:val="auto"/>
          <w:lang w:val="en-US" w:eastAsia="zh-CN"/>
        </w:rPr>
        <w:t>13</w:t>
      </w:r>
      <w:r>
        <w:rPr>
          <w:rFonts w:hint="eastAsia"/>
          <w:color w:val="auto"/>
        </w:rPr>
        <w:t>污染物产</w:t>
      </w:r>
      <w:r>
        <w:rPr>
          <w:rFonts w:hint="eastAsia"/>
          <w:color w:val="auto"/>
          <w:lang w:eastAsia="zh-CN"/>
        </w:rPr>
        <w:t>排放</w:t>
      </w:r>
      <w:r>
        <w:rPr>
          <w:rFonts w:hint="eastAsia"/>
          <w:color w:val="auto"/>
        </w:rPr>
        <w:t>情况</w:t>
      </w:r>
    </w:p>
    <w:p>
      <w:pPr>
        <w:pStyle w:val="10"/>
        <w:bidi w:val="0"/>
        <w:rPr>
          <w:color w:val="auto"/>
        </w:rPr>
      </w:pPr>
      <w:r>
        <w:rPr>
          <w:color w:val="auto"/>
        </w:rPr>
        <w:t>3.</w:t>
      </w:r>
      <w:r>
        <w:rPr>
          <w:rFonts w:hint="eastAsia"/>
          <w:color w:val="auto"/>
          <w:lang w:val="en-US" w:eastAsia="zh-CN"/>
        </w:rPr>
        <w:t>8</w:t>
      </w:r>
      <w:r>
        <w:rPr>
          <w:color w:val="auto"/>
        </w:rPr>
        <w:t>.</w:t>
      </w:r>
      <w:r>
        <w:rPr>
          <w:rFonts w:hint="eastAsia"/>
          <w:color w:val="auto"/>
          <w:lang w:val="en-US" w:eastAsia="zh-CN"/>
        </w:rPr>
        <w:t>13</w:t>
      </w:r>
      <w:r>
        <w:rPr>
          <w:color w:val="auto"/>
        </w:rPr>
        <w:t>.1</w:t>
      </w:r>
      <w:r>
        <w:rPr>
          <w:rFonts w:hint="eastAsia"/>
          <w:color w:val="auto"/>
        </w:rPr>
        <w:t>施工期污染因素</w:t>
      </w:r>
    </w:p>
    <w:p>
      <w:pPr>
        <w:bidi w:val="0"/>
        <w:rPr>
          <w:color w:val="auto"/>
        </w:rPr>
      </w:pPr>
      <w:r>
        <w:rPr>
          <w:rFonts w:hint="eastAsia"/>
          <w:color w:val="auto"/>
        </w:rPr>
        <w:t>本项目在新乡化纤股份有限公司现有厂区西面预留空地内新建厂房。本项目尚未开工，施工活动会对周围大气环境、声环境、水环境及生态环境产生一定的影响，但该影响将随着施工期的结束而结束。</w:t>
      </w:r>
    </w:p>
    <w:p>
      <w:pPr>
        <w:bidi w:val="0"/>
        <w:rPr>
          <w:color w:val="auto"/>
        </w:rPr>
      </w:pPr>
      <w:r>
        <w:rPr>
          <w:rFonts w:hint="eastAsia"/>
          <w:color w:val="auto"/>
        </w:rPr>
        <w:t>一、废气</w:t>
      </w:r>
    </w:p>
    <w:p>
      <w:pPr>
        <w:bidi w:val="0"/>
        <w:rPr>
          <w:color w:val="auto"/>
        </w:rPr>
      </w:pPr>
      <w:r>
        <w:rPr>
          <w:rFonts w:hint="eastAsia"/>
          <w:color w:val="auto"/>
        </w:rPr>
        <w:t>施工期大气污染源主要为施工扬尘、施工机械和运输车辆排放的尾气。</w:t>
      </w:r>
    </w:p>
    <w:p>
      <w:pPr>
        <w:bidi w:val="0"/>
        <w:rPr>
          <w:color w:val="auto"/>
        </w:rPr>
      </w:pPr>
      <w:r>
        <w:rPr>
          <w:rFonts w:hint="eastAsia"/>
          <w:color w:val="auto"/>
        </w:rPr>
        <w:t>（</w:t>
      </w:r>
      <w:r>
        <w:rPr>
          <w:color w:val="auto"/>
        </w:rPr>
        <w:t>1</w:t>
      </w:r>
      <w:r>
        <w:rPr>
          <w:rFonts w:hint="eastAsia"/>
          <w:color w:val="auto"/>
        </w:rPr>
        <w:t>）扬尘</w:t>
      </w:r>
    </w:p>
    <w:p>
      <w:pPr>
        <w:bidi w:val="0"/>
        <w:rPr>
          <w:color w:val="auto"/>
        </w:rPr>
      </w:pPr>
      <w:r>
        <w:rPr>
          <w:rFonts w:hint="eastAsia"/>
          <w:color w:val="auto"/>
        </w:rPr>
        <w:t>施工期扬尘的主要来源，施工期裸露地表在大风气象条件下形成的风蚀扬尘，建筑材料运输、卸载及土方运输车辆行驶产生的二次扬尘，临时物料堆场产生的风蚀扬尘和水泥粉尘等。评价提出以下治理措施：</w:t>
      </w:r>
    </w:p>
    <w:p>
      <w:pPr>
        <w:bidi w:val="0"/>
        <w:rPr>
          <w:color w:val="auto"/>
        </w:rPr>
      </w:pPr>
      <w:r>
        <w:rPr>
          <w:rFonts w:hint="eastAsia"/>
          <w:color w:val="auto"/>
        </w:rPr>
        <w:t>①加强施工管理，在水泥、大沙等物料表面、堆土场表面进行篷布覆盖，</w:t>
      </w:r>
      <w:r>
        <w:rPr>
          <w:rFonts w:hint="eastAsia"/>
          <w:color w:val="auto"/>
          <w:lang w:eastAsia="zh-CN"/>
        </w:rPr>
        <w:t>尽可能地采用</w:t>
      </w:r>
      <w:r>
        <w:rPr>
          <w:rFonts w:hint="eastAsia"/>
          <w:color w:val="auto"/>
        </w:rPr>
        <w:t>商业混凝土，最大程度减少粉尘对周围环境空气的影响；</w:t>
      </w:r>
    </w:p>
    <w:p>
      <w:pPr>
        <w:bidi w:val="0"/>
        <w:rPr>
          <w:color w:val="auto"/>
        </w:rPr>
      </w:pPr>
      <w:r>
        <w:rPr>
          <w:rFonts w:hint="eastAsia"/>
          <w:color w:val="auto"/>
        </w:rPr>
        <w:t>②运输车辆采取密闭措施，且装载时不宜过满，以减少运输过程中由于泥土的散落造成的扬尘；</w:t>
      </w:r>
    </w:p>
    <w:p>
      <w:pPr>
        <w:bidi w:val="0"/>
        <w:rPr>
          <w:color w:val="auto"/>
        </w:rPr>
      </w:pPr>
      <w:r>
        <w:rPr>
          <w:rFonts w:hint="eastAsia"/>
          <w:color w:val="auto"/>
        </w:rPr>
        <w:t>③土方填挖时易产生风蚀扬尘，故土方填挖作业时，尽量避开大风天气，做到挖方及时回填，不长期堆放，以减少挖填方扬尘影响；</w:t>
      </w:r>
    </w:p>
    <w:p>
      <w:pPr>
        <w:bidi w:val="0"/>
        <w:rPr>
          <w:color w:val="auto"/>
        </w:rPr>
      </w:pPr>
      <w:r>
        <w:rPr>
          <w:rFonts w:hint="eastAsia"/>
          <w:color w:val="auto"/>
        </w:rPr>
        <w:t>④在气候干燥或有风的情况下，应适当向填土区、储土堆及作业面、地面</w:t>
      </w:r>
      <w:r>
        <w:rPr>
          <w:rFonts w:hint="eastAsia"/>
          <w:color w:val="auto"/>
          <w:lang w:eastAsia="zh-CN"/>
        </w:rPr>
        <w:t>洒水</w:t>
      </w:r>
      <w:r>
        <w:rPr>
          <w:rFonts w:hint="eastAsia"/>
          <w:color w:val="auto"/>
        </w:rPr>
        <w:t>，以减少风吹时产生的粉尘污染。</w:t>
      </w:r>
    </w:p>
    <w:p>
      <w:pPr>
        <w:bidi w:val="0"/>
        <w:rPr>
          <w:color w:val="auto"/>
        </w:rPr>
      </w:pPr>
      <w:r>
        <w:rPr>
          <w:rFonts w:hint="eastAsia"/>
          <w:color w:val="auto"/>
        </w:rPr>
        <w:t>⑤根据《新乡市人民政府办公室关于进一步加强大气污染防治工作持续改善大气环境质量的通知》（新政办明电</w:t>
      </w:r>
      <w:r>
        <w:rPr>
          <w:rFonts w:hint="eastAsia"/>
          <w:color w:val="auto"/>
          <w:lang w:eastAsia="zh-CN"/>
        </w:rPr>
        <w:t>〔</w:t>
      </w:r>
      <w:r>
        <w:rPr>
          <w:color w:val="auto"/>
        </w:rPr>
        <w:t>2015</w:t>
      </w:r>
      <w:r>
        <w:rPr>
          <w:rFonts w:hint="eastAsia"/>
          <w:color w:val="auto"/>
          <w:lang w:eastAsia="zh-CN"/>
        </w:rPr>
        <w:t>〕</w:t>
      </w:r>
      <w:r>
        <w:rPr>
          <w:color w:val="auto"/>
        </w:rPr>
        <w:t>422</w:t>
      </w:r>
      <w:r>
        <w:rPr>
          <w:rFonts w:hint="eastAsia"/>
          <w:color w:val="auto"/>
        </w:rPr>
        <w:t>号文），建设单位应积极推进绿色工地创建，实施施工工地封闭管理，做到七个</w:t>
      </w:r>
      <w:r>
        <w:rPr>
          <w:color w:val="auto"/>
        </w:rPr>
        <w:t>100%</w:t>
      </w:r>
      <w:r>
        <w:rPr>
          <w:rFonts w:hint="eastAsia"/>
          <w:color w:val="auto"/>
        </w:rPr>
        <w:t>，即施工现场</w:t>
      </w:r>
      <w:r>
        <w:rPr>
          <w:color w:val="auto"/>
        </w:rPr>
        <w:t>100%</w:t>
      </w:r>
      <w:r>
        <w:rPr>
          <w:rFonts w:hint="eastAsia"/>
          <w:color w:val="auto"/>
        </w:rPr>
        <w:t>围挡，工地沙土</w:t>
      </w:r>
      <w:r>
        <w:rPr>
          <w:color w:val="auto"/>
        </w:rPr>
        <w:t>100%</w:t>
      </w:r>
      <w:r>
        <w:rPr>
          <w:rFonts w:hint="eastAsia"/>
          <w:color w:val="auto"/>
        </w:rPr>
        <w:t>覆盖或围挡，工地路面</w:t>
      </w:r>
      <w:r>
        <w:rPr>
          <w:color w:val="auto"/>
        </w:rPr>
        <w:t>100%</w:t>
      </w:r>
      <w:r>
        <w:rPr>
          <w:rFonts w:hint="eastAsia"/>
          <w:color w:val="auto"/>
        </w:rPr>
        <w:t>硬化，拆除工程</w:t>
      </w:r>
      <w:r>
        <w:rPr>
          <w:color w:val="auto"/>
        </w:rPr>
        <w:t>100%</w:t>
      </w:r>
      <w:r>
        <w:rPr>
          <w:rFonts w:hint="eastAsia"/>
          <w:color w:val="auto"/>
        </w:rPr>
        <w:t>洒水，出工地运输车辆</w:t>
      </w:r>
      <w:r>
        <w:rPr>
          <w:color w:val="auto"/>
        </w:rPr>
        <w:t>100%</w:t>
      </w:r>
      <w:r>
        <w:rPr>
          <w:rFonts w:hint="eastAsia"/>
          <w:color w:val="auto"/>
        </w:rPr>
        <w:t>冲净；车轮车身且密闭无洒漏，暂不开发的场地</w:t>
      </w:r>
      <w:r>
        <w:rPr>
          <w:color w:val="auto"/>
        </w:rPr>
        <w:t>100%</w:t>
      </w:r>
      <w:r>
        <w:rPr>
          <w:rFonts w:hint="eastAsia"/>
          <w:color w:val="auto"/>
        </w:rPr>
        <w:t>绿化，以及外脚手架密目式安全网</w:t>
      </w:r>
      <w:r>
        <w:rPr>
          <w:color w:val="auto"/>
        </w:rPr>
        <w:t>100%</w:t>
      </w:r>
      <w:r>
        <w:rPr>
          <w:rFonts w:hint="eastAsia"/>
          <w:color w:val="auto"/>
        </w:rPr>
        <w:t>安装。</w:t>
      </w:r>
    </w:p>
    <w:p>
      <w:pPr>
        <w:bidi w:val="0"/>
        <w:rPr>
          <w:color w:val="auto"/>
        </w:rPr>
      </w:pPr>
      <w:r>
        <w:rPr>
          <w:rFonts w:hint="eastAsia"/>
          <w:color w:val="auto"/>
        </w:rPr>
        <w:t>⑥根据新乡市环境污染防治攻坚指挥部办公室关于印发《新乡市</w:t>
      </w:r>
      <w:r>
        <w:rPr>
          <w:color w:val="auto"/>
        </w:rPr>
        <w:t>2022</w:t>
      </w:r>
      <w:r>
        <w:rPr>
          <w:rFonts w:hint="eastAsia"/>
          <w:color w:val="auto"/>
        </w:rPr>
        <w:t>年大气、水、土壤污染防治攻坚战实施方案》的通知、《2021</w:t>
      </w:r>
      <w:r>
        <w:rPr>
          <w:rFonts w:hint="eastAsia"/>
          <w:color w:val="auto"/>
          <w:lang w:eastAsia="zh-CN"/>
        </w:rPr>
        <w:t>—</w:t>
      </w:r>
      <w:r>
        <w:rPr>
          <w:rFonts w:hint="eastAsia"/>
          <w:color w:val="auto"/>
        </w:rPr>
        <w:t>2022年秋冬季大气污染综合治理攻坚方案》中所提防扬尘措施，建立施工工地动态管理清单，全面开展标准化施工，按照</w:t>
      </w:r>
      <w:r>
        <w:rPr>
          <w:color w:val="auto"/>
        </w:rPr>
        <w:t>“</w:t>
      </w:r>
      <w:r>
        <w:rPr>
          <w:rFonts w:hint="eastAsia"/>
          <w:color w:val="auto"/>
        </w:rPr>
        <w:t>谁施工、谁负责，谁主管、谁监督</w:t>
      </w:r>
      <w:r>
        <w:rPr>
          <w:color w:val="auto"/>
        </w:rPr>
        <w:t>”</w:t>
      </w:r>
      <w:r>
        <w:rPr>
          <w:rFonts w:hint="eastAsia"/>
          <w:color w:val="auto"/>
        </w:rPr>
        <w:t>的原则，严格落实</w:t>
      </w:r>
      <w:r>
        <w:rPr>
          <w:color w:val="auto"/>
        </w:rPr>
        <w:t>“</w:t>
      </w:r>
      <w:r>
        <w:rPr>
          <w:rFonts w:hint="eastAsia"/>
          <w:color w:val="auto"/>
        </w:rPr>
        <w:t>八个百分之百</w:t>
      </w:r>
      <w:r>
        <w:rPr>
          <w:color w:val="auto"/>
        </w:rPr>
        <w:t>”</w:t>
      </w:r>
      <w:r>
        <w:rPr>
          <w:rFonts w:hint="eastAsia"/>
          <w:color w:val="auto"/>
        </w:rPr>
        <w:t>（施工现场</w:t>
      </w:r>
      <w:r>
        <w:rPr>
          <w:color w:val="auto"/>
        </w:rPr>
        <w:t>100%</w:t>
      </w:r>
      <w:r>
        <w:rPr>
          <w:rFonts w:hint="eastAsia"/>
          <w:color w:val="auto"/>
        </w:rPr>
        <w:t>封闭管理，施工现场</w:t>
      </w:r>
      <w:r>
        <w:rPr>
          <w:color w:val="auto"/>
        </w:rPr>
        <w:t>100%</w:t>
      </w:r>
      <w:r>
        <w:rPr>
          <w:rFonts w:hint="eastAsia"/>
          <w:color w:val="auto"/>
        </w:rPr>
        <w:t>湿法作业，场区道路</w:t>
      </w:r>
      <w:r>
        <w:rPr>
          <w:color w:val="auto"/>
        </w:rPr>
        <w:t>100%</w:t>
      </w:r>
      <w:r>
        <w:rPr>
          <w:rFonts w:hint="eastAsia"/>
          <w:color w:val="auto"/>
        </w:rPr>
        <w:t>硬化，渣土物料</w:t>
      </w:r>
      <w:r>
        <w:rPr>
          <w:color w:val="auto"/>
        </w:rPr>
        <w:t>100</w:t>
      </w:r>
      <w:r>
        <w:rPr>
          <w:rFonts w:hint="eastAsia"/>
          <w:color w:val="auto"/>
        </w:rPr>
        <w:t>％覆盖，物料</w:t>
      </w:r>
      <w:r>
        <w:rPr>
          <w:color w:val="auto"/>
        </w:rPr>
        <w:t>100</w:t>
      </w:r>
      <w:r>
        <w:rPr>
          <w:rFonts w:hint="eastAsia"/>
          <w:color w:val="auto"/>
        </w:rPr>
        <w:t>％密闭运输，出入车辆</w:t>
      </w:r>
      <w:r>
        <w:rPr>
          <w:color w:val="auto"/>
        </w:rPr>
        <w:t>100</w:t>
      </w:r>
      <w:r>
        <w:rPr>
          <w:rFonts w:hint="eastAsia"/>
          <w:color w:val="auto"/>
        </w:rPr>
        <w:t>％清洗，远程视频监控</w:t>
      </w:r>
      <w:r>
        <w:rPr>
          <w:color w:val="auto"/>
        </w:rPr>
        <w:t>100</w:t>
      </w:r>
      <w:r>
        <w:rPr>
          <w:rFonts w:hint="eastAsia"/>
          <w:color w:val="auto"/>
        </w:rPr>
        <w:t>％安装，工地内非道路移动机械</w:t>
      </w:r>
      <w:r>
        <w:rPr>
          <w:color w:val="auto"/>
        </w:rPr>
        <w:t>100</w:t>
      </w:r>
      <w:r>
        <w:rPr>
          <w:rFonts w:hint="eastAsia"/>
          <w:color w:val="auto"/>
        </w:rPr>
        <w:t>％达标）、开复工验收、</w:t>
      </w:r>
      <w:r>
        <w:rPr>
          <w:color w:val="auto"/>
        </w:rPr>
        <w:t>“</w:t>
      </w:r>
      <w:r>
        <w:rPr>
          <w:rFonts w:hint="eastAsia"/>
          <w:color w:val="auto"/>
        </w:rPr>
        <w:t>三员</w:t>
      </w:r>
      <w:r>
        <w:rPr>
          <w:color w:val="auto"/>
        </w:rPr>
        <w:t>”</w:t>
      </w:r>
      <w:r>
        <w:rPr>
          <w:rFonts w:hint="eastAsia"/>
          <w:color w:val="auto"/>
        </w:rPr>
        <w:t>管理等制度。实施扬尘污染防治守信联合激励、失信联合惩戒，将扬尘管理不到位的不良信息纳入建筑市场信用管理体系，情节严重的，列入建筑市场主体</w:t>
      </w:r>
      <w:r>
        <w:rPr>
          <w:color w:val="auto"/>
        </w:rPr>
        <w:t>“</w:t>
      </w:r>
      <w:r>
        <w:rPr>
          <w:rFonts w:hint="eastAsia"/>
          <w:color w:val="auto"/>
        </w:rPr>
        <w:t>黑名单</w:t>
      </w:r>
      <w:r>
        <w:rPr>
          <w:color w:val="auto"/>
        </w:rPr>
        <w:t>”</w:t>
      </w:r>
      <w:r>
        <w:rPr>
          <w:rFonts w:hint="eastAsia"/>
          <w:color w:val="auto"/>
        </w:rPr>
        <w:t>。严格渣土运输车辆规范化管理，实行建筑垃圾从产生、清运到消纳处置的全过程监管。严格落实城市建成区内</w:t>
      </w:r>
      <w:r>
        <w:rPr>
          <w:color w:val="auto"/>
        </w:rPr>
        <w:t>“</w:t>
      </w:r>
      <w:r>
        <w:rPr>
          <w:rFonts w:hint="eastAsia"/>
          <w:color w:val="auto"/>
        </w:rPr>
        <w:t>两个禁止</w:t>
      </w:r>
      <w:r>
        <w:rPr>
          <w:color w:val="auto"/>
        </w:rPr>
        <w:t>”</w:t>
      </w:r>
      <w:r>
        <w:rPr>
          <w:rFonts w:hint="eastAsia"/>
          <w:color w:val="auto"/>
        </w:rPr>
        <w:t>（禁止现场搅拌混凝土和禁止现场配置砂浆）要求，加快</w:t>
      </w:r>
      <w:r>
        <w:rPr>
          <w:color w:val="auto"/>
        </w:rPr>
        <w:t>“</w:t>
      </w:r>
      <w:r>
        <w:rPr>
          <w:rFonts w:hint="eastAsia"/>
          <w:color w:val="auto"/>
        </w:rPr>
        <w:t>两个禁止</w:t>
      </w:r>
      <w:r>
        <w:rPr>
          <w:color w:val="auto"/>
        </w:rPr>
        <w:t>”</w:t>
      </w:r>
      <w:r>
        <w:rPr>
          <w:rFonts w:hint="eastAsia"/>
          <w:color w:val="auto"/>
        </w:rPr>
        <w:t>综合信息监管平台建设，实施动态监管。施工现场出入口应标有企业名称或企业标识，主要出入口明显处应设置工程概况牌，大门内应有施工现场总平面图和安全生产、消防保卫、环境保护、文明施工等制度牌。四级以上大风天气或市政府发布空气质量预警时，严禁进行土方开挖、回填等可能产生扬尘的施工，同时覆网防尘。施工现场的材料和大模板等存放场地必须平整坚实。水泥和其他易飞扬的细颗粒建筑材料应密闭存放或采取覆盖等措施。建筑垃圾清运全部实现自动化密闭运输，统一安装卫星定位装置，并与主管部门联网。</w:t>
      </w:r>
    </w:p>
    <w:p>
      <w:pPr>
        <w:bidi w:val="0"/>
        <w:rPr>
          <w:color w:val="auto"/>
        </w:rPr>
      </w:pPr>
      <w:r>
        <w:rPr>
          <w:rFonts w:hint="eastAsia"/>
          <w:color w:val="auto"/>
        </w:rPr>
        <w:t>（</w:t>
      </w:r>
      <w:r>
        <w:rPr>
          <w:color w:val="auto"/>
        </w:rPr>
        <w:t>2</w:t>
      </w:r>
      <w:r>
        <w:rPr>
          <w:rFonts w:hint="eastAsia"/>
          <w:color w:val="auto"/>
        </w:rPr>
        <w:t>）车辆尾气</w:t>
      </w:r>
    </w:p>
    <w:p>
      <w:pPr>
        <w:bidi w:val="0"/>
        <w:rPr>
          <w:color w:val="auto"/>
        </w:rPr>
      </w:pPr>
      <w:r>
        <w:rPr>
          <w:rFonts w:hint="eastAsia"/>
          <w:color w:val="auto"/>
        </w:rPr>
        <w:t>施工阶段，频繁使用机动车辆运输建筑原材料、施工设备及器材、建筑垃圾等排出的机动车尾气，主要污染物是</w:t>
      </w:r>
      <w:r>
        <w:rPr>
          <w:color w:val="auto"/>
        </w:rPr>
        <w:t>NOx</w:t>
      </w:r>
      <w:r>
        <w:rPr>
          <w:rFonts w:hint="eastAsia"/>
          <w:color w:val="auto"/>
        </w:rPr>
        <w:t>、</w:t>
      </w:r>
      <w:r>
        <w:rPr>
          <w:color w:val="auto"/>
        </w:rPr>
        <w:t>CO</w:t>
      </w:r>
      <w:r>
        <w:rPr>
          <w:rFonts w:hint="eastAsia"/>
          <w:color w:val="auto"/>
        </w:rPr>
        <w:t>、</w:t>
      </w:r>
      <w:r>
        <w:rPr>
          <w:color w:val="auto"/>
        </w:rPr>
        <w:t>THC</w:t>
      </w:r>
      <w:r>
        <w:rPr>
          <w:rFonts w:hint="eastAsia"/>
          <w:color w:val="auto"/>
        </w:rPr>
        <w:t>等。由于机动车尾气的排放量较小，且燃油机械和运输车辆均在室外进行作业，其排放的机动车尾气能够迅速扩散，对周围大气环境影响较小。</w:t>
      </w:r>
    </w:p>
    <w:p>
      <w:pPr>
        <w:bidi w:val="0"/>
        <w:rPr>
          <w:color w:val="auto"/>
        </w:rPr>
      </w:pPr>
      <w:r>
        <w:rPr>
          <w:rFonts w:hint="eastAsia"/>
          <w:color w:val="auto"/>
        </w:rPr>
        <w:t>总之，只要加强管理，切实落实好上述这些措施，施工扬尘对环境的影响将会大大降低，不会对区域大气环境产生明显的影响，其对周围环境的影响会随着施工期的结束而结束。</w:t>
      </w:r>
    </w:p>
    <w:p>
      <w:pPr>
        <w:bidi w:val="0"/>
        <w:rPr>
          <w:color w:val="auto"/>
        </w:rPr>
      </w:pPr>
      <w:r>
        <w:rPr>
          <w:rFonts w:hint="eastAsia"/>
          <w:color w:val="auto"/>
        </w:rPr>
        <w:t>二、废水</w:t>
      </w:r>
    </w:p>
    <w:p>
      <w:pPr>
        <w:bidi w:val="0"/>
        <w:rPr>
          <w:color w:val="auto"/>
        </w:rPr>
      </w:pPr>
      <w:r>
        <w:rPr>
          <w:rFonts w:hint="eastAsia"/>
          <w:color w:val="auto"/>
        </w:rPr>
        <w:t>施工过程中产生的废水主要为施工人员排放的生活污水和施工作业产生的废水。</w:t>
      </w:r>
    </w:p>
    <w:p>
      <w:pPr>
        <w:bidi w:val="0"/>
        <w:rPr>
          <w:color w:val="auto"/>
        </w:rPr>
      </w:pPr>
      <w:r>
        <w:rPr>
          <w:rFonts w:hint="eastAsia"/>
          <w:color w:val="auto"/>
        </w:rPr>
        <w:t>（</w:t>
      </w:r>
      <w:r>
        <w:rPr>
          <w:color w:val="auto"/>
        </w:rPr>
        <w:t>1</w:t>
      </w:r>
      <w:r>
        <w:rPr>
          <w:rFonts w:hint="eastAsia"/>
          <w:color w:val="auto"/>
        </w:rPr>
        <w:t>）项目施工人员排放的生活污水，主要污染物为</w:t>
      </w:r>
      <w:r>
        <w:rPr>
          <w:color w:val="auto"/>
        </w:rPr>
        <w:t>COD</w:t>
      </w:r>
      <w:r>
        <w:rPr>
          <w:rFonts w:hint="eastAsia"/>
          <w:color w:val="auto"/>
        </w:rPr>
        <w:t>、</w:t>
      </w:r>
      <w:r>
        <w:rPr>
          <w:color w:val="auto"/>
        </w:rPr>
        <w:t>SS</w:t>
      </w:r>
      <w:r>
        <w:rPr>
          <w:rFonts w:hint="eastAsia"/>
          <w:color w:val="auto"/>
        </w:rPr>
        <w:t>和</w:t>
      </w:r>
      <w:r>
        <w:rPr>
          <w:color w:val="auto"/>
        </w:rPr>
        <w:t>NH</w:t>
      </w:r>
      <w:r>
        <w:rPr>
          <w:color w:val="auto"/>
          <w:vertAlign w:val="subscript"/>
        </w:rPr>
        <w:t>3</w:t>
      </w:r>
      <w:r>
        <w:rPr>
          <w:color w:val="auto"/>
        </w:rPr>
        <w:t>-N</w:t>
      </w:r>
      <w:r>
        <w:rPr>
          <w:rFonts w:hint="eastAsia"/>
          <w:color w:val="auto"/>
        </w:rPr>
        <w:t>。施工工地无食堂和板房宿舍。施工高峰期</w:t>
      </w:r>
      <w:r>
        <w:rPr>
          <w:color w:val="auto"/>
        </w:rPr>
        <w:t>80</w:t>
      </w:r>
      <w:r>
        <w:rPr>
          <w:rFonts w:hint="eastAsia"/>
          <w:color w:val="auto"/>
        </w:rPr>
        <w:t>人同时在施工作业，施工人员用水量按</w:t>
      </w:r>
      <w:r>
        <w:rPr>
          <w:color w:val="auto"/>
        </w:rPr>
        <w:t>40L/</w:t>
      </w:r>
      <w:r>
        <w:rPr>
          <w:rFonts w:hint="eastAsia"/>
          <w:color w:val="auto"/>
        </w:rPr>
        <w:t>（人•日）计，经估算，生活废水排放量约为</w:t>
      </w:r>
      <w:r>
        <w:rPr>
          <w:color w:val="auto"/>
        </w:rPr>
        <w:t>3.2m</w:t>
      </w:r>
      <w:r>
        <w:rPr>
          <w:color w:val="auto"/>
          <w:vertAlign w:val="superscript"/>
        </w:rPr>
        <w:t>3</w:t>
      </w:r>
      <w:r>
        <w:rPr>
          <w:color w:val="auto"/>
        </w:rPr>
        <w:t>/d</w:t>
      </w:r>
      <w:r>
        <w:rPr>
          <w:rFonts w:hint="eastAsia"/>
          <w:color w:val="auto"/>
        </w:rPr>
        <w:t>，类比确定污水产生浓度为</w:t>
      </w:r>
      <w:r>
        <w:rPr>
          <w:color w:val="auto"/>
        </w:rPr>
        <w:t>COD 300mg/L</w:t>
      </w:r>
      <w:r>
        <w:rPr>
          <w:rFonts w:hint="eastAsia"/>
          <w:color w:val="auto"/>
        </w:rPr>
        <w:t>、</w:t>
      </w:r>
      <w:r>
        <w:rPr>
          <w:color w:val="auto"/>
        </w:rPr>
        <w:t>SS 200mg/L</w:t>
      </w:r>
      <w:r>
        <w:rPr>
          <w:rFonts w:hint="eastAsia"/>
          <w:color w:val="auto"/>
        </w:rPr>
        <w:t>、</w:t>
      </w:r>
      <w:r>
        <w:rPr>
          <w:color w:val="auto"/>
        </w:rPr>
        <w:t>NH</w:t>
      </w:r>
      <w:r>
        <w:rPr>
          <w:color w:val="auto"/>
          <w:vertAlign w:val="subscript"/>
        </w:rPr>
        <w:t>3</w:t>
      </w:r>
      <w:r>
        <w:rPr>
          <w:color w:val="auto"/>
        </w:rPr>
        <w:t>-N 30mg/L</w:t>
      </w:r>
      <w:r>
        <w:rPr>
          <w:rFonts w:hint="eastAsia"/>
          <w:color w:val="auto"/>
        </w:rPr>
        <w:t>，评价提出施工单位生活污水进入厂区现有污水处理站处理，处理后排入小店污水处理厂。</w:t>
      </w:r>
    </w:p>
    <w:p>
      <w:pPr>
        <w:bidi w:val="0"/>
        <w:rPr>
          <w:color w:val="auto"/>
        </w:rPr>
      </w:pPr>
      <w:r>
        <w:rPr>
          <w:rFonts w:hint="eastAsia"/>
          <w:color w:val="auto"/>
        </w:rPr>
        <w:t>（</w:t>
      </w:r>
      <w:r>
        <w:rPr>
          <w:color w:val="auto"/>
        </w:rPr>
        <w:t>2</w:t>
      </w:r>
      <w:r>
        <w:rPr>
          <w:rFonts w:hint="eastAsia"/>
          <w:color w:val="auto"/>
        </w:rPr>
        <w:t>）施工作业废水包括砖块喷淋、混凝土和路面抑尘喷洒、混凝土制造用水等。这部分废水主要污染成分是泥沙等颗粒物，不含有害物质和有机物。因此施工废水经过简易的沉淀后回用于施工场地抑尘用水，施工废水不外排。</w:t>
      </w:r>
    </w:p>
    <w:p>
      <w:pPr>
        <w:bidi w:val="0"/>
        <w:rPr>
          <w:color w:val="auto"/>
        </w:rPr>
      </w:pPr>
      <w:r>
        <w:rPr>
          <w:rFonts w:hint="eastAsia"/>
          <w:color w:val="auto"/>
        </w:rPr>
        <w:t>三、噪声</w:t>
      </w:r>
    </w:p>
    <w:p>
      <w:pPr>
        <w:bidi w:val="0"/>
        <w:rPr>
          <w:color w:val="auto"/>
        </w:rPr>
      </w:pPr>
      <w:r>
        <w:rPr>
          <w:rFonts w:hint="eastAsia"/>
          <w:color w:val="auto"/>
        </w:rPr>
        <w:t>为了便于分析和减弱噪声对周边环境的影响程度，依据项目施工特点，从噪声产生原理及距离衰减的角度出发，本次评价将施工期分为：土石方阶段、打桩阶段、底板与结构阶段、装修和安装阶段。不同阶段采用的施工设备不同，噪声源强值不同，噪声的排放性质也不同。土石方阶段的主要噪声源是：挖掘机、推土机、装载机以及各种运输车辆，这类施工机械绝大部分是移动性声源。打桩阶段主要噪声源为打桩机；底板与结构阶段、装修及安装阶段，主要噪声源为混凝土搅拌机、振捣机、切割机、电锯、升降机等，该阶段噪声具有声压高、持续时间较长的特点，其中切割机、电锯等产生的噪声还具有音频较高的特点。项目主要的交通运输车辆噪声源强见表</w:t>
      </w:r>
      <w:r>
        <w:rPr>
          <w:color w:val="auto"/>
        </w:rPr>
        <w:t>3.</w:t>
      </w:r>
      <w:r>
        <w:rPr>
          <w:rFonts w:hint="eastAsia"/>
          <w:color w:val="auto"/>
          <w:lang w:val="en-US" w:eastAsia="zh-CN"/>
        </w:rPr>
        <w:t>8</w:t>
      </w:r>
      <w:r>
        <w:rPr>
          <w:rFonts w:hint="eastAsia"/>
          <w:color w:val="auto"/>
        </w:rPr>
        <w:t>-</w:t>
      </w:r>
      <w:r>
        <w:rPr>
          <w:color w:val="auto"/>
        </w:rPr>
        <w:t>13</w:t>
      </w:r>
      <w:r>
        <w:rPr>
          <w:rFonts w:hint="eastAsia"/>
          <w:color w:val="auto"/>
        </w:rPr>
        <w:t>，主要施工机械噪声源强见表</w:t>
      </w:r>
      <w:r>
        <w:rPr>
          <w:color w:val="auto"/>
        </w:rPr>
        <w:t>3.</w:t>
      </w:r>
      <w:r>
        <w:rPr>
          <w:rFonts w:hint="eastAsia"/>
          <w:color w:val="auto"/>
          <w:lang w:val="en-US" w:eastAsia="zh-CN"/>
        </w:rPr>
        <w:t>8</w:t>
      </w:r>
      <w:r>
        <w:rPr>
          <w:rFonts w:hint="eastAsia"/>
          <w:color w:val="auto"/>
        </w:rPr>
        <w:t>-</w:t>
      </w:r>
      <w:r>
        <w:rPr>
          <w:color w:val="auto"/>
        </w:rPr>
        <w:t>1</w:t>
      </w:r>
      <w:r>
        <w:rPr>
          <w:rFonts w:hint="eastAsia"/>
          <w:color w:val="auto"/>
          <w:lang w:val="en-US" w:eastAsia="zh-CN"/>
        </w:rPr>
        <w:t>4</w:t>
      </w:r>
      <w:r>
        <w:rPr>
          <w:rFonts w:hint="eastAsia"/>
          <w:color w:val="auto"/>
        </w:rPr>
        <w:t>。</w:t>
      </w:r>
    </w:p>
    <w:p>
      <w:pPr>
        <w:pStyle w:val="181"/>
        <w:bidi w:val="0"/>
        <w:rPr>
          <w:color w:val="auto"/>
        </w:rPr>
      </w:pPr>
      <w:r>
        <w:rPr>
          <w:rFonts w:hint="eastAsia"/>
          <w:color w:val="auto"/>
        </w:rPr>
        <w:t>表</w:t>
      </w:r>
      <w:r>
        <w:rPr>
          <w:color w:val="auto"/>
        </w:rPr>
        <w:t>3.</w:t>
      </w:r>
      <w:r>
        <w:rPr>
          <w:rFonts w:hint="eastAsia"/>
          <w:color w:val="auto"/>
          <w:lang w:val="en-US" w:eastAsia="zh-CN"/>
        </w:rPr>
        <w:t>8</w:t>
      </w:r>
      <w:r>
        <w:rPr>
          <w:rFonts w:hint="eastAsia"/>
          <w:color w:val="auto"/>
        </w:rPr>
        <w:t>-</w:t>
      </w:r>
      <w:r>
        <w:rPr>
          <w:color w:val="auto"/>
        </w:rPr>
        <w:t>1</w:t>
      </w:r>
      <w:r>
        <w:rPr>
          <w:rFonts w:hint="eastAsia"/>
          <w:color w:val="auto"/>
          <w:lang w:val="en-US" w:eastAsia="zh-CN"/>
        </w:rPr>
        <w:t>3</w:t>
      </w:r>
      <w:r>
        <w:rPr>
          <w:color w:val="auto"/>
        </w:rPr>
        <w:t xml:space="preserve">  </w:t>
      </w:r>
      <w:r>
        <w:rPr>
          <w:rFonts w:hint="eastAsia"/>
          <w:color w:val="auto"/>
          <w:lang w:val="en-US" w:eastAsia="zh-CN"/>
        </w:rPr>
        <w:t xml:space="preserve">       </w:t>
      </w:r>
      <w:r>
        <w:rPr>
          <w:rFonts w:hint="eastAsia"/>
          <w:color w:val="auto"/>
        </w:rPr>
        <w:t>施工期主要运输车辆噪声源强表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pPr>
              <w:pStyle w:val="182"/>
              <w:bidi w:val="0"/>
              <w:rPr>
                <w:color w:val="auto"/>
              </w:rPr>
            </w:pPr>
            <w:r>
              <w:rPr>
                <w:rFonts w:hint="eastAsia"/>
                <w:color w:val="auto"/>
              </w:rPr>
              <w:t>施工阶段</w:t>
            </w:r>
          </w:p>
        </w:tc>
        <w:tc>
          <w:tcPr>
            <w:tcW w:w="1666" w:type="pct"/>
            <w:vAlign w:val="center"/>
          </w:tcPr>
          <w:p>
            <w:pPr>
              <w:pStyle w:val="182"/>
              <w:bidi w:val="0"/>
              <w:rPr>
                <w:color w:val="auto"/>
              </w:rPr>
            </w:pPr>
            <w:r>
              <w:rPr>
                <w:rFonts w:hint="eastAsia"/>
                <w:color w:val="auto"/>
              </w:rPr>
              <w:t>车辆类型</w:t>
            </w:r>
          </w:p>
        </w:tc>
        <w:tc>
          <w:tcPr>
            <w:tcW w:w="1666" w:type="pct"/>
            <w:vAlign w:val="center"/>
          </w:tcPr>
          <w:p>
            <w:pPr>
              <w:pStyle w:val="182"/>
              <w:bidi w:val="0"/>
              <w:rPr>
                <w:color w:val="auto"/>
              </w:rPr>
            </w:pPr>
            <w:r>
              <w:rPr>
                <w:rFonts w:hint="eastAsia"/>
                <w:color w:val="auto"/>
              </w:rPr>
              <w:t>声级</w:t>
            </w:r>
            <w:r>
              <w:rPr>
                <w:color w:val="auto"/>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pPr>
              <w:pStyle w:val="182"/>
              <w:bidi w:val="0"/>
              <w:rPr>
                <w:color w:val="auto"/>
              </w:rPr>
            </w:pPr>
            <w:r>
              <w:rPr>
                <w:rFonts w:hint="eastAsia"/>
                <w:color w:val="auto"/>
              </w:rPr>
              <w:t>土方阶段</w:t>
            </w:r>
          </w:p>
        </w:tc>
        <w:tc>
          <w:tcPr>
            <w:tcW w:w="1666" w:type="pct"/>
            <w:vAlign w:val="center"/>
          </w:tcPr>
          <w:p>
            <w:pPr>
              <w:pStyle w:val="182"/>
              <w:bidi w:val="0"/>
              <w:rPr>
                <w:color w:val="auto"/>
              </w:rPr>
            </w:pPr>
            <w:r>
              <w:rPr>
                <w:rFonts w:hint="eastAsia"/>
                <w:color w:val="auto"/>
              </w:rPr>
              <w:t>大型载重车</w:t>
            </w:r>
          </w:p>
        </w:tc>
        <w:tc>
          <w:tcPr>
            <w:tcW w:w="1666" w:type="pct"/>
            <w:vAlign w:val="center"/>
          </w:tcPr>
          <w:p>
            <w:pPr>
              <w:pStyle w:val="182"/>
              <w:bidi w:val="0"/>
              <w:rPr>
                <w:color w:val="auto"/>
              </w:rPr>
            </w:pPr>
            <w:r>
              <w:rPr>
                <w:color w:val="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pPr>
              <w:pStyle w:val="182"/>
              <w:bidi w:val="0"/>
              <w:rPr>
                <w:color w:val="auto"/>
              </w:rPr>
            </w:pPr>
            <w:r>
              <w:rPr>
                <w:rFonts w:hint="eastAsia"/>
                <w:color w:val="auto"/>
              </w:rPr>
              <w:t>底板及结构阶段</w:t>
            </w:r>
          </w:p>
        </w:tc>
        <w:tc>
          <w:tcPr>
            <w:tcW w:w="1666" w:type="pct"/>
            <w:vAlign w:val="center"/>
          </w:tcPr>
          <w:p>
            <w:pPr>
              <w:pStyle w:val="182"/>
              <w:bidi w:val="0"/>
              <w:rPr>
                <w:color w:val="auto"/>
              </w:rPr>
            </w:pPr>
            <w:r>
              <w:rPr>
                <w:rFonts w:hint="eastAsia"/>
                <w:color w:val="auto"/>
              </w:rPr>
              <w:t>混凝土罐车、载重车</w:t>
            </w:r>
          </w:p>
        </w:tc>
        <w:tc>
          <w:tcPr>
            <w:tcW w:w="1666" w:type="pct"/>
            <w:vAlign w:val="center"/>
          </w:tcPr>
          <w:p>
            <w:pPr>
              <w:pStyle w:val="182"/>
              <w:bidi w:val="0"/>
              <w:rPr>
                <w:color w:val="auto"/>
              </w:rPr>
            </w:pPr>
            <w:r>
              <w:rPr>
                <w:color w:val="auto"/>
              </w:rPr>
              <w:t>80</w:t>
            </w:r>
            <w:r>
              <w:rPr>
                <w:rFonts w:hint="eastAsia"/>
                <w:color w:val="auto"/>
              </w:rPr>
              <w:t>～</w:t>
            </w:r>
            <w:r>
              <w:rPr>
                <w:color w:val="auto"/>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pPr>
              <w:pStyle w:val="182"/>
              <w:bidi w:val="0"/>
              <w:rPr>
                <w:color w:val="auto"/>
              </w:rPr>
            </w:pPr>
            <w:r>
              <w:rPr>
                <w:rFonts w:hint="eastAsia"/>
                <w:color w:val="auto"/>
              </w:rPr>
              <w:t>装修阶段</w:t>
            </w:r>
          </w:p>
        </w:tc>
        <w:tc>
          <w:tcPr>
            <w:tcW w:w="1666" w:type="pct"/>
            <w:vAlign w:val="center"/>
          </w:tcPr>
          <w:p>
            <w:pPr>
              <w:pStyle w:val="182"/>
              <w:bidi w:val="0"/>
              <w:rPr>
                <w:color w:val="auto"/>
              </w:rPr>
            </w:pPr>
            <w:r>
              <w:rPr>
                <w:rFonts w:hint="eastAsia"/>
                <w:color w:val="auto"/>
              </w:rPr>
              <w:t>轻型载重卡车</w:t>
            </w:r>
          </w:p>
        </w:tc>
        <w:tc>
          <w:tcPr>
            <w:tcW w:w="1666" w:type="pct"/>
            <w:vAlign w:val="center"/>
          </w:tcPr>
          <w:p>
            <w:pPr>
              <w:pStyle w:val="182"/>
              <w:bidi w:val="0"/>
              <w:rPr>
                <w:color w:val="auto"/>
              </w:rPr>
            </w:pPr>
            <w:r>
              <w:rPr>
                <w:color w:val="auto"/>
              </w:rPr>
              <w:t>75</w:t>
            </w:r>
          </w:p>
        </w:tc>
      </w:tr>
    </w:tbl>
    <w:p>
      <w:pPr>
        <w:pStyle w:val="181"/>
        <w:bidi w:val="0"/>
        <w:rPr>
          <w:color w:val="auto"/>
        </w:rPr>
      </w:pPr>
      <w:r>
        <w:rPr>
          <w:rFonts w:hint="eastAsia"/>
          <w:color w:val="auto"/>
        </w:rPr>
        <w:t>表</w:t>
      </w:r>
      <w:r>
        <w:rPr>
          <w:color w:val="auto"/>
        </w:rPr>
        <w:t>3.</w:t>
      </w:r>
      <w:r>
        <w:rPr>
          <w:rFonts w:hint="eastAsia"/>
          <w:color w:val="auto"/>
          <w:lang w:val="en-US" w:eastAsia="zh-CN"/>
        </w:rPr>
        <w:t>8</w:t>
      </w:r>
      <w:r>
        <w:rPr>
          <w:rFonts w:hint="eastAsia"/>
          <w:color w:val="auto"/>
        </w:rPr>
        <w:t>-</w:t>
      </w:r>
      <w:r>
        <w:rPr>
          <w:color w:val="auto"/>
        </w:rPr>
        <w:t>1</w:t>
      </w:r>
      <w:r>
        <w:rPr>
          <w:rFonts w:hint="eastAsia"/>
          <w:color w:val="auto"/>
          <w:lang w:val="en-US" w:eastAsia="zh-CN"/>
        </w:rPr>
        <w:t>4</w:t>
      </w:r>
      <w:r>
        <w:rPr>
          <w:color w:val="auto"/>
        </w:rPr>
        <w:t xml:space="preserve">  </w:t>
      </w:r>
      <w:r>
        <w:rPr>
          <w:rFonts w:hint="eastAsia"/>
          <w:color w:val="auto"/>
          <w:lang w:val="en-US" w:eastAsia="zh-CN"/>
        </w:rPr>
        <w:t xml:space="preserve">       </w:t>
      </w:r>
      <w:r>
        <w:rPr>
          <w:rFonts w:hint="eastAsia"/>
          <w:color w:val="auto"/>
        </w:rPr>
        <w:t>施工期主要施工机械噪声源强表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pPr>
              <w:pStyle w:val="182"/>
              <w:bidi w:val="0"/>
              <w:rPr>
                <w:b/>
                <w:bCs/>
                <w:color w:val="auto"/>
              </w:rPr>
            </w:pPr>
            <w:r>
              <w:rPr>
                <w:rFonts w:hint="eastAsia"/>
                <w:b/>
                <w:bCs/>
                <w:color w:val="auto"/>
              </w:rPr>
              <w:t>施工阶段</w:t>
            </w:r>
          </w:p>
        </w:tc>
        <w:tc>
          <w:tcPr>
            <w:tcW w:w="1666" w:type="pct"/>
            <w:vAlign w:val="center"/>
          </w:tcPr>
          <w:p>
            <w:pPr>
              <w:pStyle w:val="182"/>
              <w:bidi w:val="0"/>
              <w:rPr>
                <w:b/>
                <w:bCs/>
                <w:color w:val="auto"/>
              </w:rPr>
            </w:pPr>
            <w:r>
              <w:rPr>
                <w:rFonts w:hint="eastAsia"/>
                <w:b/>
                <w:bCs/>
                <w:color w:val="auto"/>
              </w:rPr>
              <w:t>车辆类型</w:t>
            </w:r>
          </w:p>
        </w:tc>
        <w:tc>
          <w:tcPr>
            <w:tcW w:w="1666" w:type="pct"/>
            <w:vAlign w:val="center"/>
          </w:tcPr>
          <w:p>
            <w:pPr>
              <w:pStyle w:val="182"/>
              <w:bidi w:val="0"/>
              <w:rPr>
                <w:b/>
                <w:bCs/>
                <w:color w:val="auto"/>
              </w:rPr>
            </w:pPr>
            <w:r>
              <w:rPr>
                <w:rFonts w:hint="eastAsia"/>
                <w:b/>
                <w:bCs/>
                <w:color w:val="auto"/>
              </w:rPr>
              <w:t>声级</w:t>
            </w:r>
            <w:r>
              <w:rPr>
                <w:b/>
                <w:bCs/>
                <w:color w:val="auto"/>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restart"/>
            <w:vAlign w:val="center"/>
          </w:tcPr>
          <w:p>
            <w:pPr>
              <w:pStyle w:val="182"/>
              <w:bidi w:val="0"/>
              <w:rPr>
                <w:color w:val="auto"/>
              </w:rPr>
            </w:pPr>
            <w:r>
              <w:rPr>
                <w:rFonts w:hint="eastAsia"/>
                <w:color w:val="auto"/>
              </w:rPr>
              <w:t>土石方阶段</w:t>
            </w:r>
          </w:p>
        </w:tc>
        <w:tc>
          <w:tcPr>
            <w:tcW w:w="1666" w:type="pct"/>
            <w:vAlign w:val="center"/>
          </w:tcPr>
          <w:p>
            <w:pPr>
              <w:pStyle w:val="182"/>
              <w:bidi w:val="0"/>
              <w:rPr>
                <w:color w:val="auto"/>
              </w:rPr>
            </w:pPr>
            <w:r>
              <w:rPr>
                <w:rFonts w:hint="eastAsia"/>
                <w:color w:val="auto"/>
              </w:rPr>
              <w:t>挖掘机</w:t>
            </w:r>
          </w:p>
        </w:tc>
        <w:tc>
          <w:tcPr>
            <w:tcW w:w="1666" w:type="pct"/>
            <w:vAlign w:val="center"/>
          </w:tcPr>
          <w:p>
            <w:pPr>
              <w:pStyle w:val="182"/>
              <w:bidi w:val="0"/>
              <w:rPr>
                <w:color w:val="auto"/>
              </w:rPr>
            </w:pPr>
            <w:r>
              <w:rPr>
                <w:color w:val="auto"/>
              </w:rPr>
              <w:t>78</w:t>
            </w:r>
            <w:r>
              <w:rPr>
                <w:rFonts w:hint="eastAsia"/>
                <w:color w:val="auto"/>
              </w:rPr>
              <w:t>～</w:t>
            </w:r>
            <w:r>
              <w:rPr>
                <w:color w:val="auto"/>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pPr>
              <w:pStyle w:val="182"/>
              <w:bidi w:val="0"/>
              <w:rPr>
                <w:color w:val="auto"/>
              </w:rPr>
            </w:pPr>
          </w:p>
        </w:tc>
        <w:tc>
          <w:tcPr>
            <w:tcW w:w="1666" w:type="pct"/>
            <w:vAlign w:val="center"/>
          </w:tcPr>
          <w:p>
            <w:pPr>
              <w:pStyle w:val="182"/>
              <w:bidi w:val="0"/>
              <w:rPr>
                <w:color w:val="auto"/>
              </w:rPr>
            </w:pPr>
            <w:r>
              <w:rPr>
                <w:rFonts w:hint="eastAsia"/>
                <w:color w:val="auto"/>
              </w:rPr>
              <w:t>推土机</w:t>
            </w:r>
          </w:p>
        </w:tc>
        <w:tc>
          <w:tcPr>
            <w:tcW w:w="1666" w:type="pct"/>
            <w:vAlign w:val="center"/>
          </w:tcPr>
          <w:p>
            <w:pPr>
              <w:pStyle w:val="182"/>
              <w:bidi w:val="0"/>
              <w:rPr>
                <w:color w:val="auto"/>
              </w:rPr>
            </w:pPr>
            <w:r>
              <w:rPr>
                <w:color w:val="auto"/>
              </w:rPr>
              <w:t>80</w:t>
            </w:r>
            <w:r>
              <w:rPr>
                <w:rFonts w:hint="eastAsia"/>
                <w:color w:val="auto"/>
              </w:rPr>
              <w:t>～</w:t>
            </w:r>
            <w:r>
              <w:rPr>
                <w:color w:val="auto"/>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pPr>
              <w:pStyle w:val="182"/>
              <w:bidi w:val="0"/>
              <w:rPr>
                <w:color w:val="auto"/>
              </w:rPr>
            </w:pPr>
          </w:p>
        </w:tc>
        <w:tc>
          <w:tcPr>
            <w:tcW w:w="1666" w:type="pct"/>
            <w:vAlign w:val="center"/>
          </w:tcPr>
          <w:p>
            <w:pPr>
              <w:pStyle w:val="182"/>
              <w:bidi w:val="0"/>
              <w:rPr>
                <w:color w:val="auto"/>
              </w:rPr>
            </w:pPr>
            <w:r>
              <w:rPr>
                <w:rFonts w:hint="eastAsia"/>
                <w:color w:val="auto"/>
              </w:rPr>
              <w:t>装载机</w:t>
            </w:r>
          </w:p>
        </w:tc>
        <w:tc>
          <w:tcPr>
            <w:tcW w:w="1666" w:type="pct"/>
            <w:vAlign w:val="center"/>
          </w:tcPr>
          <w:p>
            <w:pPr>
              <w:pStyle w:val="182"/>
              <w:bidi w:val="0"/>
              <w:rPr>
                <w:color w:val="auto"/>
              </w:rPr>
            </w:pPr>
            <w:r>
              <w:rPr>
                <w:color w:val="auto"/>
              </w:rPr>
              <w:t>85</w:t>
            </w:r>
            <w:r>
              <w:rPr>
                <w:rFonts w:hint="eastAsia"/>
                <w:color w:val="auto"/>
              </w:rPr>
              <w:t>～</w:t>
            </w:r>
            <w:r>
              <w:rPr>
                <w:color w:val="auto"/>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pPr>
              <w:pStyle w:val="182"/>
              <w:bidi w:val="0"/>
              <w:rPr>
                <w:color w:val="auto"/>
              </w:rPr>
            </w:pPr>
          </w:p>
        </w:tc>
        <w:tc>
          <w:tcPr>
            <w:tcW w:w="1666" w:type="pct"/>
            <w:vAlign w:val="center"/>
          </w:tcPr>
          <w:p>
            <w:pPr>
              <w:pStyle w:val="182"/>
              <w:bidi w:val="0"/>
              <w:rPr>
                <w:color w:val="auto"/>
              </w:rPr>
            </w:pPr>
            <w:r>
              <w:rPr>
                <w:rFonts w:hint="eastAsia"/>
                <w:color w:val="auto"/>
              </w:rPr>
              <w:t>大型载重车</w:t>
            </w:r>
          </w:p>
        </w:tc>
        <w:tc>
          <w:tcPr>
            <w:tcW w:w="1666" w:type="pct"/>
            <w:vAlign w:val="center"/>
          </w:tcPr>
          <w:p>
            <w:pPr>
              <w:pStyle w:val="182"/>
              <w:bidi w:val="0"/>
              <w:rPr>
                <w:color w:val="auto"/>
              </w:rPr>
            </w:pPr>
            <w:r>
              <w:rPr>
                <w:color w:val="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pPr>
              <w:pStyle w:val="182"/>
              <w:bidi w:val="0"/>
              <w:rPr>
                <w:color w:val="auto"/>
              </w:rPr>
            </w:pPr>
            <w:r>
              <w:rPr>
                <w:rFonts w:hint="eastAsia"/>
                <w:color w:val="auto"/>
              </w:rPr>
              <w:t>打桩阶段</w:t>
            </w:r>
          </w:p>
        </w:tc>
        <w:tc>
          <w:tcPr>
            <w:tcW w:w="1666" w:type="pct"/>
            <w:vAlign w:val="center"/>
          </w:tcPr>
          <w:p>
            <w:pPr>
              <w:pStyle w:val="182"/>
              <w:bidi w:val="0"/>
              <w:rPr>
                <w:color w:val="auto"/>
              </w:rPr>
            </w:pPr>
            <w:r>
              <w:rPr>
                <w:rFonts w:hint="eastAsia"/>
                <w:color w:val="auto"/>
              </w:rPr>
              <w:t>打桩机</w:t>
            </w:r>
          </w:p>
        </w:tc>
        <w:tc>
          <w:tcPr>
            <w:tcW w:w="1666" w:type="pct"/>
            <w:vAlign w:val="center"/>
          </w:tcPr>
          <w:p>
            <w:pPr>
              <w:pStyle w:val="182"/>
              <w:bidi w:val="0"/>
              <w:rPr>
                <w:color w:val="auto"/>
              </w:rPr>
            </w:pPr>
            <w:r>
              <w:rPr>
                <w:color w:val="auto"/>
              </w:rPr>
              <w:t>95</w:t>
            </w:r>
            <w:r>
              <w:rPr>
                <w:rFonts w:hint="eastAsia"/>
                <w:color w:val="auto"/>
              </w:rPr>
              <w:t>～</w:t>
            </w:r>
            <w:r>
              <w:rPr>
                <w:color w:val="auto"/>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restart"/>
            <w:vAlign w:val="center"/>
          </w:tcPr>
          <w:p>
            <w:pPr>
              <w:pStyle w:val="182"/>
              <w:bidi w:val="0"/>
              <w:rPr>
                <w:color w:val="auto"/>
              </w:rPr>
            </w:pPr>
            <w:r>
              <w:rPr>
                <w:rFonts w:hint="eastAsia"/>
                <w:color w:val="auto"/>
              </w:rPr>
              <w:t>底板与结构阶段</w:t>
            </w:r>
          </w:p>
        </w:tc>
        <w:tc>
          <w:tcPr>
            <w:tcW w:w="1666" w:type="pct"/>
            <w:vAlign w:val="center"/>
          </w:tcPr>
          <w:p>
            <w:pPr>
              <w:pStyle w:val="182"/>
              <w:bidi w:val="0"/>
              <w:rPr>
                <w:color w:val="auto"/>
              </w:rPr>
            </w:pPr>
            <w:r>
              <w:rPr>
                <w:rFonts w:hint="eastAsia"/>
                <w:color w:val="auto"/>
              </w:rPr>
              <w:t>振捣机</w:t>
            </w:r>
          </w:p>
        </w:tc>
        <w:tc>
          <w:tcPr>
            <w:tcW w:w="1666" w:type="pct"/>
            <w:vAlign w:val="center"/>
          </w:tcPr>
          <w:p>
            <w:pPr>
              <w:pStyle w:val="182"/>
              <w:bidi w:val="0"/>
              <w:rPr>
                <w:color w:val="auto"/>
              </w:rPr>
            </w:pPr>
            <w:r>
              <w:rPr>
                <w:color w:val="auto"/>
              </w:rPr>
              <w:t>100</w:t>
            </w:r>
            <w:r>
              <w:rPr>
                <w:rFonts w:hint="eastAsia"/>
                <w:color w:val="auto"/>
              </w:rPr>
              <w:t>～</w:t>
            </w:r>
            <w:r>
              <w:rPr>
                <w:color w:val="auto"/>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pPr>
              <w:pStyle w:val="182"/>
              <w:bidi w:val="0"/>
              <w:rPr>
                <w:color w:val="auto"/>
              </w:rPr>
            </w:pPr>
          </w:p>
        </w:tc>
        <w:tc>
          <w:tcPr>
            <w:tcW w:w="1666" w:type="pct"/>
            <w:vAlign w:val="center"/>
          </w:tcPr>
          <w:p>
            <w:pPr>
              <w:pStyle w:val="182"/>
              <w:bidi w:val="0"/>
              <w:rPr>
                <w:color w:val="auto"/>
              </w:rPr>
            </w:pPr>
            <w:r>
              <w:rPr>
                <w:rFonts w:hint="eastAsia"/>
                <w:color w:val="auto"/>
              </w:rPr>
              <w:t>切割机</w:t>
            </w:r>
          </w:p>
        </w:tc>
        <w:tc>
          <w:tcPr>
            <w:tcW w:w="1666" w:type="pct"/>
            <w:vAlign w:val="center"/>
          </w:tcPr>
          <w:p>
            <w:pPr>
              <w:pStyle w:val="182"/>
              <w:bidi w:val="0"/>
              <w:rPr>
                <w:color w:val="auto"/>
              </w:rPr>
            </w:pPr>
            <w:r>
              <w:rPr>
                <w:color w:val="auto"/>
              </w:rPr>
              <w:t>100</w:t>
            </w:r>
            <w:r>
              <w:rPr>
                <w:rFonts w:hint="eastAsia"/>
                <w:color w:val="auto"/>
              </w:rPr>
              <w:t>～</w:t>
            </w:r>
            <w:r>
              <w:rPr>
                <w:color w:val="auto"/>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pPr>
              <w:pStyle w:val="182"/>
              <w:bidi w:val="0"/>
              <w:rPr>
                <w:color w:val="auto"/>
              </w:rPr>
            </w:pPr>
          </w:p>
        </w:tc>
        <w:tc>
          <w:tcPr>
            <w:tcW w:w="1666" w:type="pct"/>
            <w:vAlign w:val="center"/>
          </w:tcPr>
          <w:p>
            <w:pPr>
              <w:pStyle w:val="182"/>
              <w:bidi w:val="0"/>
              <w:rPr>
                <w:color w:val="auto"/>
              </w:rPr>
            </w:pPr>
            <w:r>
              <w:rPr>
                <w:rFonts w:hint="eastAsia"/>
                <w:color w:val="auto"/>
              </w:rPr>
              <w:t>模板拆卸</w:t>
            </w:r>
          </w:p>
        </w:tc>
        <w:tc>
          <w:tcPr>
            <w:tcW w:w="1666" w:type="pct"/>
            <w:vAlign w:val="center"/>
          </w:tcPr>
          <w:p>
            <w:pPr>
              <w:pStyle w:val="182"/>
              <w:bidi w:val="0"/>
              <w:rPr>
                <w:color w:val="auto"/>
              </w:rPr>
            </w:pPr>
            <w:r>
              <w:rPr>
                <w:color w:val="auto"/>
              </w:rPr>
              <w:t>95</w:t>
            </w:r>
            <w:r>
              <w:rPr>
                <w:rFonts w:hint="eastAsia"/>
                <w:color w:val="auto"/>
              </w:rPr>
              <w:t>～</w:t>
            </w:r>
            <w:r>
              <w:rPr>
                <w:color w:val="auto"/>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pPr>
              <w:pStyle w:val="182"/>
              <w:bidi w:val="0"/>
              <w:rPr>
                <w:color w:val="auto"/>
              </w:rPr>
            </w:pPr>
          </w:p>
        </w:tc>
        <w:tc>
          <w:tcPr>
            <w:tcW w:w="1666" w:type="pct"/>
            <w:vAlign w:val="center"/>
          </w:tcPr>
          <w:p>
            <w:pPr>
              <w:pStyle w:val="182"/>
              <w:bidi w:val="0"/>
              <w:rPr>
                <w:color w:val="auto"/>
              </w:rPr>
            </w:pPr>
            <w:r>
              <w:rPr>
                <w:rFonts w:hint="eastAsia"/>
                <w:color w:val="auto"/>
              </w:rPr>
              <w:t>混凝土运送车</w:t>
            </w:r>
          </w:p>
        </w:tc>
        <w:tc>
          <w:tcPr>
            <w:tcW w:w="1666" w:type="pct"/>
            <w:vAlign w:val="center"/>
          </w:tcPr>
          <w:p>
            <w:pPr>
              <w:pStyle w:val="182"/>
              <w:bidi w:val="0"/>
              <w:rPr>
                <w:color w:val="auto"/>
              </w:rPr>
            </w:pPr>
            <w:r>
              <w:rPr>
                <w:color w:val="auto"/>
              </w:rPr>
              <w:t>80</w:t>
            </w:r>
            <w:r>
              <w:rPr>
                <w:rFonts w:hint="eastAsia"/>
                <w:color w:val="auto"/>
              </w:rPr>
              <w:t>～</w:t>
            </w:r>
            <w:r>
              <w:rPr>
                <w:color w:val="auto"/>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restart"/>
            <w:vAlign w:val="center"/>
          </w:tcPr>
          <w:p>
            <w:pPr>
              <w:pStyle w:val="182"/>
              <w:bidi w:val="0"/>
              <w:rPr>
                <w:color w:val="auto"/>
              </w:rPr>
            </w:pPr>
            <w:r>
              <w:rPr>
                <w:rFonts w:hint="eastAsia"/>
                <w:color w:val="auto"/>
              </w:rPr>
              <w:t>装修、安装阶段</w:t>
            </w:r>
          </w:p>
        </w:tc>
        <w:tc>
          <w:tcPr>
            <w:tcW w:w="1666" w:type="pct"/>
            <w:vAlign w:val="center"/>
          </w:tcPr>
          <w:p>
            <w:pPr>
              <w:pStyle w:val="182"/>
              <w:bidi w:val="0"/>
              <w:rPr>
                <w:color w:val="auto"/>
              </w:rPr>
            </w:pPr>
            <w:r>
              <w:rPr>
                <w:rFonts w:hint="eastAsia"/>
                <w:color w:val="auto"/>
              </w:rPr>
              <w:t>电锯</w:t>
            </w:r>
          </w:p>
        </w:tc>
        <w:tc>
          <w:tcPr>
            <w:tcW w:w="1666" w:type="pct"/>
            <w:vAlign w:val="center"/>
          </w:tcPr>
          <w:p>
            <w:pPr>
              <w:pStyle w:val="182"/>
              <w:bidi w:val="0"/>
              <w:rPr>
                <w:color w:val="auto"/>
              </w:rPr>
            </w:pPr>
            <w:r>
              <w:rPr>
                <w:color w:val="auto"/>
              </w:rPr>
              <w:t>100</w:t>
            </w:r>
            <w:r>
              <w:rPr>
                <w:rFonts w:hint="eastAsia"/>
                <w:color w:val="auto"/>
              </w:rPr>
              <w:t>～</w:t>
            </w:r>
            <w:r>
              <w:rPr>
                <w:color w:val="auto"/>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pPr>
              <w:pStyle w:val="182"/>
              <w:bidi w:val="0"/>
              <w:rPr>
                <w:color w:val="auto"/>
              </w:rPr>
            </w:pPr>
          </w:p>
        </w:tc>
        <w:tc>
          <w:tcPr>
            <w:tcW w:w="1666" w:type="pct"/>
            <w:vAlign w:val="center"/>
          </w:tcPr>
          <w:p>
            <w:pPr>
              <w:pStyle w:val="182"/>
              <w:bidi w:val="0"/>
              <w:rPr>
                <w:color w:val="auto"/>
              </w:rPr>
            </w:pPr>
            <w:r>
              <w:rPr>
                <w:rFonts w:hint="eastAsia"/>
                <w:color w:val="auto"/>
                <w:lang w:eastAsia="zh-CN"/>
              </w:rPr>
              <w:t>砂浆</w:t>
            </w:r>
            <w:r>
              <w:rPr>
                <w:rFonts w:hint="eastAsia"/>
                <w:color w:val="auto"/>
              </w:rPr>
              <w:t>机</w:t>
            </w:r>
          </w:p>
        </w:tc>
        <w:tc>
          <w:tcPr>
            <w:tcW w:w="1666" w:type="pct"/>
            <w:vAlign w:val="center"/>
          </w:tcPr>
          <w:p>
            <w:pPr>
              <w:pStyle w:val="182"/>
              <w:bidi w:val="0"/>
              <w:rPr>
                <w:color w:val="auto"/>
              </w:rPr>
            </w:pPr>
            <w:r>
              <w:rPr>
                <w:color w:val="auto"/>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pPr>
              <w:pStyle w:val="182"/>
              <w:bidi w:val="0"/>
              <w:rPr>
                <w:color w:val="auto"/>
              </w:rPr>
            </w:pPr>
          </w:p>
        </w:tc>
        <w:tc>
          <w:tcPr>
            <w:tcW w:w="1666" w:type="pct"/>
            <w:vAlign w:val="center"/>
          </w:tcPr>
          <w:p>
            <w:pPr>
              <w:pStyle w:val="182"/>
              <w:bidi w:val="0"/>
              <w:rPr>
                <w:color w:val="auto"/>
              </w:rPr>
            </w:pPr>
            <w:r>
              <w:rPr>
                <w:rFonts w:hint="eastAsia"/>
                <w:color w:val="auto"/>
              </w:rPr>
              <w:t>升降机</w:t>
            </w:r>
          </w:p>
        </w:tc>
        <w:tc>
          <w:tcPr>
            <w:tcW w:w="1666" w:type="pct"/>
            <w:vAlign w:val="center"/>
          </w:tcPr>
          <w:p>
            <w:pPr>
              <w:pStyle w:val="182"/>
              <w:bidi w:val="0"/>
              <w:rPr>
                <w:color w:val="auto"/>
              </w:rPr>
            </w:pPr>
            <w:r>
              <w:rPr>
                <w:color w:val="auto"/>
              </w:rPr>
              <w:t>80</w:t>
            </w:r>
            <w:r>
              <w:rPr>
                <w:rFonts w:hint="eastAsia"/>
                <w:color w:val="auto"/>
              </w:rPr>
              <w:t>～</w:t>
            </w:r>
            <w:r>
              <w:rPr>
                <w:color w:val="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pPr>
              <w:pStyle w:val="182"/>
              <w:bidi w:val="0"/>
              <w:rPr>
                <w:color w:val="auto"/>
              </w:rPr>
            </w:pPr>
          </w:p>
        </w:tc>
        <w:tc>
          <w:tcPr>
            <w:tcW w:w="1666" w:type="pct"/>
            <w:vAlign w:val="center"/>
          </w:tcPr>
          <w:p>
            <w:pPr>
              <w:pStyle w:val="182"/>
              <w:bidi w:val="0"/>
              <w:rPr>
                <w:color w:val="auto"/>
              </w:rPr>
            </w:pPr>
            <w:r>
              <w:rPr>
                <w:rFonts w:hint="eastAsia"/>
                <w:color w:val="auto"/>
              </w:rPr>
              <w:t>切割机</w:t>
            </w:r>
          </w:p>
        </w:tc>
        <w:tc>
          <w:tcPr>
            <w:tcW w:w="1666" w:type="pct"/>
            <w:vAlign w:val="center"/>
          </w:tcPr>
          <w:p>
            <w:pPr>
              <w:pStyle w:val="182"/>
              <w:bidi w:val="0"/>
              <w:rPr>
                <w:color w:val="auto"/>
              </w:rPr>
            </w:pPr>
            <w:r>
              <w:rPr>
                <w:color w:val="auto"/>
              </w:rPr>
              <w:t>100</w:t>
            </w:r>
            <w:r>
              <w:rPr>
                <w:rFonts w:hint="eastAsia"/>
                <w:color w:val="auto"/>
              </w:rPr>
              <w:t>～</w:t>
            </w:r>
            <w:r>
              <w:rPr>
                <w:color w:val="auto"/>
              </w:rPr>
              <w:t>110</w:t>
            </w:r>
          </w:p>
        </w:tc>
      </w:tr>
    </w:tbl>
    <w:p>
      <w:pPr>
        <w:bidi w:val="0"/>
        <w:rPr>
          <w:color w:val="auto"/>
        </w:rPr>
      </w:pPr>
      <w:r>
        <w:rPr>
          <w:rFonts w:hint="eastAsia"/>
          <w:color w:val="auto"/>
        </w:rPr>
        <w:t>根据《建筑施工场界环境噪声排放标准》（</w:t>
      </w:r>
      <w:r>
        <w:rPr>
          <w:color w:val="auto"/>
        </w:rPr>
        <w:t>GB12523-2011</w:t>
      </w:r>
      <w:r>
        <w:rPr>
          <w:rFonts w:hint="eastAsia"/>
          <w:color w:val="auto"/>
        </w:rPr>
        <w:t>）的要求，施工场界的最高噪声值昼间不得超过</w:t>
      </w:r>
      <w:r>
        <w:rPr>
          <w:color w:val="auto"/>
        </w:rPr>
        <w:t>70dB(A)</w:t>
      </w:r>
      <w:r>
        <w:rPr>
          <w:rFonts w:hint="eastAsia"/>
          <w:color w:val="auto"/>
        </w:rPr>
        <w:t>，夜间噪声不得超过</w:t>
      </w:r>
      <w:r>
        <w:rPr>
          <w:color w:val="auto"/>
        </w:rPr>
        <w:t>55dB(A)</w:t>
      </w:r>
      <w:r>
        <w:rPr>
          <w:rFonts w:hint="eastAsia"/>
          <w:color w:val="auto"/>
        </w:rPr>
        <w:t>。由上表可知，大部分施工机械的噪声值超过了施工阶段场界噪声限值。评价提出以下治理措施：</w:t>
      </w:r>
    </w:p>
    <w:p>
      <w:pPr>
        <w:bidi w:val="0"/>
        <w:rPr>
          <w:color w:val="auto"/>
        </w:rPr>
      </w:pPr>
      <w:r>
        <w:rPr>
          <w:rFonts w:hint="eastAsia"/>
          <w:color w:val="auto"/>
        </w:rPr>
        <w:t>①施工单位应尽量选用先进的低噪声设备；</w:t>
      </w:r>
    </w:p>
    <w:p>
      <w:pPr>
        <w:bidi w:val="0"/>
        <w:rPr>
          <w:color w:val="auto"/>
        </w:rPr>
      </w:pPr>
      <w:r>
        <w:rPr>
          <w:rFonts w:hint="eastAsia"/>
          <w:color w:val="auto"/>
        </w:rPr>
        <w:t>②在高噪声设备周围设置屏障；</w:t>
      </w:r>
    </w:p>
    <w:p>
      <w:pPr>
        <w:bidi w:val="0"/>
        <w:rPr>
          <w:color w:val="auto"/>
        </w:rPr>
      </w:pPr>
      <w:r>
        <w:rPr>
          <w:rFonts w:hint="eastAsia"/>
          <w:color w:val="auto"/>
        </w:rPr>
        <w:t>③合理安排高噪声机械的作业时间；</w:t>
      </w:r>
    </w:p>
    <w:p>
      <w:pPr>
        <w:bidi w:val="0"/>
        <w:rPr>
          <w:color w:val="auto"/>
        </w:rPr>
      </w:pPr>
      <w:r>
        <w:rPr>
          <w:rFonts w:hint="eastAsia"/>
          <w:color w:val="auto"/>
        </w:rPr>
        <w:t>④加强施工机械的维修、管理，保证施工机械处于低噪声、高效率的状态；</w:t>
      </w:r>
    </w:p>
    <w:p>
      <w:pPr>
        <w:bidi w:val="0"/>
        <w:rPr>
          <w:color w:val="auto"/>
        </w:rPr>
      </w:pPr>
      <w:r>
        <w:rPr>
          <w:rFonts w:hint="eastAsia"/>
          <w:color w:val="auto"/>
        </w:rPr>
        <w:t>⑤合理施工现场布局，将施工现场的固定高噪声源设置于远离环境敏感受纳体的位置；</w:t>
      </w:r>
    </w:p>
    <w:p>
      <w:pPr>
        <w:bidi w:val="0"/>
        <w:rPr>
          <w:color w:val="auto"/>
        </w:rPr>
      </w:pPr>
      <w:r>
        <w:rPr>
          <w:rFonts w:hint="eastAsia"/>
          <w:color w:val="auto"/>
        </w:rPr>
        <w:t>⑥合理规划重型运载车辆的运行路线，使其尽量避开噪声敏感区。</w:t>
      </w:r>
    </w:p>
    <w:p>
      <w:pPr>
        <w:bidi w:val="0"/>
        <w:rPr>
          <w:color w:val="auto"/>
        </w:rPr>
      </w:pPr>
      <w:r>
        <w:rPr>
          <w:rFonts w:hint="eastAsia"/>
          <w:color w:val="auto"/>
        </w:rPr>
        <w:t>通过以上治理措施，能够确保施工期的噪声值满足《建筑施工场界环境噪声排放标准》（</w:t>
      </w:r>
      <w:r>
        <w:rPr>
          <w:color w:val="auto"/>
        </w:rPr>
        <w:t>GB12523-2011</w:t>
      </w:r>
      <w:r>
        <w:rPr>
          <w:rFonts w:hint="eastAsia"/>
          <w:color w:val="auto"/>
        </w:rPr>
        <w:t>）昼间</w:t>
      </w:r>
      <w:r>
        <w:rPr>
          <w:color w:val="auto"/>
        </w:rPr>
        <w:t>70dB(A)</w:t>
      </w:r>
      <w:r>
        <w:rPr>
          <w:rFonts w:hint="eastAsia"/>
          <w:color w:val="auto"/>
        </w:rPr>
        <w:t>、夜间</w:t>
      </w:r>
      <w:r>
        <w:rPr>
          <w:color w:val="auto"/>
        </w:rPr>
        <w:t>55 dB(A</w:t>
      </w:r>
      <w:r>
        <w:rPr>
          <w:rFonts w:hint="eastAsia"/>
          <w:color w:val="auto"/>
          <w:lang w:eastAsia="zh-CN"/>
        </w:rPr>
        <w:t>)</w:t>
      </w:r>
      <w:r>
        <w:rPr>
          <w:rFonts w:hint="eastAsia"/>
          <w:color w:val="auto"/>
        </w:rPr>
        <w:t>限值的要求。</w:t>
      </w:r>
    </w:p>
    <w:p>
      <w:pPr>
        <w:bidi w:val="0"/>
        <w:rPr>
          <w:color w:val="auto"/>
        </w:rPr>
      </w:pPr>
      <w:r>
        <w:rPr>
          <w:rFonts w:hint="eastAsia"/>
          <w:color w:val="auto"/>
        </w:rPr>
        <w:t>四、固废</w:t>
      </w:r>
    </w:p>
    <w:p>
      <w:pPr>
        <w:bidi w:val="0"/>
        <w:rPr>
          <w:color w:val="auto"/>
        </w:rPr>
      </w:pPr>
      <w:r>
        <w:rPr>
          <w:rFonts w:hint="eastAsia"/>
          <w:color w:val="auto"/>
        </w:rPr>
        <w:t>（</w:t>
      </w:r>
      <w:r>
        <w:rPr>
          <w:color w:val="auto"/>
        </w:rPr>
        <w:t>1</w:t>
      </w:r>
      <w:r>
        <w:rPr>
          <w:rFonts w:hint="eastAsia"/>
          <w:color w:val="auto"/>
        </w:rPr>
        <w:t>）生活垃圾：施工期高峰期施工人员</w:t>
      </w:r>
      <w:r>
        <w:rPr>
          <w:color w:val="auto"/>
        </w:rPr>
        <w:t>80</w:t>
      </w:r>
      <w:r>
        <w:rPr>
          <w:rFonts w:hint="eastAsia"/>
          <w:color w:val="auto"/>
        </w:rPr>
        <w:t>人，生活垃圾按</w:t>
      </w:r>
      <w:r>
        <w:rPr>
          <w:color w:val="auto"/>
        </w:rPr>
        <w:t>0.5kg/</w:t>
      </w:r>
      <w:r>
        <w:rPr>
          <w:rFonts w:hint="eastAsia"/>
          <w:color w:val="auto"/>
        </w:rPr>
        <w:t>人</w:t>
      </w:r>
      <w:r>
        <w:rPr>
          <w:color w:val="auto"/>
        </w:rPr>
        <w:t>•d</w:t>
      </w:r>
      <w:r>
        <w:rPr>
          <w:rFonts w:hint="eastAsia"/>
          <w:color w:val="auto"/>
        </w:rPr>
        <w:t>计算，经计算，生活垃圾产生量约为</w:t>
      </w:r>
      <w:r>
        <w:rPr>
          <w:color w:val="auto"/>
        </w:rPr>
        <w:t>0.04t/d</w:t>
      </w:r>
      <w:r>
        <w:rPr>
          <w:rFonts w:hint="eastAsia"/>
          <w:color w:val="auto"/>
        </w:rPr>
        <w:t>，项目总施工期约为</w:t>
      </w:r>
      <w:r>
        <w:rPr>
          <w:color w:val="auto"/>
        </w:rPr>
        <w:t>6</w:t>
      </w:r>
      <w:r>
        <w:rPr>
          <w:rFonts w:hint="eastAsia"/>
          <w:color w:val="auto"/>
        </w:rPr>
        <w:t>个月，合计固废产生量为</w:t>
      </w:r>
      <w:r>
        <w:rPr>
          <w:color w:val="auto"/>
        </w:rPr>
        <w:t>7.2t</w:t>
      </w:r>
      <w:r>
        <w:rPr>
          <w:rFonts w:hint="eastAsia"/>
          <w:color w:val="auto"/>
        </w:rPr>
        <w:t>。评价提出：生活垃圾应集中堆放，由厂区环卫车送至园区垃圾中转站，最终由环卫部门统一处置。</w:t>
      </w:r>
    </w:p>
    <w:p>
      <w:pPr>
        <w:bidi w:val="0"/>
        <w:rPr>
          <w:rFonts w:hint="eastAsia"/>
          <w:color w:val="auto"/>
        </w:rPr>
      </w:pPr>
      <w:r>
        <w:rPr>
          <w:rFonts w:hint="eastAsia"/>
          <w:color w:val="auto"/>
        </w:rPr>
        <w:t>（</w:t>
      </w:r>
      <w:r>
        <w:rPr>
          <w:color w:val="auto"/>
        </w:rPr>
        <w:t>2</w:t>
      </w:r>
      <w:r>
        <w:rPr>
          <w:rFonts w:hint="eastAsia"/>
          <w:color w:val="auto"/>
        </w:rPr>
        <w:t>）建筑垃圾：建设施工期间需要挖土，运输弃土、运输各种建筑材料如水泥、砖瓦、木材等，工程完成后，会残留不少废弃建筑材料，这些建筑垃圾能回收利用的尽可能二次利用，不能回收利用的应及时清运至垃圾填埋场处置，严禁建筑垃圾随意丢弃；施工人员产生的生活垃圾严禁随意抛弃，袋装收集后交由环卫部门清运。</w:t>
      </w:r>
    </w:p>
    <w:p>
      <w:pPr>
        <w:bidi w:val="0"/>
        <w:rPr>
          <w:color w:val="auto"/>
        </w:rPr>
      </w:pPr>
      <w:r>
        <w:rPr>
          <w:rFonts w:hint="eastAsia"/>
          <w:color w:val="auto"/>
        </w:rPr>
        <w:t>五、生态影响及水土保持</w:t>
      </w:r>
    </w:p>
    <w:p>
      <w:pPr>
        <w:bidi w:val="0"/>
        <w:rPr>
          <w:color w:val="auto"/>
        </w:rPr>
      </w:pPr>
      <w:r>
        <w:rPr>
          <w:rFonts w:hint="eastAsia"/>
          <w:color w:val="auto"/>
          <w:lang w:val="en-US" w:eastAsia="zh-CN"/>
        </w:rPr>
        <w:t>项目建设位于新乡市新乡工业产业集聚区（含新乡经济技术开发区）新长北路南侧新乡化纤股份有限公司厂区内部，</w:t>
      </w:r>
      <w:r>
        <w:rPr>
          <w:rFonts w:hint="eastAsia"/>
          <w:color w:val="auto"/>
        </w:rPr>
        <w:t>根据现场踏勘</w:t>
      </w:r>
      <w:r>
        <w:rPr>
          <w:rFonts w:hint="eastAsia"/>
          <w:color w:val="auto"/>
          <w:lang w:val="en-US" w:eastAsia="zh-CN"/>
        </w:rPr>
        <w:t>，</w:t>
      </w:r>
      <w:r>
        <w:rPr>
          <w:rFonts w:hint="eastAsia"/>
          <w:color w:val="auto"/>
        </w:rPr>
        <w:t>项目用地范围内无珍稀和受保护植物种类，调查区范围内除地区常见的蚊蝇类、鸟类等，无珍稀或濒危野生动物等生态敏感目标。</w:t>
      </w:r>
    </w:p>
    <w:p>
      <w:pPr>
        <w:bidi w:val="0"/>
        <w:rPr>
          <w:color w:val="auto"/>
        </w:rPr>
      </w:pPr>
      <w:r>
        <w:rPr>
          <w:rFonts w:hint="eastAsia"/>
          <w:color w:val="auto"/>
        </w:rPr>
        <w:t>在施工期间，土石方的填挖、废弃渣土以及建筑材料临时占地等会破坏部分区域的地表植被、边坡裸露以及景观破坏，在降雨季节地表经雨水冲刷，形成水土流失。</w:t>
      </w:r>
    </w:p>
    <w:p>
      <w:pPr>
        <w:bidi w:val="0"/>
        <w:rPr>
          <w:color w:val="auto"/>
        </w:rPr>
      </w:pPr>
      <w:r>
        <w:rPr>
          <w:rFonts w:hint="eastAsia"/>
          <w:color w:val="auto"/>
        </w:rPr>
        <w:t>施工期包括大量土石方工程，会使土层结构疏松，如果恰逢暴雨期，则将使局部区域水土流失量加大，但随着施工后期区内绿化和地面硬化等工作，工程雨水漫流造成的土壤侵蚀可大大降低。</w:t>
      </w:r>
    </w:p>
    <w:p>
      <w:pPr>
        <w:bidi w:val="0"/>
        <w:rPr>
          <w:color w:val="auto"/>
        </w:rPr>
      </w:pPr>
      <w:r>
        <w:rPr>
          <w:rFonts w:hint="eastAsia"/>
          <w:color w:val="auto"/>
        </w:rPr>
        <w:t>为了减少水土流失，评价提出以下治理措施：</w:t>
      </w:r>
    </w:p>
    <w:p>
      <w:pPr>
        <w:bidi w:val="0"/>
        <w:rPr>
          <w:color w:val="auto"/>
        </w:rPr>
      </w:pPr>
      <w:r>
        <w:rPr>
          <w:rFonts w:hint="eastAsia"/>
          <w:color w:val="auto"/>
        </w:rPr>
        <w:t>（</w:t>
      </w:r>
      <w:r>
        <w:rPr>
          <w:color w:val="auto"/>
        </w:rPr>
        <w:t>1</w:t>
      </w:r>
      <w:r>
        <w:rPr>
          <w:rFonts w:hint="eastAsia"/>
          <w:color w:val="auto"/>
        </w:rPr>
        <w:t>）项目施工期应合理安排工期，地表开挖工程应尽量避开雨季；</w:t>
      </w:r>
    </w:p>
    <w:p>
      <w:pPr>
        <w:bidi w:val="0"/>
        <w:rPr>
          <w:color w:val="auto"/>
        </w:rPr>
      </w:pPr>
      <w:r>
        <w:rPr>
          <w:rFonts w:hint="eastAsia"/>
          <w:color w:val="auto"/>
        </w:rPr>
        <w:t>（</w:t>
      </w:r>
      <w:r>
        <w:rPr>
          <w:color w:val="auto"/>
        </w:rPr>
        <w:t>2</w:t>
      </w:r>
      <w:r>
        <w:rPr>
          <w:rFonts w:hint="eastAsia"/>
          <w:color w:val="auto"/>
        </w:rPr>
        <w:t>）开挖出的土石方应尽快回填，土石方堆场的表面遮盖篷布，减少风力侵蚀造成的水土流失。</w:t>
      </w:r>
    </w:p>
    <w:p>
      <w:pPr>
        <w:bidi w:val="0"/>
        <w:rPr>
          <w:color w:val="auto"/>
        </w:rPr>
      </w:pPr>
      <w:r>
        <w:rPr>
          <w:rFonts w:hint="eastAsia"/>
          <w:color w:val="auto"/>
        </w:rPr>
        <w:t>（</w:t>
      </w:r>
      <w:r>
        <w:rPr>
          <w:color w:val="auto"/>
        </w:rPr>
        <w:t>3</w:t>
      </w:r>
      <w:r>
        <w:rPr>
          <w:rFonts w:hint="eastAsia"/>
          <w:color w:val="auto"/>
        </w:rPr>
        <w:t>）借入的土石方在运输过程中，应在运输车辆</w:t>
      </w:r>
      <w:r>
        <w:rPr>
          <w:rFonts w:hint="eastAsia"/>
          <w:color w:val="auto"/>
          <w:lang w:eastAsia="zh-CN"/>
        </w:rPr>
        <w:t>的车厢</w:t>
      </w:r>
      <w:r>
        <w:rPr>
          <w:rFonts w:hint="eastAsia"/>
          <w:color w:val="auto"/>
        </w:rPr>
        <w:t>上方加盖篷布，</w:t>
      </w:r>
      <w:r>
        <w:rPr>
          <w:rFonts w:hint="eastAsia"/>
          <w:color w:val="auto"/>
          <w:lang w:eastAsia="zh-CN"/>
        </w:rPr>
        <w:t>尽可能地减少</w:t>
      </w:r>
      <w:r>
        <w:rPr>
          <w:rFonts w:hint="eastAsia"/>
          <w:color w:val="auto"/>
        </w:rPr>
        <w:t>沿途的抛洒。</w:t>
      </w:r>
    </w:p>
    <w:p>
      <w:pPr>
        <w:bidi w:val="0"/>
        <w:rPr>
          <w:color w:val="auto"/>
        </w:rPr>
      </w:pPr>
      <w:r>
        <w:rPr>
          <w:rFonts w:hint="eastAsia"/>
          <w:color w:val="auto"/>
        </w:rPr>
        <w:t>（</w:t>
      </w:r>
      <w:r>
        <w:rPr>
          <w:color w:val="auto"/>
        </w:rPr>
        <w:t>4</w:t>
      </w:r>
      <w:r>
        <w:rPr>
          <w:rFonts w:hint="eastAsia"/>
          <w:color w:val="auto"/>
        </w:rPr>
        <w:t>）地表开挖后，应尽快建设水土保持设施。</w:t>
      </w:r>
    </w:p>
    <w:p>
      <w:pPr>
        <w:pStyle w:val="10"/>
        <w:bidi w:val="0"/>
        <w:rPr>
          <w:color w:val="auto"/>
        </w:rPr>
      </w:pPr>
      <w:r>
        <w:rPr>
          <w:color w:val="auto"/>
        </w:rPr>
        <w:t>3.</w:t>
      </w:r>
      <w:r>
        <w:rPr>
          <w:rFonts w:hint="eastAsia"/>
          <w:color w:val="auto"/>
          <w:lang w:val="en-US" w:eastAsia="zh-CN"/>
        </w:rPr>
        <w:t>8</w:t>
      </w:r>
      <w:r>
        <w:rPr>
          <w:color w:val="auto"/>
        </w:rPr>
        <w:t>.</w:t>
      </w:r>
      <w:r>
        <w:rPr>
          <w:rFonts w:hint="eastAsia"/>
          <w:color w:val="auto"/>
          <w:lang w:val="en-US" w:eastAsia="zh-CN"/>
        </w:rPr>
        <w:t>13</w:t>
      </w:r>
      <w:r>
        <w:rPr>
          <w:color w:val="auto"/>
        </w:rPr>
        <w:t>.2</w:t>
      </w:r>
      <w:r>
        <w:rPr>
          <w:rFonts w:hint="eastAsia"/>
          <w:color w:val="auto"/>
        </w:rPr>
        <w:t>营运期污染因素分析</w:t>
      </w:r>
    </w:p>
    <w:p>
      <w:pPr>
        <w:bidi w:val="0"/>
        <w:rPr>
          <w:color w:val="auto"/>
        </w:rPr>
      </w:pPr>
      <w:r>
        <w:rPr>
          <w:rFonts w:hint="eastAsia"/>
          <w:color w:val="auto"/>
        </w:rPr>
        <w:t>一、废气</w:t>
      </w:r>
    </w:p>
    <w:p>
      <w:pPr>
        <w:bidi w:val="0"/>
        <w:rPr>
          <w:color w:val="auto"/>
        </w:rPr>
      </w:pPr>
      <w:r>
        <w:rPr>
          <w:color w:val="auto"/>
        </w:rPr>
        <w:t>1</w:t>
      </w:r>
      <w:r>
        <w:rPr>
          <w:rFonts w:hint="eastAsia"/>
          <w:color w:val="auto"/>
        </w:rPr>
        <w:t>）蒸煮废气</w:t>
      </w:r>
    </w:p>
    <w:p>
      <w:pPr>
        <w:bidi w:val="0"/>
        <w:rPr>
          <w:color w:val="auto"/>
        </w:rPr>
      </w:pPr>
      <w:r>
        <w:rPr>
          <w:rFonts w:hint="eastAsia"/>
          <w:color w:val="auto"/>
        </w:rPr>
        <w:t>本项目菌草采用立式蒸煮器进行蒸煮处理，蒸煮后的浆料喷放至喷放锅，在喷放过程中会产生大量的湿热废气，这部分废气主要是水蒸气，并混有少量黑液中的臭气（主要成分为蒸煮过程中产生的挥发性有机硫化物），温度约1</w:t>
      </w:r>
      <w:r>
        <w:rPr>
          <w:color w:val="auto"/>
        </w:rPr>
        <w:t>70</w:t>
      </w:r>
      <w:r>
        <w:rPr>
          <w:rFonts w:hint="eastAsia"/>
          <w:color w:val="auto"/>
        </w:rPr>
        <w:t>℃，通过在设备顶部配套的管道风机抽至五效蒸发器进行余热回收利用，</w:t>
      </w:r>
      <w:r>
        <w:rPr>
          <w:rFonts w:hint="eastAsia"/>
          <w:color w:val="auto"/>
          <w:lang w:val="en-US" w:eastAsia="zh-CN"/>
        </w:rPr>
        <w:t>最终随黑液进入下道工序。</w:t>
      </w:r>
    </w:p>
    <w:p>
      <w:pPr>
        <w:bidi w:val="0"/>
        <w:rPr>
          <w:color w:val="auto"/>
        </w:rPr>
      </w:pPr>
      <w:r>
        <w:rPr>
          <w:color w:val="auto"/>
        </w:rPr>
        <w:t>2</w:t>
      </w:r>
      <w:r>
        <w:rPr>
          <w:rFonts w:hint="eastAsia"/>
          <w:color w:val="auto"/>
        </w:rPr>
        <w:t>）堆料库扬尘</w:t>
      </w:r>
    </w:p>
    <w:p>
      <w:pPr>
        <w:bidi w:val="0"/>
        <w:rPr>
          <w:rFonts w:hint="default"/>
          <w:b/>
          <w:bCs/>
          <w:color w:val="auto"/>
          <w:u w:val="single"/>
          <w:lang w:val="en-US" w:eastAsia="zh-CN"/>
        </w:rPr>
      </w:pPr>
      <w:r>
        <w:rPr>
          <w:rFonts w:hint="eastAsia"/>
          <w:b/>
          <w:bCs/>
          <w:color w:val="auto"/>
          <w:u w:val="single"/>
        </w:rPr>
        <w:t>本项目菌草全部外购，项目设置1个菌草</w:t>
      </w:r>
      <w:bookmarkStart w:id="199" w:name="_Hlk120387416"/>
      <w:r>
        <w:rPr>
          <w:rFonts w:hint="eastAsia"/>
          <w:b/>
          <w:bCs/>
          <w:color w:val="auto"/>
          <w:u w:val="single"/>
        </w:rPr>
        <w:t>堆料库</w:t>
      </w:r>
      <w:bookmarkEnd w:id="199"/>
      <w:r>
        <w:rPr>
          <w:rFonts w:hint="eastAsia"/>
          <w:b/>
          <w:bCs/>
          <w:color w:val="auto"/>
          <w:u w:val="single"/>
        </w:rPr>
        <w:t>，建筑面积6336m</w:t>
      </w:r>
      <w:r>
        <w:rPr>
          <w:rFonts w:hint="eastAsia"/>
          <w:b/>
          <w:bCs/>
          <w:color w:val="auto"/>
          <w:u w:val="single"/>
          <w:vertAlign w:val="superscript"/>
        </w:rPr>
        <w:t>2</w:t>
      </w:r>
      <w:r>
        <w:rPr>
          <w:rFonts w:hint="eastAsia"/>
          <w:b/>
          <w:bCs/>
          <w:color w:val="auto"/>
          <w:u w:val="single"/>
        </w:rPr>
        <w:t>，菌草以方形捆状入场，</w:t>
      </w:r>
      <w:r>
        <w:rPr>
          <w:b/>
          <w:bCs/>
          <w:color w:val="auto"/>
          <w:u w:val="single"/>
        </w:rPr>
        <w:t>通过自卸式汽车运输运至</w:t>
      </w:r>
      <w:r>
        <w:rPr>
          <w:rFonts w:hint="eastAsia"/>
          <w:b/>
          <w:bCs/>
          <w:color w:val="auto"/>
          <w:u w:val="single"/>
        </w:rPr>
        <w:t>堆料库</w:t>
      </w:r>
      <w:r>
        <w:rPr>
          <w:b/>
          <w:bCs/>
          <w:color w:val="auto"/>
          <w:u w:val="single"/>
        </w:rPr>
        <w:t>，</w:t>
      </w:r>
      <w:r>
        <w:rPr>
          <w:rFonts w:hint="eastAsia"/>
          <w:b/>
          <w:bCs/>
          <w:color w:val="auto"/>
          <w:u w:val="single"/>
        </w:rPr>
        <w:t>菌草含水率</w:t>
      </w:r>
      <w:r>
        <w:rPr>
          <w:b/>
          <w:bCs/>
          <w:color w:val="auto"/>
          <w:u w:val="single"/>
        </w:rPr>
        <w:t>10</w:t>
      </w:r>
      <w:r>
        <w:rPr>
          <w:rFonts w:hint="eastAsia"/>
          <w:b/>
          <w:bCs/>
          <w:color w:val="auto"/>
          <w:u w:val="single"/>
        </w:rPr>
        <w:t>%左右。菌草</w:t>
      </w:r>
      <w:r>
        <w:rPr>
          <w:rFonts w:hint="eastAsia"/>
          <w:b/>
          <w:bCs/>
          <w:color w:val="auto"/>
          <w:u w:val="single"/>
          <w:lang w:eastAsia="zh-CN"/>
        </w:rPr>
        <w:t>在</w:t>
      </w:r>
      <w:r>
        <w:rPr>
          <w:b/>
          <w:bCs/>
          <w:color w:val="auto"/>
          <w:u w:val="single"/>
        </w:rPr>
        <w:t>卸车过程中物料落差会产生扬尘</w:t>
      </w:r>
      <w:r>
        <w:rPr>
          <w:rFonts w:hint="eastAsia"/>
          <w:b/>
          <w:bCs/>
          <w:color w:val="auto"/>
          <w:u w:val="single"/>
        </w:rPr>
        <w:t>，并且由于原料含水率较低，因此储存过程中也会产生一定量的扬尘。</w:t>
      </w:r>
      <w:r>
        <w:rPr>
          <w:rFonts w:hint="eastAsia"/>
          <w:b/>
          <w:bCs/>
          <w:color w:val="auto"/>
          <w:u w:val="single"/>
          <w:lang w:val="en-US" w:eastAsia="zh-CN"/>
        </w:rPr>
        <w:t>本项目菌草存储过程中产生的扬尘量参考</w:t>
      </w:r>
      <w:r>
        <w:rPr>
          <w:rFonts w:hint="eastAsia"/>
          <w:b/>
          <w:bCs/>
          <w:color w:val="auto"/>
          <w:u w:val="single"/>
        </w:rPr>
        <w:t>河北生物质能源科技有限公司年收储深加工30万吨农作物秸及园林废弃物综合利用项目</w:t>
      </w:r>
      <w:r>
        <w:rPr>
          <w:rFonts w:hint="eastAsia"/>
          <w:b/>
          <w:bCs/>
          <w:color w:val="auto"/>
          <w:u w:val="single"/>
          <w:lang w:val="en-US" w:eastAsia="zh-CN"/>
        </w:rPr>
        <w:t>中秸秆储存库无组织颗粒物的产生量。本项目菌草类似于秸秆等农作物，且与该项目储存形式基本相同，</w:t>
      </w:r>
      <w:r>
        <w:rPr>
          <w:rFonts w:hint="eastAsia"/>
          <w:b/>
          <w:bCs/>
          <w:color w:val="auto"/>
          <w:u w:val="single"/>
        </w:rPr>
        <w:t>因此具有可类比性</w:t>
      </w:r>
      <w:r>
        <w:rPr>
          <w:rFonts w:hint="eastAsia"/>
          <w:b/>
          <w:bCs/>
          <w:color w:val="auto"/>
          <w:u w:val="single"/>
          <w:lang w:val="en-US" w:eastAsia="zh-CN"/>
        </w:rPr>
        <w:t>。本项目年用菌草10000吨，堆料库内无组织颗粒物产生速率保守取12.63g/h（约0.1t/a）。</w:t>
      </w:r>
    </w:p>
    <w:p>
      <w:pPr>
        <w:bidi w:val="0"/>
        <w:rPr>
          <w:rFonts w:hint="eastAsia"/>
          <w:color w:val="auto"/>
        </w:rPr>
      </w:pPr>
      <w:r>
        <w:rPr>
          <w:rFonts w:hint="eastAsia"/>
          <w:color w:val="auto"/>
        </w:rPr>
        <w:t>为减少扬尘排放，项目设置密闭式菌草堆料库，仓库地面进行硬化，顶部设置雾化喷淋装置。环评要求原料库全封闭，原料库上方安装雾化喷淋装置，通道口安装封闭性良好且便于开关的卷帘门，原料运输车全部在封闭原料库内进行卸料，装卸时降低落差，且定时开启喷淋洒水装置抑制扬尘外逸，仓库大门口处卷帘门，平时处于关闭状态。通过采取上述措施，可有效降低扬尘对环境空气的影响。</w:t>
      </w:r>
    </w:p>
    <w:p>
      <w:pPr>
        <w:rPr>
          <w:rFonts w:hint="eastAsia"/>
          <w:color w:val="auto"/>
          <w:lang w:val="en-US" w:eastAsia="zh-CN"/>
        </w:rPr>
      </w:pPr>
      <w:r>
        <w:rPr>
          <w:rFonts w:hint="eastAsia"/>
          <w:color w:val="auto"/>
          <w:lang w:val="en-US" w:eastAsia="zh-CN"/>
        </w:rPr>
        <w:t>3）硫酸雾</w:t>
      </w:r>
    </w:p>
    <w:p>
      <w:pPr>
        <w:rPr>
          <w:rFonts w:hint="default"/>
          <w:b/>
          <w:bCs/>
          <w:color w:val="auto"/>
          <w:u w:val="single"/>
        </w:rPr>
      </w:pPr>
      <w:r>
        <w:rPr>
          <w:rFonts w:hint="eastAsia"/>
          <w:b/>
          <w:bCs/>
          <w:color w:val="auto"/>
          <w:u w:val="single"/>
        </w:rPr>
        <w:t>本项目产生的废气</w:t>
      </w:r>
      <w:r>
        <w:rPr>
          <w:rFonts w:hint="eastAsia"/>
          <w:b/>
          <w:bCs/>
          <w:color w:val="auto"/>
          <w:u w:val="single"/>
          <w:lang w:val="en-US" w:eastAsia="zh-CN"/>
        </w:rPr>
        <w:t>主要</w:t>
      </w:r>
      <w:r>
        <w:rPr>
          <w:rFonts w:hint="eastAsia"/>
          <w:b/>
          <w:bCs/>
          <w:color w:val="auto"/>
          <w:u w:val="single"/>
        </w:rPr>
        <w:t>包括硫酸储罐大呼吸硫酸气体。装卸硫酸过程中产生的污染物主要为利用压力差方式装卸硫酸过程产生的硫酸气体及完成装卸硫酸气体工序后管道及接口内硫酸气体。</w:t>
      </w:r>
      <w:r>
        <w:rPr>
          <w:rFonts w:hint="eastAsia"/>
          <w:b/>
          <w:bCs/>
          <w:color w:val="auto"/>
          <w:u w:val="single"/>
          <w:lang w:val="en-US" w:eastAsia="zh-CN"/>
        </w:rPr>
        <w:t>本项目增加的硫酸用量</w:t>
      </w:r>
      <w:r>
        <w:rPr>
          <w:rFonts w:hint="eastAsia"/>
          <w:b/>
          <w:bCs/>
          <w:color w:val="auto"/>
          <w:u w:val="single"/>
        </w:rPr>
        <w:t>大呼吸损耗废气及装卸</w:t>
      </w:r>
      <w:r>
        <w:rPr>
          <w:rFonts w:hint="eastAsia"/>
          <w:b/>
          <w:bCs/>
          <w:color w:val="auto"/>
          <w:u w:val="single"/>
          <w:lang w:val="en-US" w:eastAsia="zh-CN"/>
        </w:rPr>
        <w:t>引起的</w:t>
      </w:r>
      <w:r>
        <w:rPr>
          <w:rFonts w:hint="eastAsia"/>
          <w:b/>
          <w:bCs/>
          <w:color w:val="auto"/>
          <w:u w:val="single"/>
        </w:rPr>
        <w:t>损耗废气经集气罩收集后</w:t>
      </w:r>
      <w:r>
        <w:rPr>
          <w:rFonts w:hint="eastAsia"/>
          <w:b/>
          <w:bCs/>
          <w:color w:val="auto"/>
          <w:u w:val="single"/>
          <w:lang w:val="en-US" w:eastAsia="zh-CN"/>
        </w:rPr>
        <w:t>依托原有处理设施（NaCO</w:t>
      </w:r>
      <w:r>
        <w:rPr>
          <w:rFonts w:hint="eastAsia"/>
          <w:b/>
          <w:bCs/>
          <w:color w:val="auto"/>
          <w:u w:val="single"/>
          <w:vertAlign w:val="subscript"/>
          <w:lang w:val="en-US" w:eastAsia="zh-CN"/>
        </w:rPr>
        <w:t>3</w:t>
      </w:r>
      <w:r>
        <w:rPr>
          <w:rFonts w:hint="eastAsia"/>
          <w:b/>
          <w:bCs/>
          <w:color w:val="auto"/>
          <w:u w:val="single"/>
          <w:lang w:val="en-US" w:eastAsia="zh-CN"/>
        </w:rPr>
        <w:t>喷淋装置+</w:t>
      </w:r>
      <w:r>
        <w:rPr>
          <w:rFonts w:hint="eastAsia"/>
          <w:b/>
          <w:bCs/>
          <w:color w:val="auto"/>
          <w:u w:val="single"/>
        </w:rPr>
        <w:t>活性炭吸附处理</w:t>
      </w:r>
      <w:r>
        <w:rPr>
          <w:rFonts w:hint="eastAsia"/>
          <w:b/>
          <w:bCs/>
          <w:color w:val="auto"/>
          <w:u w:val="single"/>
          <w:lang w:val="en-US" w:eastAsia="zh-CN"/>
        </w:rPr>
        <w:t>）</w:t>
      </w:r>
      <w:r>
        <w:rPr>
          <w:rFonts w:hint="eastAsia"/>
          <w:b/>
          <w:bCs/>
          <w:color w:val="auto"/>
          <w:u w:val="single"/>
        </w:rPr>
        <w:t>集气罩收集效率90%，碱液喷淋系统治理效率95%。</w:t>
      </w:r>
      <w:r>
        <w:rPr>
          <w:rFonts w:hint="eastAsia"/>
          <w:b/>
          <w:bCs/>
          <w:color w:val="auto"/>
          <w:u w:val="single"/>
          <w:lang w:val="en-US" w:eastAsia="zh-CN"/>
        </w:rPr>
        <w:t>本项目硫酸仅用做调节用水的pH，用量较少，硫酸设施依托厂区硫酸站，考虑硫酸用量增加部分的大呼吸。</w:t>
      </w:r>
    </w:p>
    <w:p>
      <w:pPr>
        <w:rPr>
          <w:rFonts w:hint="eastAsia"/>
          <w:b/>
          <w:bCs/>
          <w:color w:val="auto"/>
          <w:u w:val="single"/>
        </w:rPr>
      </w:pPr>
      <w:r>
        <w:rPr>
          <w:rFonts w:hint="eastAsia"/>
          <w:b/>
          <w:bCs/>
          <w:color w:val="auto"/>
          <w:u w:val="single"/>
        </w:rPr>
        <w:t>工作排放</w:t>
      </w:r>
      <w:r>
        <w:rPr>
          <w:rFonts w:hint="eastAsia"/>
          <w:b/>
          <w:bCs/>
          <w:color w:val="auto"/>
          <w:u w:val="single"/>
          <w:lang w:eastAsia="zh-CN"/>
        </w:rPr>
        <w:t>（</w:t>
      </w:r>
      <w:r>
        <w:rPr>
          <w:rFonts w:hint="eastAsia"/>
          <w:b/>
          <w:bCs/>
          <w:color w:val="auto"/>
          <w:u w:val="single"/>
        </w:rPr>
        <w:t>大呼吸损失</w:t>
      </w:r>
      <w:r>
        <w:rPr>
          <w:rFonts w:hint="eastAsia"/>
          <w:b/>
          <w:bCs/>
          <w:color w:val="auto"/>
          <w:u w:val="single"/>
          <w:lang w:eastAsia="zh-CN"/>
        </w:rPr>
        <w:t>）：</w:t>
      </w:r>
    </w:p>
    <w:p>
      <w:pPr>
        <w:rPr>
          <w:rFonts w:hint="eastAsia"/>
          <w:b/>
          <w:bCs/>
          <w:color w:val="auto"/>
          <w:u w:val="single"/>
        </w:rPr>
      </w:pPr>
      <w:r>
        <w:rPr>
          <w:rFonts w:hint="eastAsia"/>
          <w:b/>
          <w:bCs/>
          <w:color w:val="auto"/>
          <w:u w:val="single"/>
        </w:rPr>
        <w:t>工作排放是由于人为的装料与卸料而产生的损失。因装料的结果，罐内压力超过释放压力时，蒸气从罐内压出</w:t>
      </w:r>
      <w:r>
        <w:rPr>
          <w:rFonts w:hint="eastAsia"/>
          <w:b/>
          <w:bCs/>
          <w:color w:val="auto"/>
          <w:u w:val="single"/>
          <w:lang w:eastAsia="zh-CN"/>
        </w:rPr>
        <w:t>；</w:t>
      </w:r>
      <w:r>
        <w:rPr>
          <w:rFonts w:hint="eastAsia"/>
          <w:b/>
          <w:bCs/>
          <w:color w:val="auto"/>
          <w:u w:val="single"/>
        </w:rPr>
        <w:t>而卸料损失发生于液面排出，空气被抽入罐体内，因空气变成蒸气饱和的气体而膨胀，因而超过蒸气空间容纳的能力。</w:t>
      </w:r>
    </w:p>
    <w:p>
      <w:pPr>
        <w:rPr>
          <w:rFonts w:hint="eastAsia" w:eastAsia="宋体"/>
          <w:b/>
          <w:bCs/>
          <w:color w:val="auto"/>
          <w:u w:val="single"/>
          <w:lang w:eastAsia="zh-CN"/>
        </w:rPr>
      </w:pPr>
      <w:r>
        <w:rPr>
          <w:rFonts w:hint="eastAsia"/>
          <w:b/>
          <w:bCs/>
          <w:color w:val="auto"/>
          <w:u w:val="single"/>
        </w:rPr>
        <w:t>可由下式估算固定顶罐的工作排放</w:t>
      </w:r>
      <w:r>
        <w:rPr>
          <w:rFonts w:hint="eastAsia"/>
          <w:b/>
          <w:bCs/>
          <w:color w:val="auto"/>
          <w:u w:val="single"/>
          <w:lang w:eastAsia="zh-CN"/>
        </w:rPr>
        <w:t>：</w:t>
      </w:r>
    </w:p>
    <w:p>
      <w:pPr>
        <w:ind w:firstLine="0" w:firstLineChars="0"/>
        <w:jc w:val="center"/>
        <w:rPr>
          <w:rFonts w:hint="eastAsia"/>
          <w:b/>
          <w:bCs/>
          <w:color w:val="auto"/>
          <w:u w:val="single"/>
        </w:rPr>
      </w:pPr>
      <w:r>
        <w:rPr>
          <w:rFonts w:hint="eastAsia"/>
          <w:b/>
          <w:bCs/>
          <w:color w:val="auto"/>
          <w:u w:val="single"/>
        </w:rPr>
        <w:t>LW=4.188</w:t>
      </w:r>
      <w:r>
        <w:rPr>
          <w:rFonts w:hint="default" w:ascii="Arial" w:hAnsi="Arial" w:cs="Arial"/>
          <w:b/>
          <w:bCs/>
          <w:color w:val="auto"/>
          <w:u w:val="single"/>
        </w:rPr>
        <w:t>×</w:t>
      </w:r>
      <w:r>
        <w:rPr>
          <w:rFonts w:hint="eastAsia"/>
          <w:b/>
          <w:bCs/>
          <w:color w:val="auto"/>
          <w:u w:val="single"/>
        </w:rPr>
        <w:t>10</w:t>
      </w:r>
      <w:r>
        <w:rPr>
          <w:rFonts w:hint="eastAsia"/>
          <w:b/>
          <w:bCs/>
          <w:color w:val="auto"/>
          <w:u w:val="single"/>
          <w:vertAlign w:val="superscript"/>
        </w:rPr>
        <w:t>-7</w:t>
      </w:r>
      <w:r>
        <w:rPr>
          <w:rFonts w:hint="default" w:ascii="Arial" w:hAnsi="Arial" w:cs="Arial"/>
          <w:b/>
          <w:bCs/>
          <w:color w:val="auto"/>
          <w:u w:val="single"/>
        </w:rPr>
        <w:t>×</w:t>
      </w:r>
      <w:r>
        <w:rPr>
          <w:rFonts w:hint="eastAsia"/>
          <w:b/>
          <w:bCs/>
          <w:color w:val="auto"/>
          <w:u w:val="single"/>
        </w:rPr>
        <w:t>M</w:t>
      </w:r>
      <w:r>
        <w:rPr>
          <w:rFonts w:hint="default" w:ascii="Arial" w:hAnsi="Arial" w:cs="Arial"/>
          <w:b/>
          <w:bCs/>
          <w:color w:val="auto"/>
          <w:u w:val="single"/>
        </w:rPr>
        <w:t>×</w:t>
      </w:r>
      <w:r>
        <w:rPr>
          <w:rFonts w:hint="eastAsia"/>
          <w:b/>
          <w:bCs/>
          <w:color w:val="auto"/>
          <w:u w:val="single"/>
        </w:rPr>
        <w:t>P</w:t>
      </w:r>
      <w:r>
        <w:rPr>
          <w:rFonts w:hint="default" w:ascii="Arial" w:hAnsi="Arial" w:cs="Arial"/>
          <w:b/>
          <w:bCs/>
          <w:color w:val="auto"/>
          <w:u w:val="single"/>
        </w:rPr>
        <w:t>×</w:t>
      </w:r>
      <w:r>
        <w:rPr>
          <w:rFonts w:hint="eastAsia"/>
          <w:b/>
          <w:bCs/>
          <w:color w:val="auto"/>
          <w:u w:val="single"/>
        </w:rPr>
        <w:t>KN</w:t>
      </w:r>
      <w:r>
        <w:rPr>
          <w:rFonts w:hint="default" w:ascii="Arial" w:hAnsi="Arial" w:cs="Arial"/>
          <w:b/>
          <w:bCs/>
          <w:color w:val="auto"/>
          <w:u w:val="single"/>
        </w:rPr>
        <w:t>×</w:t>
      </w:r>
      <w:r>
        <w:rPr>
          <w:rFonts w:hint="eastAsia"/>
          <w:b/>
          <w:bCs/>
          <w:color w:val="auto"/>
          <w:u w:val="single"/>
        </w:rPr>
        <w:t>KC</w:t>
      </w:r>
    </w:p>
    <w:p>
      <w:pPr>
        <w:rPr>
          <w:rFonts w:hint="eastAsia" w:eastAsia="宋体"/>
          <w:b/>
          <w:bCs/>
          <w:color w:val="auto"/>
          <w:u w:val="single"/>
          <w:lang w:eastAsia="zh-CN"/>
        </w:rPr>
      </w:pPr>
      <w:r>
        <w:rPr>
          <w:rFonts w:hint="eastAsia"/>
          <w:b/>
          <w:bCs/>
          <w:color w:val="auto"/>
          <w:u w:val="single"/>
        </w:rPr>
        <w:t>式中</w:t>
      </w:r>
      <w:r>
        <w:rPr>
          <w:rFonts w:hint="eastAsia"/>
          <w:b/>
          <w:bCs/>
          <w:color w:val="auto"/>
          <w:u w:val="single"/>
          <w:lang w:eastAsia="zh-CN"/>
        </w:rPr>
        <w:t>：</w:t>
      </w:r>
      <w:r>
        <w:rPr>
          <w:rFonts w:hint="eastAsia"/>
          <w:b/>
          <w:bCs/>
          <w:color w:val="auto"/>
          <w:u w:val="single"/>
        </w:rPr>
        <w:t>LW</w:t>
      </w:r>
      <w:r>
        <w:rPr>
          <w:rFonts w:hint="eastAsia"/>
          <w:b/>
          <w:bCs/>
          <w:color w:val="auto"/>
          <w:u w:val="single"/>
          <w:lang w:eastAsia="zh-CN"/>
        </w:rPr>
        <w:t>—</w:t>
      </w:r>
      <w:r>
        <w:rPr>
          <w:rFonts w:hint="eastAsia"/>
          <w:b/>
          <w:bCs/>
          <w:color w:val="auto"/>
          <w:u w:val="single"/>
        </w:rPr>
        <w:t>工作损失</w:t>
      </w:r>
      <w:r>
        <w:rPr>
          <w:rFonts w:hint="eastAsia"/>
          <w:b/>
          <w:bCs/>
          <w:color w:val="auto"/>
          <w:u w:val="single"/>
          <w:lang w:eastAsia="zh-CN"/>
        </w:rPr>
        <w:t>（</w:t>
      </w:r>
      <w:r>
        <w:rPr>
          <w:rFonts w:hint="eastAsia"/>
          <w:b/>
          <w:bCs/>
          <w:color w:val="auto"/>
          <w:u w:val="single"/>
        </w:rPr>
        <w:t>kg/m</w:t>
      </w:r>
      <w:r>
        <w:rPr>
          <w:rFonts w:hint="eastAsia"/>
          <w:b/>
          <w:bCs/>
          <w:color w:val="auto"/>
          <w:u w:val="single"/>
          <w:vertAlign w:val="superscript"/>
          <w:lang w:val="en-US" w:eastAsia="zh-CN"/>
        </w:rPr>
        <w:t>3</w:t>
      </w:r>
      <w:r>
        <w:rPr>
          <w:rFonts w:hint="eastAsia"/>
          <w:b/>
          <w:bCs/>
          <w:color w:val="auto"/>
          <w:u w:val="single"/>
        </w:rPr>
        <w:t>投入量</w:t>
      </w:r>
      <w:r>
        <w:rPr>
          <w:rFonts w:hint="eastAsia"/>
          <w:b/>
          <w:bCs/>
          <w:color w:val="auto"/>
          <w:u w:val="single"/>
          <w:lang w:eastAsia="zh-CN"/>
        </w:rPr>
        <w:t>）；</w:t>
      </w:r>
    </w:p>
    <w:p>
      <w:pPr>
        <w:ind w:firstLine="1205" w:firstLineChars="500"/>
        <w:rPr>
          <w:rFonts w:hint="eastAsia"/>
          <w:b/>
          <w:bCs/>
          <w:color w:val="auto"/>
          <w:u w:val="single"/>
          <w:lang w:eastAsia="zh-CN"/>
        </w:rPr>
      </w:pPr>
      <w:r>
        <w:rPr>
          <w:rFonts w:hint="eastAsia"/>
          <w:b/>
          <w:bCs/>
          <w:color w:val="auto"/>
          <w:u w:val="single"/>
        </w:rPr>
        <w:t>M</w:t>
      </w:r>
      <w:r>
        <w:rPr>
          <w:rFonts w:hint="eastAsia"/>
          <w:b/>
          <w:bCs/>
          <w:color w:val="auto"/>
          <w:u w:val="single"/>
          <w:lang w:eastAsia="zh-CN"/>
        </w:rPr>
        <w:t>—</w:t>
      </w:r>
      <w:r>
        <w:rPr>
          <w:rFonts w:hint="eastAsia"/>
          <w:b/>
          <w:bCs/>
          <w:color w:val="auto"/>
          <w:u w:val="single"/>
        </w:rPr>
        <w:t>项目硫酸，其分子量为98</w:t>
      </w:r>
      <w:r>
        <w:rPr>
          <w:rFonts w:hint="eastAsia"/>
          <w:b/>
          <w:bCs/>
          <w:color w:val="auto"/>
          <w:u w:val="single"/>
          <w:lang w:eastAsia="zh-CN"/>
        </w:rPr>
        <w:t>；</w:t>
      </w:r>
    </w:p>
    <w:p>
      <w:pPr>
        <w:ind w:firstLine="1205" w:firstLineChars="500"/>
        <w:rPr>
          <w:rFonts w:hint="eastAsia"/>
          <w:b/>
          <w:bCs/>
          <w:color w:val="auto"/>
          <w:u w:val="single"/>
        </w:rPr>
      </w:pPr>
      <w:r>
        <w:rPr>
          <w:rFonts w:hint="eastAsia"/>
          <w:b/>
          <w:bCs/>
          <w:color w:val="auto"/>
          <w:u w:val="single"/>
        </w:rPr>
        <w:t>P</w:t>
      </w:r>
      <w:r>
        <w:rPr>
          <w:rFonts w:hint="eastAsia"/>
          <w:b/>
          <w:bCs/>
          <w:color w:val="auto"/>
          <w:u w:val="single"/>
          <w:lang w:eastAsia="zh-CN"/>
        </w:rPr>
        <w:t>—</w:t>
      </w:r>
      <w:r>
        <w:rPr>
          <w:rFonts w:hint="eastAsia"/>
          <w:b/>
          <w:bCs/>
          <w:color w:val="auto"/>
          <w:u w:val="single"/>
        </w:rPr>
        <w:t>在大量液体状态下，真实的蒸气压力</w:t>
      </w:r>
      <w:r>
        <w:rPr>
          <w:rFonts w:hint="eastAsia"/>
          <w:b/>
          <w:bCs/>
          <w:color w:val="auto"/>
          <w:u w:val="single"/>
          <w:lang w:eastAsia="zh-CN"/>
        </w:rPr>
        <w:t>(</w:t>
      </w:r>
      <w:r>
        <w:rPr>
          <w:rFonts w:hint="eastAsia"/>
          <w:b/>
          <w:bCs/>
          <w:color w:val="auto"/>
          <w:u w:val="single"/>
        </w:rPr>
        <w:t>10.67Pa)</w:t>
      </w:r>
    </w:p>
    <w:p>
      <w:pPr>
        <w:ind w:firstLine="1205" w:firstLineChars="500"/>
        <w:rPr>
          <w:rFonts w:hint="eastAsia"/>
          <w:b/>
          <w:bCs/>
          <w:color w:val="auto"/>
          <w:u w:val="single"/>
          <w:lang w:eastAsia="zh-CN"/>
        </w:rPr>
      </w:pPr>
      <w:r>
        <w:rPr>
          <w:rFonts w:hint="eastAsia"/>
          <w:b/>
          <w:bCs/>
          <w:color w:val="auto"/>
          <w:u w:val="single"/>
        </w:rPr>
        <w:t>KN</w:t>
      </w:r>
      <w:r>
        <w:rPr>
          <w:rFonts w:hint="eastAsia"/>
          <w:b/>
          <w:bCs/>
          <w:color w:val="auto"/>
          <w:u w:val="single"/>
          <w:lang w:eastAsia="zh-CN"/>
        </w:rPr>
        <w:t>—</w:t>
      </w:r>
      <w:r>
        <w:rPr>
          <w:rFonts w:hint="eastAsia"/>
          <w:b/>
          <w:bCs/>
          <w:color w:val="auto"/>
          <w:u w:val="single"/>
        </w:rPr>
        <w:t>周转因子</w:t>
      </w:r>
      <w:r>
        <w:rPr>
          <w:rFonts w:hint="eastAsia"/>
          <w:b/>
          <w:bCs/>
          <w:color w:val="auto"/>
          <w:u w:val="single"/>
          <w:lang w:eastAsia="zh-CN"/>
        </w:rPr>
        <w:t>（</w:t>
      </w:r>
      <w:r>
        <w:rPr>
          <w:rFonts w:hint="eastAsia"/>
          <w:b/>
          <w:bCs/>
          <w:color w:val="auto"/>
          <w:u w:val="single"/>
        </w:rPr>
        <w:t>无量纲</w:t>
      </w:r>
      <w:r>
        <w:rPr>
          <w:rFonts w:hint="eastAsia"/>
          <w:b/>
          <w:bCs/>
          <w:color w:val="auto"/>
          <w:u w:val="single"/>
          <w:lang w:eastAsia="zh-CN"/>
        </w:rPr>
        <w:t>）</w:t>
      </w:r>
      <w:r>
        <w:rPr>
          <w:rFonts w:hint="eastAsia"/>
          <w:b/>
          <w:bCs/>
          <w:color w:val="auto"/>
          <w:u w:val="single"/>
        </w:rPr>
        <w:t>，取值按年周转次数</w:t>
      </w:r>
      <w:r>
        <w:rPr>
          <w:rFonts w:hint="eastAsia"/>
          <w:b/>
          <w:bCs/>
          <w:color w:val="auto"/>
          <w:u w:val="single"/>
          <w:lang w:eastAsia="zh-CN"/>
        </w:rPr>
        <w:t>（</w:t>
      </w:r>
      <w:r>
        <w:rPr>
          <w:rFonts w:hint="eastAsia"/>
          <w:b/>
          <w:bCs/>
          <w:color w:val="auto"/>
          <w:u w:val="single"/>
        </w:rPr>
        <w:t>K</w:t>
      </w:r>
      <w:r>
        <w:rPr>
          <w:rFonts w:hint="eastAsia"/>
          <w:b/>
          <w:bCs/>
          <w:color w:val="auto"/>
          <w:u w:val="single"/>
          <w:lang w:eastAsia="zh-CN"/>
        </w:rPr>
        <w:t>）</w:t>
      </w:r>
      <w:r>
        <w:rPr>
          <w:rFonts w:hint="eastAsia"/>
          <w:b/>
          <w:bCs/>
          <w:color w:val="auto"/>
          <w:u w:val="single"/>
        </w:rPr>
        <w:t>确定，K&lt;=36，KN=l</w:t>
      </w:r>
      <w:r>
        <w:rPr>
          <w:rFonts w:hint="eastAsia"/>
          <w:b/>
          <w:bCs/>
          <w:color w:val="auto"/>
          <w:u w:val="single"/>
          <w:lang w:eastAsia="zh-CN"/>
        </w:rPr>
        <w:t>；</w:t>
      </w:r>
      <w:r>
        <w:rPr>
          <w:rFonts w:hint="eastAsia"/>
          <w:b/>
          <w:bCs/>
          <w:color w:val="auto"/>
          <w:u w:val="single"/>
        </w:rPr>
        <w:t>36&lt;K&lt;=220，KN=11.467</w:t>
      </w:r>
      <w:r>
        <w:rPr>
          <w:rFonts w:hint="default" w:ascii="Arial" w:hAnsi="Arial" w:cs="Arial"/>
          <w:b/>
          <w:bCs/>
          <w:color w:val="auto"/>
          <w:u w:val="single"/>
        </w:rPr>
        <w:t>×</w:t>
      </w:r>
      <w:r>
        <w:rPr>
          <w:rFonts w:hint="eastAsia"/>
          <w:b/>
          <w:bCs/>
          <w:color w:val="auto"/>
          <w:u w:val="single"/>
        </w:rPr>
        <w:t>K-0.7026</w:t>
      </w:r>
      <w:r>
        <w:rPr>
          <w:rFonts w:hint="eastAsia"/>
          <w:b/>
          <w:bCs/>
          <w:color w:val="auto"/>
          <w:u w:val="single"/>
          <w:lang w:eastAsia="zh-CN"/>
        </w:rPr>
        <w:t>；</w:t>
      </w:r>
      <w:r>
        <w:rPr>
          <w:rFonts w:hint="eastAsia"/>
          <w:b/>
          <w:bCs/>
          <w:color w:val="auto"/>
          <w:u w:val="single"/>
        </w:rPr>
        <w:t>K&gt;220，KN=0.26，本次取</w:t>
      </w:r>
      <w:r>
        <w:rPr>
          <w:rFonts w:hint="eastAsia"/>
          <w:b/>
          <w:bCs/>
          <w:color w:val="auto"/>
          <w:u w:val="single"/>
          <w:lang w:eastAsia="zh-CN"/>
        </w:rPr>
        <w:t>1；</w:t>
      </w:r>
    </w:p>
    <w:p>
      <w:pPr>
        <w:ind w:firstLine="1205" w:firstLineChars="500"/>
        <w:rPr>
          <w:rFonts w:hint="eastAsia"/>
          <w:b/>
          <w:bCs/>
          <w:color w:val="auto"/>
          <w:u w:val="single"/>
          <w:lang w:eastAsia="zh-CN"/>
        </w:rPr>
      </w:pPr>
      <w:r>
        <w:rPr>
          <w:rFonts w:hint="eastAsia"/>
          <w:b/>
          <w:bCs/>
          <w:color w:val="auto"/>
          <w:u w:val="single"/>
        </w:rPr>
        <w:t>KC</w:t>
      </w:r>
      <w:r>
        <w:rPr>
          <w:rFonts w:hint="eastAsia"/>
          <w:b/>
          <w:bCs/>
          <w:color w:val="auto"/>
          <w:u w:val="single"/>
          <w:lang w:eastAsia="zh-CN"/>
        </w:rPr>
        <w:t>—</w:t>
      </w:r>
      <w:r>
        <w:rPr>
          <w:rFonts w:hint="eastAsia"/>
          <w:b/>
          <w:bCs/>
          <w:color w:val="auto"/>
          <w:u w:val="single"/>
        </w:rPr>
        <w:t>产品因子</w:t>
      </w:r>
      <w:r>
        <w:rPr>
          <w:rFonts w:hint="eastAsia"/>
          <w:b/>
          <w:bCs/>
          <w:color w:val="auto"/>
          <w:u w:val="single"/>
          <w:lang w:eastAsia="zh-CN"/>
        </w:rPr>
        <w:t>（</w:t>
      </w:r>
      <w:r>
        <w:rPr>
          <w:rFonts w:hint="eastAsia"/>
          <w:b/>
          <w:bCs/>
          <w:color w:val="auto"/>
          <w:u w:val="single"/>
        </w:rPr>
        <w:t>石油原油KC取0.65，其他的液体取1.0</w:t>
      </w:r>
      <w:r>
        <w:rPr>
          <w:rFonts w:hint="eastAsia"/>
          <w:b/>
          <w:bCs/>
          <w:color w:val="auto"/>
          <w:u w:val="single"/>
          <w:lang w:eastAsia="zh-CN"/>
        </w:rPr>
        <w:t>）。</w:t>
      </w:r>
    </w:p>
    <w:p>
      <w:pPr>
        <w:ind w:left="0" w:leftChars="0" w:firstLine="482" w:firstLineChars="200"/>
        <w:rPr>
          <w:rFonts w:hint="eastAsia"/>
          <w:color w:val="auto"/>
        </w:rPr>
      </w:pPr>
      <w:r>
        <w:rPr>
          <w:rFonts w:hint="eastAsia"/>
          <w:b/>
          <w:bCs/>
          <w:color w:val="auto"/>
          <w:u w:val="single"/>
          <w:lang w:val="en-US" w:eastAsia="zh-CN"/>
        </w:rPr>
        <w:t>LW=0.000438</w:t>
      </w:r>
      <w:r>
        <w:rPr>
          <w:rFonts w:hint="eastAsia"/>
          <w:b/>
          <w:bCs/>
          <w:color w:val="auto"/>
          <w:u w:val="single"/>
        </w:rPr>
        <w:t>kg/m</w:t>
      </w:r>
      <w:r>
        <w:rPr>
          <w:rFonts w:hint="eastAsia"/>
          <w:b/>
          <w:bCs/>
          <w:color w:val="auto"/>
          <w:u w:val="single"/>
          <w:vertAlign w:val="superscript"/>
          <w:lang w:val="en-US" w:eastAsia="zh-CN"/>
        </w:rPr>
        <w:t>3</w:t>
      </w:r>
      <w:r>
        <w:rPr>
          <w:rFonts w:hint="eastAsia"/>
          <w:b/>
          <w:bCs/>
          <w:color w:val="auto"/>
          <w:u w:val="single"/>
          <w:lang w:val="en-US" w:eastAsia="zh-CN"/>
        </w:rPr>
        <w:t>，本</w:t>
      </w:r>
      <w:r>
        <w:rPr>
          <w:rFonts w:hint="eastAsia"/>
          <w:b/>
          <w:bCs/>
          <w:color w:val="auto"/>
          <w:u w:val="single"/>
        </w:rPr>
        <w:t>项目</w:t>
      </w:r>
      <w:r>
        <w:rPr>
          <w:rFonts w:hint="eastAsia"/>
          <w:b/>
          <w:bCs/>
          <w:color w:val="auto"/>
          <w:u w:val="single"/>
          <w:lang w:val="en-US" w:eastAsia="zh-CN"/>
        </w:rPr>
        <w:t>年</w:t>
      </w:r>
      <w:r>
        <w:rPr>
          <w:rFonts w:hint="eastAsia"/>
          <w:b/>
          <w:bCs/>
          <w:color w:val="auto"/>
          <w:u w:val="single"/>
        </w:rPr>
        <w:t>硫酸</w:t>
      </w:r>
      <w:r>
        <w:rPr>
          <w:rFonts w:hint="eastAsia"/>
          <w:b/>
          <w:bCs/>
          <w:color w:val="auto"/>
          <w:u w:val="single"/>
          <w:lang w:val="en-US" w:eastAsia="zh-CN"/>
        </w:rPr>
        <w:t>用量约</w:t>
      </w:r>
      <w:r>
        <w:rPr>
          <w:rFonts w:hint="eastAsia"/>
          <w:b/>
          <w:bCs/>
          <w:color w:val="auto"/>
          <w:u w:val="single"/>
        </w:rPr>
        <w:t>为</w:t>
      </w:r>
      <w:r>
        <w:rPr>
          <w:rFonts w:hint="eastAsia"/>
          <w:b/>
          <w:bCs/>
          <w:color w:val="auto"/>
          <w:u w:val="single"/>
          <w:lang w:val="en-US" w:eastAsia="zh-CN"/>
        </w:rPr>
        <w:t>17.47</w:t>
      </w:r>
      <w:r>
        <w:rPr>
          <w:rFonts w:hint="eastAsia"/>
          <w:b/>
          <w:bCs/>
          <w:color w:val="auto"/>
          <w:u w:val="single"/>
        </w:rPr>
        <w:t>t(</w:t>
      </w:r>
      <w:r>
        <w:rPr>
          <w:rFonts w:hint="eastAsia"/>
          <w:b/>
          <w:bCs/>
          <w:color w:val="auto"/>
          <w:u w:val="single"/>
          <w:lang w:val="en-US" w:eastAsia="zh-CN"/>
        </w:rPr>
        <w:t>9.57</w:t>
      </w:r>
      <w:r>
        <w:rPr>
          <w:rFonts w:hint="eastAsia"/>
          <w:b/>
          <w:bCs/>
          <w:color w:val="auto"/>
          <w:u w:val="single"/>
        </w:rPr>
        <w:t>m</w:t>
      </w:r>
      <w:r>
        <w:rPr>
          <w:rFonts w:hint="eastAsia"/>
          <w:b/>
          <w:bCs/>
          <w:color w:val="auto"/>
          <w:u w:val="single"/>
          <w:vertAlign w:val="superscript"/>
        </w:rPr>
        <w:t>3</w:t>
      </w:r>
      <w:r>
        <w:rPr>
          <w:rFonts w:hint="eastAsia"/>
          <w:b/>
          <w:bCs/>
          <w:color w:val="auto"/>
          <w:u w:val="single"/>
        </w:rPr>
        <w:t>/a)，则项目硫酸损失量约为</w:t>
      </w:r>
      <w:r>
        <w:rPr>
          <w:rFonts w:hint="eastAsia"/>
          <w:b/>
          <w:bCs/>
          <w:color w:val="auto"/>
          <w:u w:val="single"/>
          <w:lang w:val="en-US" w:eastAsia="zh-CN"/>
        </w:rPr>
        <w:t>0.000438</w:t>
      </w:r>
      <w:r>
        <w:rPr>
          <w:rFonts w:hint="eastAsia"/>
          <w:b/>
          <w:bCs/>
          <w:color w:val="auto"/>
          <w:u w:val="single"/>
        </w:rPr>
        <w:t>kg/m</w:t>
      </w:r>
      <w:r>
        <w:rPr>
          <w:rFonts w:hint="eastAsia"/>
          <w:b/>
          <w:bCs/>
          <w:color w:val="auto"/>
          <w:u w:val="single"/>
          <w:vertAlign w:val="superscript"/>
        </w:rPr>
        <w:t>3</w:t>
      </w:r>
      <w:r>
        <w:rPr>
          <w:rFonts w:hint="default" w:ascii="Arial" w:hAnsi="Arial" w:cs="Arial"/>
          <w:b/>
          <w:bCs/>
          <w:color w:val="auto"/>
          <w:u w:val="single"/>
        </w:rPr>
        <w:t>×</w:t>
      </w:r>
      <w:r>
        <w:rPr>
          <w:rFonts w:hint="eastAsia"/>
          <w:b/>
          <w:bCs/>
          <w:color w:val="auto"/>
          <w:u w:val="single"/>
          <w:lang w:val="en-US" w:eastAsia="zh-CN"/>
        </w:rPr>
        <w:t>9.57</w:t>
      </w:r>
      <w:r>
        <w:rPr>
          <w:rFonts w:hint="eastAsia"/>
          <w:b/>
          <w:bCs/>
          <w:color w:val="auto"/>
          <w:u w:val="single"/>
        </w:rPr>
        <w:t>m</w:t>
      </w:r>
      <w:r>
        <w:rPr>
          <w:rFonts w:hint="eastAsia"/>
          <w:b/>
          <w:bCs/>
          <w:color w:val="auto"/>
          <w:u w:val="single"/>
          <w:vertAlign w:val="superscript"/>
        </w:rPr>
        <w:t>3</w:t>
      </w:r>
      <w:r>
        <w:rPr>
          <w:rFonts w:hint="eastAsia"/>
          <w:b/>
          <w:bCs/>
          <w:color w:val="auto"/>
          <w:u w:val="single"/>
        </w:rPr>
        <w:t>/a=</w:t>
      </w:r>
      <w:r>
        <w:rPr>
          <w:rFonts w:hint="eastAsia"/>
          <w:b/>
          <w:bCs/>
          <w:color w:val="auto"/>
          <w:u w:val="single"/>
          <w:lang w:val="en-US" w:eastAsia="zh-CN"/>
        </w:rPr>
        <w:t>0.0042</w:t>
      </w:r>
      <w:r>
        <w:rPr>
          <w:rFonts w:hint="eastAsia"/>
          <w:b/>
          <w:bCs/>
          <w:color w:val="auto"/>
          <w:u w:val="single"/>
        </w:rPr>
        <w:t>kg/a，即硫酸工作排放废气产生量约为</w:t>
      </w:r>
      <w:r>
        <w:rPr>
          <w:rFonts w:hint="eastAsia"/>
          <w:b/>
          <w:bCs/>
          <w:color w:val="auto"/>
          <w:u w:val="single"/>
          <w:lang w:val="en-US" w:eastAsia="zh-CN"/>
        </w:rPr>
        <w:t>0.0042</w:t>
      </w:r>
      <w:r>
        <w:rPr>
          <w:rFonts w:hint="eastAsia"/>
          <w:b/>
          <w:bCs/>
          <w:color w:val="auto"/>
          <w:u w:val="single"/>
        </w:rPr>
        <w:t>kg/a。废气经集气罩收集</w:t>
      </w:r>
      <w:r>
        <w:rPr>
          <w:rFonts w:hint="eastAsia"/>
          <w:b/>
          <w:bCs/>
          <w:color w:val="auto"/>
          <w:u w:val="single"/>
          <w:lang w:eastAsia="zh-CN"/>
        </w:rPr>
        <w:t>，</w:t>
      </w:r>
      <w:r>
        <w:rPr>
          <w:rFonts w:hint="eastAsia"/>
          <w:b/>
          <w:bCs/>
          <w:color w:val="auto"/>
          <w:u w:val="single"/>
        </w:rPr>
        <w:t>管道集气罩收集效率90%，碱液喷淋系统治理效率95%</w:t>
      </w:r>
      <w:r>
        <w:rPr>
          <w:rFonts w:hint="eastAsia"/>
          <w:b/>
          <w:bCs/>
          <w:color w:val="auto"/>
          <w:u w:val="single"/>
          <w:lang w:eastAsia="zh-CN"/>
        </w:rPr>
        <w:t>，</w:t>
      </w:r>
      <w:r>
        <w:rPr>
          <w:rFonts w:hint="eastAsia"/>
          <w:b/>
          <w:bCs/>
          <w:color w:val="auto"/>
          <w:u w:val="single"/>
          <w:lang w:val="en-US" w:eastAsia="zh-CN"/>
        </w:rPr>
        <w:t>本项目新增有组织排放189mg/a，收集气量保守考虑按10000m</w:t>
      </w:r>
      <w:r>
        <w:rPr>
          <w:rFonts w:hint="eastAsia"/>
          <w:b/>
          <w:bCs/>
          <w:color w:val="auto"/>
          <w:u w:val="single"/>
          <w:vertAlign w:val="superscript"/>
          <w:lang w:val="en-US" w:eastAsia="zh-CN"/>
        </w:rPr>
        <w:t>3</w:t>
      </w:r>
      <w:r>
        <w:rPr>
          <w:rFonts w:hint="eastAsia"/>
          <w:b/>
          <w:bCs/>
          <w:color w:val="auto"/>
          <w:u w:val="single"/>
          <w:lang w:val="en-US" w:eastAsia="zh-CN"/>
        </w:rPr>
        <w:t>/h，新增有组织排放浓度较低</w:t>
      </w:r>
      <w:r>
        <w:rPr>
          <w:rFonts w:hint="eastAsia"/>
          <w:b/>
          <w:bCs/>
          <w:color w:val="auto"/>
          <w:u w:val="single"/>
        </w:rPr>
        <w:t>。</w:t>
      </w:r>
      <w:r>
        <w:rPr>
          <w:rFonts w:hint="eastAsia"/>
          <w:b/>
          <w:bCs/>
          <w:color w:val="auto"/>
          <w:u w:val="single"/>
          <w:lang w:val="en-US" w:eastAsia="zh-CN"/>
        </w:rPr>
        <w:t>因此，</w:t>
      </w:r>
      <w:r>
        <w:rPr>
          <w:rFonts w:hint="eastAsia"/>
          <w:b/>
          <w:bCs/>
          <w:color w:val="auto"/>
          <w:u w:val="single"/>
        </w:rPr>
        <w:t>治理后</w:t>
      </w:r>
      <w:r>
        <w:rPr>
          <w:rFonts w:hint="eastAsia"/>
          <w:b/>
          <w:bCs/>
          <w:color w:val="auto"/>
          <w:u w:val="single"/>
          <w:lang w:val="en-US" w:eastAsia="zh-CN"/>
        </w:rPr>
        <w:t>本项目硫酸雾</w:t>
      </w:r>
      <w:r>
        <w:rPr>
          <w:rFonts w:hint="eastAsia"/>
          <w:b/>
          <w:bCs/>
          <w:color w:val="auto"/>
          <w:u w:val="single"/>
        </w:rPr>
        <w:t>排放量为</w:t>
      </w:r>
      <w:r>
        <w:rPr>
          <w:rFonts w:hint="eastAsia"/>
          <w:b/>
          <w:bCs/>
          <w:color w:val="auto"/>
          <w:u w:val="single"/>
          <w:lang w:val="en-US" w:eastAsia="zh-CN"/>
        </w:rPr>
        <w:t>0.00061</w:t>
      </w:r>
      <w:r>
        <w:rPr>
          <w:rFonts w:hint="eastAsia"/>
          <w:b/>
          <w:bCs/>
          <w:color w:val="auto"/>
          <w:u w:val="single"/>
        </w:rPr>
        <w:t>kg/a</w:t>
      </w:r>
      <w:r>
        <w:rPr>
          <w:rFonts w:hint="eastAsia"/>
          <w:color w:val="auto"/>
        </w:rPr>
        <w:t>。</w:t>
      </w:r>
    </w:p>
    <w:p>
      <w:pPr>
        <w:bidi w:val="0"/>
        <w:rPr>
          <w:rFonts w:hint="eastAsia"/>
          <w:b/>
          <w:bCs/>
          <w:color w:val="auto"/>
          <w:u w:val="single"/>
          <w:lang w:val="en-US" w:eastAsia="zh-CN"/>
        </w:rPr>
      </w:pPr>
      <w:r>
        <w:rPr>
          <w:rFonts w:hint="eastAsia"/>
          <w:b/>
          <w:bCs/>
          <w:color w:val="auto"/>
          <w:u w:val="single"/>
          <w:lang w:val="en-US" w:eastAsia="zh-CN"/>
        </w:rPr>
        <w:t>4）木质素混合物提取粉尘</w:t>
      </w:r>
    </w:p>
    <w:p>
      <w:pPr>
        <w:bidi w:val="0"/>
        <w:rPr>
          <w:rFonts w:hint="default"/>
          <w:b/>
          <w:bCs/>
          <w:color w:val="auto"/>
          <w:u w:val="single"/>
          <w:lang w:val="en-US" w:eastAsia="zh-CN"/>
        </w:rPr>
      </w:pPr>
      <w:r>
        <w:rPr>
          <w:rFonts w:hint="eastAsia"/>
          <w:b/>
          <w:bCs/>
          <w:color w:val="auto"/>
          <w:u w:val="single"/>
          <w:lang w:val="en-US" w:eastAsia="zh-CN"/>
        </w:rPr>
        <w:t>①有组织废气</w:t>
      </w:r>
    </w:p>
    <w:p>
      <w:pPr>
        <w:bidi w:val="0"/>
        <w:rPr>
          <w:rFonts w:hint="eastAsia"/>
          <w:b/>
          <w:bCs/>
          <w:color w:val="auto"/>
          <w:u w:val="single"/>
          <w:lang w:val="en-US" w:eastAsia="zh-CN"/>
        </w:rPr>
      </w:pPr>
      <w:r>
        <w:rPr>
          <w:rFonts w:hint="eastAsia"/>
          <w:b/>
          <w:bCs/>
          <w:color w:val="auto"/>
          <w:u w:val="single"/>
          <w:lang w:val="en-US" w:eastAsia="zh-CN"/>
        </w:rPr>
        <w:t>中试期间设计最大产品方案为年生产纤维素5000t，菌草用量约为10000t，菌草中木质素含量为22.99%，黑液提取率为95%，本项目可提取木质素混合物</w:t>
      </w:r>
      <w:r>
        <w:rPr>
          <w:rFonts w:hint="eastAsia"/>
          <w:b/>
          <w:bCs/>
          <w:color w:val="auto"/>
          <w:u w:val="single"/>
        </w:rPr>
        <w:t xml:space="preserve">3530.05 </w:t>
      </w:r>
      <w:r>
        <w:rPr>
          <w:rFonts w:hint="eastAsia"/>
          <w:b/>
          <w:bCs/>
          <w:color w:val="auto"/>
          <w:u w:val="single"/>
          <w:lang w:val="en-US" w:eastAsia="zh-CN"/>
        </w:rPr>
        <w:t>t。木质素混合物主要为木质素、多糖、盐类等，含水率为5-8%，干燥工序对木质素混合物收集率为98%，产尘量为2%，则产品收集为</w:t>
      </w:r>
      <w:r>
        <w:rPr>
          <w:rFonts w:hint="eastAsia"/>
          <w:b/>
          <w:bCs/>
          <w:color w:val="auto"/>
          <w:u w:val="single"/>
        </w:rPr>
        <w:t>34</w:t>
      </w:r>
      <w:r>
        <w:rPr>
          <w:rFonts w:hint="eastAsia"/>
          <w:b/>
          <w:bCs/>
          <w:color w:val="auto"/>
          <w:u w:val="single"/>
          <w:lang w:val="en-US" w:eastAsia="zh-CN"/>
        </w:rPr>
        <w:t>59.45 t。干燥产生的含尘废气产生量为70.60</w:t>
      </w:r>
      <w:r>
        <w:rPr>
          <w:rFonts w:hint="default"/>
          <w:b/>
          <w:bCs/>
          <w:color w:val="auto"/>
          <w:u w:val="single"/>
        </w:rPr>
        <w:t xml:space="preserve"> </w:t>
      </w:r>
      <w:r>
        <w:rPr>
          <w:rFonts w:hint="eastAsia"/>
          <w:b/>
          <w:bCs/>
          <w:color w:val="auto"/>
          <w:u w:val="single"/>
          <w:lang w:val="en-US" w:eastAsia="zh-CN"/>
        </w:rPr>
        <w:t>t/a，废气量约10000m</w:t>
      </w:r>
      <w:r>
        <w:rPr>
          <w:rFonts w:hint="eastAsia"/>
          <w:b/>
          <w:bCs/>
          <w:color w:val="auto"/>
          <w:u w:val="single"/>
          <w:vertAlign w:val="superscript"/>
          <w:lang w:val="en-US" w:eastAsia="zh-CN"/>
        </w:rPr>
        <w:t>3</w:t>
      </w:r>
      <w:r>
        <w:rPr>
          <w:rFonts w:hint="eastAsia"/>
          <w:b/>
          <w:bCs/>
          <w:color w:val="auto"/>
          <w:u w:val="single"/>
          <w:lang w:val="en-US" w:eastAsia="zh-CN"/>
        </w:rPr>
        <w:t>/h，产生速率8.91 kg/h，产生浓度891.41 mg/m</w:t>
      </w:r>
      <w:r>
        <w:rPr>
          <w:rFonts w:hint="eastAsia"/>
          <w:b/>
          <w:bCs/>
          <w:color w:val="auto"/>
          <w:u w:val="single"/>
          <w:vertAlign w:val="superscript"/>
          <w:lang w:val="en-US" w:eastAsia="zh-CN"/>
        </w:rPr>
        <w:t>3</w:t>
      </w:r>
      <w:r>
        <w:rPr>
          <w:rFonts w:hint="eastAsia"/>
          <w:b/>
          <w:bCs/>
          <w:color w:val="auto"/>
          <w:u w:val="single"/>
          <w:lang w:val="en-US" w:eastAsia="zh-CN"/>
        </w:rPr>
        <w:t>；经袋式收尘设施处理后，处理效率约99%，其排放浓度为8.91 mg/m</w:t>
      </w:r>
      <w:r>
        <w:rPr>
          <w:rFonts w:hint="eastAsia"/>
          <w:b/>
          <w:bCs/>
          <w:color w:val="auto"/>
          <w:u w:val="single"/>
          <w:vertAlign w:val="superscript"/>
          <w:lang w:val="en-US" w:eastAsia="zh-CN"/>
        </w:rPr>
        <w:t>3</w:t>
      </w:r>
      <w:r>
        <w:rPr>
          <w:rFonts w:hint="eastAsia"/>
          <w:b/>
          <w:bCs/>
          <w:color w:val="auto"/>
          <w:u w:val="single"/>
          <w:lang w:val="en-US" w:eastAsia="zh-CN"/>
        </w:rPr>
        <w:t>，排放速率为0.0891 kg/h，排放量为0.706 t/a，其</w:t>
      </w:r>
      <w:r>
        <w:rPr>
          <w:b/>
          <w:bCs/>
          <w:color w:val="auto"/>
          <w:u w:val="single"/>
        </w:rPr>
        <w:t>颗粒物</w:t>
      </w:r>
      <w:r>
        <w:rPr>
          <w:rFonts w:hint="eastAsia"/>
          <w:b/>
          <w:bCs/>
          <w:color w:val="auto"/>
          <w:u w:val="single"/>
          <w:lang w:val="en-US" w:eastAsia="zh-CN"/>
        </w:rPr>
        <w:t>排放浓度和排放速率均能够满足</w:t>
      </w:r>
      <w:r>
        <w:rPr>
          <w:b/>
          <w:bCs/>
          <w:color w:val="auto"/>
          <w:u w:val="single"/>
        </w:rPr>
        <w:t>《新乡市生态环境局关于进一步规范工业企业颗粒物排放限值的通知》</w:t>
      </w:r>
      <w:r>
        <w:rPr>
          <w:rFonts w:hint="eastAsia"/>
          <w:b/>
          <w:bCs/>
          <w:color w:val="auto"/>
          <w:u w:val="single"/>
        </w:rPr>
        <w:t>其他涉气工业企业10 mg/m</w:t>
      </w:r>
      <w:r>
        <w:rPr>
          <w:rFonts w:hint="eastAsia"/>
          <w:b/>
          <w:bCs/>
          <w:color w:val="auto"/>
          <w:u w:val="single"/>
          <w:vertAlign w:val="superscript"/>
        </w:rPr>
        <w:t>3</w:t>
      </w:r>
      <w:r>
        <w:rPr>
          <w:rFonts w:hint="eastAsia"/>
          <w:b/>
          <w:bCs/>
          <w:color w:val="auto"/>
          <w:u w:val="single"/>
        </w:rPr>
        <w:t>（有组织）</w:t>
      </w:r>
      <w:r>
        <w:rPr>
          <w:rFonts w:hint="eastAsia"/>
          <w:b/>
          <w:bCs/>
          <w:color w:val="auto"/>
          <w:u w:val="single"/>
          <w:lang w:val="en-US" w:eastAsia="zh-CN"/>
        </w:rPr>
        <w:t>和《大气污染物综合排放标准》（GB16297-1996）中要求二级级标准15m排气筒最高允许排放速率3.5 kg/h。）</w:t>
      </w:r>
    </w:p>
    <w:p>
      <w:pPr>
        <w:bidi w:val="0"/>
        <w:rPr>
          <w:rFonts w:hint="default"/>
          <w:b/>
          <w:bCs/>
          <w:color w:val="auto"/>
          <w:u w:val="single"/>
          <w:lang w:val="en-US" w:eastAsia="zh-CN"/>
        </w:rPr>
      </w:pPr>
      <w:r>
        <w:rPr>
          <w:rFonts w:hint="eastAsia"/>
          <w:b/>
          <w:bCs/>
          <w:color w:val="auto"/>
          <w:u w:val="single"/>
          <w:lang w:val="en-US" w:eastAsia="zh-CN"/>
        </w:rPr>
        <w:t>②无组织粉尘</w:t>
      </w:r>
    </w:p>
    <w:p>
      <w:pPr>
        <w:bidi w:val="0"/>
        <w:rPr>
          <w:rFonts w:hint="default"/>
          <w:b/>
          <w:bCs/>
          <w:color w:val="auto"/>
          <w:u w:val="single"/>
          <w:lang w:val="en-US" w:eastAsia="zh-CN"/>
        </w:rPr>
      </w:pPr>
      <w:r>
        <w:rPr>
          <w:rFonts w:hint="default"/>
          <w:b/>
          <w:bCs/>
          <w:color w:val="auto"/>
          <w:u w:val="single"/>
          <w:lang w:val="en-US" w:eastAsia="zh-CN"/>
        </w:rPr>
        <w:t>收集、分装</w:t>
      </w:r>
      <w:r>
        <w:rPr>
          <w:rFonts w:hint="eastAsia"/>
          <w:b/>
          <w:bCs/>
          <w:color w:val="auto"/>
          <w:u w:val="single"/>
          <w:lang w:val="en-US" w:eastAsia="zh-CN"/>
        </w:rPr>
        <w:t>：</w:t>
      </w:r>
      <w:r>
        <w:rPr>
          <w:rFonts w:hint="default"/>
          <w:b/>
          <w:bCs/>
          <w:color w:val="auto"/>
          <w:u w:val="single"/>
          <w:lang w:val="en-US" w:eastAsia="zh-CN"/>
        </w:rPr>
        <w:t>项目干燥过程在封闭环境中进行</w:t>
      </w:r>
      <w:r>
        <w:rPr>
          <w:rFonts w:hint="eastAsia"/>
          <w:b/>
          <w:bCs/>
          <w:color w:val="auto"/>
          <w:u w:val="single"/>
          <w:lang w:val="en-US" w:eastAsia="zh-CN"/>
        </w:rPr>
        <w:t>，</w:t>
      </w:r>
      <w:r>
        <w:rPr>
          <w:rFonts w:hint="default"/>
          <w:b/>
          <w:bCs/>
          <w:color w:val="auto"/>
          <w:u w:val="single"/>
          <w:lang w:val="en-US" w:eastAsia="zh-CN"/>
        </w:rPr>
        <w:t>通过产品收集管收集的产品进行分装</w:t>
      </w:r>
      <w:r>
        <w:rPr>
          <w:rFonts w:hint="eastAsia"/>
          <w:b/>
          <w:bCs/>
          <w:color w:val="auto"/>
          <w:u w:val="single"/>
          <w:lang w:val="en-US" w:eastAsia="zh-CN"/>
        </w:rPr>
        <w:t>，分装</w:t>
      </w:r>
      <w:r>
        <w:rPr>
          <w:rFonts w:hint="default"/>
          <w:b/>
          <w:bCs/>
          <w:color w:val="auto"/>
          <w:u w:val="single"/>
          <w:lang w:val="en-US" w:eastAsia="zh-CN"/>
        </w:rPr>
        <w:t>过程会产生少量的粉尘，因产品含有少量的水分达不到完全干燥所以分装粉尘产生量</w:t>
      </w:r>
      <w:r>
        <w:rPr>
          <w:rFonts w:hint="eastAsia"/>
          <w:b/>
          <w:bCs/>
          <w:color w:val="auto"/>
          <w:u w:val="single"/>
          <w:lang w:val="en-US" w:eastAsia="zh-CN"/>
        </w:rPr>
        <w:t>取</w:t>
      </w:r>
      <w:r>
        <w:rPr>
          <w:rFonts w:hint="default"/>
          <w:b/>
          <w:bCs/>
          <w:color w:val="auto"/>
          <w:u w:val="single"/>
          <w:lang w:val="en-US" w:eastAsia="zh-CN"/>
        </w:rPr>
        <w:t>0.</w:t>
      </w:r>
      <w:r>
        <w:rPr>
          <w:rFonts w:hint="eastAsia"/>
          <w:b/>
          <w:bCs/>
          <w:color w:val="auto"/>
          <w:u w:val="single"/>
          <w:lang w:val="en-US" w:eastAsia="zh-CN"/>
        </w:rPr>
        <w:t>01</w:t>
      </w:r>
      <w:r>
        <w:rPr>
          <w:rFonts w:hint="default"/>
          <w:b/>
          <w:bCs/>
          <w:color w:val="auto"/>
          <w:u w:val="single"/>
          <w:lang w:val="en-US" w:eastAsia="zh-CN"/>
        </w:rPr>
        <w:t>kg/t产品</w:t>
      </w:r>
      <w:r>
        <w:rPr>
          <w:rFonts w:hint="eastAsia"/>
          <w:b/>
          <w:bCs/>
          <w:color w:val="auto"/>
          <w:u w:val="single"/>
          <w:lang w:val="en-US" w:eastAsia="zh-CN"/>
        </w:rPr>
        <w:t>，</w:t>
      </w:r>
      <w:r>
        <w:rPr>
          <w:rFonts w:hint="default"/>
          <w:b/>
          <w:bCs/>
          <w:color w:val="auto"/>
          <w:u w:val="single"/>
          <w:lang w:val="en-US" w:eastAsia="zh-CN"/>
        </w:rPr>
        <w:t>粉尘产生量为</w:t>
      </w:r>
      <w:r>
        <w:rPr>
          <w:rFonts w:hint="eastAsia"/>
          <w:b/>
          <w:bCs/>
          <w:color w:val="auto"/>
          <w:u w:val="single"/>
          <w:lang w:val="en-US" w:eastAsia="zh-CN"/>
        </w:rPr>
        <w:t xml:space="preserve">0.034 </w:t>
      </w:r>
      <w:r>
        <w:rPr>
          <w:rFonts w:hint="default"/>
          <w:b/>
          <w:bCs/>
          <w:color w:val="auto"/>
          <w:u w:val="single"/>
          <w:lang w:val="en-US" w:eastAsia="zh-CN"/>
        </w:rPr>
        <w:t>t/a。</w:t>
      </w:r>
    </w:p>
    <w:p>
      <w:pPr>
        <w:numPr>
          <w:ilvl w:val="0"/>
          <w:numId w:val="11"/>
        </w:numPr>
        <w:bidi w:val="0"/>
        <w:rPr>
          <w:rFonts w:hint="eastAsia"/>
          <w:b/>
          <w:bCs/>
          <w:u w:val="single"/>
          <w:lang w:val="en-US" w:eastAsia="zh-CN"/>
        </w:rPr>
      </w:pPr>
      <w:r>
        <w:rPr>
          <w:rFonts w:hint="eastAsia"/>
          <w:b/>
          <w:bCs/>
          <w:u w:val="single"/>
          <w:lang w:val="en-US" w:eastAsia="zh-CN"/>
        </w:rPr>
        <w:t>依托360t/h锅炉项目污染物产排</w:t>
      </w:r>
    </w:p>
    <w:p>
      <w:pPr>
        <w:numPr>
          <w:ilvl w:val="0"/>
          <w:numId w:val="0"/>
        </w:numPr>
        <w:bidi w:val="0"/>
        <w:ind w:firstLine="482" w:firstLineChars="200"/>
        <w:rPr>
          <w:rFonts w:hint="default"/>
          <w:b/>
          <w:bCs/>
          <w:u w:val="single"/>
          <w:lang w:val="en-US" w:eastAsia="zh-CN"/>
        </w:rPr>
      </w:pPr>
      <w:r>
        <w:rPr>
          <w:rFonts w:hint="default"/>
          <w:b/>
          <w:bCs/>
          <w:u w:val="single"/>
          <w:lang w:val="en-US" w:eastAsia="zh-CN"/>
        </w:rPr>
        <w:t>360t/h锅炉规划用途分别为2×25MW发电机组用量54.25t/h，在建年产十万吨高品质超细旦氨纶纤维项目规划用量106.25t/h，规划老厂搬迁年产2万吨连续聚合差别化氨纶纤维项目规划用量21.25t/h，规划年产10万吨高品质超细旦氨纶纤维项目规划用量106.25t/h，共规划用量约288t/h，剩余蒸汽生产能力为72t/h，本项目用蒸汽68.18t/d，2.84t/h，占360t</w:t>
      </w:r>
      <w:r>
        <w:rPr>
          <w:rFonts w:hint="eastAsia"/>
          <w:b/>
          <w:bCs/>
          <w:u w:val="single"/>
          <w:lang w:val="en-US" w:eastAsia="zh-CN"/>
        </w:rPr>
        <w:t>/h</w:t>
      </w:r>
      <w:r>
        <w:rPr>
          <w:rFonts w:hint="default"/>
          <w:b/>
          <w:bCs/>
          <w:u w:val="single"/>
          <w:lang w:val="en-US" w:eastAsia="zh-CN"/>
        </w:rPr>
        <w:t>锅炉项目总生产能力的0.79%，占剩余蒸汽生产能力的3.94%，且供热锅炉距离本项目约400m，蒸汽供应可满足本项目用热需求。</w:t>
      </w:r>
    </w:p>
    <w:p>
      <w:pPr>
        <w:numPr>
          <w:ilvl w:val="0"/>
          <w:numId w:val="0"/>
        </w:numPr>
        <w:bidi w:val="0"/>
        <w:ind w:firstLine="482" w:firstLineChars="200"/>
        <w:rPr>
          <w:rFonts w:hint="default"/>
          <w:b/>
          <w:bCs/>
          <w:u w:val="single"/>
          <w:lang w:val="en-US" w:eastAsia="zh-CN"/>
        </w:rPr>
      </w:pPr>
      <w:r>
        <w:rPr>
          <w:rFonts w:hint="default"/>
          <w:b/>
          <w:bCs/>
          <w:u w:val="single"/>
          <w:lang w:val="en-US" w:eastAsia="zh-CN"/>
        </w:rPr>
        <w:t>360t/h锅炉</w:t>
      </w:r>
      <w:r>
        <w:rPr>
          <w:rFonts w:hint="eastAsia"/>
          <w:b/>
          <w:bCs/>
          <w:u w:val="single"/>
          <w:lang w:val="en-US" w:eastAsia="zh-CN"/>
        </w:rPr>
        <w:t>项目</w:t>
      </w:r>
      <w:r>
        <w:rPr>
          <w:rFonts w:hint="default"/>
          <w:b/>
          <w:bCs/>
          <w:u w:val="single"/>
          <w:lang w:val="en-US" w:eastAsia="zh-CN"/>
        </w:rPr>
        <w:t>预计耗煤量为：设计煤种55.2</w:t>
      </w:r>
      <w:r>
        <w:rPr>
          <w:rFonts w:hint="eastAsia"/>
          <w:b/>
          <w:bCs/>
          <w:u w:val="single"/>
          <w:lang w:val="en-US" w:eastAsia="zh-CN"/>
        </w:rPr>
        <w:t>t/h；校核煤种57.6</w:t>
      </w:r>
      <w:r>
        <w:rPr>
          <w:rFonts w:hint="default"/>
          <w:b/>
          <w:bCs/>
          <w:u w:val="single"/>
          <w:lang w:val="en-US" w:eastAsia="zh-CN"/>
        </w:rPr>
        <w:t>t/h。</w:t>
      </w:r>
      <w:r>
        <w:rPr>
          <w:rFonts w:hint="eastAsia"/>
          <w:b/>
          <w:bCs/>
          <w:u w:val="single"/>
          <w:lang w:val="en-US" w:eastAsia="zh-CN"/>
        </w:rPr>
        <w:t>本项目占用0.79%的生产负荷，占用燃煤量为：</w:t>
      </w:r>
      <w:r>
        <w:rPr>
          <w:rFonts w:hint="default"/>
          <w:b/>
          <w:bCs/>
          <w:u w:val="single"/>
          <w:lang w:val="en-US" w:eastAsia="zh-CN"/>
        </w:rPr>
        <w:t>设计煤种</w:t>
      </w:r>
      <w:r>
        <w:rPr>
          <w:rFonts w:hint="eastAsia"/>
          <w:b/>
          <w:bCs/>
          <w:u w:val="single"/>
          <w:lang w:val="en-US" w:eastAsia="zh-CN"/>
        </w:rPr>
        <w:t>0.436t/h，校核煤种0.455。本项目涉及360t/h锅炉设计煤种污染物排放：烟尘 0.171 t/a，SO</w:t>
      </w:r>
      <w:r>
        <w:rPr>
          <w:rFonts w:hint="eastAsia"/>
          <w:b/>
          <w:bCs/>
          <w:u w:val="single"/>
          <w:vertAlign w:val="subscript"/>
          <w:lang w:val="en-US" w:eastAsia="zh-CN"/>
        </w:rPr>
        <w:t>2</w:t>
      </w:r>
      <w:r>
        <w:rPr>
          <w:rFonts w:hint="eastAsia"/>
          <w:b/>
          <w:bCs/>
          <w:u w:val="single"/>
          <w:lang w:val="en-US" w:eastAsia="zh-CN"/>
        </w:rPr>
        <w:t xml:space="preserve"> 0.692t/a，NOx 1.126t/a，汞及其化合物 0.00008t/a，逃逸氨 0.100t/a。校核煤种污染物排放：烟尘 0.202t/a，SO</w:t>
      </w:r>
      <w:r>
        <w:rPr>
          <w:rFonts w:hint="eastAsia"/>
          <w:b/>
          <w:bCs/>
          <w:u w:val="single"/>
          <w:vertAlign w:val="subscript"/>
          <w:lang w:val="en-US" w:eastAsia="zh-CN"/>
        </w:rPr>
        <w:t>2</w:t>
      </w:r>
      <w:r>
        <w:rPr>
          <w:rFonts w:hint="eastAsia"/>
          <w:b/>
          <w:bCs/>
          <w:u w:val="single"/>
          <w:lang w:val="en-US" w:eastAsia="zh-CN"/>
        </w:rPr>
        <w:t xml:space="preserve"> 0.867t/a，NOx 1.126t/a，汞及其化合物 0.00008t/a，逃逸氨 0.100t/a。360t/h锅炉项目污染物排放总量已另行审批，本项目不重复计算。</w:t>
      </w:r>
    </w:p>
    <w:p>
      <w:pPr>
        <w:pStyle w:val="181"/>
        <w:bidi w:val="0"/>
        <w:rPr>
          <w:b/>
          <w:bCs/>
          <w:color w:val="auto"/>
          <w:u w:val="single"/>
        </w:rPr>
      </w:pPr>
      <w:r>
        <w:rPr>
          <w:b/>
          <w:bCs/>
          <w:color w:val="auto"/>
          <w:u w:val="single"/>
        </w:rPr>
        <w:t>表3.</w:t>
      </w:r>
      <w:r>
        <w:rPr>
          <w:rFonts w:hint="eastAsia"/>
          <w:b/>
          <w:bCs/>
          <w:color w:val="auto"/>
          <w:u w:val="single"/>
          <w:lang w:val="en-US" w:eastAsia="zh-CN"/>
        </w:rPr>
        <w:t>8</w:t>
      </w:r>
      <w:r>
        <w:rPr>
          <w:b/>
          <w:bCs/>
          <w:color w:val="auto"/>
          <w:u w:val="single"/>
        </w:rPr>
        <w:t>-1</w:t>
      </w:r>
      <w:r>
        <w:rPr>
          <w:rFonts w:hint="eastAsia"/>
          <w:b/>
          <w:bCs/>
          <w:color w:val="auto"/>
          <w:u w:val="single"/>
          <w:lang w:val="en-US" w:eastAsia="zh-CN"/>
        </w:rPr>
        <w:t>5</w:t>
      </w:r>
      <w:r>
        <w:rPr>
          <w:b/>
          <w:bCs/>
          <w:color w:val="auto"/>
          <w:u w:val="single"/>
        </w:rPr>
        <w:t xml:space="preserve"> </w:t>
      </w:r>
      <w:r>
        <w:rPr>
          <w:rFonts w:hint="eastAsia"/>
          <w:b/>
          <w:bCs/>
          <w:color w:val="auto"/>
          <w:u w:val="single"/>
          <w:lang w:val="en-US" w:eastAsia="zh-CN"/>
        </w:rPr>
        <w:t xml:space="preserve">        </w:t>
      </w:r>
      <w:r>
        <w:rPr>
          <w:b/>
          <w:bCs/>
          <w:color w:val="auto"/>
          <w:u w:val="single"/>
        </w:rPr>
        <w:t>大气污染物排放量核算表</w:t>
      </w:r>
    </w:p>
    <w:tbl>
      <w:tblPr>
        <w:tblStyle w:val="33"/>
        <w:tblW w:w="50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4"/>
        <w:gridCol w:w="675"/>
        <w:gridCol w:w="788"/>
        <w:gridCol w:w="655"/>
        <w:gridCol w:w="1355"/>
        <w:gridCol w:w="1834"/>
        <w:gridCol w:w="1021"/>
        <w:gridCol w:w="1066"/>
        <w:gridCol w:w="8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Merge w:val="restart"/>
            <w:vAlign w:val="center"/>
          </w:tcPr>
          <w:p>
            <w:pPr>
              <w:pStyle w:val="182"/>
              <w:bidi w:val="0"/>
              <w:rPr>
                <w:b/>
                <w:bCs/>
                <w:color w:val="auto"/>
                <w:u w:val="single"/>
              </w:rPr>
            </w:pPr>
            <w:r>
              <w:rPr>
                <w:b/>
                <w:bCs/>
                <w:color w:val="auto"/>
                <w:u w:val="single"/>
              </w:rPr>
              <w:t>序号</w:t>
            </w:r>
          </w:p>
        </w:tc>
        <w:tc>
          <w:tcPr>
            <w:tcW w:w="389" w:type="pct"/>
            <w:vMerge w:val="restart"/>
            <w:vAlign w:val="center"/>
          </w:tcPr>
          <w:p>
            <w:pPr>
              <w:pStyle w:val="182"/>
              <w:bidi w:val="0"/>
              <w:rPr>
                <w:b/>
                <w:bCs/>
                <w:color w:val="auto"/>
                <w:u w:val="single"/>
              </w:rPr>
            </w:pPr>
            <w:r>
              <w:rPr>
                <w:b/>
                <w:bCs/>
                <w:color w:val="auto"/>
                <w:u w:val="single"/>
              </w:rPr>
              <w:t>位置</w:t>
            </w:r>
          </w:p>
        </w:tc>
        <w:tc>
          <w:tcPr>
            <w:tcW w:w="454" w:type="pct"/>
            <w:vMerge w:val="restart"/>
            <w:vAlign w:val="center"/>
          </w:tcPr>
          <w:p>
            <w:pPr>
              <w:pStyle w:val="182"/>
              <w:bidi w:val="0"/>
              <w:rPr>
                <w:b/>
                <w:bCs/>
                <w:color w:val="auto"/>
                <w:u w:val="single"/>
              </w:rPr>
            </w:pPr>
            <w:r>
              <w:rPr>
                <w:b/>
                <w:bCs/>
                <w:color w:val="auto"/>
                <w:u w:val="single"/>
              </w:rPr>
              <w:t>产污环节</w:t>
            </w:r>
          </w:p>
        </w:tc>
        <w:tc>
          <w:tcPr>
            <w:tcW w:w="378" w:type="pct"/>
            <w:vMerge w:val="restart"/>
            <w:vAlign w:val="center"/>
          </w:tcPr>
          <w:p>
            <w:pPr>
              <w:pStyle w:val="182"/>
              <w:bidi w:val="0"/>
              <w:rPr>
                <w:b/>
                <w:bCs/>
                <w:color w:val="auto"/>
                <w:u w:val="single"/>
              </w:rPr>
            </w:pPr>
            <w:r>
              <w:rPr>
                <w:b/>
                <w:bCs/>
                <w:color w:val="auto"/>
                <w:u w:val="single"/>
              </w:rPr>
              <w:t>污染物</w:t>
            </w:r>
          </w:p>
        </w:tc>
        <w:tc>
          <w:tcPr>
            <w:tcW w:w="782" w:type="pct"/>
            <w:vMerge w:val="restart"/>
            <w:vAlign w:val="center"/>
          </w:tcPr>
          <w:p>
            <w:pPr>
              <w:pStyle w:val="182"/>
              <w:bidi w:val="0"/>
              <w:rPr>
                <w:b/>
                <w:bCs/>
                <w:color w:val="auto"/>
                <w:u w:val="single"/>
              </w:rPr>
            </w:pPr>
            <w:r>
              <w:rPr>
                <w:b/>
                <w:bCs/>
                <w:color w:val="auto"/>
                <w:u w:val="single"/>
              </w:rPr>
              <w:t>主要污染防治措施</w:t>
            </w:r>
          </w:p>
        </w:tc>
        <w:tc>
          <w:tcPr>
            <w:tcW w:w="2263" w:type="pct"/>
            <w:gridSpan w:val="3"/>
            <w:vAlign w:val="center"/>
          </w:tcPr>
          <w:p>
            <w:pPr>
              <w:pStyle w:val="182"/>
              <w:bidi w:val="0"/>
              <w:rPr>
                <w:b/>
                <w:bCs/>
                <w:color w:val="auto"/>
                <w:u w:val="single"/>
              </w:rPr>
            </w:pPr>
            <w:r>
              <w:rPr>
                <w:b/>
                <w:bCs/>
                <w:color w:val="auto"/>
                <w:u w:val="single"/>
              </w:rPr>
              <w:t>国家或地方污染物排放标准</w:t>
            </w:r>
          </w:p>
        </w:tc>
        <w:tc>
          <w:tcPr>
            <w:tcW w:w="498" w:type="pct"/>
            <w:vMerge w:val="restart"/>
            <w:vAlign w:val="center"/>
          </w:tcPr>
          <w:p>
            <w:pPr>
              <w:pStyle w:val="182"/>
              <w:bidi w:val="0"/>
              <w:rPr>
                <w:b/>
                <w:bCs/>
                <w:color w:val="auto"/>
                <w:u w:val="single"/>
              </w:rPr>
            </w:pPr>
            <w:r>
              <w:rPr>
                <w:b/>
                <w:bCs/>
                <w:color w:val="auto"/>
                <w:u w:val="single"/>
              </w:rPr>
              <w:t>年排放量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Merge w:val="continue"/>
            <w:vAlign w:val="center"/>
          </w:tcPr>
          <w:p>
            <w:pPr>
              <w:pStyle w:val="182"/>
              <w:bidi w:val="0"/>
              <w:rPr>
                <w:b/>
                <w:bCs/>
                <w:color w:val="auto"/>
                <w:u w:val="single"/>
              </w:rPr>
            </w:pPr>
          </w:p>
        </w:tc>
        <w:tc>
          <w:tcPr>
            <w:tcW w:w="389" w:type="pct"/>
            <w:vMerge w:val="continue"/>
            <w:vAlign w:val="center"/>
          </w:tcPr>
          <w:p>
            <w:pPr>
              <w:pStyle w:val="182"/>
              <w:bidi w:val="0"/>
              <w:rPr>
                <w:b/>
                <w:bCs/>
                <w:color w:val="auto"/>
                <w:u w:val="single"/>
              </w:rPr>
            </w:pPr>
          </w:p>
        </w:tc>
        <w:tc>
          <w:tcPr>
            <w:tcW w:w="454" w:type="pct"/>
            <w:vMerge w:val="continue"/>
            <w:vAlign w:val="center"/>
          </w:tcPr>
          <w:p>
            <w:pPr>
              <w:pStyle w:val="182"/>
              <w:bidi w:val="0"/>
              <w:rPr>
                <w:b/>
                <w:bCs/>
                <w:color w:val="auto"/>
                <w:u w:val="single"/>
              </w:rPr>
            </w:pPr>
          </w:p>
        </w:tc>
        <w:tc>
          <w:tcPr>
            <w:tcW w:w="378" w:type="pct"/>
            <w:vMerge w:val="continue"/>
            <w:vAlign w:val="center"/>
          </w:tcPr>
          <w:p>
            <w:pPr>
              <w:pStyle w:val="182"/>
              <w:bidi w:val="0"/>
              <w:rPr>
                <w:b/>
                <w:bCs/>
                <w:color w:val="auto"/>
                <w:u w:val="single"/>
              </w:rPr>
            </w:pPr>
          </w:p>
        </w:tc>
        <w:tc>
          <w:tcPr>
            <w:tcW w:w="782" w:type="pct"/>
            <w:vMerge w:val="continue"/>
            <w:vAlign w:val="center"/>
          </w:tcPr>
          <w:p>
            <w:pPr>
              <w:pStyle w:val="182"/>
              <w:bidi w:val="0"/>
              <w:rPr>
                <w:b/>
                <w:bCs/>
                <w:color w:val="auto"/>
                <w:u w:val="single"/>
              </w:rPr>
            </w:pPr>
          </w:p>
        </w:tc>
        <w:tc>
          <w:tcPr>
            <w:tcW w:w="1058" w:type="pct"/>
            <w:vAlign w:val="center"/>
          </w:tcPr>
          <w:p>
            <w:pPr>
              <w:pStyle w:val="182"/>
              <w:bidi w:val="0"/>
              <w:rPr>
                <w:b/>
                <w:bCs/>
                <w:color w:val="auto"/>
                <w:u w:val="single"/>
              </w:rPr>
            </w:pPr>
            <w:r>
              <w:rPr>
                <w:b/>
                <w:bCs/>
                <w:color w:val="auto"/>
                <w:u w:val="single"/>
              </w:rPr>
              <w:t>标准名称</w:t>
            </w:r>
          </w:p>
        </w:tc>
        <w:tc>
          <w:tcPr>
            <w:tcW w:w="58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排放速率（kg/h）</w:t>
            </w:r>
          </w:p>
        </w:tc>
        <w:tc>
          <w:tcPr>
            <w:tcW w:w="615" w:type="pct"/>
            <w:vAlign w:val="center"/>
          </w:tcPr>
          <w:p>
            <w:pPr>
              <w:pStyle w:val="182"/>
              <w:bidi w:val="0"/>
              <w:rPr>
                <w:b/>
                <w:bCs/>
                <w:color w:val="auto"/>
                <w:u w:val="single"/>
              </w:rPr>
            </w:pPr>
            <w:r>
              <w:rPr>
                <w:b/>
                <w:bCs/>
                <w:color w:val="auto"/>
                <w:u w:val="single"/>
              </w:rPr>
              <w:t>浓度</w:t>
            </w:r>
            <w:r>
              <w:rPr>
                <w:rFonts w:hint="eastAsia"/>
                <w:b/>
                <w:bCs/>
                <w:color w:val="auto"/>
                <w:u w:val="single"/>
              </w:rPr>
              <w:t>限值</w:t>
            </w:r>
            <w:r>
              <w:rPr>
                <w:b/>
                <w:bCs/>
                <w:color w:val="auto"/>
                <w:u w:val="single"/>
              </w:rPr>
              <w:t>（mg/m</w:t>
            </w:r>
            <w:r>
              <w:rPr>
                <w:b/>
                <w:bCs/>
                <w:color w:val="auto"/>
                <w:u w:val="single"/>
                <w:vertAlign w:val="superscript"/>
              </w:rPr>
              <w:t>3</w:t>
            </w:r>
            <w:r>
              <w:rPr>
                <w:b/>
                <w:bCs/>
                <w:color w:val="auto"/>
                <w:u w:val="single"/>
              </w:rPr>
              <w:t>）</w:t>
            </w:r>
          </w:p>
        </w:tc>
        <w:tc>
          <w:tcPr>
            <w:tcW w:w="498" w:type="pct"/>
            <w:vMerge w:val="continue"/>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pPr>
              <w:pStyle w:val="182"/>
              <w:bidi w:val="0"/>
              <w:rPr>
                <w:b/>
                <w:bCs/>
                <w:color w:val="auto"/>
                <w:u w:val="single"/>
              </w:rPr>
            </w:pPr>
            <w:r>
              <w:rPr>
                <w:b/>
                <w:bCs/>
                <w:color w:val="auto"/>
                <w:u w:val="single"/>
              </w:rPr>
              <w:t>1</w:t>
            </w:r>
          </w:p>
        </w:tc>
        <w:tc>
          <w:tcPr>
            <w:tcW w:w="389" w:type="pct"/>
            <w:vAlign w:val="center"/>
          </w:tcPr>
          <w:p>
            <w:pPr>
              <w:pStyle w:val="182"/>
              <w:bidi w:val="0"/>
              <w:rPr>
                <w:b/>
                <w:bCs/>
                <w:color w:val="auto"/>
                <w:u w:val="single"/>
              </w:rPr>
            </w:pPr>
            <w:r>
              <w:rPr>
                <w:rFonts w:hint="eastAsia"/>
                <w:b/>
                <w:bCs/>
                <w:color w:val="auto"/>
                <w:u w:val="single"/>
              </w:rPr>
              <w:t>菌草堆料库</w:t>
            </w:r>
          </w:p>
        </w:tc>
        <w:tc>
          <w:tcPr>
            <w:tcW w:w="454" w:type="pct"/>
            <w:vAlign w:val="center"/>
          </w:tcPr>
          <w:p>
            <w:pPr>
              <w:pStyle w:val="182"/>
              <w:bidi w:val="0"/>
              <w:rPr>
                <w:b/>
                <w:bCs/>
                <w:color w:val="auto"/>
                <w:u w:val="single"/>
              </w:rPr>
            </w:pPr>
            <w:r>
              <w:rPr>
                <w:b/>
                <w:bCs/>
                <w:color w:val="auto"/>
                <w:u w:val="single"/>
              </w:rPr>
              <w:t>装卸、存储</w:t>
            </w:r>
          </w:p>
        </w:tc>
        <w:tc>
          <w:tcPr>
            <w:tcW w:w="378"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无组织颗粒物</w:t>
            </w:r>
          </w:p>
        </w:tc>
        <w:tc>
          <w:tcPr>
            <w:tcW w:w="782" w:type="pct"/>
            <w:vAlign w:val="center"/>
          </w:tcPr>
          <w:p>
            <w:pPr>
              <w:pStyle w:val="182"/>
              <w:bidi w:val="0"/>
              <w:rPr>
                <w:b/>
                <w:bCs/>
                <w:color w:val="auto"/>
                <w:u w:val="single"/>
              </w:rPr>
            </w:pPr>
            <w:r>
              <w:rPr>
                <w:b/>
                <w:bCs/>
                <w:color w:val="auto"/>
                <w:u w:val="single"/>
              </w:rPr>
              <w:t>全封闭式原料库，</w:t>
            </w:r>
            <w:r>
              <w:rPr>
                <w:rFonts w:hint="eastAsia"/>
                <w:b/>
                <w:bCs/>
                <w:color w:val="auto"/>
                <w:u w:val="single"/>
              </w:rPr>
              <w:t>设置</w:t>
            </w:r>
            <w:r>
              <w:rPr>
                <w:b/>
                <w:bCs/>
                <w:color w:val="auto"/>
                <w:u w:val="single"/>
              </w:rPr>
              <w:t>雾化喷淋装置，地面硬化</w:t>
            </w:r>
          </w:p>
        </w:tc>
        <w:tc>
          <w:tcPr>
            <w:tcW w:w="1058" w:type="pct"/>
            <w:vMerge w:val="restart"/>
            <w:vAlign w:val="center"/>
          </w:tcPr>
          <w:p>
            <w:pPr>
              <w:pStyle w:val="182"/>
              <w:bidi w:val="0"/>
              <w:rPr>
                <w:rFonts w:hint="default" w:eastAsia="宋体"/>
                <w:b/>
                <w:bCs/>
                <w:color w:val="auto"/>
                <w:u w:val="single"/>
                <w:lang w:val="en-US" w:eastAsia="zh-CN"/>
              </w:rPr>
            </w:pPr>
            <w:r>
              <w:rPr>
                <w:b/>
                <w:bCs/>
                <w:color w:val="auto"/>
                <w:u w:val="single"/>
              </w:rPr>
              <w:t>《大气污染物综合排放标准》（GB16297-1996）</w:t>
            </w:r>
            <w:r>
              <w:rPr>
                <w:rFonts w:hint="eastAsia"/>
                <w:b/>
                <w:bCs/>
                <w:color w:val="auto"/>
                <w:u w:val="single"/>
                <w:lang w:eastAsia="zh-CN"/>
              </w:rPr>
              <w:t>；</w:t>
            </w:r>
            <w:r>
              <w:rPr>
                <w:b/>
                <w:bCs/>
                <w:color w:val="auto"/>
                <w:u w:val="single"/>
              </w:rPr>
              <w:t>《新乡市生态环境局关于进一步规范工业企业颗粒物排放限值的通知》</w:t>
            </w:r>
          </w:p>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p>
        </w:tc>
        <w:tc>
          <w:tcPr>
            <w:tcW w:w="589"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w:t>
            </w:r>
          </w:p>
        </w:tc>
        <w:tc>
          <w:tcPr>
            <w:tcW w:w="615" w:type="pct"/>
            <w:vAlign w:val="center"/>
          </w:tcPr>
          <w:p>
            <w:pPr>
              <w:pStyle w:val="182"/>
              <w:bidi w:val="0"/>
              <w:rPr>
                <w:b/>
                <w:bCs/>
                <w:color w:val="auto"/>
                <w:u w:val="single"/>
              </w:rPr>
            </w:pPr>
            <w:r>
              <w:rPr>
                <w:b/>
                <w:bCs/>
                <w:color w:val="auto"/>
                <w:u w:val="single"/>
              </w:rPr>
              <w:t>1.0</w:t>
            </w:r>
          </w:p>
        </w:tc>
        <w:tc>
          <w:tcPr>
            <w:tcW w:w="498" w:type="pct"/>
            <w:vAlign w:val="center"/>
          </w:tcPr>
          <w:p>
            <w:pPr>
              <w:pStyle w:val="182"/>
              <w:bidi w:val="0"/>
              <w:rPr>
                <w:rFonts w:hint="default" w:eastAsia="宋体"/>
                <w:b/>
                <w:bCs/>
                <w:color w:val="auto"/>
                <w:u w:val="single"/>
                <w:lang w:val="en-US" w:eastAsia="zh-CN"/>
              </w:rPr>
            </w:pPr>
            <w:r>
              <w:rPr>
                <w:rFonts w:hint="eastAsia"/>
                <w:b/>
                <w:bCs/>
                <w:color w:val="auto"/>
                <w:u w:val="single"/>
              </w:rPr>
              <w:t>0.</w:t>
            </w:r>
            <w:r>
              <w:rPr>
                <w:rFonts w:hint="eastAsia"/>
                <w:b/>
                <w:bCs/>
                <w:color w:val="auto"/>
                <w:u w:val="single"/>
                <w:lang w:val="en-US" w:eastAsia="zh-CN"/>
              </w:rPr>
              <w:t>1</w:t>
            </w:r>
            <w:r>
              <w:rPr>
                <w:rFonts w:hint="eastAsia"/>
                <w:b/>
                <w:bCs/>
                <w:color w:val="auto"/>
                <w:u w:val="singl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233"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2</w:t>
            </w:r>
          </w:p>
        </w:tc>
        <w:tc>
          <w:tcPr>
            <w:tcW w:w="389"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酸站</w:t>
            </w:r>
          </w:p>
        </w:tc>
        <w:tc>
          <w:tcPr>
            <w:tcW w:w="45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大呼吸</w:t>
            </w:r>
          </w:p>
        </w:tc>
        <w:tc>
          <w:tcPr>
            <w:tcW w:w="378"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硫酸雾</w:t>
            </w:r>
          </w:p>
        </w:tc>
        <w:tc>
          <w:tcPr>
            <w:tcW w:w="78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依托酸站处理设施（NaCO</w:t>
            </w:r>
            <w:r>
              <w:rPr>
                <w:rFonts w:hint="eastAsia"/>
                <w:b/>
                <w:bCs/>
                <w:color w:val="auto"/>
                <w:u w:val="single"/>
                <w:vertAlign w:val="subscript"/>
                <w:lang w:val="en-US" w:eastAsia="zh-CN"/>
              </w:rPr>
              <w:t>3</w:t>
            </w:r>
            <w:r>
              <w:rPr>
                <w:rFonts w:hint="eastAsia"/>
                <w:b/>
                <w:bCs/>
                <w:color w:val="auto"/>
                <w:u w:val="single"/>
                <w:lang w:val="en-US" w:eastAsia="zh-CN"/>
              </w:rPr>
              <w:t>喷淋装置+</w:t>
            </w:r>
            <w:r>
              <w:rPr>
                <w:rFonts w:hint="eastAsia"/>
                <w:b/>
                <w:bCs/>
                <w:color w:val="auto"/>
                <w:u w:val="single"/>
              </w:rPr>
              <w:t>活性炭吸附处理</w:t>
            </w:r>
            <w:r>
              <w:rPr>
                <w:rFonts w:hint="eastAsia"/>
                <w:b/>
                <w:bCs/>
                <w:color w:val="auto"/>
                <w:u w:val="single"/>
                <w:lang w:val="en-US" w:eastAsia="zh-CN"/>
              </w:rPr>
              <w:t>）</w:t>
            </w:r>
          </w:p>
        </w:tc>
        <w:tc>
          <w:tcPr>
            <w:tcW w:w="1058" w:type="pct"/>
            <w:vMerge w:val="continue"/>
            <w:vAlign w:val="center"/>
          </w:tcPr>
          <w:p>
            <w:pPr>
              <w:pStyle w:val="182"/>
              <w:bidi w:val="0"/>
              <w:rPr>
                <w:b/>
                <w:bCs/>
                <w:color w:val="auto"/>
                <w:u w:val="single"/>
              </w:rPr>
            </w:pPr>
          </w:p>
        </w:tc>
        <w:tc>
          <w:tcPr>
            <w:tcW w:w="589"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c>
          <w:tcPr>
            <w:tcW w:w="615"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1.2</w:t>
            </w:r>
          </w:p>
        </w:tc>
        <w:tc>
          <w:tcPr>
            <w:tcW w:w="498" w:type="pct"/>
            <w:vAlign w:val="center"/>
          </w:tcPr>
          <w:p>
            <w:pPr>
              <w:pStyle w:val="182"/>
              <w:bidi w:val="0"/>
              <w:rPr>
                <w:rFonts w:hint="default"/>
                <w:b/>
                <w:bCs/>
                <w:color w:val="auto"/>
                <w:u w:val="single"/>
                <w:lang w:val="en-US" w:eastAsia="zh-CN"/>
              </w:rPr>
            </w:pPr>
            <w:r>
              <w:rPr>
                <w:rFonts w:hint="eastAsia"/>
                <w:b/>
                <w:bCs/>
                <w:color w:val="auto"/>
                <w:u w:val="single"/>
                <w:lang w:val="en-US" w:eastAsia="zh-CN"/>
              </w:rPr>
              <w:t>0.00061kg/a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pPr>
              <w:pStyle w:val="182"/>
              <w:bidi w:val="0"/>
              <w:rPr>
                <w:rFonts w:hint="default"/>
                <w:b/>
                <w:bCs/>
                <w:color w:val="auto"/>
                <w:u w:val="single"/>
                <w:lang w:val="en-US" w:eastAsia="zh-CN"/>
              </w:rPr>
            </w:pPr>
            <w:r>
              <w:rPr>
                <w:rFonts w:hint="eastAsia"/>
                <w:b/>
                <w:bCs/>
                <w:color w:val="auto"/>
                <w:u w:val="single"/>
                <w:lang w:val="en-US" w:eastAsia="zh-CN"/>
              </w:rPr>
              <w:t>3</w:t>
            </w:r>
          </w:p>
        </w:tc>
        <w:tc>
          <w:tcPr>
            <w:tcW w:w="389" w:type="pct"/>
            <w:vAlign w:val="center"/>
          </w:tcPr>
          <w:p>
            <w:pPr>
              <w:pStyle w:val="182"/>
              <w:bidi w:val="0"/>
              <w:rPr>
                <w:rFonts w:hint="default"/>
                <w:b/>
                <w:bCs/>
                <w:color w:val="auto"/>
                <w:u w:val="single"/>
                <w:lang w:val="en-US" w:eastAsia="zh-CN"/>
              </w:rPr>
            </w:pPr>
            <w:r>
              <w:rPr>
                <w:rFonts w:hint="eastAsia"/>
                <w:b/>
                <w:bCs/>
                <w:color w:val="auto"/>
                <w:u w:val="single"/>
                <w:lang w:val="en-US" w:eastAsia="zh-CN"/>
              </w:rPr>
              <w:t>木质素混合物烘干</w:t>
            </w:r>
          </w:p>
        </w:tc>
        <w:tc>
          <w:tcPr>
            <w:tcW w:w="454" w:type="pct"/>
            <w:vAlign w:val="center"/>
          </w:tcPr>
          <w:p>
            <w:pPr>
              <w:pStyle w:val="182"/>
              <w:bidi w:val="0"/>
              <w:rPr>
                <w:rFonts w:hint="default"/>
                <w:b/>
                <w:bCs/>
                <w:color w:val="auto"/>
                <w:u w:val="single"/>
                <w:lang w:val="en-US" w:eastAsia="zh-CN"/>
              </w:rPr>
            </w:pPr>
            <w:r>
              <w:rPr>
                <w:rFonts w:hint="eastAsia"/>
                <w:b/>
                <w:bCs/>
                <w:color w:val="auto"/>
                <w:u w:val="single"/>
                <w:lang w:val="en-US" w:eastAsia="zh-CN"/>
              </w:rPr>
              <w:t>干燥废气</w:t>
            </w:r>
          </w:p>
        </w:tc>
        <w:tc>
          <w:tcPr>
            <w:tcW w:w="378" w:type="pct"/>
            <w:vAlign w:val="center"/>
          </w:tcPr>
          <w:p>
            <w:pPr>
              <w:pStyle w:val="182"/>
              <w:bidi w:val="0"/>
              <w:rPr>
                <w:rFonts w:hint="default"/>
                <w:b/>
                <w:bCs/>
                <w:color w:val="auto"/>
                <w:u w:val="single"/>
                <w:lang w:val="en-US" w:eastAsia="zh-CN"/>
              </w:rPr>
            </w:pPr>
            <w:r>
              <w:rPr>
                <w:rFonts w:hint="eastAsia"/>
                <w:b/>
                <w:bCs/>
                <w:color w:val="auto"/>
                <w:u w:val="single"/>
                <w:lang w:val="en-US" w:eastAsia="zh-CN"/>
              </w:rPr>
              <w:t>有组织颗粒物</w:t>
            </w:r>
          </w:p>
        </w:tc>
        <w:tc>
          <w:tcPr>
            <w:tcW w:w="78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袋式除尘、洒水降尘</w:t>
            </w:r>
          </w:p>
        </w:tc>
        <w:tc>
          <w:tcPr>
            <w:tcW w:w="1058" w:type="pct"/>
            <w:vMerge w:val="continue"/>
            <w:vAlign w:val="center"/>
          </w:tcPr>
          <w:p>
            <w:pPr>
              <w:pStyle w:val="182"/>
              <w:bidi w:val="0"/>
              <w:rPr>
                <w:rFonts w:hint="default" w:eastAsia="宋体"/>
                <w:b/>
                <w:bCs/>
                <w:color w:val="auto"/>
                <w:u w:val="single"/>
                <w:lang w:val="en-US" w:eastAsia="zh-CN"/>
              </w:rPr>
            </w:pPr>
          </w:p>
        </w:tc>
        <w:tc>
          <w:tcPr>
            <w:tcW w:w="589" w:type="pct"/>
            <w:vAlign w:val="center"/>
          </w:tcPr>
          <w:p>
            <w:pPr>
              <w:pStyle w:val="182"/>
              <w:bidi w:val="0"/>
              <w:rPr>
                <w:rFonts w:hint="default"/>
                <w:b/>
                <w:bCs/>
                <w:color w:val="auto"/>
                <w:u w:val="single"/>
                <w:lang w:val="en-US" w:eastAsia="zh-CN"/>
              </w:rPr>
            </w:pPr>
            <w:r>
              <w:rPr>
                <w:rFonts w:hint="eastAsia"/>
                <w:b/>
                <w:bCs/>
                <w:color w:val="auto"/>
                <w:u w:val="single"/>
                <w:lang w:val="en-US" w:eastAsia="zh-CN"/>
              </w:rPr>
              <w:t>3.5（15m）</w:t>
            </w:r>
          </w:p>
        </w:tc>
        <w:tc>
          <w:tcPr>
            <w:tcW w:w="615" w:type="pct"/>
            <w:vAlign w:val="center"/>
          </w:tcPr>
          <w:p>
            <w:pPr>
              <w:pStyle w:val="182"/>
              <w:bidi w:val="0"/>
              <w:rPr>
                <w:rFonts w:hint="default"/>
                <w:b/>
                <w:bCs/>
                <w:color w:val="auto"/>
                <w:u w:val="single"/>
                <w:lang w:val="en-US" w:eastAsia="zh-CN"/>
              </w:rPr>
            </w:pPr>
            <w:r>
              <w:rPr>
                <w:rFonts w:hint="eastAsia"/>
                <w:b/>
                <w:bCs/>
                <w:color w:val="auto"/>
                <w:u w:val="single"/>
                <w:lang w:val="en-US" w:eastAsia="zh-CN"/>
              </w:rPr>
              <w:t>10</w:t>
            </w:r>
          </w:p>
        </w:tc>
        <w:tc>
          <w:tcPr>
            <w:tcW w:w="498" w:type="pct"/>
            <w:vAlign w:val="center"/>
          </w:tcPr>
          <w:p>
            <w:pPr>
              <w:pStyle w:val="182"/>
              <w:bidi w:val="0"/>
              <w:rPr>
                <w:rFonts w:hint="default"/>
                <w:b/>
                <w:bCs/>
                <w:color w:val="auto"/>
                <w:u w:val="single"/>
                <w:lang w:val="en-US" w:eastAsia="zh-CN"/>
              </w:rPr>
            </w:pPr>
            <w:r>
              <w:rPr>
                <w:rFonts w:hint="eastAsia"/>
                <w:b/>
                <w:bCs/>
                <w:color w:val="auto"/>
                <w:u w:val="single"/>
                <w:lang w:val="en-US" w:eastAsia="zh-CN"/>
              </w:rPr>
              <w:t>0.706</w:t>
            </w:r>
            <w:r>
              <w:rPr>
                <w:b/>
                <w:bCs/>
                <w:color w:val="auto"/>
                <w:u w:val="singl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cs="Times New Roman"/>
                <w:b/>
                <w:bCs/>
                <w:color w:val="auto"/>
                <w:kern w:val="2"/>
                <w:sz w:val="21"/>
                <w:szCs w:val="21"/>
                <w:u w:val="single"/>
                <w:lang w:val="en-US" w:eastAsia="zh-CN" w:bidi="ar-SA"/>
              </w:rPr>
              <w:t>4</w:t>
            </w:r>
          </w:p>
        </w:tc>
        <w:tc>
          <w:tcPr>
            <w:tcW w:w="389"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木质素混合物烘干</w:t>
            </w:r>
          </w:p>
        </w:tc>
        <w:tc>
          <w:tcPr>
            <w:tcW w:w="454"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收集、分装</w:t>
            </w:r>
          </w:p>
        </w:tc>
        <w:tc>
          <w:tcPr>
            <w:tcW w:w="378"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无组织颗粒物</w:t>
            </w:r>
          </w:p>
        </w:tc>
        <w:tc>
          <w:tcPr>
            <w:tcW w:w="782"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封闭车间，地面硬化</w:t>
            </w:r>
          </w:p>
        </w:tc>
        <w:tc>
          <w:tcPr>
            <w:tcW w:w="1058" w:type="pct"/>
            <w:vMerge w:val="continue"/>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p>
        </w:tc>
        <w:tc>
          <w:tcPr>
            <w:tcW w:w="589"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cs="Times New Roman"/>
                <w:b/>
                <w:bCs/>
                <w:color w:val="auto"/>
                <w:kern w:val="2"/>
                <w:sz w:val="21"/>
                <w:szCs w:val="21"/>
                <w:u w:val="single"/>
                <w:lang w:val="en-US" w:eastAsia="zh-CN" w:bidi="ar-SA"/>
              </w:rPr>
              <w:t>/</w:t>
            </w:r>
          </w:p>
        </w:tc>
        <w:tc>
          <w:tcPr>
            <w:tcW w:w="615"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1.0</w:t>
            </w:r>
          </w:p>
        </w:tc>
        <w:tc>
          <w:tcPr>
            <w:tcW w:w="498"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cs="Times New Roman"/>
                <w:b/>
                <w:bCs/>
                <w:color w:val="auto"/>
                <w:kern w:val="2"/>
                <w:sz w:val="21"/>
                <w:szCs w:val="21"/>
                <w:u w:val="single"/>
                <w:lang w:val="en-US" w:eastAsia="zh-CN" w:bidi="ar-SA"/>
              </w:rPr>
              <w:t>0.035</w:t>
            </w:r>
            <w:r>
              <w:rPr>
                <w:b/>
                <w:bCs/>
                <w:color w:val="auto"/>
                <w:u w:val="single"/>
              </w:rPr>
              <w:t>t/a</w:t>
            </w:r>
          </w:p>
        </w:tc>
      </w:tr>
    </w:tbl>
    <w:p>
      <w:pPr>
        <w:pStyle w:val="181"/>
        <w:bidi w:val="0"/>
        <w:rPr>
          <w:b/>
          <w:bCs/>
          <w:color w:val="auto"/>
          <w:u w:val="single"/>
        </w:rPr>
      </w:pPr>
      <w:r>
        <w:rPr>
          <w:b/>
          <w:bCs/>
          <w:color w:val="auto"/>
          <w:u w:val="single"/>
        </w:rPr>
        <w:t>表3.</w:t>
      </w:r>
      <w:r>
        <w:rPr>
          <w:rFonts w:hint="eastAsia"/>
          <w:b/>
          <w:bCs/>
          <w:color w:val="auto"/>
          <w:u w:val="single"/>
          <w:lang w:val="en-US" w:eastAsia="zh-CN"/>
        </w:rPr>
        <w:t>8</w:t>
      </w:r>
      <w:r>
        <w:rPr>
          <w:b/>
          <w:bCs/>
          <w:color w:val="auto"/>
          <w:u w:val="single"/>
        </w:rPr>
        <w:t>-1</w:t>
      </w:r>
      <w:r>
        <w:rPr>
          <w:rFonts w:hint="eastAsia"/>
          <w:b/>
          <w:bCs/>
          <w:color w:val="auto"/>
          <w:u w:val="single"/>
          <w:lang w:val="en-US" w:eastAsia="zh-CN"/>
        </w:rPr>
        <w:t xml:space="preserve">6           </w:t>
      </w:r>
      <w:r>
        <w:rPr>
          <w:b/>
          <w:bCs/>
          <w:color w:val="auto"/>
          <w:u w:val="single"/>
        </w:rPr>
        <w:t>大气污染物年排放量核算表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42"/>
        <w:gridCol w:w="2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Pr>
          <w:p>
            <w:pPr>
              <w:spacing w:line="360" w:lineRule="exact"/>
              <w:jc w:val="center"/>
              <w:rPr>
                <w:b/>
                <w:bCs/>
                <w:color w:val="auto"/>
                <w:szCs w:val="21"/>
                <w:u w:val="single"/>
              </w:rPr>
            </w:pPr>
            <w:r>
              <w:rPr>
                <w:b/>
                <w:bCs/>
                <w:color w:val="auto"/>
                <w:szCs w:val="21"/>
                <w:u w:val="single"/>
              </w:rPr>
              <w:t>序号</w:t>
            </w:r>
          </w:p>
        </w:tc>
        <w:tc>
          <w:tcPr>
            <w:tcW w:w="1667" w:type="pct"/>
          </w:tcPr>
          <w:p>
            <w:pPr>
              <w:spacing w:line="360" w:lineRule="exact"/>
              <w:jc w:val="center"/>
              <w:rPr>
                <w:b/>
                <w:bCs/>
                <w:color w:val="auto"/>
                <w:szCs w:val="21"/>
                <w:u w:val="single"/>
              </w:rPr>
            </w:pPr>
            <w:r>
              <w:rPr>
                <w:b/>
                <w:bCs/>
                <w:color w:val="auto"/>
                <w:szCs w:val="21"/>
                <w:u w:val="single"/>
              </w:rPr>
              <w:t>污染物</w:t>
            </w:r>
          </w:p>
        </w:tc>
        <w:tc>
          <w:tcPr>
            <w:tcW w:w="1667" w:type="pct"/>
          </w:tcPr>
          <w:p>
            <w:pPr>
              <w:spacing w:line="360" w:lineRule="exact"/>
              <w:jc w:val="center"/>
              <w:rPr>
                <w:b/>
                <w:bCs/>
                <w:color w:val="auto"/>
                <w:szCs w:val="21"/>
                <w:u w:val="single"/>
              </w:rPr>
            </w:pPr>
            <w:r>
              <w:rPr>
                <w:b/>
                <w:bCs/>
                <w:color w:val="auto"/>
                <w:szCs w:val="21"/>
                <w:u w:val="single"/>
              </w:rPr>
              <w:t>年排放量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Pr>
          <w:p>
            <w:pPr>
              <w:spacing w:line="360" w:lineRule="exact"/>
              <w:jc w:val="center"/>
              <w:rPr>
                <w:b/>
                <w:bCs/>
                <w:color w:val="auto"/>
                <w:sz w:val="21"/>
                <w:szCs w:val="21"/>
                <w:u w:val="single"/>
              </w:rPr>
            </w:pPr>
            <w:r>
              <w:rPr>
                <w:b/>
                <w:bCs/>
                <w:color w:val="auto"/>
                <w:sz w:val="21"/>
                <w:szCs w:val="21"/>
                <w:u w:val="single"/>
              </w:rPr>
              <w:t>1</w:t>
            </w:r>
          </w:p>
        </w:tc>
        <w:tc>
          <w:tcPr>
            <w:tcW w:w="1667" w:type="pct"/>
          </w:tcPr>
          <w:p>
            <w:pPr>
              <w:spacing w:line="360" w:lineRule="exact"/>
              <w:jc w:val="center"/>
              <w:rPr>
                <w:b/>
                <w:bCs/>
                <w:color w:val="auto"/>
                <w:sz w:val="21"/>
                <w:szCs w:val="21"/>
                <w:u w:val="single"/>
              </w:rPr>
            </w:pPr>
            <w:r>
              <w:rPr>
                <w:b/>
                <w:bCs/>
                <w:color w:val="auto"/>
                <w:sz w:val="21"/>
                <w:szCs w:val="21"/>
                <w:u w:val="single"/>
              </w:rPr>
              <w:t>粉尘（</w:t>
            </w:r>
            <w:r>
              <w:rPr>
                <w:rFonts w:hint="eastAsia"/>
                <w:b/>
                <w:bCs/>
                <w:color w:val="auto"/>
                <w:sz w:val="21"/>
                <w:szCs w:val="21"/>
                <w:u w:val="single"/>
              </w:rPr>
              <w:t>无</w:t>
            </w:r>
            <w:r>
              <w:rPr>
                <w:b/>
                <w:bCs/>
                <w:color w:val="auto"/>
                <w:sz w:val="21"/>
                <w:szCs w:val="21"/>
                <w:u w:val="single"/>
              </w:rPr>
              <w:t>组织）</w:t>
            </w:r>
          </w:p>
        </w:tc>
        <w:tc>
          <w:tcPr>
            <w:tcW w:w="1667" w:type="pct"/>
          </w:tcPr>
          <w:p>
            <w:pPr>
              <w:spacing w:line="360" w:lineRule="exac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0.135t</w:t>
            </w:r>
            <w:r>
              <w:rPr>
                <w:b/>
                <w:bCs/>
                <w:color w:val="auto"/>
                <w:szCs w:val="21"/>
                <w:u w:val="singl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Pr>
          <w:p>
            <w:pPr>
              <w:spacing w:line="360" w:lineRule="exact"/>
              <w:jc w:val="center"/>
              <w:rPr>
                <w:rFonts w:hint="eastAsia" w:eastAsia="宋体"/>
                <w:b/>
                <w:bCs/>
                <w:color w:val="auto"/>
                <w:sz w:val="21"/>
                <w:szCs w:val="21"/>
                <w:u w:val="single"/>
                <w:lang w:eastAsia="zh-CN"/>
              </w:rPr>
            </w:pPr>
            <w:r>
              <w:rPr>
                <w:rFonts w:hint="eastAsia"/>
                <w:b/>
                <w:bCs/>
                <w:color w:val="auto"/>
                <w:sz w:val="21"/>
                <w:szCs w:val="21"/>
                <w:u w:val="single"/>
                <w:lang w:val="en-US" w:eastAsia="zh-CN"/>
              </w:rPr>
              <w:t>2</w:t>
            </w:r>
          </w:p>
        </w:tc>
        <w:tc>
          <w:tcPr>
            <w:tcW w:w="1667" w:type="pct"/>
          </w:tcPr>
          <w:p>
            <w:pPr>
              <w:spacing w:line="360" w:lineRule="exact"/>
              <w:jc w:val="center"/>
              <w:rPr>
                <w:rFonts w:hint="eastAsia" w:eastAsia="宋体"/>
                <w:b/>
                <w:bCs/>
                <w:color w:val="auto"/>
                <w:sz w:val="21"/>
                <w:szCs w:val="21"/>
                <w:u w:val="single"/>
                <w:lang w:eastAsia="zh-CN"/>
              </w:rPr>
            </w:pPr>
            <w:r>
              <w:rPr>
                <w:rFonts w:hint="eastAsia"/>
                <w:b/>
                <w:bCs/>
                <w:color w:val="auto"/>
                <w:sz w:val="21"/>
                <w:szCs w:val="21"/>
                <w:u w:val="single"/>
                <w:lang w:val="en-US" w:eastAsia="zh-CN"/>
              </w:rPr>
              <w:t>硫酸雾</w:t>
            </w:r>
          </w:p>
        </w:tc>
        <w:tc>
          <w:tcPr>
            <w:tcW w:w="1667" w:type="pct"/>
          </w:tcPr>
          <w:p>
            <w:pPr>
              <w:spacing w:line="360" w:lineRule="exac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0.00061kg/a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Pr>
          <w:p>
            <w:pPr>
              <w:spacing w:line="360" w:lineRule="exact"/>
              <w:jc w:val="center"/>
              <w:rPr>
                <w:rFonts w:hint="default"/>
                <w:b/>
                <w:bCs/>
                <w:color w:val="auto"/>
                <w:sz w:val="21"/>
                <w:szCs w:val="21"/>
                <w:u w:val="single"/>
                <w:lang w:val="en-US" w:eastAsia="zh-CN"/>
              </w:rPr>
            </w:pPr>
            <w:r>
              <w:rPr>
                <w:rFonts w:hint="eastAsia"/>
                <w:b/>
                <w:bCs/>
                <w:color w:val="auto"/>
                <w:sz w:val="21"/>
                <w:szCs w:val="21"/>
                <w:u w:val="single"/>
                <w:lang w:val="en-US" w:eastAsia="zh-CN"/>
              </w:rPr>
              <w:t>3</w:t>
            </w:r>
          </w:p>
        </w:tc>
        <w:tc>
          <w:tcPr>
            <w:tcW w:w="1667" w:type="pct"/>
          </w:tcPr>
          <w:p>
            <w:pPr>
              <w:spacing w:line="360" w:lineRule="exact"/>
              <w:jc w:val="center"/>
              <w:rPr>
                <w:rFonts w:hint="eastAsia"/>
                <w:b/>
                <w:bCs/>
                <w:color w:val="auto"/>
                <w:sz w:val="21"/>
                <w:szCs w:val="21"/>
                <w:u w:val="single"/>
                <w:lang w:val="en-US" w:eastAsia="zh-CN"/>
              </w:rPr>
            </w:pPr>
            <w:r>
              <w:rPr>
                <w:b/>
                <w:bCs/>
                <w:color w:val="auto"/>
                <w:sz w:val="21"/>
                <w:szCs w:val="21"/>
                <w:u w:val="single"/>
              </w:rPr>
              <w:t>粉尘（</w:t>
            </w:r>
            <w:r>
              <w:rPr>
                <w:rFonts w:hint="eastAsia"/>
                <w:b/>
                <w:bCs/>
                <w:color w:val="auto"/>
                <w:sz w:val="21"/>
                <w:szCs w:val="21"/>
                <w:u w:val="single"/>
                <w:lang w:val="en-US" w:eastAsia="zh-CN"/>
              </w:rPr>
              <w:t>有</w:t>
            </w:r>
            <w:r>
              <w:rPr>
                <w:b/>
                <w:bCs/>
                <w:color w:val="auto"/>
                <w:sz w:val="21"/>
                <w:szCs w:val="21"/>
                <w:u w:val="single"/>
              </w:rPr>
              <w:t>组织）</w:t>
            </w:r>
          </w:p>
        </w:tc>
        <w:tc>
          <w:tcPr>
            <w:tcW w:w="1667" w:type="pct"/>
          </w:tcPr>
          <w:p>
            <w:pPr>
              <w:spacing w:line="360" w:lineRule="exact"/>
              <w:jc w:val="center"/>
              <w:rPr>
                <w:rFonts w:hint="default"/>
                <w:b/>
                <w:bCs/>
                <w:color w:val="auto"/>
                <w:sz w:val="21"/>
                <w:szCs w:val="21"/>
                <w:u w:val="single"/>
                <w:lang w:val="en-US" w:eastAsia="zh-CN"/>
              </w:rPr>
            </w:pPr>
            <w:r>
              <w:rPr>
                <w:rFonts w:hint="eastAsia"/>
                <w:b/>
                <w:bCs/>
                <w:color w:val="auto"/>
                <w:sz w:val="21"/>
                <w:szCs w:val="21"/>
                <w:u w:val="single"/>
                <w:lang w:val="en-US" w:eastAsia="zh-CN"/>
              </w:rPr>
              <w:t>0.706</w:t>
            </w:r>
            <w:r>
              <w:rPr>
                <w:b/>
                <w:bCs/>
                <w:color w:val="auto"/>
                <w:szCs w:val="21"/>
                <w:u w:val="single"/>
              </w:rPr>
              <w:t>t/a</w:t>
            </w:r>
          </w:p>
        </w:tc>
      </w:tr>
    </w:tbl>
    <w:p>
      <w:pPr>
        <w:bidi w:val="0"/>
        <w:rPr>
          <w:color w:val="auto"/>
        </w:rPr>
      </w:pPr>
      <w:r>
        <w:rPr>
          <w:rFonts w:hint="eastAsia"/>
          <w:color w:val="auto"/>
        </w:rPr>
        <w:t>二、废水</w:t>
      </w:r>
    </w:p>
    <w:p>
      <w:pPr>
        <w:bidi w:val="0"/>
        <w:rPr>
          <w:color w:val="auto"/>
        </w:rPr>
      </w:pPr>
      <w:r>
        <w:rPr>
          <w:rFonts w:hint="eastAsia"/>
          <w:color w:val="auto"/>
        </w:rPr>
        <w:t>（1）废水产排情况分析</w:t>
      </w:r>
    </w:p>
    <w:p>
      <w:pPr>
        <w:bidi w:val="0"/>
        <w:rPr>
          <w:color w:val="auto"/>
        </w:rPr>
      </w:pPr>
      <w:r>
        <w:rPr>
          <w:color w:val="auto"/>
        </w:rPr>
        <w:t>1）生活污水</w:t>
      </w:r>
    </w:p>
    <w:p>
      <w:pPr>
        <w:bidi w:val="0"/>
        <w:rPr>
          <w:rFonts w:hint="eastAsia"/>
          <w:color w:val="auto"/>
        </w:rPr>
      </w:pPr>
      <w:r>
        <w:rPr>
          <w:color w:val="auto"/>
        </w:rPr>
        <w:t>本项目</w:t>
      </w:r>
      <w:r>
        <w:rPr>
          <w:rFonts w:hint="eastAsia"/>
          <w:color w:val="auto"/>
        </w:rPr>
        <w:t>新增</w:t>
      </w:r>
      <w:r>
        <w:rPr>
          <w:color w:val="auto"/>
        </w:rPr>
        <w:t>劳动定员共100人，</w:t>
      </w:r>
      <w:r>
        <w:rPr>
          <w:rFonts w:hint="eastAsia"/>
          <w:color w:val="auto"/>
        </w:rPr>
        <w:t>厂内设有食堂和洗浴装置，</w:t>
      </w:r>
      <w:r>
        <w:rPr>
          <w:color w:val="auto"/>
        </w:rPr>
        <w:t>根据河南省地方标准《工业与城镇生活用水定额》（DB41/T385-2020），用水量按120L/人·d计，则生活用水量12m</w:t>
      </w:r>
      <w:r>
        <w:rPr>
          <w:color w:val="auto"/>
          <w:vertAlign w:val="superscript"/>
        </w:rPr>
        <w:t>3</w:t>
      </w:r>
      <w:r>
        <w:rPr>
          <w:color w:val="auto"/>
        </w:rPr>
        <w:t>/d（0.5m</w:t>
      </w:r>
      <w:r>
        <w:rPr>
          <w:color w:val="auto"/>
          <w:vertAlign w:val="superscript"/>
        </w:rPr>
        <w:t>3</w:t>
      </w:r>
      <w:r>
        <w:rPr>
          <w:color w:val="auto"/>
        </w:rPr>
        <w:t>/</w:t>
      </w:r>
      <w:r>
        <w:rPr>
          <w:rFonts w:hint="eastAsia"/>
          <w:color w:val="auto"/>
        </w:rPr>
        <w:t>h</w:t>
      </w:r>
      <w:r>
        <w:rPr>
          <w:color w:val="auto"/>
        </w:rPr>
        <w:t>）。生活污水产生量以用水量的80%计，则生活污水产生量为9.6m</w:t>
      </w:r>
      <w:r>
        <w:rPr>
          <w:color w:val="auto"/>
          <w:vertAlign w:val="superscript"/>
        </w:rPr>
        <w:t>3</w:t>
      </w:r>
      <w:r>
        <w:rPr>
          <w:color w:val="auto"/>
        </w:rPr>
        <w:t>/d（0.4m</w:t>
      </w:r>
      <w:r>
        <w:rPr>
          <w:color w:val="auto"/>
          <w:vertAlign w:val="superscript"/>
        </w:rPr>
        <w:t>3</w:t>
      </w:r>
      <w:r>
        <w:rPr>
          <w:color w:val="auto"/>
        </w:rPr>
        <w:t>/</w:t>
      </w:r>
      <w:r>
        <w:rPr>
          <w:rFonts w:hint="eastAsia"/>
          <w:color w:val="auto"/>
        </w:rPr>
        <w:t>h</w:t>
      </w:r>
      <w:r>
        <w:rPr>
          <w:color w:val="auto"/>
        </w:rPr>
        <w:t>）。</w:t>
      </w:r>
      <w:r>
        <w:rPr>
          <w:rFonts w:hint="eastAsia"/>
          <w:color w:val="auto"/>
        </w:rPr>
        <w:t>生活污水经收集后排入厂区污水处理站粘胶废水处理单元进行处理。</w:t>
      </w:r>
    </w:p>
    <w:p>
      <w:pPr>
        <w:bidi w:val="0"/>
        <w:rPr>
          <w:rFonts w:hint="eastAsia"/>
          <w:color w:val="auto"/>
        </w:rPr>
      </w:pPr>
      <w:r>
        <w:rPr>
          <w:rFonts w:hint="eastAsia"/>
          <w:color w:val="auto"/>
        </w:rPr>
        <w:t>切段、整理好的菌草原料经汽车运输入厂后，通过卸料机由密闭式皮带输送机运往菌草堆料库，采用堆料机进行堆垛贮存。上料时，通过皮带输送机将菌草送入清洗机，菌草原料经水洗、筛分后进入料仓，料仓底部的出料螺旋送料给预热螺旋输送机，最后经过螺旋进料器将菌草送入蒸煮器</w:t>
      </w:r>
      <w:r>
        <w:rPr>
          <w:rFonts w:hint="eastAsia"/>
          <w:color w:val="auto"/>
          <w:lang w:eastAsia="zh-CN"/>
        </w:rPr>
        <w:t>，</w:t>
      </w:r>
      <w:r>
        <w:rPr>
          <w:rFonts w:hint="eastAsia"/>
          <w:color w:val="auto"/>
          <w:lang w:val="en-US" w:eastAsia="zh-CN"/>
        </w:rPr>
        <w:t>废水进入企业污水处理站进行预处理，清洗的杂质收集后作为一般固废处理</w:t>
      </w:r>
      <w:r>
        <w:rPr>
          <w:rFonts w:hint="eastAsia"/>
          <w:color w:val="auto"/>
        </w:rPr>
        <w:t>。</w:t>
      </w:r>
    </w:p>
    <w:p>
      <w:pPr>
        <w:bidi w:val="0"/>
        <w:rPr>
          <w:b/>
          <w:bCs/>
          <w:color w:val="auto"/>
          <w:u w:val="single"/>
        </w:rPr>
      </w:pPr>
      <w:r>
        <w:rPr>
          <w:rFonts w:hint="eastAsia"/>
          <w:b/>
          <w:bCs/>
          <w:color w:val="auto"/>
          <w:u w:val="single"/>
        </w:rPr>
        <w:t>2）生产废水</w:t>
      </w:r>
    </w:p>
    <w:p>
      <w:pPr>
        <w:bidi w:val="0"/>
        <w:rPr>
          <w:rFonts w:hint="eastAsia"/>
          <w:color w:val="auto"/>
        </w:rPr>
      </w:pPr>
      <w:r>
        <w:rPr>
          <w:rFonts w:hint="eastAsia"/>
          <w:b/>
          <w:bCs/>
          <w:color w:val="auto"/>
          <w:u w:val="single"/>
        </w:rPr>
        <w:t>生产过程中产生的工艺废水主要是水洗漂白过程中产生的废水，根据水平衡图，本项目</w:t>
      </w:r>
      <w:r>
        <w:rPr>
          <w:rFonts w:hint="eastAsia"/>
          <w:b/>
          <w:bCs/>
          <w:color w:val="auto"/>
          <w:u w:val="single"/>
          <w:lang w:val="en-US" w:eastAsia="zh-CN"/>
        </w:rPr>
        <w:t>新增</w:t>
      </w:r>
      <w:r>
        <w:rPr>
          <w:rFonts w:hint="eastAsia"/>
          <w:b/>
          <w:bCs/>
          <w:color w:val="auto"/>
          <w:u w:val="single"/>
        </w:rPr>
        <w:t>产生</w:t>
      </w:r>
      <w:r>
        <w:rPr>
          <w:rFonts w:hint="eastAsia"/>
          <w:b/>
          <w:bCs/>
          <w:color w:val="auto"/>
          <w:u w:val="single"/>
          <w:lang w:val="en-US" w:eastAsia="zh-CN"/>
        </w:rPr>
        <w:t>的</w:t>
      </w:r>
      <w:r>
        <w:rPr>
          <w:rFonts w:hint="eastAsia"/>
          <w:b/>
          <w:bCs/>
          <w:color w:val="auto"/>
          <w:u w:val="single"/>
        </w:rPr>
        <w:t>废水量为</w:t>
      </w:r>
      <w:r>
        <w:rPr>
          <w:rFonts w:hint="eastAsia"/>
          <w:b/>
          <w:bCs/>
          <w:color w:val="auto"/>
          <w:u w:val="single"/>
          <w:lang w:val="en-US" w:eastAsia="zh-CN"/>
        </w:rPr>
        <w:t>947.73</w:t>
      </w:r>
      <w:r>
        <w:rPr>
          <w:b/>
          <w:bCs/>
          <w:color w:val="auto"/>
          <w:u w:val="single"/>
        </w:rPr>
        <w:t>m</w:t>
      </w:r>
      <w:r>
        <w:rPr>
          <w:b/>
          <w:bCs/>
          <w:color w:val="auto"/>
          <w:u w:val="single"/>
          <w:vertAlign w:val="superscript"/>
        </w:rPr>
        <w:t>3</w:t>
      </w:r>
      <w:r>
        <w:rPr>
          <w:b/>
          <w:bCs/>
          <w:color w:val="auto"/>
          <w:u w:val="single"/>
        </w:rPr>
        <w:t>/d</w:t>
      </w:r>
      <w:r>
        <w:rPr>
          <w:rFonts w:hint="eastAsia"/>
          <w:color w:val="auto"/>
        </w:rPr>
        <w:t>。</w:t>
      </w:r>
    </w:p>
    <w:p>
      <w:pPr>
        <w:bidi w:val="0"/>
        <w:rPr>
          <w:rFonts w:hint="eastAsia"/>
          <w:b/>
          <w:bCs/>
          <w:color w:val="auto"/>
          <w:u w:val="single"/>
          <w:lang w:eastAsia="zh-CN"/>
        </w:rPr>
      </w:pPr>
      <w:r>
        <w:rPr>
          <w:rFonts w:hint="eastAsia"/>
          <w:b/>
          <w:bCs/>
          <w:color w:val="auto"/>
          <w:u w:val="single"/>
          <w:lang w:val="en-US" w:eastAsia="zh-CN"/>
        </w:rPr>
        <w:t>建设单位</w:t>
      </w:r>
      <w:r>
        <w:rPr>
          <w:rFonts w:hint="eastAsia"/>
          <w:b/>
          <w:bCs/>
          <w:color w:val="auto"/>
          <w:u w:val="single"/>
        </w:rPr>
        <w:t>于2022年3月-2022年8月进行了小试研究</w:t>
      </w:r>
      <w:r>
        <w:rPr>
          <w:rFonts w:hint="eastAsia"/>
          <w:b/>
          <w:bCs/>
          <w:color w:val="auto"/>
          <w:u w:val="single"/>
          <w:lang w:eastAsia="zh-CN"/>
        </w:rPr>
        <w:t>，</w:t>
      </w:r>
      <w:r>
        <w:rPr>
          <w:rFonts w:hint="eastAsia"/>
          <w:b/>
          <w:bCs/>
          <w:color w:val="auto"/>
          <w:u w:val="single"/>
        </w:rPr>
        <w:t>小试</w:t>
      </w:r>
      <w:r>
        <w:rPr>
          <w:rFonts w:hint="eastAsia"/>
          <w:b/>
          <w:bCs/>
          <w:color w:val="auto"/>
          <w:u w:val="single"/>
          <w:lang w:val="en-US" w:eastAsia="zh-CN"/>
        </w:rPr>
        <w:t>采用</w:t>
      </w:r>
      <w:r>
        <w:rPr>
          <w:rFonts w:hint="eastAsia"/>
          <w:b/>
          <w:bCs/>
          <w:color w:val="auto"/>
          <w:u w:val="single"/>
        </w:rPr>
        <w:t>间歇性试验，共生产约300吨菌草纤维</w:t>
      </w:r>
      <w:r>
        <w:rPr>
          <w:rFonts w:hint="eastAsia"/>
          <w:b/>
          <w:bCs/>
          <w:color w:val="auto"/>
          <w:u w:val="single"/>
          <w:lang w:eastAsia="zh-CN"/>
        </w:rPr>
        <w:t>，</w:t>
      </w:r>
      <w:r>
        <w:rPr>
          <w:rFonts w:hint="eastAsia"/>
          <w:b/>
          <w:bCs/>
          <w:color w:val="auto"/>
          <w:u w:val="single"/>
        </w:rPr>
        <w:t>小试研究采用自主研发的制浆技术和黑液</w:t>
      </w:r>
      <w:r>
        <w:rPr>
          <w:rFonts w:hint="eastAsia"/>
          <w:b/>
          <w:bCs/>
          <w:color w:val="auto"/>
          <w:u w:val="single"/>
          <w:lang w:val="en-US" w:eastAsia="zh-CN"/>
        </w:rPr>
        <w:t>资源化利用技术</w:t>
      </w:r>
      <w:r>
        <w:rPr>
          <w:rFonts w:hint="eastAsia"/>
          <w:b/>
          <w:bCs/>
          <w:color w:val="auto"/>
          <w:u w:val="single"/>
        </w:rPr>
        <w:t>，实现了从菌䓍→纤维素（俗称浆粕）→纤维素纤维（长丝）的工艺流程，并生产出了小批量菌䓍纤维素长丝产品。</w:t>
      </w:r>
      <w:r>
        <w:rPr>
          <w:rFonts w:hint="eastAsia"/>
          <w:b/>
          <w:bCs/>
          <w:color w:val="auto"/>
          <w:u w:val="single"/>
          <w:lang w:val="en-US" w:eastAsia="zh-CN"/>
        </w:rPr>
        <w:t>根据小试废水水质，保守考虑</w:t>
      </w:r>
      <w:r>
        <w:rPr>
          <w:rFonts w:hint="eastAsia"/>
          <w:b/>
          <w:bCs/>
          <w:color w:val="auto"/>
          <w:u w:val="single"/>
        </w:rPr>
        <w:t>确定本项目废水水质</w:t>
      </w:r>
      <w:r>
        <w:rPr>
          <w:rFonts w:hint="eastAsia"/>
          <w:b/>
          <w:bCs/>
          <w:color w:val="auto"/>
          <w:u w:val="single"/>
          <w:lang w:eastAsia="zh-CN"/>
        </w:rPr>
        <w:t>。</w:t>
      </w:r>
    </w:p>
    <w:p>
      <w:pPr>
        <w:bidi w:val="0"/>
        <w:ind w:left="0" w:leftChars="0" w:firstLine="0" w:firstLineChars="0"/>
        <w:rPr>
          <w:rFonts w:hint="eastAsia"/>
          <w:b/>
          <w:bCs/>
          <w:color w:val="auto"/>
          <w:lang w:eastAsia="zh-CN"/>
        </w:rPr>
      </w:pPr>
      <w:r>
        <w:rPr>
          <w:rFonts w:hint="eastAsia"/>
          <w:b/>
          <w:bCs/>
          <w:color w:val="auto"/>
          <w:lang w:eastAsia="zh-CN"/>
        </w:rPr>
        <w:t>本项目</w:t>
      </w:r>
      <w:r>
        <w:rPr>
          <w:rFonts w:hint="eastAsia"/>
          <w:b/>
          <w:bCs/>
          <w:color w:val="auto"/>
          <w:lang w:val="en-US" w:eastAsia="zh-CN"/>
        </w:rPr>
        <w:t>废水</w:t>
      </w:r>
      <w:r>
        <w:rPr>
          <w:rFonts w:hint="eastAsia"/>
          <w:b/>
          <w:bCs/>
          <w:color w:val="auto"/>
          <w:lang w:eastAsia="zh-CN"/>
        </w:rPr>
        <w:t>主要来源有：</w:t>
      </w:r>
    </w:p>
    <w:p>
      <w:pPr>
        <w:bidi w:val="0"/>
        <w:ind w:left="0" w:leftChars="0" w:firstLine="0" w:firstLineChars="0"/>
        <w:rPr>
          <w:rFonts w:hint="eastAsia"/>
          <w:b/>
          <w:bCs/>
          <w:color w:val="auto"/>
          <w:lang w:eastAsia="zh-CN"/>
        </w:rPr>
      </w:pPr>
      <w:r>
        <w:rPr>
          <w:rFonts w:hint="eastAsia"/>
          <w:b/>
          <w:bCs/>
          <w:color w:val="auto"/>
          <w:lang w:eastAsia="zh-CN"/>
        </w:rPr>
        <w:t>（1）</w:t>
      </w:r>
      <w:r>
        <w:rPr>
          <w:rFonts w:hint="eastAsia"/>
          <w:b/>
          <w:bCs/>
          <w:color w:val="auto"/>
          <w:lang w:val="en-US" w:eastAsia="zh-CN"/>
        </w:rPr>
        <w:t>水力除杂</w:t>
      </w:r>
      <w:r>
        <w:rPr>
          <w:rFonts w:hint="eastAsia"/>
          <w:b/>
          <w:bCs/>
          <w:color w:val="auto"/>
          <w:lang w:eastAsia="zh-CN"/>
        </w:rPr>
        <w:t>废水：</w:t>
      </w:r>
      <w:r>
        <w:rPr>
          <w:rFonts w:hint="eastAsia"/>
          <w:b/>
          <w:bCs/>
          <w:color w:val="auto"/>
          <w:lang w:val="en-US" w:eastAsia="zh-CN"/>
        </w:rPr>
        <w:t>菌草</w:t>
      </w:r>
      <w:r>
        <w:rPr>
          <w:rFonts w:hint="eastAsia"/>
          <w:b/>
          <w:bCs/>
          <w:color w:val="auto"/>
          <w:lang w:eastAsia="zh-CN"/>
        </w:rPr>
        <w:t>蒸煮前洗涤产生。</w:t>
      </w:r>
    </w:p>
    <w:p>
      <w:pPr>
        <w:bidi w:val="0"/>
        <w:ind w:left="0" w:leftChars="0" w:firstLine="0" w:firstLineChars="0"/>
        <w:rPr>
          <w:rFonts w:hint="eastAsia"/>
          <w:b/>
          <w:bCs/>
          <w:color w:val="auto"/>
          <w:lang w:eastAsia="zh-CN"/>
        </w:rPr>
      </w:pPr>
      <w:r>
        <w:rPr>
          <w:rFonts w:hint="eastAsia"/>
          <w:b/>
          <w:bCs/>
          <w:color w:val="auto"/>
          <w:lang w:eastAsia="zh-CN"/>
        </w:rPr>
        <w:t>（2）制浆中段废水：主要是洗涤、筛选、漂白时产生。</w:t>
      </w:r>
    </w:p>
    <w:p>
      <w:pPr>
        <w:bidi w:val="0"/>
        <w:ind w:left="0" w:leftChars="0" w:firstLine="0" w:firstLineChars="0"/>
        <w:rPr>
          <w:rFonts w:hint="eastAsia"/>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）污</w:t>
      </w:r>
      <w:r>
        <w:rPr>
          <w:rFonts w:hint="eastAsia"/>
          <w:b/>
          <w:bCs/>
          <w:color w:val="auto"/>
          <w:lang w:val="en-US" w:eastAsia="zh-CN"/>
        </w:rPr>
        <w:t>凝结水</w:t>
      </w:r>
      <w:r>
        <w:rPr>
          <w:rFonts w:hint="eastAsia"/>
          <w:b/>
          <w:bCs/>
          <w:color w:val="auto"/>
          <w:lang w:eastAsia="zh-CN"/>
        </w:rPr>
        <w:t>：主要来自</w:t>
      </w:r>
      <w:r>
        <w:rPr>
          <w:rFonts w:hint="eastAsia"/>
          <w:b/>
          <w:bCs/>
          <w:color w:val="auto"/>
          <w:lang w:val="en-US" w:eastAsia="zh-CN"/>
        </w:rPr>
        <w:t>黑液通过五效蒸发提取木质素混合物过程产生。</w:t>
      </w:r>
    </w:p>
    <w:p>
      <w:pPr>
        <w:pStyle w:val="181"/>
        <w:bidi w:val="0"/>
        <w:rPr>
          <w:rFonts w:hint="default"/>
          <w:color w:val="auto"/>
          <w:lang w:val="en-US" w:eastAsia="zh-CN"/>
        </w:rPr>
      </w:pPr>
      <w:r>
        <w:rPr>
          <w:rFonts w:hint="eastAsia"/>
          <w:color w:val="auto"/>
          <w:lang w:val="en-US" w:eastAsia="zh-CN"/>
        </w:rPr>
        <w:t>表3.8-17         项目小试产生污水情况一览表</w:t>
      </w:r>
    </w:p>
    <w:tbl>
      <w:tblPr>
        <w:tblStyle w:val="3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703"/>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排水工序</w:t>
            </w:r>
          </w:p>
        </w:tc>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废水种类</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黑液（t/t产品）</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中段水（t/t产品）</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其它废水（t/t产品）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水力除杂</w:t>
            </w:r>
          </w:p>
        </w:tc>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除杂废水</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0.55-0.6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蒸煮、挤浆</w:t>
            </w:r>
          </w:p>
        </w:tc>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黑液废水</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9.3-10</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水洗、漂白</w:t>
            </w:r>
          </w:p>
        </w:tc>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漂洗废水</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59.6-61.95</w:t>
            </w: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抄浆</w:t>
            </w:r>
          </w:p>
        </w:tc>
        <w:tc>
          <w:tcPr>
            <w:tcW w:w="999" w:type="pct"/>
            <w:vAlign w:val="center"/>
          </w:tcPr>
          <w:p>
            <w:pPr>
              <w:pStyle w:val="182"/>
              <w:bidi w:val="0"/>
              <w:rPr>
                <w:rFonts w:hint="default"/>
                <w:b/>
                <w:bCs/>
                <w:color w:val="auto"/>
                <w:u w:val="single"/>
                <w:lang w:val="en-US" w:eastAsia="zh-CN"/>
              </w:rPr>
            </w:pPr>
            <w:r>
              <w:rPr>
                <w:rFonts w:hint="default"/>
                <w:b/>
                <w:bCs/>
                <w:color w:val="auto"/>
                <w:u w:val="single"/>
                <w:lang w:val="en-US" w:eastAsia="zh-CN"/>
              </w:rPr>
              <w:t>中性白水</w:t>
            </w:r>
          </w:p>
        </w:tc>
        <w:tc>
          <w:tcPr>
            <w:tcW w:w="1000" w:type="pct"/>
            <w:vAlign w:val="center"/>
          </w:tcPr>
          <w:p>
            <w:pPr>
              <w:pStyle w:val="182"/>
              <w:bidi w:val="0"/>
              <w:rPr>
                <w:rFonts w:hint="default"/>
                <w:b/>
                <w:bCs/>
                <w:color w:val="auto"/>
                <w:u w:val="single"/>
                <w:lang w:val="en-US" w:eastAsia="zh-CN"/>
              </w:rPr>
            </w:pPr>
          </w:p>
        </w:tc>
        <w:tc>
          <w:tcPr>
            <w:tcW w:w="1000" w:type="pct"/>
            <w:vAlign w:val="center"/>
          </w:tcPr>
          <w:p>
            <w:pPr>
              <w:pStyle w:val="182"/>
              <w:bidi w:val="0"/>
              <w:rPr>
                <w:rFonts w:hint="default"/>
                <w:b/>
                <w:bCs/>
                <w:color w:val="auto"/>
                <w:u w:val="single"/>
                <w:lang w:val="en-US" w:eastAsia="zh-CN"/>
              </w:rPr>
            </w:pP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45.9-54.8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五效蒸发、烘干</w:t>
            </w:r>
          </w:p>
        </w:tc>
        <w:tc>
          <w:tcPr>
            <w:tcW w:w="999" w:type="pct"/>
            <w:vAlign w:val="center"/>
          </w:tcPr>
          <w:p>
            <w:pPr>
              <w:pStyle w:val="182"/>
              <w:bidi w:val="0"/>
              <w:rPr>
                <w:rFonts w:hint="default"/>
                <w:b/>
                <w:bCs/>
                <w:color w:val="auto"/>
                <w:u w:val="single"/>
                <w:lang w:val="en-US" w:eastAsia="zh-CN"/>
              </w:rPr>
            </w:pPr>
            <w:r>
              <w:rPr>
                <w:rFonts w:hint="eastAsia"/>
                <w:b/>
                <w:bCs/>
                <w:color w:val="auto"/>
                <w:u w:val="single"/>
                <w:lang w:val="en-US" w:eastAsia="zh-CN"/>
              </w:rPr>
              <w:t>污凝结水</w:t>
            </w:r>
          </w:p>
        </w:tc>
        <w:tc>
          <w:tcPr>
            <w:tcW w:w="1000" w:type="pct"/>
            <w:vAlign w:val="center"/>
          </w:tcPr>
          <w:p>
            <w:pPr>
              <w:pStyle w:val="182"/>
              <w:bidi w:val="0"/>
              <w:rPr>
                <w:rFonts w:hint="default"/>
                <w:b/>
                <w:bCs/>
                <w:color w:val="auto"/>
                <w:u w:val="single"/>
                <w:lang w:val="en-US" w:eastAsia="zh-CN"/>
              </w:rPr>
            </w:pPr>
          </w:p>
        </w:tc>
        <w:tc>
          <w:tcPr>
            <w:tcW w:w="1000" w:type="pct"/>
            <w:vAlign w:val="center"/>
          </w:tcPr>
          <w:p>
            <w:pPr>
              <w:pStyle w:val="182"/>
              <w:bidi w:val="0"/>
              <w:rPr>
                <w:rFonts w:hint="default"/>
                <w:b/>
                <w:bCs/>
                <w:color w:val="auto"/>
                <w:u w:val="single"/>
                <w:lang w:val="en-US" w:eastAsia="zh-CN"/>
              </w:rPr>
            </w:pPr>
          </w:p>
        </w:tc>
        <w:tc>
          <w:tcPr>
            <w:tcW w:w="1000" w:type="pct"/>
            <w:vAlign w:val="center"/>
          </w:tcPr>
          <w:p>
            <w:pPr>
              <w:pStyle w:val="182"/>
              <w:bidi w:val="0"/>
              <w:rPr>
                <w:rFonts w:hint="default"/>
                <w:b/>
                <w:bCs/>
                <w:color w:val="auto"/>
                <w:u w:val="single"/>
                <w:lang w:val="en-US" w:eastAsia="zh-CN"/>
              </w:rPr>
            </w:pPr>
            <w:r>
              <w:rPr>
                <w:rFonts w:hint="eastAsia"/>
                <w:b/>
                <w:bCs/>
                <w:color w:val="auto"/>
                <w:u w:val="single"/>
                <w:lang w:val="en-US" w:eastAsia="zh-CN"/>
              </w:rPr>
              <w:t>7.5-8.15</w:t>
            </w:r>
          </w:p>
        </w:tc>
      </w:tr>
    </w:tbl>
    <w:p>
      <w:pPr>
        <w:bidi w:val="0"/>
        <w:rPr>
          <w:rFonts w:hint="eastAsia"/>
          <w:b/>
          <w:bCs/>
          <w:color w:val="auto"/>
          <w:u w:val="single"/>
          <w:lang w:val="en-US" w:eastAsia="zh-CN"/>
        </w:rPr>
      </w:pPr>
      <w:r>
        <w:rPr>
          <w:rFonts w:hint="eastAsia"/>
          <w:b/>
          <w:bCs/>
          <w:color w:val="auto"/>
          <w:u w:val="single"/>
          <w:lang w:val="en-US" w:eastAsia="zh-CN"/>
        </w:rPr>
        <w:t>项目排水主要包括水力除杂废水，水洗、漂白废水，排水水质约为：COD 960-1350mg/l、BOD 350-370 mg/L、SS 350-470mg/L、氨氮 13.5-14.8 mg/L、总氮 20-25mg/L、总磷 6-8 mg/L、色度170-230（详见附件9项目小试废水产排情况）。</w:t>
      </w:r>
    </w:p>
    <w:p>
      <w:pPr>
        <w:bidi w:val="0"/>
        <w:rPr>
          <w:rFonts w:hint="default"/>
          <w:b/>
          <w:bCs/>
          <w:color w:val="auto"/>
          <w:u w:val="single"/>
          <w:lang w:val="en-US" w:eastAsia="zh-CN"/>
        </w:rPr>
      </w:pPr>
      <w:r>
        <w:rPr>
          <w:rFonts w:hint="eastAsia"/>
          <w:b/>
          <w:bCs/>
          <w:color w:val="auto"/>
          <w:u w:val="single"/>
          <w:lang w:val="en-US" w:eastAsia="zh-CN"/>
        </w:rPr>
        <w:t>根据建设单位的小试情况，五效蒸发、烘干工序会产生污凝结水，污凝结水水质为：COD 750-910mg/L、硫化物 18-20mg/L、色度150-180，污凝结水回用于蒸煮、挤浆工序。</w:t>
      </w:r>
    </w:p>
    <w:p>
      <w:pPr>
        <w:bidi w:val="0"/>
        <w:rPr>
          <w:b/>
          <w:bCs/>
          <w:color w:val="auto"/>
          <w:u w:val="single"/>
        </w:rPr>
      </w:pPr>
      <w:r>
        <w:rPr>
          <w:rFonts w:hint="eastAsia"/>
          <w:b/>
          <w:bCs/>
          <w:color w:val="auto"/>
          <w:u w:val="single"/>
          <w:lang w:val="en-US" w:eastAsia="zh-CN"/>
        </w:rPr>
        <w:t>根据本项目的小试情况，保守考虑</w:t>
      </w:r>
      <w:r>
        <w:rPr>
          <w:rFonts w:hint="eastAsia"/>
          <w:b/>
          <w:bCs/>
          <w:color w:val="auto"/>
          <w:u w:val="single"/>
        </w:rPr>
        <w:t>确定本项目废水水质为：COD</w:t>
      </w:r>
      <w:r>
        <w:rPr>
          <w:b/>
          <w:bCs/>
          <w:color w:val="auto"/>
          <w:u w:val="single"/>
        </w:rPr>
        <w:t xml:space="preserve"> </w:t>
      </w:r>
      <w:r>
        <w:rPr>
          <w:rFonts w:hint="eastAsia"/>
          <w:b/>
          <w:bCs/>
          <w:color w:val="auto"/>
          <w:u w:val="single"/>
          <w:lang w:val="en-US" w:eastAsia="zh-CN"/>
        </w:rPr>
        <w:t>1350</w:t>
      </w:r>
      <w:r>
        <w:rPr>
          <w:rFonts w:hint="eastAsia"/>
          <w:b/>
          <w:bCs/>
          <w:color w:val="auto"/>
          <w:u w:val="single"/>
        </w:rPr>
        <w:t>mg/L，</w:t>
      </w:r>
      <w:r>
        <w:rPr>
          <w:rFonts w:hint="eastAsia"/>
          <w:b/>
          <w:bCs/>
          <w:color w:val="auto"/>
          <w:u w:val="single"/>
          <w:lang w:val="en-US" w:eastAsia="zh-CN"/>
        </w:rPr>
        <w:t xml:space="preserve">BOD 370 </w:t>
      </w:r>
      <w:r>
        <w:rPr>
          <w:rFonts w:hint="eastAsia"/>
          <w:b/>
          <w:bCs/>
          <w:color w:val="auto"/>
          <w:u w:val="single"/>
        </w:rPr>
        <w:t>mg/L，SS</w:t>
      </w:r>
      <w:r>
        <w:rPr>
          <w:rFonts w:hint="eastAsia"/>
          <w:b/>
          <w:bCs/>
          <w:color w:val="auto"/>
          <w:u w:val="single"/>
          <w:lang w:val="en-US" w:eastAsia="zh-CN"/>
        </w:rPr>
        <w:t xml:space="preserve"> 470</w:t>
      </w:r>
      <w:r>
        <w:rPr>
          <w:rFonts w:hint="eastAsia"/>
          <w:b/>
          <w:bCs/>
          <w:color w:val="auto"/>
          <w:u w:val="single"/>
        </w:rPr>
        <w:t>mg/L，NH</w:t>
      </w:r>
      <w:r>
        <w:rPr>
          <w:rFonts w:hint="eastAsia"/>
          <w:b/>
          <w:bCs/>
          <w:color w:val="auto"/>
          <w:u w:val="single"/>
          <w:vertAlign w:val="subscript"/>
        </w:rPr>
        <w:t>3</w:t>
      </w:r>
      <w:r>
        <w:rPr>
          <w:rFonts w:hint="eastAsia"/>
          <w:b/>
          <w:bCs/>
          <w:color w:val="auto"/>
          <w:u w:val="single"/>
        </w:rPr>
        <w:t>-N</w:t>
      </w:r>
      <w:r>
        <w:rPr>
          <w:b/>
          <w:bCs/>
          <w:color w:val="auto"/>
          <w:u w:val="single"/>
        </w:rPr>
        <w:t xml:space="preserve"> </w:t>
      </w:r>
      <w:r>
        <w:rPr>
          <w:rFonts w:hint="eastAsia"/>
          <w:b/>
          <w:bCs/>
          <w:color w:val="auto"/>
          <w:u w:val="single"/>
          <w:lang w:val="en-US" w:eastAsia="zh-CN"/>
        </w:rPr>
        <w:t>14.8</w:t>
      </w:r>
      <w:r>
        <w:rPr>
          <w:b/>
          <w:bCs/>
          <w:color w:val="auto"/>
          <w:u w:val="single"/>
        </w:rPr>
        <w:t>mg/L</w:t>
      </w:r>
      <w:r>
        <w:rPr>
          <w:rFonts w:hint="eastAsia"/>
          <w:b/>
          <w:bCs/>
          <w:color w:val="auto"/>
          <w:u w:val="single"/>
        </w:rPr>
        <w:t>，</w:t>
      </w:r>
      <w:r>
        <w:rPr>
          <w:rFonts w:hint="eastAsia"/>
          <w:b/>
          <w:bCs/>
          <w:color w:val="auto"/>
          <w:u w:val="single"/>
          <w:lang w:val="en-US" w:eastAsia="zh-CN"/>
        </w:rPr>
        <w:t>色度（倍） 230，</w:t>
      </w:r>
      <w:r>
        <w:rPr>
          <w:rFonts w:hint="eastAsia"/>
          <w:b/>
          <w:bCs/>
          <w:color w:val="auto"/>
          <w:u w:val="single"/>
        </w:rPr>
        <w:t>TN</w:t>
      </w:r>
      <w:r>
        <w:rPr>
          <w:rFonts w:hint="eastAsia"/>
          <w:b/>
          <w:bCs/>
          <w:color w:val="auto"/>
          <w:u w:val="single"/>
          <w:lang w:val="en-US" w:eastAsia="zh-CN"/>
        </w:rPr>
        <w:t xml:space="preserve"> 25</w:t>
      </w:r>
      <w:r>
        <w:rPr>
          <w:rFonts w:hint="eastAsia"/>
          <w:b/>
          <w:bCs/>
          <w:color w:val="auto"/>
          <w:u w:val="single"/>
        </w:rPr>
        <w:t>mg/L</w:t>
      </w:r>
      <w:r>
        <w:rPr>
          <w:rFonts w:hint="eastAsia"/>
          <w:b/>
          <w:bCs/>
          <w:color w:val="auto"/>
          <w:u w:val="single"/>
          <w:lang w:eastAsia="zh-CN"/>
        </w:rPr>
        <w:t>，</w:t>
      </w:r>
      <w:r>
        <w:rPr>
          <w:rFonts w:hint="eastAsia"/>
          <w:b/>
          <w:bCs/>
          <w:color w:val="auto"/>
          <w:u w:val="single"/>
        </w:rPr>
        <w:t>TP</w:t>
      </w:r>
      <w:r>
        <w:rPr>
          <w:rFonts w:hint="eastAsia"/>
          <w:b/>
          <w:bCs/>
          <w:color w:val="auto"/>
          <w:u w:val="single"/>
          <w:lang w:val="en-US" w:eastAsia="zh-CN"/>
        </w:rPr>
        <w:t>取8.0</w:t>
      </w:r>
      <w:r>
        <w:rPr>
          <w:rFonts w:hint="eastAsia"/>
          <w:b/>
          <w:bCs/>
          <w:color w:val="auto"/>
          <w:u w:val="single"/>
        </w:rPr>
        <w:t>mg/L。</w:t>
      </w:r>
    </w:p>
    <w:p>
      <w:pPr>
        <w:bidi w:val="0"/>
        <w:rPr>
          <w:color w:val="auto"/>
        </w:rPr>
      </w:pPr>
      <w:r>
        <w:rPr>
          <w:rFonts w:hint="eastAsia"/>
          <w:color w:val="auto"/>
        </w:rPr>
        <w:t>（</w:t>
      </w:r>
      <w:r>
        <w:rPr>
          <w:color w:val="auto"/>
        </w:rPr>
        <w:t>2</w:t>
      </w:r>
      <w:r>
        <w:rPr>
          <w:rFonts w:hint="eastAsia"/>
          <w:color w:val="auto"/>
        </w:rPr>
        <w:t>）废水处理情况分析</w:t>
      </w:r>
    </w:p>
    <w:p>
      <w:pPr>
        <w:spacing w:line="520" w:lineRule="exact"/>
        <w:ind w:firstLine="480" w:firstLineChars="200"/>
        <w:rPr>
          <w:rFonts w:hint="eastAsia"/>
          <w:color w:val="auto"/>
        </w:rPr>
      </w:pPr>
      <w:r>
        <w:rPr>
          <w:rFonts w:hint="eastAsia"/>
          <w:color w:val="auto"/>
        </w:rPr>
        <w:t>本项目废水排入厂区污水处理站进行处理。厂区内现有污水处理站污水处理能力为3.8万t/d，该污水处理站共分为4个处理单元，分别为</w:t>
      </w: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“粘胶废水综合处理单元”</w:t>
      </w: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“长丝酸性废水处理</w:t>
      </w:r>
      <w:r>
        <w:rPr>
          <w:rFonts w:hint="eastAsia"/>
          <w:color w:val="auto"/>
          <w:lang w:val="en-US" w:eastAsia="zh-CN"/>
        </w:rPr>
        <w:t>一区</w:t>
      </w:r>
      <w:r>
        <w:rPr>
          <w:rFonts w:hint="eastAsia"/>
          <w:color w:val="auto"/>
        </w:rPr>
        <w:t>”</w:t>
      </w: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“绿纤、氨纶废水处理单元”</w:t>
      </w:r>
      <w:r>
        <w:rPr>
          <w:rFonts w:hint="eastAsia"/>
          <w:color w:val="auto"/>
          <w:lang w:eastAsia="zh-CN"/>
        </w:rPr>
        <w:t>；（</w:t>
      </w:r>
      <w:r>
        <w:rPr>
          <w:rFonts w:hint="eastAsia"/>
          <w:color w:val="auto"/>
          <w:lang w:val="en-US" w:eastAsia="zh-CN"/>
        </w:rPr>
        <w:t>4</w:t>
      </w:r>
      <w:r>
        <w:rPr>
          <w:rFonts w:hint="eastAsia"/>
          <w:color w:val="auto"/>
          <w:lang w:eastAsia="zh-CN"/>
        </w:rPr>
        <w:t>）</w:t>
      </w:r>
      <w:r>
        <w:rPr>
          <w:rFonts w:hint="eastAsia"/>
          <w:color w:val="auto"/>
        </w:rPr>
        <w:t>“长丝酸性废水处理</w:t>
      </w:r>
      <w:r>
        <w:rPr>
          <w:rFonts w:hint="eastAsia"/>
          <w:color w:val="auto"/>
          <w:lang w:val="en-US" w:eastAsia="zh-CN"/>
        </w:rPr>
        <w:t>二区</w:t>
      </w:r>
      <w:r>
        <w:rPr>
          <w:rFonts w:hint="eastAsia"/>
          <w:color w:val="auto"/>
        </w:rPr>
        <w:t>”。本项目使用的处理系统为：“绿纤、氨纶废水处理单元”，处理工艺为“调节+混合池+沉淀+水解酸化+氧化沟+二沉池</w:t>
      </w:r>
      <w:r>
        <w:rPr>
          <w:rFonts w:hint="eastAsia"/>
          <w:color w:val="auto"/>
          <w:lang w:val="en-US" w:eastAsia="zh-CN"/>
        </w:rPr>
        <w:t>+混凝池+终沉池</w:t>
      </w:r>
      <w:r>
        <w:rPr>
          <w:rFonts w:hint="eastAsia"/>
          <w:color w:val="auto"/>
        </w:rPr>
        <w:t>”，该单元污水处理设施的规模为</w:t>
      </w:r>
      <w:r>
        <w:rPr>
          <w:rFonts w:hint="eastAsia"/>
          <w:color w:val="auto"/>
          <w:lang w:val="en-US" w:eastAsia="zh-CN"/>
        </w:rPr>
        <w:t>3000</w:t>
      </w:r>
      <w:r>
        <w:rPr>
          <w:rFonts w:hint="eastAsia"/>
          <w:color w:val="auto"/>
        </w:rPr>
        <w:t>t/d。</w:t>
      </w:r>
    </w:p>
    <w:p>
      <w:pPr>
        <w:spacing w:line="520" w:lineRule="exact"/>
        <w:ind w:firstLine="480" w:firstLineChars="200"/>
        <w:rPr>
          <w:rFonts w:hint="eastAsia"/>
          <w:color w:val="auto"/>
        </w:rPr>
      </w:pPr>
      <w:r>
        <w:rPr>
          <w:rFonts w:hint="eastAsia"/>
          <w:color w:val="auto"/>
        </w:rPr>
        <w:t>项目建成后厂区污水处理站工艺流程如下：</w:t>
      </w:r>
    </w:p>
    <w:p>
      <w:pPr>
        <w:bidi w:val="0"/>
        <w:ind w:left="0" w:leftChars="0" w:firstLine="0" w:firstLineChars="0"/>
        <w:rPr>
          <w:color w:val="auto"/>
        </w:rPr>
      </w:pPr>
      <w:r>
        <w:rPr>
          <w:color w:val="auto"/>
        </w:rPr>
        <w:drawing>
          <wp:inline distT="0" distB="0" distL="114300" distR="114300">
            <wp:extent cx="5144135" cy="6098540"/>
            <wp:effectExtent l="0" t="0" r="6985" b="1270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47"/>
                    <a:stretch>
                      <a:fillRect/>
                    </a:stretch>
                  </pic:blipFill>
                  <pic:spPr>
                    <a:xfrm>
                      <a:off x="0" y="0"/>
                      <a:ext cx="5144135" cy="6098540"/>
                    </a:xfrm>
                    <a:prstGeom prst="rect">
                      <a:avLst/>
                    </a:prstGeom>
                    <a:noFill/>
                    <a:ln>
                      <a:noFill/>
                    </a:ln>
                  </pic:spPr>
                </pic:pic>
              </a:graphicData>
            </a:graphic>
          </wp:inline>
        </w:drawing>
      </w:r>
    </w:p>
    <w:p>
      <w:pPr>
        <w:pStyle w:val="181"/>
        <w:bidi w:val="0"/>
        <w:ind w:left="0" w:leftChars="0" w:firstLine="0" w:firstLineChars="0"/>
        <w:jc w:val="center"/>
        <w:rPr>
          <w:rFonts w:hint="eastAsia"/>
          <w:color w:val="auto"/>
          <w:lang w:val="en-US" w:eastAsia="zh-CN"/>
        </w:rPr>
      </w:pPr>
      <w:r>
        <w:rPr>
          <w:rFonts w:hint="eastAsia"/>
          <w:color w:val="auto"/>
          <w:lang w:val="en-US" w:eastAsia="zh-CN"/>
        </w:rPr>
        <w:t>图3.8-6  厂区内污水处理站处理工艺流程示意图</w:t>
      </w:r>
    </w:p>
    <w:p>
      <w:pPr>
        <w:rPr>
          <w:rFonts w:hint="default"/>
          <w:color w:val="auto"/>
          <w:lang w:val="en-US" w:eastAsia="zh-CN"/>
        </w:rPr>
      </w:pPr>
    </w:p>
    <w:p>
      <w:pPr>
        <w:bidi w:val="0"/>
        <w:ind w:left="0" w:leftChars="0" w:firstLine="0" w:firstLineChars="0"/>
        <w:rPr>
          <w:rFonts w:hint="eastAsia"/>
          <w:color w:val="auto"/>
        </w:rPr>
      </w:pPr>
      <w:r>
        <w:rPr>
          <w:color w:val="auto"/>
        </w:rPr>
        <w:drawing>
          <wp:inline distT="0" distB="0" distL="114300" distR="114300">
            <wp:extent cx="5578475" cy="2605405"/>
            <wp:effectExtent l="0" t="0" r="14605" b="635"/>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48"/>
                    <a:stretch>
                      <a:fillRect/>
                    </a:stretch>
                  </pic:blipFill>
                  <pic:spPr>
                    <a:xfrm>
                      <a:off x="0" y="0"/>
                      <a:ext cx="5578475" cy="2605405"/>
                    </a:xfrm>
                    <a:prstGeom prst="rect">
                      <a:avLst/>
                    </a:prstGeom>
                    <a:noFill/>
                    <a:ln>
                      <a:noFill/>
                    </a:ln>
                  </pic:spPr>
                </pic:pic>
              </a:graphicData>
            </a:graphic>
          </wp:inline>
        </w:drawing>
      </w:r>
    </w:p>
    <w:p>
      <w:pPr>
        <w:pStyle w:val="181"/>
        <w:bidi w:val="0"/>
        <w:ind w:left="0" w:leftChars="0" w:firstLine="0" w:firstLineChars="0"/>
        <w:jc w:val="center"/>
        <w:rPr>
          <w:rFonts w:hint="eastAsia"/>
          <w:color w:val="auto"/>
        </w:rPr>
      </w:pPr>
      <w:r>
        <w:rPr>
          <w:rFonts w:hint="eastAsia"/>
          <w:color w:val="auto"/>
        </w:rPr>
        <w:t>图</w:t>
      </w:r>
      <w:r>
        <w:rPr>
          <w:color w:val="auto"/>
        </w:rPr>
        <w:t>3.</w:t>
      </w:r>
      <w:r>
        <w:rPr>
          <w:rFonts w:hint="eastAsia"/>
          <w:color w:val="auto"/>
          <w:lang w:val="en-US" w:eastAsia="zh-CN"/>
        </w:rPr>
        <w:t>8</w:t>
      </w:r>
      <w:r>
        <w:rPr>
          <w:rFonts w:hint="eastAsia"/>
          <w:color w:val="auto"/>
        </w:rPr>
        <w:t>-</w:t>
      </w:r>
      <w:r>
        <w:rPr>
          <w:rFonts w:hint="eastAsia"/>
          <w:color w:val="auto"/>
          <w:lang w:val="en-US" w:eastAsia="zh-CN"/>
        </w:rPr>
        <w:t>7</w:t>
      </w:r>
      <w:r>
        <w:rPr>
          <w:color w:val="auto"/>
        </w:rPr>
        <w:t xml:space="preserve">  </w:t>
      </w:r>
      <w:r>
        <w:rPr>
          <w:rFonts w:hint="eastAsia"/>
          <w:color w:val="auto"/>
          <w:lang w:val="en-US" w:eastAsia="zh-CN"/>
        </w:rPr>
        <w:t>本项目</w:t>
      </w:r>
      <w:r>
        <w:rPr>
          <w:rFonts w:hint="eastAsia"/>
          <w:color w:val="auto"/>
        </w:rPr>
        <w:t>厂区内污水处理站处理工艺流程示意图</w:t>
      </w:r>
    </w:p>
    <w:p>
      <w:pPr>
        <w:pStyle w:val="181"/>
        <w:bidi w:val="0"/>
        <w:rPr>
          <w:rFonts w:hint="eastAsia"/>
          <w:color w:val="auto"/>
        </w:rPr>
      </w:pPr>
      <w:r>
        <w:rPr>
          <w:rFonts w:hint="eastAsia"/>
          <w:color w:val="auto"/>
        </w:rPr>
        <w:t>表</w:t>
      </w:r>
      <w:r>
        <w:rPr>
          <w:rFonts w:hint="eastAsia"/>
          <w:color w:val="auto"/>
          <w:lang w:val="en-US" w:eastAsia="zh-CN"/>
        </w:rPr>
        <w:t>3.8</w:t>
      </w:r>
      <w:r>
        <w:rPr>
          <w:rFonts w:hint="eastAsia"/>
          <w:color w:val="auto"/>
        </w:rPr>
        <w:t>-</w:t>
      </w:r>
      <w:r>
        <w:rPr>
          <w:rFonts w:hint="eastAsia"/>
          <w:color w:val="auto"/>
          <w:lang w:val="en-US" w:eastAsia="zh-CN"/>
        </w:rPr>
        <w:t>18</w:t>
      </w:r>
      <w:r>
        <w:rPr>
          <w:rFonts w:hint="eastAsia"/>
          <w:color w:val="auto"/>
        </w:rPr>
        <w:t xml:space="preserve"> </w:t>
      </w:r>
      <w:r>
        <w:rPr>
          <w:color w:val="auto"/>
        </w:rPr>
        <w:t xml:space="preserve"> </w:t>
      </w:r>
      <w:r>
        <w:rPr>
          <w:rFonts w:hint="eastAsia"/>
          <w:color w:val="auto"/>
          <w:lang w:val="en-US" w:eastAsia="zh-CN"/>
        </w:rPr>
        <w:t xml:space="preserve">    </w:t>
      </w:r>
      <w:r>
        <w:rPr>
          <w:rFonts w:hint="eastAsia"/>
          <w:color w:val="auto"/>
        </w:rPr>
        <w:t>各污水处理单元处理工艺及富余处理能力</w:t>
      </w:r>
    </w:p>
    <w:tbl>
      <w:tblPr>
        <w:tblStyle w:val="32"/>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92"/>
        <w:gridCol w:w="2627"/>
        <w:gridCol w:w="1054"/>
        <w:gridCol w:w="2759"/>
        <w:gridCol w:w="99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22" w:hRule="atLeast"/>
          <w:jc w:val="center"/>
        </w:trPr>
        <w:tc>
          <w:tcPr>
            <w:tcW w:w="1092" w:type="dxa"/>
            <w:tcBorders>
              <w:bottom w:val="single" w:color="000000" w:sz="4" w:space="0"/>
              <w:right w:val="single" w:color="000000" w:sz="4" w:space="0"/>
            </w:tcBorders>
            <w:vAlign w:val="center"/>
          </w:tcPr>
          <w:p>
            <w:pPr>
              <w:pStyle w:val="182"/>
              <w:bidi w:val="0"/>
              <w:rPr>
                <w:b/>
                <w:bCs/>
                <w:color w:val="auto"/>
              </w:rPr>
            </w:pPr>
            <w:r>
              <w:rPr>
                <w:b/>
                <w:bCs/>
                <w:color w:val="auto"/>
              </w:rPr>
              <w:t>单元名称</w:t>
            </w:r>
          </w:p>
        </w:tc>
        <w:tc>
          <w:tcPr>
            <w:tcW w:w="2627" w:type="dxa"/>
            <w:tcBorders>
              <w:left w:val="single" w:color="000000" w:sz="4" w:space="0"/>
              <w:bottom w:val="single" w:color="000000" w:sz="4" w:space="0"/>
              <w:right w:val="single" w:color="000000" w:sz="4" w:space="0"/>
            </w:tcBorders>
            <w:vAlign w:val="center"/>
          </w:tcPr>
          <w:p>
            <w:pPr>
              <w:pStyle w:val="182"/>
              <w:bidi w:val="0"/>
              <w:rPr>
                <w:b/>
                <w:bCs/>
                <w:color w:val="auto"/>
              </w:rPr>
            </w:pPr>
            <w:r>
              <w:rPr>
                <w:b/>
                <w:bCs/>
                <w:color w:val="auto"/>
              </w:rPr>
              <w:t>处理工艺</w:t>
            </w:r>
          </w:p>
        </w:tc>
        <w:tc>
          <w:tcPr>
            <w:tcW w:w="1054" w:type="dxa"/>
            <w:tcBorders>
              <w:left w:val="single" w:color="000000" w:sz="4" w:space="0"/>
              <w:bottom w:val="single" w:color="000000" w:sz="4" w:space="0"/>
              <w:right w:val="single" w:color="000000" w:sz="4" w:space="0"/>
            </w:tcBorders>
            <w:vAlign w:val="center"/>
          </w:tcPr>
          <w:p>
            <w:pPr>
              <w:pStyle w:val="182"/>
              <w:bidi w:val="0"/>
              <w:rPr>
                <w:b/>
                <w:bCs/>
                <w:color w:val="auto"/>
              </w:rPr>
            </w:pPr>
            <w:r>
              <w:rPr>
                <w:b/>
                <w:bCs/>
                <w:color w:val="auto"/>
              </w:rPr>
              <w:t>处理规</w:t>
            </w:r>
          </w:p>
          <w:p>
            <w:pPr>
              <w:pStyle w:val="182"/>
              <w:bidi w:val="0"/>
              <w:rPr>
                <w:b/>
                <w:bCs/>
                <w:color w:val="auto"/>
              </w:rPr>
            </w:pPr>
            <w:r>
              <w:rPr>
                <w:b/>
                <w:bCs/>
                <w:color w:val="auto"/>
              </w:rPr>
              <w:t>模m</w:t>
            </w:r>
            <w:r>
              <w:rPr>
                <w:b/>
                <w:bCs/>
                <w:color w:val="auto"/>
                <w:vertAlign w:val="superscript"/>
              </w:rPr>
              <w:t>3</w:t>
            </w:r>
            <w:r>
              <w:rPr>
                <w:b/>
                <w:bCs/>
                <w:color w:val="auto"/>
              </w:rPr>
              <w:t>/d</w:t>
            </w:r>
          </w:p>
        </w:tc>
        <w:tc>
          <w:tcPr>
            <w:tcW w:w="2759" w:type="dxa"/>
            <w:tcBorders>
              <w:left w:val="single" w:color="000000" w:sz="4" w:space="0"/>
              <w:bottom w:val="single" w:color="000000" w:sz="4" w:space="0"/>
              <w:right w:val="single" w:color="000000" w:sz="4" w:space="0"/>
            </w:tcBorders>
            <w:vAlign w:val="center"/>
          </w:tcPr>
          <w:p>
            <w:pPr>
              <w:pStyle w:val="182"/>
              <w:bidi w:val="0"/>
              <w:rPr>
                <w:b/>
                <w:bCs/>
                <w:color w:val="auto"/>
              </w:rPr>
            </w:pPr>
            <w:r>
              <w:rPr>
                <w:b/>
                <w:bCs/>
                <w:color w:val="auto"/>
              </w:rPr>
              <w:t>已接收废水水量m</w:t>
            </w:r>
            <w:r>
              <w:rPr>
                <w:b/>
                <w:bCs/>
                <w:color w:val="auto"/>
                <w:vertAlign w:val="superscript"/>
              </w:rPr>
              <w:t>3</w:t>
            </w:r>
            <w:r>
              <w:rPr>
                <w:b/>
                <w:bCs/>
                <w:color w:val="auto"/>
              </w:rPr>
              <w:t>/d</w:t>
            </w:r>
          </w:p>
        </w:tc>
        <w:tc>
          <w:tcPr>
            <w:tcW w:w="997" w:type="dxa"/>
            <w:tcBorders>
              <w:left w:val="single" w:color="000000" w:sz="4" w:space="0"/>
              <w:bottom w:val="single" w:color="000000" w:sz="4" w:space="0"/>
            </w:tcBorders>
            <w:vAlign w:val="center"/>
          </w:tcPr>
          <w:p>
            <w:pPr>
              <w:pStyle w:val="182"/>
              <w:bidi w:val="0"/>
              <w:rPr>
                <w:b/>
                <w:bCs/>
                <w:color w:val="auto"/>
              </w:rPr>
            </w:pPr>
            <w:r>
              <w:rPr>
                <w:b/>
                <w:bCs/>
                <w:color w:val="auto"/>
              </w:rPr>
              <w:t>富余处理能力m</w:t>
            </w:r>
            <w:r>
              <w:rPr>
                <w:b/>
                <w:bCs/>
                <w:color w:val="auto"/>
                <w:vertAlign w:val="superscript"/>
              </w:rPr>
              <w:t>3</w:t>
            </w:r>
            <w:r>
              <w:rPr>
                <w:b/>
                <w:bCs/>
                <w:color w:val="auto"/>
              </w:rPr>
              <w:t>/d</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17"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color w:val="auto"/>
              </w:rPr>
              <w:t>粘胶废水综合处理单元</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粘胶纤维先进入酸化池内与部分酸性废水混合进行酸化，然后经“调节+中和+沉淀+氧化沟+二沉池”处理后排放</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6000</w:t>
            </w:r>
          </w:p>
        </w:tc>
        <w:tc>
          <w:tcPr>
            <w:tcW w:w="2759" w:type="dxa"/>
            <w:vMerge w:val="restar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长丝项目废水：13422.9</w:t>
            </w:r>
          </w:p>
          <w:p>
            <w:pPr>
              <w:pStyle w:val="182"/>
              <w:bidi w:val="0"/>
              <w:rPr>
                <w:rFonts w:hint="eastAsia"/>
                <w:color w:val="auto"/>
                <w:lang w:eastAsia="zh-CN"/>
              </w:rPr>
            </w:pPr>
            <w:r>
              <w:rPr>
                <w:color w:val="auto"/>
              </w:rPr>
              <w:t>短丝项目废水：9361</w:t>
            </w:r>
            <w:r>
              <w:rPr>
                <w:rFonts w:hint="eastAsia"/>
                <w:color w:val="auto"/>
                <w:lang w:eastAsia="zh-CN"/>
              </w:rPr>
              <w:t>（</w:t>
            </w:r>
            <w:r>
              <w:rPr>
                <w:rFonts w:hint="eastAsia"/>
                <w:color w:val="auto"/>
                <w:lang w:val="en-US" w:eastAsia="zh-CN"/>
              </w:rPr>
              <w:t>已淘汰</w:t>
            </w:r>
            <w:r>
              <w:rPr>
                <w:rFonts w:hint="eastAsia"/>
                <w:color w:val="auto"/>
                <w:lang w:eastAsia="zh-CN"/>
              </w:rPr>
              <w:t>）</w:t>
            </w:r>
          </w:p>
          <w:p>
            <w:pPr>
              <w:pStyle w:val="182"/>
              <w:bidi w:val="0"/>
              <w:rPr>
                <w:rFonts w:hint="default"/>
                <w:color w:val="auto"/>
                <w:lang w:val="en-US" w:eastAsia="zh-CN"/>
              </w:rPr>
            </w:pPr>
            <w:r>
              <w:rPr>
                <w:color w:val="auto"/>
              </w:rPr>
              <w:t>脱硫除尘废水：</w:t>
            </w:r>
            <w:r>
              <w:rPr>
                <w:rFonts w:hint="eastAsia"/>
                <w:color w:val="auto"/>
                <w:lang w:val="en-US" w:eastAsia="zh-CN"/>
              </w:rPr>
              <w:t>400</w:t>
            </w:r>
          </w:p>
          <w:p>
            <w:pPr>
              <w:pStyle w:val="182"/>
              <w:bidi w:val="0"/>
              <w:rPr>
                <w:rFonts w:hint="default"/>
                <w:color w:val="auto"/>
                <w:lang w:val="en-US" w:eastAsia="zh-CN"/>
              </w:rPr>
            </w:pPr>
            <w:r>
              <w:rPr>
                <w:color w:val="auto"/>
              </w:rPr>
              <w:t>合计：</w:t>
            </w:r>
            <w:r>
              <w:rPr>
                <w:rFonts w:hint="eastAsia"/>
                <w:color w:val="auto"/>
                <w:lang w:val="en-US" w:eastAsia="zh-CN"/>
              </w:rPr>
              <w:t>13822.9</w:t>
            </w:r>
          </w:p>
        </w:tc>
        <w:tc>
          <w:tcPr>
            <w:tcW w:w="997" w:type="dxa"/>
            <w:vMerge w:val="restart"/>
            <w:tcBorders>
              <w:top w:val="single" w:color="000000" w:sz="4" w:space="0"/>
              <w:left w:val="single" w:color="000000" w:sz="4" w:space="0"/>
              <w:bottom w:val="single" w:color="000000" w:sz="4" w:space="0"/>
            </w:tcBorders>
            <w:vAlign w:val="center"/>
          </w:tcPr>
          <w:p>
            <w:pPr>
              <w:pStyle w:val="182"/>
              <w:bidi w:val="0"/>
              <w:rPr>
                <w:rFonts w:hint="default"/>
                <w:color w:val="auto"/>
                <w:lang w:val="en-US" w:eastAsia="zh-CN"/>
              </w:rPr>
            </w:pPr>
            <w:r>
              <w:rPr>
                <w:rFonts w:hint="eastAsia"/>
                <w:color w:val="auto"/>
                <w:lang w:val="en-US" w:eastAsia="zh-CN"/>
              </w:rPr>
              <w:t>21177.1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rFonts w:hint="eastAsia"/>
                <w:color w:val="auto"/>
                <w:lang w:val="en-US" w:eastAsia="zh-CN"/>
              </w:rPr>
              <w:t>长丝</w:t>
            </w:r>
            <w:r>
              <w:rPr>
                <w:color w:val="auto"/>
              </w:rPr>
              <w:t>酸性废水处理一区</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“中和</w:t>
            </w:r>
            <w:r>
              <w:rPr>
                <w:rFonts w:hint="eastAsia"/>
                <w:color w:val="auto"/>
                <w:lang w:eastAsia="zh-CN"/>
              </w:rPr>
              <w:t>－</w:t>
            </w:r>
            <w:r>
              <w:rPr>
                <w:color w:val="auto"/>
              </w:rPr>
              <w:t>沉淀-pH调节”</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19000</w:t>
            </w:r>
          </w:p>
        </w:tc>
        <w:tc>
          <w:tcPr>
            <w:tcW w:w="2759" w:type="dxa"/>
            <w:vMerge w:val="continue"/>
            <w:tcBorders>
              <w:top w:val="nil"/>
              <w:left w:val="single" w:color="000000" w:sz="4" w:space="0"/>
              <w:bottom w:val="single" w:color="000000" w:sz="4" w:space="0"/>
              <w:right w:val="single" w:color="000000" w:sz="4" w:space="0"/>
            </w:tcBorders>
            <w:vAlign w:val="center"/>
          </w:tcPr>
          <w:p>
            <w:pPr>
              <w:pStyle w:val="182"/>
              <w:bidi w:val="0"/>
              <w:rPr>
                <w:color w:val="auto"/>
              </w:rPr>
            </w:pPr>
          </w:p>
        </w:tc>
        <w:tc>
          <w:tcPr>
            <w:tcW w:w="997" w:type="dxa"/>
            <w:vMerge w:val="continue"/>
            <w:tcBorders>
              <w:top w:val="nil"/>
              <w:left w:val="single" w:color="000000" w:sz="4" w:space="0"/>
              <w:bottom w:val="single" w:color="000000" w:sz="4" w:space="0"/>
            </w:tcBorders>
            <w:vAlign w:val="center"/>
          </w:tcPr>
          <w:p>
            <w:pPr>
              <w:pStyle w:val="182"/>
              <w:bidi w:val="0"/>
              <w:rPr>
                <w:color w:val="auto"/>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3"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rFonts w:hint="eastAsia"/>
                <w:color w:val="auto"/>
                <w:lang w:val="en-US" w:eastAsia="zh-CN"/>
              </w:rPr>
              <w:t>长丝</w:t>
            </w:r>
            <w:r>
              <w:rPr>
                <w:color w:val="auto"/>
              </w:rPr>
              <w:t>酸性废水处理二区</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“中和-沉淀-pH调节”</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10000</w:t>
            </w:r>
          </w:p>
        </w:tc>
        <w:tc>
          <w:tcPr>
            <w:tcW w:w="2759" w:type="dxa"/>
            <w:vMerge w:val="continue"/>
            <w:tcBorders>
              <w:top w:val="nil"/>
              <w:left w:val="single" w:color="000000" w:sz="4" w:space="0"/>
              <w:bottom w:val="single" w:color="000000" w:sz="4" w:space="0"/>
              <w:right w:val="single" w:color="000000" w:sz="4" w:space="0"/>
            </w:tcBorders>
            <w:vAlign w:val="center"/>
          </w:tcPr>
          <w:p>
            <w:pPr>
              <w:pStyle w:val="182"/>
              <w:bidi w:val="0"/>
              <w:rPr>
                <w:color w:val="auto"/>
              </w:rPr>
            </w:pPr>
          </w:p>
        </w:tc>
        <w:tc>
          <w:tcPr>
            <w:tcW w:w="997" w:type="dxa"/>
            <w:vMerge w:val="continue"/>
            <w:tcBorders>
              <w:top w:val="nil"/>
              <w:left w:val="single" w:color="000000" w:sz="4" w:space="0"/>
              <w:bottom w:val="single" w:color="000000" w:sz="4" w:space="0"/>
            </w:tcBorders>
            <w:vAlign w:val="center"/>
          </w:tcPr>
          <w:p>
            <w:pPr>
              <w:pStyle w:val="182"/>
              <w:bidi w:val="0"/>
              <w:rPr>
                <w:color w:val="auto"/>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17"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color w:val="auto"/>
              </w:rPr>
              <w:t>氨纶、绿纤废水处理单元</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“调节+混合池+沉淀+水解酸化+氧化沟+二沉池</w:t>
            </w:r>
            <w:r>
              <w:rPr>
                <w:rFonts w:hint="eastAsia"/>
                <w:color w:val="auto"/>
                <w:lang w:val="en-US" w:eastAsia="zh-CN"/>
              </w:rPr>
              <w:t>+混凝池+终沉池</w:t>
            </w:r>
            <w:r>
              <w:rPr>
                <w:color w:val="auto"/>
              </w:rPr>
              <w:t>”</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3000</w:t>
            </w:r>
          </w:p>
        </w:tc>
        <w:tc>
          <w:tcPr>
            <w:tcW w:w="2759" w:type="dxa"/>
            <w:tcBorders>
              <w:top w:val="single" w:color="000000" w:sz="4" w:space="0"/>
              <w:left w:val="single" w:color="000000" w:sz="4" w:space="0"/>
              <w:bottom w:val="single" w:color="000000" w:sz="4" w:space="0"/>
              <w:right w:val="single" w:color="000000" w:sz="4" w:space="0"/>
            </w:tcBorders>
            <w:vAlign w:val="center"/>
          </w:tcPr>
          <w:p>
            <w:pPr>
              <w:pStyle w:val="182"/>
              <w:bidi w:val="0"/>
              <w:rPr>
                <w:rFonts w:hint="eastAsia"/>
                <w:color w:val="auto"/>
                <w:lang w:eastAsia="zh-CN"/>
              </w:rPr>
            </w:pPr>
            <w:r>
              <w:rPr>
                <w:color w:val="auto"/>
              </w:rPr>
              <w:t>绿纤废水：1711.74</w:t>
            </w:r>
            <w:r>
              <w:rPr>
                <w:rFonts w:hint="eastAsia"/>
                <w:color w:val="auto"/>
                <w:lang w:eastAsia="zh-CN"/>
              </w:rPr>
              <w:t>（</w:t>
            </w:r>
            <w:r>
              <w:rPr>
                <w:rFonts w:hint="eastAsia"/>
                <w:color w:val="auto"/>
                <w:lang w:val="en-US" w:eastAsia="zh-CN"/>
              </w:rPr>
              <w:t>2023年5月份不再接收</w:t>
            </w:r>
            <w:r>
              <w:rPr>
                <w:rFonts w:hint="eastAsia"/>
                <w:color w:val="auto"/>
                <w:lang w:eastAsia="zh-CN"/>
              </w:rPr>
              <w:t>）</w:t>
            </w:r>
          </w:p>
          <w:p>
            <w:pPr>
              <w:pStyle w:val="182"/>
              <w:bidi w:val="0"/>
              <w:rPr>
                <w:color w:val="auto"/>
              </w:rPr>
            </w:pPr>
            <w:r>
              <w:rPr>
                <w:color w:val="auto"/>
              </w:rPr>
              <w:t>氨纶废水：869.792</w:t>
            </w:r>
          </w:p>
          <w:p>
            <w:pPr>
              <w:pStyle w:val="182"/>
              <w:bidi w:val="0"/>
              <w:rPr>
                <w:rFonts w:hint="default"/>
                <w:color w:val="auto"/>
                <w:lang w:val="en-US" w:eastAsia="zh-CN"/>
              </w:rPr>
            </w:pPr>
            <w:r>
              <w:rPr>
                <w:color w:val="auto"/>
              </w:rPr>
              <w:t>合计：</w:t>
            </w:r>
            <w:r>
              <w:rPr>
                <w:rFonts w:hint="default"/>
                <w:color w:val="auto"/>
                <w:lang w:val="en-US" w:eastAsia="zh-CN"/>
              </w:rPr>
              <w:t>2581.53</w:t>
            </w:r>
          </w:p>
        </w:tc>
        <w:tc>
          <w:tcPr>
            <w:tcW w:w="997" w:type="dxa"/>
            <w:tcBorders>
              <w:top w:val="single" w:color="000000" w:sz="4" w:space="0"/>
              <w:left w:val="single" w:color="000000" w:sz="4" w:space="0"/>
              <w:bottom w:val="single" w:color="000000" w:sz="4" w:space="0"/>
            </w:tcBorders>
            <w:vAlign w:val="center"/>
          </w:tcPr>
          <w:p>
            <w:pPr>
              <w:pStyle w:val="182"/>
              <w:bidi w:val="0"/>
              <w:rPr>
                <w:rFonts w:hint="default"/>
                <w:color w:val="auto"/>
                <w:lang w:val="en-US"/>
              </w:rPr>
            </w:pPr>
            <w:r>
              <w:rPr>
                <w:rFonts w:hint="default"/>
                <w:color w:val="auto"/>
                <w:lang w:val="en-US" w:eastAsia="zh-CN"/>
              </w:rPr>
              <w:t>418.4</w:t>
            </w:r>
            <w:r>
              <w:rPr>
                <w:rFonts w:hint="eastAsia"/>
                <w:color w:val="auto"/>
                <w:lang w:val="en-US" w:eastAsia="zh-CN"/>
              </w:rPr>
              <w:t>7</w:t>
            </w:r>
          </w:p>
          <w:p>
            <w:pPr>
              <w:pStyle w:val="182"/>
              <w:bidi w:val="0"/>
              <w:rPr>
                <w:rFonts w:hint="default"/>
                <w:color w:val="auto"/>
                <w:lang w:val="en-US" w:eastAsia="zh-CN"/>
              </w:rPr>
            </w:pPr>
            <w:r>
              <w:rPr>
                <w:rFonts w:hint="eastAsia"/>
                <w:color w:val="auto"/>
                <w:lang w:val="en-US" w:eastAsia="zh-CN"/>
              </w:rPr>
              <w:t>（2023年5月后2130.21）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color w:val="auto"/>
              </w:rPr>
              <w:t>清净下水</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w:t>
            </w:r>
          </w:p>
        </w:tc>
        <w:tc>
          <w:tcPr>
            <w:tcW w:w="2759" w:type="dxa"/>
            <w:tcBorders>
              <w:top w:val="single" w:color="000000" w:sz="4" w:space="0"/>
              <w:left w:val="single" w:color="000000" w:sz="4" w:space="0"/>
              <w:bottom w:val="single" w:color="000000" w:sz="4" w:space="0"/>
              <w:right w:val="single" w:color="000000" w:sz="4" w:space="0"/>
            </w:tcBorders>
            <w:vAlign w:val="center"/>
          </w:tcPr>
          <w:p>
            <w:pPr>
              <w:pStyle w:val="182"/>
              <w:bidi w:val="0"/>
              <w:rPr>
                <w:rFonts w:hint="eastAsia"/>
                <w:color w:val="auto"/>
                <w:lang w:val="en-US" w:eastAsia="zh-CN"/>
              </w:rPr>
            </w:pPr>
            <w:r>
              <w:rPr>
                <w:rFonts w:hint="eastAsia"/>
                <w:color w:val="auto"/>
              </w:rPr>
              <w:t>3646.82</w:t>
            </w:r>
          </w:p>
        </w:tc>
        <w:tc>
          <w:tcPr>
            <w:tcW w:w="997" w:type="dxa"/>
            <w:tcBorders>
              <w:top w:val="single" w:color="000000" w:sz="4" w:space="0"/>
              <w:left w:val="single" w:color="000000" w:sz="4" w:space="0"/>
              <w:bottom w:val="single" w:color="000000" w:sz="4" w:space="0"/>
            </w:tcBorders>
            <w:vAlign w:val="center"/>
          </w:tcPr>
          <w:p>
            <w:pPr>
              <w:pStyle w:val="182"/>
              <w:bidi w:val="0"/>
              <w:rPr>
                <w:color w:val="auto"/>
              </w:rPr>
            </w:pPr>
            <w:r>
              <w:rPr>
                <w:color w:val="auto"/>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color w:val="auto"/>
              </w:rPr>
              <w:t>合计</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w:t>
            </w:r>
          </w:p>
        </w:tc>
        <w:tc>
          <w:tcPr>
            <w:tcW w:w="2759" w:type="dxa"/>
            <w:tcBorders>
              <w:top w:val="single" w:color="000000" w:sz="4" w:space="0"/>
              <w:left w:val="single" w:color="000000" w:sz="4" w:space="0"/>
              <w:bottom w:val="single" w:color="000000" w:sz="4" w:space="0"/>
              <w:right w:val="single" w:color="000000" w:sz="4" w:space="0"/>
            </w:tcBorders>
            <w:vAlign w:val="center"/>
          </w:tcPr>
          <w:p>
            <w:pPr>
              <w:pStyle w:val="182"/>
              <w:bidi w:val="0"/>
              <w:rPr>
                <w:rFonts w:hint="default"/>
                <w:color w:val="auto"/>
                <w:lang w:val="en-US" w:eastAsia="zh-CN"/>
              </w:rPr>
            </w:pPr>
            <w:r>
              <w:rPr>
                <w:rFonts w:hint="eastAsia"/>
                <w:color w:val="auto"/>
              </w:rPr>
              <w:t>20998.98</w:t>
            </w:r>
          </w:p>
        </w:tc>
        <w:tc>
          <w:tcPr>
            <w:tcW w:w="997" w:type="dxa"/>
            <w:tcBorders>
              <w:top w:val="single" w:color="000000" w:sz="4" w:space="0"/>
              <w:left w:val="single" w:color="000000" w:sz="4" w:space="0"/>
              <w:bottom w:val="single" w:color="000000" w:sz="4" w:space="0"/>
            </w:tcBorders>
            <w:vAlign w:val="center"/>
          </w:tcPr>
          <w:p>
            <w:pPr>
              <w:pStyle w:val="182"/>
              <w:bidi w:val="0"/>
              <w:rPr>
                <w:color w:val="auto"/>
              </w:rPr>
            </w:pPr>
            <w:r>
              <w:rPr>
                <w:color w:val="auto"/>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4" w:hRule="atLeast"/>
          <w:jc w:val="center"/>
        </w:trPr>
        <w:tc>
          <w:tcPr>
            <w:tcW w:w="1092" w:type="dxa"/>
            <w:tcBorders>
              <w:top w:val="single" w:color="000000" w:sz="4" w:space="0"/>
              <w:right w:val="single" w:color="000000" w:sz="4" w:space="0"/>
            </w:tcBorders>
            <w:vAlign w:val="center"/>
          </w:tcPr>
          <w:p>
            <w:pPr>
              <w:pStyle w:val="182"/>
              <w:bidi w:val="0"/>
              <w:rPr>
                <w:color w:val="auto"/>
              </w:rPr>
            </w:pPr>
            <w:r>
              <w:rPr>
                <w:color w:val="auto"/>
              </w:rPr>
              <w:t>备注</w:t>
            </w:r>
          </w:p>
        </w:tc>
        <w:tc>
          <w:tcPr>
            <w:tcW w:w="7437" w:type="dxa"/>
            <w:gridSpan w:val="4"/>
            <w:tcBorders>
              <w:top w:val="single" w:color="000000" w:sz="4" w:space="0"/>
              <w:left w:val="single" w:color="000000" w:sz="4" w:space="0"/>
            </w:tcBorders>
            <w:vAlign w:val="center"/>
          </w:tcPr>
          <w:p>
            <w:pPr>
              <w:pStyle w:val="182"/>
              <w:bidi w:val="0"/>
              <w:rPr>
                <w:color w:val="auto"/>
              </w:rPr>
            </w:pPr>
            <w:r>
              <w:rPr>
                <w:color w:val="auto"/>
              </w:rPr>
              <w:t>已接收废水考虑了现有厂区（包括绿纤）已建、在建及停产的所有项目废水</w:t>
            </w:r>
          </w:p>
        </w:tc>
      </w:tr>
    </w:tbl>
    <w:p>
      <w:pPr>
        <w:bidi w:val="0"/>
        <w:rPr>
          <w:rFonts w:hint="default" w:eastAsia="宋体"/>
          <w:b/>
          <w:bCs/>
          <w:color w:val="auto"/>
          <w:u w:val="single"/>
          <w:lang w:val="en-US" w:eastAsia="zh-CN"/>
        </w:rPr>
      </w:pPr>
      <w:r>
        <w:rPr>
          <w:rFonts w:hint="eastAsia"/>
          <w:b/>
          <w:bCs/>
          <w:color w:val="auto"/>
          <w:highlight w:val="none"/>
          <w:u w:val="single"/>
        </w:rPr>
        <w:t>本项目建成后废水产生量为</w:t>
      </w:r>
      <w:r>
        <w:rPr>
          <w:rFonts w:hint="eastAsia"/>
          <w:b/>
          <w:bCs/>
          <w:color w:val="auto"/>
          <w:highlight w:val="none"/>
          <w:u w:val="single"/>
          <w:lang w:val="en-US" w:eastAsia="zh-CN"/>
        </w:rPr>
        <w:t xml:space="preserve">947.73 </w:t>
      </w:r>
      <w:r>
        <w:rPr>
          <w:b/>
          <w:bCs/>
          <w:color w:val="auto"/>
          <w:highlight w:val="none"/>
          <w:u w:val="single"/>
        </w:rPr>
        <w:t>m</w:t>
      </w:r>
      <w:r>
        <w:rPr>
          <w:b/>
          <w:bCs/>
          <w:color w:val="auto"/>
          <w:highlight w:val="none"/>
          <w:u w:val="single"/>
          <w:vertAlign w:val="superscript"/>
        </w:rPr>
        <w:t>3</w:t>
      </w:r>
      <w:r>
        <w:rPr>
          <w:b/>
          <w:bCs/>
          <w:color w:val="auto"/>
          <w:highlight w:val="none"/>
          <w:u w:val="single"/>
        </w:rPr>
        <w:t>/d</w:t>
      </w:r>
      <w:r>
        <w:rPr>
          <w:rFonts w:hint="eastAsia"/>
          <w:b/>
          <w:bCs/>
          <w:color w:val="auto"/>
          <w:highlight w:val="none"/>
          <w:u w:val="single"/>
          <w:lang w:val="en-US" w:eastAsia="zh-CN"/>
        </w:rPr>
        <w:t>，污水进入“调节+混合池+沉淀+水解酸化+氧化沟+二沉池+混凝池+终沉池”水处理单元处理</w:t>
      </w:r>
      <w:r>
        <w:rPr>
          <w:rFonts w:hint="eastAsia"/>
          <w:b/>
          <w:bCs/>
          <w:color w:val="auto"/>
          <w:highlight w:val="none"/>
          <w:u w:val="single"/>
          <w:lang w:eastAsia="zh-CN"/>
        </w:rPr>
        <w:t>。</w:t>
      </w:r>
      <w:r>
        <w:rPr>
          <w:rFonts w:hint="eastAsia"/>
          <w:color w:val="auto"/>
          <w:lang w:val="en-US" w:eastAsia="zh-CN"/>
        </w:rPr>
        <w:t>企业</w:t>
      </w:r>
      <w:r>
        <w:rPr>
          <w:rFonts w:hint="eastAsia"/>
          <w:color w:val="auto"/>
        </w:rPr>
        <w:t>两条年产4万吨短丝的生产线已经淘汰拆除，新厂区污水处理站目前富余污水处理能力</w:t>
      </w:r>
      <w:r>
        <w:rPr>
          <w:rFonts w:hint="eastAsia"/>
          <w:color w:val="auto"/>
          <w:lang w:val="en-US" w:eastAsia="zh-CN"/>
        </w:rPr>
        <w:t>为21595.57</w:t>
      </w:r>
      <w:r>
        <w:rPr>
          <w:rFonts w:hint="eastAsia"/>
          <w:color w:val="auto"/>
        </w:rPr>
        <w:t>m</w:t>
      </w:r>
      <w:r>
        <w:rPr>
          <w:rFonts w:hint="eastAsia"/>
          <w:color w:val="auto"/>
          <w:vertAlign w:val="superscript"/>
        </w:rPr>
        <w:t>3</w:t>
      </w:r>
      <w:r>
        <w:rPr>
          <w:rFonts w:hint="eastAsia"/>
          <w:color w:val="auto"/>
        </w:rPr>
        <w:t>/d，其中氨纶</w:t>
      </w:r>
      <w:r>
        <w:rPr>
          <w:rFonts w:hint="eastAsia"/>
          <w:color w:val="auto"/>
          <w:lang w:eastAsia="zh-CN"/>
        </w:rPr>
        <w:t>、</w:t>
      </w:r>
      <w:r>
        <w:rPr>
          <w:rFonts w:hint="eastAsia"/>
          <w:color w:val="auto"/>
        </w:rPr>
        <w:t>绿纤废水处理单元富余污水处理能力约418.47m</w:t>
      </w:r>
      <w:r>
        <w:rPr>
          <w:rFonts w:hint="eastAsia"/>
          <w:color w:val="auto"/>
          <w:vertAlign w:val="superscript"/>
        </w:rPr>
        <w:t>3</w:t>
      </w:r>
      <w:r>
        <w:rPr>
          <w:rFonts w:hint="eastAsia"/>
          <w:color w:val="auto"/>
        </w:rPr>
        <w:t>/d，2023年5月份</w:t>
      </w:r>
      <w:r>
        <w:rPr>
          <w:rFonts w:hint="eastAsia"/>
          <w:color w:val="auto"/>
          <w:lang w:val="en-US" w:eastAsia="zh-CN"/>
        </w:rPr>
        <w:t>绿纤公司运行新建设的污水处理站，新厂区污水处理站</w:t>
      </w:r>
      <w:r>
        <w:rPr>
          <w:rFonts w:hint="eastAsia"/>
          <w:color w:val="auto"/>
        </w:rPr>
        <w:t>不再接收</w:t>
      </w:r>
      <w:r>
        <w:rPr>
          <w:rFonts w:hint="eastAsia"/>
          <w:color w:val="auto"/>
          <w:lang w:val="en-US" w:eastAsia="zh-CN"/>
        </w:rPr>
        <w:t>任何绿纤公司的废水。届时</w:t>
      </w:r>
      <w:r>
        <w:rPr>
          <w:rFonts w:hint="eastAsia"/>
          <w:color w:val="auto"/>
        </w:rPr>
        <w:t>氨纶</w:t>
      </w:r>
      <w:r>
        <w:rPr>
          <w:rFonts w:hint="eastAsia"/>
          <w:color w:val="auto"/>
          <w:lang w:eastAsia="zh-CN"/>
        </w:rPr>
        <w:t>、</w:t>
      </w:r>
      <w:r>
        <w:rPr>
          <w:rFonts w:hint="eastAsia"/>
          <w:color w:val="auto"/>
        </w:rPr>
        <w:t>绿纤废水处理单元</w:t>
      </w:r>
      <w:r>
        <w:rPr>
          <w:rFonts w:hint="eastAsia"/>
          <w:color w:val="auto"/>
          <w:lang w:val="en-US" w:eastAsia="zh-CN"/>
        </w:rPr>
        <w:t>富余污水处理能力约为2130.21</w:t>
      </w:r>
      <w:r>
        <w:rPr>
          <w:rFonts w:hint="eastAsia"/>
          <w:color w:val="auto"/>
        </w:rPr>
        <w:t>m</w:t>
      </w:r>
      <w:r>
        <w:rPr>
          <w:rFonts w:hint="eastAsia"/>
          <w:color w:val="auto"/>
          <w:vertAlign w:val="superscript"/>
        </w:rPr>
        <w:t>3</w:t>
      </w:r>
      <w:r>
        <w:rPr>
          <w:rFonts w:hint="eastAsia"/>
          <w:color w:val="auto"/>
        </w:rPr>
        <w:t>/d，能够满足本项目（中试）废水处理需求。</w:t>
      </w:r>
      <w:r>
        <w:rPr>
          <w:rFonts w:hint="eastAsia"/>
          <w:b/>
          <w:bCs/>
          <w:color w:val="auto"/>
          <w:u w:val="single"/>
          <w:lang w:val="en-US" w:eastAsia="zh-CN"/>
        </w:rPr>
        <w:t>新乡化纤股份有限公司提供的各处理单元水质处理效果统计结果见下表。</w:t>
      </w:r>
    </w:p>
    <w:p>
      <w:pPr>
        <w:pStyle w:val="181"/>
        <w:rPr>
          <w:rFonts w:hint="default" w:eastAsia="宋体"/>
          <w:color w:val="auto"/>
          <w:u w:val="single"/>
          <w:lang w:val="en-US" w:eastAsia="zh-CN"/>
        </w:rPr>
      </w:pPr>
      <w:r>
        <w:rPr>
          <w:rFonts w:hint="eastAsia"/>
          <w:color w:val="auto"/>
          <w:u w:val="single"/>
          <w:lang w:val="en-US" w:eastAsia="zh-CN"/>
        </w:rPr>
        <w:t>表3.8-19      新乡化纤各污水处理单元处理效果统计</w:t>
      </w:r>
    </w:p>
    <w:tbl>
      <w:tblPr>
        <w:tblStyle w:val="32"/>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13"/>
        <w:gridCol w:w="1465"/>
        <w:gridCol w:w="837"/>
        <w:gridCol w:w="670"/>
        <w:gridCol w:w="890"/>
        <w:gridCol w:w="770"/>
        <w:gridCol w:w="890"/>
        <w:gridCol w:w="750"/>
        <w:gridCol w:w="726"/>
        <w:gridCol w:w="8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382" w:hRule="atLeast"/>
          <w:jc w:val="center"/>
        </w:trPr>
        <w:tc>
          <w:tcPr>
            <w:tcW w:w="1277" w:type="pct"/>
            <w:gridSpan w:val="2"/>
            <w:tcBorders>
              <w:tl2br w:val="nil"/>
              <w:tr2bl w:val="nil"/>
            </w:tcBorders>
            <w:shd w:val="clear" w:color="auto" w:fill="auto"/>
            <w:vAlign w:val="center"/>
          </w:tcPr>
          <w:p>
            <w:pPr>
              <w:pStyle w:val="182"/>
              <w:rPr>
                <w:rFonts w:hint="default"/>
                <w:b/>
                <w:bCs/>
                <w:color w:val="auto"/>
                <w:u w:val="single"/>
                <w:lang w:val="en-US" w:eastAsia="zh-CN"/>
              </w:rPr>
            </w:pPr>
            <w:r>
              <w:rPr>
                <w:b/>
                <w:bCs/>
                <w:color w:val="auto"/>
                <w:sz w:val="21"/>
                <w:u w:val="single"/>
              </w:rPr>
              <w:pict>
                <v:line id="_x0000_s2323" o:spid="_x0000_s2323" o:spt="20" style="position:absolute;left:0pt;margin-left:-3.3pt;margin-top:1.85pt;height:69.2pt;width:110.65pt;z-index:251718656;mso-width-relative:page;mso-height-relative:page;" filled="f" stroked="t" coordsize="21600,21600">
                  <v:path arrowok="t"/>
                  <v:fill on="f" focussize="0,0"/>
                  <v:stroke color="#000000"/>
                  <v:imagedata o:title=""/>
                  <o:lock v:ext="edit" aspectratio="f"/>
                </v:line>
              </w:pict>
            </w:r>
          </w:p>
          <w:p>
            <w:pPr>
              <w:pStyle w:val="182"/>
              <w:jc w:val="right"/>
              <w:rPr>
                <w:rFonts w:hint="eastAsia"/>
                <w:b/>
                <w:bCs/>
                <w:color w:val="auto"/>
                <w:u w:val="single"/>
                <w:lang w:val="en-US" w:eastAsia="zh-CN"/>
              </w:rPr>
            </w:pPr>
            <w:r>
              <w:rPr>
                <w:rFonts w:hint="eastAsia"/>
                <w:b/>
                <w:bCs/>
                <w:color w:val="auto"/>
                <w:u w:val="single"/>
                <w:lang w:val="en-US" w:eastAsia="zh-CN"/>
              </w:rPr>
              <w:t>项目</w:t>
            </w:r>
          </w:p>
          <w:p>
            <w:pPr>
              <w:pStyle w:val="182"/>
              <w:rPr>
                <w:rFonts w:hint="eastAsia"/>
                <w:b/>
                <w:bCs/>
                <w:color w:val="auto"/>
                <w:u w:val="single"/>
                <w:lang w:val="en-US" w:eastAsia="zh-CN"/>
              </w:rPr>
            </w:pPr>
          </w:p>
          <w:p>
            <w:pPr>
              <w:pStyle w:val="182"/>
              <w:keepNext w:val="0"/>
              <w:keepLines w:val="0"/>
              <w:widowControl/>
              <w:suppressLineNumbers w:val="0"/>
              <w:jc w:val="left"/>
              <w:textAlignment w:val="center"/>
              <w:rPr>
                <w:rFonts w:hint="eastAsia"/>
                <w:b/>
                <w:bCs/>
                <w:color w:val="auto"/>
                <w:u w:val="single"/>
              </w:rPr>
            </w:pPr>
            <w:r>
              <w:rPr>
                <w:rFonts w:hint="eastAsia"/>
                <w:b/>
                <w:bCs/>
                <w:color w:val="auto"/>
                <w:u w:val="single"/>
                <w:lang w:val="en-US" w:eastAsia="zh-CN"/>
              </w:rPr>
              <w:t>污染源</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排放量</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10</w:t>
            </w:r>
            <w:r>
              <w:rPr>
                <w:rFonts w:hint="eastAsia"/>
                <w:b/>
                <w:bCs/>
                <w:color w:val="auto"/>
                <w:u w:val="single"/>
                <w:lang w:val="en-US" w:eastAsia="zh-CN"/>
              </w:rPr>
              <w:t>~</w:t>
            </w:r>
            <w:r>
              <w:rPr>
                <w:b/>
                <w:bCs/>
                <w:color w:val="auto"/>
                <w:u w:val="single"/>
              </w:rPr>
              <w:t>12</w:t>
            </w:r>
          </w:p>
        </w:tc>
        <w:tc>
          <w:tcPr>
            <w:tcW w:w="522" w:type="pct"/>
            <w:tcBorders>
              <w:tl2br w:val="nil"/>
              <w:tr2bl w:val="nil"/>
            </w:tcBorders>
            <w:shd w:val="clear" w:color="auto" w:fill="auto"/>
            <w:vAlign w:val="center"/>
          </w:tcPr>
          <w:p>
            <w:pPr>
              <w:pStyle w:val="182"/>
              <w:rPr>
                <w:rFonts w:hint="default"/>
                <w:b/>
                <w:bCs/>
                <w:color w:val="auto"/>
                <w:u w:val="single"/>
                <w:lang w:val="en-US" w:eastAsia="zh-CN"/>
              </w:rPr>
            </w:pPr>
            <w:r>
              <w:rPr>
                <w:rFonts w:hint="default"/>
                <w:b/>
                <w:bCs/>
                <w:color w:val="auto"/>
                <w:u w:val="single"/>
                <w:lang w:val="en-US" w:eastAsia="zh-CN"/>
              </w:rPr>
              <w:t>COD</w:t>
            </w:r>
          </w:p>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w:t>
            </w:r>
            <w:r>
              <w:rPr>
                <w:rFonts w:hint="default"/>
                <w:b/>
                <w:bCs/>
                <w:color w:val="auto"/>
                <w:u w:val="single"/>
                <w:lang w:val="en-US" w:eastAsia="zh-CN"/>
              </w:rPr>
              <w:t>mg/L</w:t>
            </w:r>
            <w:r>
              <w:rPr>
                <w:rFonts w:hint="eastAsia"/>
                <w:b/>
                <w:bCs/>
                <w:color w:val="auto"/>
                <w:u w:val="single"/>
                <w:lang w:val="en-US" w:eastAsia="zh-CN"/>
              </w:rPr>
              <w:t>）</w:t>
            </w:r>
          </w:p>
        </w:tc>
        <w:tc>
          <w:tcPr>
            <w:tcW w:w="451" w:type="pct"/>
            <w:tcBorders>
              <w:tl2br w:val="nil"/>
              <w:tr2bl w:val="nil"/>
            </w:tcBorders>
            <w:shd w:val="clear" w:color="auto" w:fill="auto"/>
            <w:vAlign w:val="center"/>
          </w:tcPr>
          <w:p>
            <w:pPr>
              <w:pStyle w:val="182"/>
              <w:rPr>
                <w:rFonts w:hint="default"/>
                <w:b/>
                <w:bCs/>
                <w:color w:val="auto"/>
                <w:u w:val="single"/>
                <w:lang w:val="en-US" w:eastAsia="zh-CN"/>
              </w:rPr>
            </w:pPr>
            <w:r>
              <w:rPr>
                <w:rFonts w:hint="default"/>
                <w:b/>
                <w:bCs/>
                <w:color w:val="auto"/>
                <w:u w:val="single"/>
                <w:lang w:val="en-US" w:eastAsia="zh-CN"/>
              </w:rPr>
              <w:t>NH</w:t>
            </w:r>
            <w:r>
              <w:rPr>
                <w:rFonts w:hint="default"/>
                <w:b/>
                <w:bCs/>
                <w:color w:val="auto"/>
                <w:u w:val="single"/>
                <w:vertAlign w:val="subscript"/>
                <w:lang w:val="en-US" w:eastAsia="zh-CN"/>
              </w:rPr>
              <w:t>3</w:t>
            </w:r>
            <w:r>
              <w:rPr>
                <w:rFonts w:hint="default"/>
                <w:b/>
                <w:bCs/>
                <w:color w:val="auto"/>
                <w:u w:val="single"/>
                <w:lang w:val="en-US" w:eastAsia="zh-CN"/>
              </w:rPr>
              <w:t>-N</w:t>
            </w:r>
          </w:p>
          <w:p>
            <w:pPr>
              <w:pStyle w:val="182"/>
              <w:keepNext w:val="0"/>
              <w:keepLines w:val="0"/>
              <w:widowControl/>
              <w:suppressLineNumbers w:val="0"/>
              <w:jc w:val="both"/>
              <w:textAlignment w:val="center"/>
              <w:rPr>
                <w:rFonts w:hint="eastAsia"/>
                <w:b/>
                <w:bCs/>
                <w:color w:val="auto"/>
                <w:u w:val="single"/>
              </w:rPr>
            </w:pPr>
            <w:r>
              <w:rPr>
                <w:rFonts w:hint="eastAsia"/>
                <w:b/>
                <w:bCs/>
                <w:color w:val="auto"/>
                <w:u w:val="single"/>
                <w:lang w:val="en-US" w:eastAsia="zh-CN"/>
              </w:rPr>
              <w:t>（</w:t>
            </w:r>
            <w:r>
              <w:rPr>
                <w:rFonts w:hint="default"/>
                <w:b/>
                <w:bCs/>
                <w:color w:val="auto"/>
                <w:u w:val="single"/>
                <w:lang w:val="en-US" w:eastAsia="zh-CN"/>
              </w:rPr>
              <w:t>mg/L</w:t>
            </w:r>
            <w:r>
              <w:rPr>
                <w:rFonts w:hint="eastAsia"/>
                <w:b/>
                <w:bCs/>
                <w:color w:val="auto"/>
                <w:u w:val="single"/>
                <w:lang w:val="en-US" w:eastAsia="zh-CN"/>
              </w:rPr>
              <w:t>）</w:t>
            </w:r>
          </w:p>
        </w:tc>
        <w:tc>
          <w:tcPr>
            <w:tcW w:w="522" w:type="pct"/>
            <w:tcBorders>
              <w:tl2br w:val="nil"/>
              <w:tr2bl w:val="nil"/>
            </w:tcBorders>
            <w:shd w:val="clear" w:color="auto" w:fill="auto"/>
            <w:vAlign w:val="center"/>
          </w:tcPr>
          <w:p>
            <w:pPr>
              <w:pStyle w:val="182"/>
              <w:rPr>
                <w:rFonts w:hint="default"/>
                <w:b/>
                <w:bCs/>
                <w:color w:val="auto"/>
                <w:u w:val="single"/>
                <w:lang w:val="en-US" w:eastAsia="zh-CN"/>
              </w:rPr>
            </w:pPr>
            <w:r>
              <w:rPr>
                <w:rFonts w:hint="default"/>
                <w:b/>
                <w:bCs/>
                <w:color w:val="auto"/>
                <w:u w:val="single"/>
                <w:lang w:val="en-US" w:eastAsia="zh-CN"/>
              </w:rPr>
              <w:t>BOD5</w:t>
            </w:r>
          </w:p>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w:t>
            </w:r>
            <w:r>
              <w:rPr>
                <w:rFonts w:hint="default"/>
                <w:b/>
                <w:bCs/>
                <w:color w:val="auto"/>
                <w:u w:val="single"/>
                <w:lang w:val="en-US" w:eastAsia="zh-CN"/>
              </w:rPr>
              <w:t>mg/L</w:t>
            </w:r>
            <w:r>
              <w:rPr>
                <w:rFonts w:hint="eastAsia"/>
                <w:b/>
                <w:bCs/>
                <w:color w:val="auto"/>
                <w:u w:val="single"/>
                <w:lang w:val="en-US" w:eastAsia="zh-CN"/>
              </w:rPr>
              <w:t>）</w:t>
            </w:r>
          </w:p>
        </w:tc>
        <w:tc>
          <w:tcPr>
            <w:tcW w:w="440" w:type="pct"/>
            <w:tcBorders>
              <w:tl2br w:val="nil"/>
              <w:tr2bl w:val="nil"/>
            </w:tcBorders>
            <w:shd w:val="clear" w:color="auto" w:fill="auto"/>
            <w:vAlign w:val="center"/>
          </w:tcPr>
          <w:p>
            <w:pPr>
              <w:pStyle w:val="182"/>
              <w:rPr>
                <w:rFonts w:hint="default"/>
                <w:b/>
                <w:bCs/>
                <w:color w:val="auto"/>
                <w:u w:val="single"/>
                <w:lang w:val="en-US" w:eastAsia="zh-CN"/>
              </w:rPr>
            </w:pPr>
            <w:r>
              <w:rPr>
                <w:rFonts w:hint="default"/>
                <w:b/>
                <w:bCs/>
                <w:color w:val="auto"/>
                <w:u w:val="single"/>
                <w:lang w:val="en-US" w:eastAsia="zh-CN"/>
              </w:rPr>
              <w:t>SS</w:t>
            </w:r>
          </w:p>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w:t>
            </w:r>
            <w:r>
              <w:rPr>
                <w:rFonts w:hint="default"/>
                <w:b/>
                <w:bCs/>
                <w:color w:val="auto"/>
                <w:u w:val="single"/>
                <w:lang w:val="en-US" w:eastAsia="zh-CN"/>
              </w:rPr>
              <w:t>mg/L</w:t>
            </w:r>
            <w:r>
              <w:rPr>
                <w:rFonts w:hint="eastAsia"/>
                <w:b/>
                <w:bCs/>
                <w:color w:val="auto"/>
                <w:u w:val="single"/>
                <w:lang w:val="en-US" w:eastAsia="zh-CN"/>
              </w:rPr>
              <w:t>）</w:t>
            </w:r>
          </w:p>
        </w:tc>
        <w:tc>
          <w:tcPr>
            <w:tcW w:w="425" w:type="pct"/>
            <w:tcBorders>
              <w:tl2br w:val="nil"/>
              <w:tr2bl w:val="nil"/>
            </w:tcBorders>
            <w:shd w:val="clear" w:color="auto" w:fill="auto"/>
            <w:vAlign w:val="center"/>
          </w:tcPr>
          <w:p>
            <w:pPr>
              <w:pStyle w:val="182"/>
              <w:rPr>
                <w:rFonts w:hint="default"/>
                <w:b/>
                <w:bCs/>
                <w:color w:val="auto"/>
                <w:u w:val="single"/>
                <w:lang w:val="en-US" w:eastAsia="zh-CN"/>
              </w:rPr>
            </w:pPr>
            <w:r>
              <w:rPr>
                <w:rFonts w:hint="default"/>
                <w:b/>
                <w:bCs/>
                <w:color w:val="auto"/>
                <w:u w:val="single"/>
                <w:lang w:val="en-US" w:eastAsia="zh-CN"/>
              </w:rPr>
              <w:t>Zn</w:t>
            </w:r>
          </w:p>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w:t>
            </w:r>
            <w:r>
              <w:rPr>
                <w:rFonts w:hint="default"/>
                <w:b/>
                <w:bCs/>
                <w:color w:val="auto"/>
                <w:u w:val="single"/>
                <w:lang w:val="en-US" w:eastAsia="zh-CN"/>
              </w:rPr>
              <w:t>mg/L</w:t>
            </w:r>
            <w:r>
              <w:rPr>
                <w:rFonts w:hint="eastAsia"/>
                <w:b/>
                <w:bCs/>
                <w:color w:val="auto"/>
                <w:u w:val="single"/>
                <w:lang w:val="en-US" w:eastAsia="zh-CN"/>
              </w:rPr>
              <w:t>）</w:t>
            </w:r>
          </w:p>
        </w:tc>
        <w:tc>
          <w:tcPr>
            <w:tcW w:w="475" w:type="pct"/>
            <w:tcBorders>
              <w:tl2br w:val="nil"/>
              <w:tr2bl w:val="nil"/>
            </w:tcBorders>
            <w:shd w:val="clear" w:color="auto" w:fill="auto"/>
            <w:vAlign w:val="center"/>
          </w:tcPr>
          <w:p>
            <w:pPr>
              <w:pStyle w:val="182"/>
              <w:rPr>
                <w:rFonts w:hint="eastAsia"/>
                <w:b/>
                <w:bCs/>
                <w:color w:val="auto"/>
                <w:u w:val="single"/>
                <w:lang w:val="en-US" w:eastAsia="zh-CN"/>
              </w:rPr>
            </w:pPr>
            <w:r>
              <w:rPr>
                <w:rFonts w:hint="eastAsia"/>
                <w:b/>
                <w:bCs/>
                <w:color w:val="auto"/>
                <w:u w:val="single"/>
                <w:lang w:val="en-US" w:eastAsia="zh-CN"/>
              </w:rPr>
              <w:t>硫化物</w:t>
            </w:r>
          </w:p>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w:t>
            </w:r>
            <w:r>
              <w:rPr>
                <w:rFonts w:hint="default"/>
                <w:b/>
                <w:bCs/>
                <w:color w:val="auto"/>
                <w:u w:val="single"/>
                <w:lang w:val="en-US" w:eastAsia="zh-CN"/>
              </w:rPr>
              <w:t>mg/L</w:t>
            </w:r>
            <w:r>
              <w:rPr>
                <w:rFonts w:hint="eastAsia"/>
                <w:b/>
                <w:bCs/>
                <w:color w:val="auto"/>
                <w:u w:val="singl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粘胶废水</w:t>
            </w:r>
            <w:r>
              <w:rPr>
                <w:rFonts w:hint="default"/>
                <w:b/>
                <w:bCs/>
                <w:color w:val="auto"/>
                <w:u w:val="single"/>
                <w:lang w:val="en-US" w:eastAsia="zh-CN"/>
              </w:rPr>
              <w:t>-</w:t>
            </w:r>
            <w:r>
              <w:rPr>
                <w:rFonts w:hint="eastAsia"/>
                <w:b/>
                <w:bCs/>
                <w:color w:val="auto"/>
                <w:u w:val="single"/>
                <w:lang w:val="en-US" w:eastAsia="zh-CN"/>
              </w:rPr>
              <w:t>生活污水综合处理单元</w:t>
            </w: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现有粘胶废水</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4293.8</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8</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2200</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10</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950</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900</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脱硫除尘废水</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320</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8</w:t>
            </w:r>
            <w:r>
              <w:rPr>
                <w:rFonts w:hint="eastAsia"/>
                <w:b/>
                <w:bCs/>
                <w:color w:val="auto"/>
                <w:u w:val="single"/>
                <w:lang w:val="en-US" w:eastAsia="zh-CN"/>
              </w:rPr>
              <w:t>~</w:t>
            </w:r>
            <w:r>
              <w:rPr>
                <w:b/>
                <w:bCs/>
                <w:color w:val="auto"/>
                <w:u w:val="single"/>
              </w:rPr>
              <w:t>9</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7000</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生活污水</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54</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10</w:t>
            </w:r>
            <w:r>
              <w:rPr>
                <w:rFonts w:hint="eastAsia"/>
                <w:b/>
                <w:bCs/>
                <w:color w:val="auto"/>
                <w:u w:val="single"/>
                <w:lang w:val="en-US" w:eastAsia="zh-CN"/>
              </w:rPr>
              <w:t>~</w:t>
            </w:r>
            <w:r>
              <w:rPr>
                <w:b/>
                <w:bCs/>
                <w:color w:val="auto"/>
                <w:u w:val="single"/>
              </w:rPr>
              <w:t>12</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320</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30</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220</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250</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处理工艺</w:t>
            </w:r>
          </w:p>
        </w:tc>
        <w:tc>
          <w:tcPr>
            <w:tcW w:w="3722" w:type="pct"/>
            <w:gridSpan w:val="8"/>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（粘胶废水先进入酸化池进行预处理）调节</w:t>
            </w:r>
            <w:r>
              <w:rPr>
                <w:rFonts w:hint="default"/>
                <w:b/>
                <w:bCs/>
                <w:color w:val="auto"/>
                <w:u w:val="single"/>
                <w:lang w:val="en-US" w:eastAsia="zh-CN"/>
              </w:rPr>
              <w:t>+</w:t>
            </w:r>
            <w:r>
              <w:rPr>
                <w:rFonts w:hint="eastAsia"/>
                <w:b/>
                <w:bCs/>
                <w:color w:val="auto"/>
                <w:u w:val="single"/>
                <w:lang w:val="en-US" w:eastAsia="zh-CN"/>
              </w:rPr>
              <w:t>中和</w:t>
            </w:r>
            <w:r>
              <w:rPr>
                <w:rFonts w:hint="default"/>
                <w:b/>
                <w:bCs/>
                <w:color w:val="auto"/>
                <w:u w:val="single"/>
                <w:lang w:val="en-US" w:eastAsia="zh-CN"/>
              </w:rPr>
              <w:t>+</w:t>
            </w:r>
            <w:r>
              <w:rPr>
                <w:rFonts w:hint="eastAsia"/>
                <w:b/>
                <w:bCs/>
                <w:color w:val="auto"/>
                <w:u w:val="single"/>
                <w:lang w:val="en-US" w:eastAsia="zh-CN"/>
              </w:rPr>
              <w:t>沉淀</w:t>
            </w:r>
            <w:r>
              <w:rPr>
                <w:rFonts w:hint="default"/>
                <w:b/>
                <w:bCs/>
                <w:color w:val="auto"/>
                <w:u w:val="single"/>
                <w:lang w:val="en-US" w:eastAsia="zh-CN"/>
              </w:rPr>
              <w:t>+</w:t>
            </w:r>
            <w:r>
              <w:rPr>
                <w:rFonts w:hint="eastAsia"/>
                <w:b/>
                <w:bCs/>
                <w:color w:val="auto"/>
                <w:u w:val="single"/>
                <w:lang w:val="en-US" w:eastAsia="zh-CN"/>
              </w:rPr>
              <w:t>氧化沟</w:t>
            </w:r>
            <w:r>
              <w:rPr>
                <w:rFonts w:hint="default"/>
                <w:b/>
                <w:bCs/>
                <w:color w:val="auto"/>
                <w:u w:val="single"/>
                <w:lang w:val="en-US" w:eastAsia="zh-CN"/>
              </w:rPr>
              <w:t>+</w:t>
            </w:r>
            <w:r>
              <w:rPr>
                <w:rFonts w:hint="eastAsia"/>
                <w:b/>
                <w:bCs/>
                <w:color w:val="auto"/>
                <w:u w:val="single"/>
                <w:lang w:val="en-US" w:eastAsia="zh-CN"/>
              </w:rPr>
              <w:t>沉淀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处理效率</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92.5%/85%</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10%</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96.1%/94%</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88%</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外排混合水质</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4667.8</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6</w:t>
            </w:r>
            <w:r>
              <w:rPr>
                <w:rFonts w:hint="eastAsia"/>
                <w:b/>
                <w:bCs/>
                <w:color w:val="auto"/>
                <w:u w:val="single"/>
                <w:lang w:val="en-US" w:eastAsia="zh-CN"/>
              </w:rPr>
              <w:t>~</w:t>
            </w:r>
            <w:r>
              <w:rPr>
                <w:b/>
                <w:bCs/>
                <w:color w:val="auto"/>
                <w:u w:val="single"/>
              </w:rPr>
              <w:t>9</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 xml:space="preserve">152.33 </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 xml:space="preserve">8.59 </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 xml:space="preserve">34.23 </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 xml:space="preserve">157.28 </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 xml:space="preserve">1.00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酸性废水处理一区</w:t>
            </w: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现有长丝酸性废水</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7888.3</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2</w:t>
            </w:r>
            <w:r>
              <w:rPr>
                <w:rFonts w:hint="eastAsia"/>
                <w:b/>
                <w:bCs/>
                <w:color w:val="auto"/>
                <w:u w:val="single"/>
                <w:lang w:val="en-US" w:eastAsia="zh-CN"/>
              </w:rPr>
              <w:t>~</w:t>
            </w:r>
            <w:r>
              <w:rPr>
                <w:b/>
                <w:bCs/>
                <w:color w:val="auto"/>
                <w:u w:val="single"/>
              </w:rPr>
              <w:t>3</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140</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26</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171</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40</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处理工艺</w:t>
            </w:r>
          </w:p>
        </w:tc>
        <w:tc>
          <w:tcPr>
            <w:tcW w:w="3722" w:type="pct"/>
            <w:gridSpan w:val="8"/>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中和</w:t>
            </w:r>
            <w:r>
              <w:rPr>
                <w:rFonts w:hint="default"/>
                <w:b/>
                <w:bCs/>
                <w:color w:val="auto"/>
                <w:u w:val="single"/>
                <w:lang w:val="en-US" w:eastAsia="zh-CN"/>
              </w:rPr>
              <w:t>+</w:t>
            </w:r>
            <w:r>
              <w:rPr>
                <w:rFonts w:hint="eastAsia"/>
                <w:b/>
                <w:bCs/>
                <w:color w:val="auto"/>
                <w:u w:val="single"/>
                <w:lang w:val="en-US" w:eastAsia="zh-CN"/>
              </w:rPr>
              <w:t>沉淀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处理效率</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5%</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10%</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88%</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出水水质</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7888.3</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6</w:t>
            </w:r>
            <w:r>
              <w:rPr>
                <w:rFonts w:hint="eastAsia"/>
                <w:b/>
                <w:bCs/>
                <w:color w:val="auto"/>
                <w:u w:val="single"/>
                <w:lang w:val="en-US" w:eastAsia="zh-CN"/>
              </w:rPr>
              <w:t>~</w:t>
            </w:r>
            <w:r>
              <w:rPr>
                <w:b/>
                <w:bCs/>
                <w:color w:val="auto"/>
                <w:u w:val="single"/>
              </w:rPr>
              <w:t>9</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133</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26</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153.9</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4.8</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绿纤、氨纶废水处理单元</w:t>
            </w: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绿纤、氨纶</w:t>
            </w:r>
          </w:p>
        </w:tc>
        <w:tc>
          <w:tcPr>
            <w:tcW w:w="491"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2581.53</w:t>
            </w:r>
          </w:p>
        </w:tc>
        <w:tc>
          <w:tcPr>
            <w:tcW w:w="393"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b/>
                <w:bCs/>
                <w:color w:val="auto"/>
                <w:u w:val="single"/>
              </w:rPr>
              <w:t>6</w:t>
            </w:r>
            <w:r>
              <w:rPr>
                <w:rFonts w:hint="eastAsia"/>
                <w:b/>
                <w:bCs/>
                <w:color w:val="auto"/>
                <w:u w:val="single"/>
                <w:lang w:val="en-US" w:eastAsia="zh-CN"/>
              </w:rPr>
              <w:t>~</w:t>
            </w:r>
            <w:r>
              <w:rPr>
                <w:b/>
                <w:bCs/>
                <w:color w:val="auto"/>
                <w:u w:val="single"/>
              </w:rPr>
              <w:t>9</w:t>
            </w:r>
          </w:p>
        </w:tc>
        <w:tc>
          <w:tcPr>
            <w:tcW w:w="522"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2020.8</w:t>
            </w:r>
          </w:p>
        </w:tc>
        <w:tc>
          <w:tcPr>
            <w:tcW w:w="451"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31.39</w:t>
            </w:r>
          </w:p>
        </w:tc>
        <w:tc>
          <w:tcPr>
            <w:tcW w:w="522"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384.96</w:t>
            </w:r>
          </w:p>
        </w:tc>
        <w:tc>
          <w:tcPr>
            <w:tcW w:w="440"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55.36</w:t>
            </w:r>
          </w:p>
        </w:tc>
        <w:tc>
          <w:tcPr>
            <w:tcW w:w="425"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75"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废水</w:t>
            </w:r>
          </w:p>
        </w:tc>
        <w:tc>
          <w:tcPr>
            <w:tcW w:w="491" w:type="pct"/>
            <w:vMerge w:val="continue"/>
            <w:tcBorders>
              <w:tl2br w:val="nil"/>
              <w:tr2bl w:val="nil"/>
            </w:tcBorders>
            <w:shd w:val="clear" w:color="auto" w:fill="auto"/>
            <w:vAlign w:val="center"/>
          </w:tcPr>
          <w:p>
            <w:pPr>
              <w:pStyle w:val="182"/>
              <w:jc w:val="center"/>
              <w:rPr>
                <w:rFonts w:hint="default"/>
                <w:b/>
                <w:bCs/>
                <w:color w:val="auto"/>
                <w:u w:val="single"/>
              </w:rPr>
            </w:pPr>
          </w:p>
        </w:tc>
        <w:tc>
          <w:tcPr>
            <w:tcW w:w="393" w:type="pct"/>
            <w:vMerge w:val="continue"/>
            <w:tcBorders>
              <w:tl2br w:val="nil"/>
              <w:tr2bl w:val="nil"/>
            </w:tcBorders>
            <w:shd w:val="clear" w:color="auto" w:fill="auto"/>
            <w:vAlign w:val="center"/>
          </w:tcPr>
          <w:p>
            <w:pPr>
              <w:pStyle w:val="182"/>
              <w:jc w:val="center"/>
              <w:rPr>
                <w:rFonts w:hint="default"/>
                <w:b/>
                <w:bCs/>
                <w:color w:val="auto"/>
                <w:u w:val="single"/>
              </w:rPr>
            </w:pPr>
          </w:p>
        </w:tc>
        <w:tc>
          <w:tcPr>
            <w:tcW w:w="522" w:type="pct"/>
            <w:vMerge w:val="continue"/>
            <w:tcBorders>
              <w:tl2br w:val="nil"/>
              <w:tr2bl w:val="nil"/>
            </w:tcBorders>
            <w:shd w:val="clear" w:color="auto" w:fill="auto"/>
            <w:vAlign w:val="center"/>
          </w:tcPr>
          <w:p>
            <w:pPr>
              <w:pStyle w:val="182"/>
              <w:jc w:val="center"/>
              <w:rPr>
                <w:rFonts w:hint="default"/>
                <w:b/>
                <w:bCs/>
                <w:color w:val="auto"/>
                <w:u w:val="single"/>
              </w:rPr>
            </w:pPr>
          </w:p>
        </w:tc>
        <w:tc>
          <w:tcPr>
            <w:tcW w:w="451" w:type="pct"/>
            <w:vMerge w:val="continue"/>
            <w:tcBorders>
              <w:tl2br w:val="nil"/>
              <w:tr2bl w:val="nil"/>
            </w:tcBorders>
            <w:shd w:val="clear" w:color="auto" w:fill="auto"/>
            <w:vAlign w:val="center"/>
          </w:tcPr>
          <w:p>
            <w:pPr>
              <w:pStyle w:val="182"/>
              <w:jc w:val="center"/>
              <w:rPr>
                <w:rFonts w:hint="default"/>
                <w:b/>
                <w:bCs/>
                <w:color w:val="auto"/>
                <w:u w:val="single"/>
              </w:rPr>
            </w:pPr>
          </w:p>
        </w:tc>
        <w:tc>
          <w:tcPr>
            <w:tcW w:w="522" w:type="pct"/>
            <w:vMerge w:val="continue"/>
            <w:tcBorders>
              <w:tl2br w:val="nil"/>
              <w:tr2bl w:val="nil"/>
            </w:tcBorders>
            <w:shd w:val="clear" w:color="auto" w:fill="auto"/>
            <w:vAlign w:val="center"/>
          </w:tcPr>
          <w:p>
            <w:pPr>
              <w:pStyle w:val="182"/>
              <w:jc w:val="center"/>
              <w:rPr>
                <w:rFonts w:hint="default"/>
                <w:b/>
                <w:bCs/>
                <w:color w:val="auto"/>
                <w:u w:val="single"/>
              </w:rPr>
            </w:pPr>
          </w:p>
        </w:tc>
        <w:tc>
          <w:tcPr>
            <w:tcW w:w="440" w:type="pct"/>
            <w:vMerge w:val="continue"/>
            <w:tcBorders>
              <w:tl2br w:val="nil"/>
              <w:tr2bl w:val="nil"/>
            </w:tcBorders>
            <w:shd w:val="clear" w:color="auto" w:fill="auto"/>
            <w:vAlign w:val="center"/>
          </w:tcPr>
          <w:p>
            <w:pPr>
              <w:pStyle w:val="182"/>
              <w:jc w:val="center"/>
              <w:rPr>
                <w:rFonts w:hint="default"/>
                <w:b/>
                <w:bCs/>
                <w:color w:val="auto"/>
                <w:u w:val="single"/>
              </w:rPr>
            </w:pPr>
          </w:p>
        </w:tc>
        <w:tc>
          <w:tcPr>
            <w:tcW w:w="425" w:type="pct"/>
            <w:vMerge w:val="continue"/>
            <w:tcBorders>
              <w:tl2br w:val="nil"/>
              <w:tr2bl w:val="nil"/>
            </w:tcBorders>
            <w:shd w:val="clear" w:color="auto" w:fill="auto"/>
            <w:vAlign w:val="center"/>
          </w:tcPr>
          <w:p>
            <w:pPr>
              <w:pStyle w:val="182"/>
              <w:jc w:val="center"/>
              <w:rPr>
                <w:rFonts w:hint="default"/>
                <w:b/>
                <w:bCs/>
                <w:color w:val="auto"/>
                <w:u w:val="single"/>
              </w:rPr>
            </w:pPr>
          </w:p>
        </w:tc>
        <w:tc>
          <w:tcPr>
            <w:tcW w:w="475" w:type="pct"/>
            <w:vMerge w:val="continue"/>
            <w:tcBorders>
              <w:tl2br w:val="nil"/>
              <w:tr2bl w:val="nil"/>
            </w:tcBorders>
            <w:shd w:val="clear" w:color="auto" w:fill="auto"/>
            <w:vAlign w:val="center"/>
          </w:tcPr>
          <w:p>
            <w:pPr>
              <w:pStyle w:val="182"/>
              <w:jc w:val="center"/>
              <w:rPr>
                <w:rFonts w:hint="default"/>
                <w:b/>
                <w:bCs/>
                <w:color w:val="auto"/>
                <w:u w:val="singl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处理工艺</w:t>
            </w:r>
          </w:p>
        </w:tc>
        <w:tc>
          <w:tcPr>
            <w:tcW w:w="491" w:type="pct"/>
            <w:tcBorders>
              <w:tl2br w:val="nil"/>
              <w:tr2bl w:val="nil"/>
            </w:tcBorders>
            <w:shd w:val="clear" w:color="auto" w:fill="auto"/>
            <w:vAlign w:val="center"/>
          </w:tcPr>
          <w:p>
            <w:pPr>
              <w:pStyle w:val="182"/>
              <w:jc w:val="center"/>
              <w:rPr>
                <w:rFonts w:hint="eastAsia"/>
                <w:b/>
                <w:bCs/>
                <w:color w:val="auto"/>
                <w:u w:val="single"/>
              </w:rPr>
            </w:pPr>
          </w:p>
        </w:tc>
        <w:tc>
          <w:tcPr>
            <w:tcW w:w="3231" w:type="pct"/>
            <w:gridSpan w:val="7"/>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调节</w:t>
            </w:r>
            <w:r>
              <w:rPr>
                <w:rFonts w:hint="default"/>
                <w:b/>
                <w:bCs/>
                <w:color w:val="auto"/>
                <w:u w:val="single"/>
                <w:lang w:val="en-US" w:eastAsia="zh-CN"/>
              </w:rPr>
              <w:t>+</w:t>
            </w:r>
            <w:r>
              <w:rPr>
                <w:rFonts w:hint="eastAsia"/>
                <w:b/>
                <w:bCs/>
                <w:color w:val="auto"/>
                <w:u w:val="single"/>
                <w:lang w:val="en-US" w:eastAsia="zh-CN"/>
              </w:rPr>
              <w:t>混合</w:t>
            </w:r>
            <w:r>
              <w:rPr>
                <w:rFonts w:hint="default"/>
                <w:b/>
                <w:bCs/>
                <w:color w:val="auto"/>
                <w:u w:val="single"/>
                <w:lang w:val="en-US" w:eastAsia="zh-CN"/>
              </w:rPr>
              <w:t>+</w:t>
            </w:r>
            <w:r>
              <w:rPr>
                <w:rFonts w:hint="eastAsia"/>
                <w:b/>
                <w:bCs/>
                <w:color w:val="auto"/>
                <w:u w:val="single"/>
                <w:lang w:val="en-US" w:eastAsia="zh-CN"/>
              </w:rPr>
              <w:t>沉淀</w:t>
            </w:r>
            <w:r>
              <w:rPr>
                <w:rFonts w:hint="default"/>
                <w:b/>
                <w:bCs/>
                <w:color w:val="auto"/>
                <w:u w:val="single"/>
                <w:lang w:val="en-US" w:eastAsia="zh-CN"/>
              </w:rPr>
              <w:t>+</w:t>
            </w:r>
            <w:r>
              <w:rPr>
                <w:rFonts w:hint="eastAsia"/>
                <w:b/>
                <w:bCs/>
                <w:color w:val="auto"/>
                <w:u w:val="single"/>
                <w:lang w:val="en-US" w:eastAsia="zh-CN"/>
              </w:rPr>
              <w:t>水解酸化</w:t>
            </w:r>
            <w:r>
              <w:rPr>
                <w:rFonts w:hint="default"/>
                <w:b/>
                <w:bCs/>
                <w:color w:val="auto"/>
                <w:u w:val="single"/>
                <w:lang w:val="en-US" w:eastAsia="zh-CN"/>
              </w:rPr>
              <w:t>+</w:t>
            </w:r>
            <w:r>
              <w:rPr>
                <w:rFonts w:hint="eastAsia"/>
                <w:b/>
                <w:bCs/>
                <w:color w:val="auto"/>
                <w:u w:val="single"/>
                <w:lang w:val="en-US" w:eastAsia="zh-CN"/>
              </w:rPr>
              <w:t>氧化沟</w:t>
            </w:r>
            <w:r>
              <w:rPr>
                <w:rFonts w:hint="default"/>
                <w:b/>
                <w:bCs/>
                <w:color w:val="auto"/>
                <w:u w:val="single"/>
                <w:lang w:val="en-US" w:eastAsia="zh-CN"/>
              </w:rPr>
              <w:t>+</w:t>
            </w:r>
            <w:r>
              <w:rPr>
                <w:rFonts w:hint="eastAsia"/>
                <w:b/>
                <w:bCs/>
                <w:color w:val="auto"/>
                <w:u w:val="single"/>
                <w:lang w:val="en-US" w:eastAsia="zh-CN"/>
              </w:rPr>
              <w:t>沉淀池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处理效率</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92%</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25%</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94%</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90%</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处理后混合废水水质</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2581.53</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6~9</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161.664</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23.5425</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23.0976</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5.536</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8"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酸性废水处理二区</w:t>
            </w: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纺丝车间清洗废水</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3155.3</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lang w:val="en-US"/>
              </w:rPr>
            </w:pPr>
            <w:r>
              <w:rPr>
                <w:rFonts w:hint="default"/>
                <w:b/>
                <w:bCs/>
                <w:color w:val="auto"/>
                <w:u w:val="single"/>
                <w:lang w:val="en-US" w:eastAsia="zh-CN"/>
              </w:rPr>
              <w:t>2</w:t>
            </w:r>
            <w:r>
              <w:rPr>
                <w:rFonts w:hint="eastAsia"/>
                <w:b/>
                <w:bCs/>
                <w:color w:val="auto"/>
                <w:u w:val="single"/>
                <w:lang w:val="en-US" w:eastAsia="zh-CN"/>
              </w:rPr>
              <w:t>~3</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140</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26</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171</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40</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处理工艺</w:t>
            </w:r>
          </w:p>
        </w:tc>
        <w:tc>
          <w:tcPr>
            <w:tcW w:w="491" w:type="pct"/>
            <w:tcBorders>
              <w:tl2br w:val="nil"/>
              <w:tr2bl w:val="nil"/>
            </w:tcBorders>
            <w:shd w:val="clear" w:color="auto" w:fill="auto"/>
            <w:vAlign w:val="center"/>
          </w:tcPr>
          <w:p>
            <w:pPr>
              <w:pStyle w:val="182"/>
              <w:jc w:val="center"/>
              <w:rPr>
                <w:rFonts w:hint="eastAsia"/>
                <w:b/>
                <w:bCs/>
                <w:color w:val="auto"/>
                <w:u w:val="single"/>
              </w:rPr>
            </w:pPr>
          </w:p>
        </w:tc>
        <w:tc>
          <w:tcPr>
            <w:tcW w:w="3231" w:type="pct"/>
            <w:gridSpan w:val="7"/>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中和</w:t>
            </w:r>
            <w:r>
              <w:rPr>
                <w:rFonts w:hint="default"/>
                <w:b/>
                <w:bCs/>
                <w:color w:val="auto"/>
                <w:u w:val="single"/>
                <w:lang w:val="en-US" w:eastAsia="zh-CN"/>
              </w:rPr>
              <w:t>+</w:t>
            </w:r>
            <w:r>
              <w:rPr>
                <w:rFonts w:hint="eastAsia"/>
                <w:b/>
                <w:bCs/>
                <w:color w:val="auto"/>
                <w:u w:val="single"/>
                <w:lang w:val="en-US" w:eastAsia="zh-CN"/>
              </w:rPr>
              <w:t>沉淀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处理效率</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6%</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10%</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88%</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处理后混合废水出水水质</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3155.3</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6~9</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131.6</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26</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17.1</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4.8</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restar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总排口</w:t>
            </w: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全厂工艺混合废水</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18292.93</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6~9</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141.74</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7.93</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27.69</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110.23</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2.90</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0.74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现有、在建项目清下水</w:t>
            </w:r>
          </w:p>
        </w:tc>
        <w:tc>
          <w:tcPr>
            <w:tcW w:w="491" w:type="pct"/>
            <w:tcBorders>
              <w:tl2br w:val="nil"/>
              <w:tr2bl w:val="nil"/>
            </w:tcBorders>
            <w:shd w:val="clear" w:color="auto" w:fill="auto"/>
            <w:noWrap/>
            <w:vAlign w:val="center"/>
          </w:tcPr>
          <w:p>
            <w:pPr>
              <w:pStyle w:val="182"/>
              <w:keepNext w:val="0"/>
              <w:keepLines w:val="0"/>
              <w:widowControl/>
              <w:suppressLineNumbers w:val="0"/>
              <w:jc w:val="both"/>
              <w:textAlignment w:val="center"/>
              <w:rPr>
                <w:b/>
                <w:bCs/>
                <w:color w:val="auto"/>
                <w:u w:val="single"/>
              </w:rPr>
            </w:pPr>
            <w:r>
              <w:rPr>
                <w:rFonts w:hint="default"/>
                <w:b/>
                <w:bCs/>
                <w:color w:val="auto"/>
                <w:u w:val="single"/>
                <w:lang w:val="en-US" w:eastAsia="zh-CN"/>
              </w:rPr>
              <w:t>3375.9</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30</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10</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30</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418" w:type="pct"/>
            <w:vMerge w:val="continue"/>
            <w:tcBorders>
              <w:tl2br w:val="nil"/>
              <w:tr2bl w:val="nil"/>
            </w:tcBorders>
            <w:shd w:val="clear" w:color="auto" w:fill="auto"/>
            <w:vAlign w:val="center"/>
          </w:tcPr>
          <w:p>
            <w:pPr>
              <w:pStyle w:val="182"/>
              <w:jc w:val="center"/>
              <w:rPr>
                <w:rFonts w:hint="eastAsia"/>
                <w:b/>
                <w:bCs/>
                <w:color w:val="auto"/>
                <w:u w:val="single"/>
              </w:rPr>
            </w:pPr>
          </w:p>
        </w:tc>
        <w:tc>
          <w:tcPr>
            <w:tcW w:w="859"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混合后</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21668.83</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124.33</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6.69</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24.94</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97.73</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2.45</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0.62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277" w:type="pct"/>
            <w:gridSpan w:val="2"/>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标准限制</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6~9</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300</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15</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100</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150</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5</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jc w:val="center"/>
        </w:trPr>
        <w:tc>
          <w:tcPr>
            <w:tcW w:w="1277" w:type="pct"/>
            <w:gridSpan w:val="2"/>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达标情况</w:t>
            </w:r>
          </w:p>
        </w:tc>
        <w:tc>
          <w:tcPr>
            <w:tcW w:w="49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9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451"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522"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44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4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47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r>
    </w:tbl>
    <w:p>
      <w:pPr>
        <w:bidi w:val="0"/>
        <w:rPr>
          <w:rFonts w:hint="default" w:eastAsia="宋体"/>
          <w:color w:val="auto"/>
          <w:lang w:val="en-US" w:eastAsia="zh-CN"/>
        </w:rPr>
      </w:pPr>
      <w:r>
        <w:rPr>
          <w:rFonts w:hint="eastAsia"/>
          <w:color w:val="auto"/>
        </w:rPr>
        <w:t>根据新乡化纤股份有限公司2022年11月份废水检测报告，化纤厂新厂区总排口的排放</w:t>
      </w:r>
      <w:r>
        <w:rPr>
          <w:rFonts w:hint="eastAsia"/>
          <w:color w:val="auto"/>
          <w:lang w:val="en-US" w:eastAsia="zh-CN"/>
        </w:rPr>
        <w:t>水量及</w:t>
      </w:r>
      <w:r>
        <w:rPr>
          <w:rFonts w:hint="eastAsia"/>
          <w:color w:val="auto"/>
        </w:rPr>
        <w:t>水质具体数值见下表</w:t>
      </w:r>
      <w:r>
        <w:rPr>
          <w:rFonts w:hint="eastAsia"/>
          <w:color w:val="auto"/>
          <w:lang w:eastAsia="zh-CN"/>
        </w:rPr>
        <w:t>，</w:t>
      </w:r>
      <w:r>
        <w:rPr>
          <w:rFonts w:hint="eastAsia"/>
          <w:color w:val="auto"/>
          <w:lang w:val="en-US" w:eastAsia="zh-CN"/>
        </w:rPr>
        <w:t>各水处理单元处理效果参照表3.8-20。</w:t>
      </w:r>
    </w:p>
    <w:p>
      <w:pPr>
        <w:pStyle w:val="181"/>
        <w:bidi w:val="0"/>
        <w:rPr>
          <w:rFonts w:hint="eastAsia"/>
          <w:b/>
          <w:bCs/>
          <w:color w:val="auto"/>
          <w:u w:val="single"/>
        </w:rPr>
      </w:pPr>
      <w:r>
        <w:rPr>
          <w:b/>
          <w:bCs/>
          <w:color w:val="auto"/>
          <w:u w:val="single"/>
        </w:rPr>
        <w:t>表3.</w:t>
      </w:r>
      <w:r>
        <w:rPr>
          <w:rFonts w:hint="eastAsia"/>
          <w:b/>
          <w:bCs/>
          <w:color w:val="auto"/>
          <w:u w:val="single"/>
          <w:lang w:val="en-US" w:eastAsia="zh-CN"/>
        </w:rPr>
        <w:t>8-20</w:t>
      </w:r>
      <w:r>
        <w:rPr>
          <w:b/>
          <w:bCs/>
          <w:color w:val="auto"/>
          <w:u w:val="single"/>
        </w:rPr>
        <w:t xml:space="preserve">  </w:t>
      </w:r>
      <w:r>
        <w:rPr>
          <w:rFonts w:hint="eastAsia"/>
          <w:b/>
          <w:bCs/>
          <w:color w:val="auto"/>
          <w:u w:val="single"/>
          <w:lang w:val="en-US" w:eastAsia="zh-CN"/>
        </w:rPr>
        <w:t xml:space="preserve">      </w:t>
      </w:r>
      <w:r>
        <w:rPr>
          <w:rFonts w:hint="eastAsia"/>
          <w:b/>
          <w:bCs/>
          <w:color w:val="auto"/>
          <w:u w:val="single"/>
        </w:rPr>
        <w:t>工程废水处理效果及排放情况一览表</w:t>
      </w:r>
    </w:p>
    <w:tbl>
      <w:tblPr>
        <w:tblStyle w:val="32"/>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303"/>
        <w:gridCol w:w="1066"/>
        <w:gridCol w:w="664"/>
        <w:gridCol w:w="769"/>
        <w:gridCol w:w="787"/>
        <w:gridCol w:w="655"/>
        <w:gridCol w:w="917"/>
        <w:gridCol w:w="743"/>
        <w:gridCol w:w="6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排放口</w:t>
            </w:r>
          </w:p>
        </w:tc>
        <w:tc>
          <w:tcPr>
            <w:tcW w:w="625" w:type="pct"/>
            <w:vMerge w:val="restart"/>
            <w:tcBorders>
              <w:top w:val="single" w:color="000000" w:sz="8" w:space="0"/>
              <w:left w:val="single" w:color="000000" w:sz="8" w:space="0"/>
              <w:right w:val="single" w:color="000000" w:sz="8" w:space="0"/>
            </w:tcBorders>
            <w:shd w:val="clear" w:color="auto" w:fill="auto"/>
            <w:vAlign w:val="center"/>
          </w:tcPr>
          <w:p>
            <w:pPr>
              <w:pStyle w:val="182"/>
              <w:rPr>
                <w:rFonts w:hint="eastAsia"/>
                <w:b/>
                <w:bCs/>
                <w:color w:val="auto"/>
                <w:u w:val="single"/>
                <w:lang w:val="en-US" w:eastAsia="zh-CN"/>
              </w:rPr>
            </w:pPr>
            <w:r>
              <w:rPr>
                <w:rFonts w:hint="eastAsia"/>
                <w:b/>
                <w:bCs/>
                <w:color w:val="auto"/>
                <w:u w:val="single"/>
                <w:lang w:val="en-US" w:eastAsia="zh-CN"/>
              </w:rPr>
              <w:t>水量</w:t>
            </w:r>
          </w:p>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w:t>
            </w:r>
            <w:r>
              <w:rPr>
                <w:rFonts w:hint="default"/>
                <w:b/>
                <w:bCs/>
                <w:color w:val="auto"/>
                <w:u w:val="single"/>
                <w:lang w:val="en-US" w:eastAsia="zh-CN"/>
              </w:rPr>
              <w:t>m</w:t>
            </w:r>
            <w:r>
              <w:rPr>
                <w:rFonts w:hint="default"/>
                <w:b/>
                <w:bCs/>
                <w:color w:val="auto"/>
                <w:u w:val="single"/>
                <w:vertAlign w:val="superscript"/>
                <w:lang w:val="en-US" w:eastAsia="zh-CN"/>
              </w:rPr>
              <w:t>3</w:t>
            </w:r>
            <w:r>
              <w:rPr>
                <w:rFonts w:hint="default"/>
                <w:b/>
                <w:bCs/>
                <w:color w:val="auto"/>
                <w:u w:val="single"/>
                <w:lang w:val="en-US" w:eastAsia="zh-CN"/>
              </w:rPr>
              <w:t>/d</w:t>
            </w:r>
            <w:r>
              <w:rPr>
                <w:rFonts w:hint="eastAsia"/>
                <w:b/>
                <w:bCs/>
                <w:color w:val="auto"/>
                <w:u w:val="single"/>
                <w:lang w:val="en-US" w:eastAsia="zh-CN"/>
              </w:rPr>
              <w:t>）</w:t>
            </w:r>
          </w:p>
        </w:tc>
        <w:tc>
          <w:tcPr>
            <w:tcW w:w="3022" w:type="pct"/>
            <w:gridSpan w:val="7"/>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污染物排放浓度（</w:t>
            </w:r>
            <w:r>
              <w:rPr>
                <w:rFonts w:hint="default"/>
                <w:b/>
                <w:bCs/>
                <w:color w:val="auto"/>
                <w:u w:val="single"/>
                <w:lang w:val="en-US" w:eastAsia="zh-CN"/>
              </w:rPr>
              <w:t>mg/L</w:t>
            </w:r>
            <w:r>
              <w:rPr>
                <w:rFonts w:hint="eastAsia"/>
                <w:b/>
                <w:bCs/>
                <w:color w:val="auto"/>
                <w:u w:val="singl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625" w:type="pct"/>
            <w:vMerge w:val="continue"/>
            <w:tcBorders>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p>
        </w:tc>
        <w:tc>
          <w:tcPr>
            <w:tcW w:w="389"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pH</w:t>
            </w:r>
          </w:p>
        </w:tc>
        <w:tc>
          <w:tcPr>
            <w:tcW w:w="451"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COD</w:t>
            </w:r>
          </w:p>
        </w:tc>
        <w:tc>
          <w:tcPr>
            <w:tcW w:w="461"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BOD5</w:t>
            </w:r>
          </w:p>
        </w:tc>
        <w:tc>
          <w:tcPr>
            <w:tcW w:w="384"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SS</w:t>
            </w:r>
          </w:p>
        </w:tc>
        <w:tc>
          <w:tcPr>
            <w:tcW w:w="538"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NH</w:t>
            </w:r>
            <w:r>
              <w:rPr>
                <w:rFonts w:hint="default"/>
                <w:b/>
                <w:bCs/>
                <w:color w:val="auto"/>
                <w:u w:val="single"/>
                <w:vertAlign w:val="subscript"/>
                <w:lang w:val="en-US" w:eastAsia="zh-CN"/>
              </w:rPr>
              <w:t>3</w:t>
            </w:r>
            <w:r>
              <w:rPr>
                <w:rFonts w:hint="default"/>
                <w:b/>
                <w:bCs/>
                <w:color w:val="auto"/>
                <w:u w:val="single"/>
                <w:lang w:val="en-US" w:eastAsia="zh-CN"/>
              </w:rPr>
              <w:t>-N</w:t>
            </w:r>
          </w:p>
        </w:tc>
        <w:tc>
          <w:tcPr>
            <w:tcW w:w="43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TN</w:t>
            </w:r>
          </w:p>
        </w:tc>
        <w:tc>
          <w:tcPr>
            <w:tcW w:w="36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TP</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化纤厂总排口（已建）</w:t>
            </w:r>
          </w:p>
        </w:tc>
        <w:tc>
          <w:tcPr>
            <w:tcW w:w="625"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28790.4</w:t>
            </w:r>
          </w:p>
        </w:tc>
        <w:tc>
          <w:tcPr>
            <w:tcW w:w="389"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7.4</w:t>
            </w:r>
          </w:p>
        </w:tc>
        <w:tc>
          <w:tcPr>
            <w:tcW w:w="4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82</w:t>
            </w:r>
          </w:p>
        </w:tc>
        <w:tc>
          <w:tcPr>
            <w:tcW w:w="46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14.2</w:t>
            </w:r>
          </w:p>
        </w:tc>
        <w:tc>
          <w:tcPr>
            <w:tcW w:w="384"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8</w:t>
            </w:r>
          </w:p>
        </w:tc>
        <w:tc>
          <w:tcPr>
            <w:tcW w:w="538"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4.66</w:t>
            </w:r>
          </w:p>
        </w:tc>
        <w:tc>
          <w:tcPr>
            <w:tcW w:w="436"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9.87</w:t>
            </w:r>
          </w:p>
        </w:tc>
        <w:tc>
          <w:tcPr>
            <w:tcW w:w="360"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0.16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水处理站本项目进水</w:t>
            </w:r>
          </w:p>
        </w:tc>
        <w:tc>
          <w:tcPr>
            <w:tcW w:w="625"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947.73</w:t>
            </w:r>
          </w:p>
        </w:tc>
        <w:tc>
          <w:tcPr>
            <w:tcW w:w="389"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1350</w:t>
            </w:r>
          </w:p>
        </w:tc>
        <w:tc>
          <w:tcPr>
            <w:tcW w:w="46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eastAsia"/>
                <w:b/>
                <w:bCs/>
                <w:color w:val="auto"/>
                <w:u w:val="single"/>
                <w:lang w:val="en-US" w:eastAsia="zh-CN"/>
              </w:rPr>
              <w:t>3</w:t>
            </w:r>
            <w:r>
              <w:rPr>
                <w:rFonts w:hint="default"/>
                <w:b/>
                <w:bCs/>
                <w:color w:val="auto"/>
                <w:u w:val="single"/>
                <w:lang w:val="en-US" w:eastAsia="zh-CN"/>
              </w:rPr>
              <w:t>70</w:t>
            </w:r>
          </w:p>
        </w:tc>
        <w:tc>
          <w:tcPr>
            <w:tcW w:w="384"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470</w:t>
            </w:r>
          </w:p>
        </w:tc>
        <w:tc>
          <w:tcPr>
            <w:tcW w:w="538"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14.8</w:t>
            </w:r>
          </w:p>
        </w:tc>
        <w:tc>
          <w:tcPr>
            <w:tcW w:w="436"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25</w:t>
            </w:r>
          </w:p>
        </w:tc>
        <w:tc>
          <w:tcPr>
            <w:tcW w:w="360"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绿纤、氨纶废水处理单元处理效率</w:t>
            </w:r>
          </w:p>
        </w:tc>
        <w:tc>
          <w:tcPr>
            <w:tcW w:w="625"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89"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92</w:t>
            </w:r>
          </w:p>
        </w:tc>
        <w:tc>
          <w:tcPr>
            <w:tcW w:w="46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94</w:t>
            </w:r>
          </w:p>
        </w:tc>
        <w:tc>
          <w:tcPr>
            <w:tcW w:w="384"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90</w:t>
            </w:r>
          </w:p>
        </w:tc>
        <w:tc>
          <w:tcPr>
            <w:tcW w:w="538"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25</w:t>
            </w:r>
          </w:p>
        </w:tc>
        <w:tc>
          <w:tcPr>
            <w:tcW w:w="436"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40</w:t>
            </w:r>
          </w:p>
        </w:tc>
        <w:tc>
          <w:tcPr>
            <w:tcW w:w="360"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本项目建成后全厂总排口（已建</w:t>
            </w:r>
            <w:r>
              <w:rPr>
                <w:rFonts w:hint="default"/>
                <w:b/>
                <w:bCs/>
                <w:color w:val="auto"/>
                <w:u w:val="single"/>
                <w:lang w:val="en-US" w:eastAsia="zh-CN"/>
              </w:rPr>
              <w:t>+</w:t>
            </w:r>
            <w:r>
              <w:rPr>
                <w:rFonts w:hint="eastAsia"/>
                <w:b/>
                <w:bCs/>
                <w:color w:val="auto"/>
                <w:u w:val="single"/>
                <w:lang w:val="en-US" w:eastAsia="zh-CN"/>
              </w:rPr>
              <w:t>本项目）</w:t>
            </w:r>
          </w:p>
        </w:tc>
        <w:tc>
          <w:tcPr>
            <w:tcW w:w="625"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29738.13</w:t>
            </w:r>
          </w:p>
        </w:tc>
        <w:tc>
          <w:tcPr>
            <w:tcW w:w="389"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82.83</w:t>
            </w:r>
          </w:p>
        </w:tc>
        <w:tc>
          <w:tcPr>
            <w:tcW w:w="46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lang w:val="en-US"/>
              </w:rPr>
            </w:pPr>
            <w:r>
              <w:rPr>
                <w:rFonts w:hint="eastAsia"/>
                <w:b/>
                <w:bCs/>
                <w:color w:val="auto"/>
                <w:u w:val="single"/>
                <w:lang w:val="en-US" w:eastAsia="zh-CN"/>
              </w:rPr>
              <w:t>14.69</w:t>
            </w:r>
          </w:p>
        </w:tc>
        <w:tc>
          <w:tcPr>
            <w:tcW w:w="384"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9.24</w:t>
            </w:r>
          </w:p>
        </w:tc>
        <w:tc>
          <w:tcPr>
            <w:tcW w:w="538"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4.87</w:t>
            </w:r>
          </w:p>
        </w:tc>
        <w:tc>
          <w:tcPr>
            <w:tcW w:w="436"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10.03</w:t>
            </w:r>
          </w:p>
        </w:tc>
        <w:tc>
          <w:tcPr>
            <w:tcW w:w="360"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0.31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新乡化纤新厂区排污许可证废水最高允许排放浓度</w:t>
            </w:r>
          </w:p>
        </w:tc>
        <w:tc>
          <w:tcPr>
            <w:tcW w:w="625"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89"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300</w:t>
            </w:r>
          </w:p>
        </w:tc>
        <w:tc>
          <w:tcPr>
            <w:tcW w:w="46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84"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38"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15</w:t>
            </w:r>
          </w:p>
        </w:tc>
        <w:tc>
          <w:tcPr>
            <w:tcW w:w="436"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60"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小店污水处理厂收水标准</w:t>
            </w:r>
          </w:p>
        </w:tc>
        <w:tc>
          <w:tcPr>
            <w:tcW w:w="625"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89"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6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84"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538"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436"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40</w:t>
            </w:r>
          </w:p>
        </w:tc>
        <w:tc>
          <w:tcPr>
            <w:tcW w:w="360"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本项目执行标准</w:t>
            </w:r>
          </w:p>
        </w:tc>
        <w:tc>
          <w:tcPr>
            <w:tcW w:w="625"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89"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6~9</w:t>
            </w:r>
          </w:p>
        </w:tc>
        <w:tc>
          <w:tcPr>
            <w:tcW w:w="4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300</w:t>
            </w:r>
          </w:p>
        </w:tc>
        <w:tc>
          <w:tcPr>
            <w:tcW w:w="46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100</w:t>
            </w:r>
          </w:p>
        </w:tc>
        <w:tc>
          <w:tcPr>
            <w:tcW w:w="384"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150</w:t>
            </w:r>
          </w:p>
        </w:tc>
        <w:tc>
          <w:tcPr>
            <w:tcW w:w="538"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15</w:t>
            </w:r>
          </w:p>
        </w:tc>
        <w:tc>
          <w:tcPr>
            <w:tcW w:w="436"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40</w:t>
            </w:r>
          </w:p>
        </w:tc>
        <w:tc>
          <w:tcPr>
            <w:tcW w:w="360"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3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达标情况</w:t>
            </w:r>
          </w:p>
        </w:tc>
        <w:tc>
          <w:tcPr>
            <w:tcW w:w="625"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w:t>
            </w:r>
          </w:p>
        </w:tc>
        <w:tc>
          <w:tcPr>
            <w:tcW w:w="389"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45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461"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384"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538"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436"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c>
          <w:tcPr>
            <w:tcW w:w="360" w:type="pct"/>
            <w:tcBorders>
              <w:top w:val="nil"/>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w:t>
            </w:r>
          </w:p>
        </w:tc>
      </w:tr>
    </w:tbl>
    <w:p>
      <w:pPr>
        <w:bidi w:val="0"/>
        <w:rPr>
          <w:rFonts w:hint="eastAsia"/>
          <w:b/>
          <w:bCs/>
          <w:i w:val="0"/>
          <w:iCs w:val="0"/>
          <w:color w:val="auto"/>
          <w:u w:val="single"/>
        </w:rPr>
      </w:pPr>
      <w:r>
        <w:rPr>
          <w:rFonts w:hint="eastAsia"/>
          <w:b/>
          <w:bCs/>
          <w:i w:val="0"/>
          <w:iCs w:val="0"/>
          <w:color w:val="auto"/>
          <w:u w:val="single"/>
        </w:rPr>
        <w:t>由上表可知，主要污染物COD、BOD</w:t>
      </w:r>
      <w:r>
        <w:rPr>
          <w:rFonts w:hint="eastAsia"/>
          <w:b/>
          <w:bCs/>
          <w:i w:val="0"/>
          <w:iCs w:val="0"/>
          <w:color w:val="auto"/>
          <w:u w:val="single"/>
          <w:vertAlign w:val="subscript"/>
        </w:rPr>
        <w:t>5</w:t>
      </w:r>
      <w:r>
        <w:rPr>
          <w:rFonts w:hint="eastAsia"/>
          <w:b/>
          <w:bCs/>
          <w:i w:val="0"/>
          <w:iCs w:val="0"/>
          <w:color w:val="auto"/>
          <w:u w:val="single"/>
        </w:rPr>
        <w:t>、SS、NH</w:t>
      </w:r>
      <w:r>
        <w:rPr>
          <w:rFonts w:hint="eastAsia"/>
          <w:b/>
          <w:bCs/>
          <w:i w:val="0"/>
          <w:iCs w:val="0"/>
          <w:color w:val="auto"/>
          <w:u w:val="single"/>
          <w:vertAlign w:val="subscript"/>
        </w:rPr>
        <w:t>3</w:t>
      </w:r>
      <w:r>
        <w:rPr>
          <w:rFonts w:hint="eastAsia"/>
          <w:b/>
          <w:bCs/>
          <w:i w:val="0"/>
          <w:iCs w:val="0"/>
          <w:color w:val="auto"/>
          <w:u w:val="single"/>
        </w:rPr>
        <w:t>-N、TN、TP等均能够满足新乡化纤新厂区排污许可证废水最高允许排放浓度</w:t>
      </w:r>
      <w:r>
        <w:rPr>
          <w:rFonts w:hint="eastAsia"/>
          <w:b/>
          <w:bCs/>
          <w:i w:val="0"/>
          <w:iCs w:val="0"/>
          <w:color w:val="auto"/>
          <w:u w:val="single"/>
          <w:lang w:eastAsia="zh-CN"/>
        </w:rPr>
        <w:t>、小店污水处理厂收水标准：</w:t>
      </w:r>
      <w:r>
        <w:rPr>
          <w:rFonts w:hint="eastAsia"/>
          <w:b/>
          <w:bCs/>
          <w:i w:val="0"/>
          <w:iCs w:val="0"/>
          <w:color w:val="auto"/>
          <w:u w:val="single"/>
        </w:rPr>
        <w:t>COD 300mg/L、NH</w:t>
      </w:r>
      <w:r>
        <w:rPr>
          <w:rFonts w:hint="eastAsia"/>
          <w:b/>
          <w:bCs/>
          <w:i w:val="0"/>
          <w:iCs w:val="0"/>
          <w:color w:val="auto"/>
          <w:u w:val="single"/>
          <w:vertAlign w:val="subscript"/>
        </w:rPr>
        <w:t>3</w:t>
      </w:r>
      <w:r>
        <w:rPr>
          <w:rFonts w:hint="eastAsia"/>
          <w:b/>
          <w:bCs/>
          <w:i w:val="0"/>
          <w:iCs w:val="0"/>
          <w:color w:val="auto"/>
          <w:u w:val="single"/>
        </w:rPr>
        <w:t xml:space="preserve">-N </w:t>
      </w:r>
      <w:r>
        <w:rPr>
          <w:rFonts w:hint="eastAsia"/>
          <w:b/>
          <w:bCs/>
          <w:i w:val="0"/>
          <w:iCs w:val="0"/>
          <w:color w:val="auto"/>
          <w:u w:val="single"/>
          <w:lang w:val="en-US" w:eastAsia="zh-CN"/>
        </w:rPr>
        <w:t>1</w:t>
      </w:r>
      <w:r>
        <w:rPr>
          <w:rFonts w:hint="eastAsia"/>
          <w:b/>
          <w:bCs/>
          <w:i w:val="0"/>
          <w:iCs w:val="0"/>
          <w:color w:val="auto"/>
          <w:u w:val="single"/>
        </w:rPr>
        <w:t>5mg/L、TP 1.0mg/L、TN</w:t>
      </w:r>
      <w:r>
        <w:rPr>
          <w:rFonts w:hint="eastAsia"/>
          <w:b/>
          <w:bCs/>
          <w:i w:val="0"/>
          <w:iCs w:val="0"/>
          <w:color w:val="auto"/>
          <w:u w:val="single"/>
          <w:lang w:val="en-US" w:eastAsia="zh-CN"/>
        </w:rPr>
        <w:t xml:space="preserve"> </w:t>
      </w:r>
      <w:r>
        <w:rPr>
          <w:rFonts w:hint="eastAsia"/>
          <w:b/>
          <w:bCs/>
          <w:i w:val="0"/>
          <w:iCs w:val="0"/>
          <w:color w:val="auto"/>
          <w:u w:val="single"/>
        </w:rPr>
        <w:t>40mg/L</w:t>
      </w:r>
      <w:r>
        <w:rPr>
          <w:rFonts w:hint="eastAsia"/>
          <w:b/>
          <w:bCs/>
          <w:i w:val="0"/>
          <w:iCs w:val="0"/>
          <w:color w:val="auto"/>
          <w:u w:val="single"/>
          <w:lang w:eastAsia="zh-CN"/>
        </w:rPr>
        <w:t>、</w:t>
      </w:r>
      <w:r>
        <w:rPr>
          <w:rFonts w:hint="eastAsia"/>
          <w:b/>
          <w:bCs/>
          <w:i w:val="0"/>
          <w:iCs w:val="0"/>
          <w:color w:val="auto"/>
          <w:u w:val="single"/>
        </w:rPr>
        <w:t>SS 150mg/L和BOD</w:t>
      </w:r>
      <w:r>
        <w:rPr>
          <w:rFonts w:hint="eastAsia"/>
          <w:b/>
          <w:bCs/>
          <w:i w:val="0"/>
          <w:iCs w:val="0"/>
          <w:color w:val="auto"/>
          <w:u w:val="single"/>
          <w:vertAlign w:val="subscript"/>
        </w:rPr>
        <w:t>5</w:t>
      </w:r>
      <w:r>
        <w:rPr>
          <w:rFonts w:hint="eastAsia"/>
          <w:b/>
          <w:bCs/>
          <w:i w:val="0"/>
          <w:iCs w:val="0"/>
          <w:color w:val="auto"/>
          <w:u w:val="single"/>
        </w:rPr>
        <w:t xml:space="preserve"> 100mg/L的标准。</w:t>
      </w:r>
    </w:p>
    <w:p>
      <w:pPr>
        <w:bidi w:val="0"/>
        <w:rPr>
          <w:color w:val="auto"/>
        </w:rPr>
      </w:pPr>
      <w:r>
        <w:rPr>
          <w:rFonts w:hint="eastAsia"/>
          <w:color w:val="auto"/>
        </w:rPr>
        <w:t>由上表可知，工程废水经新乡化纤股份有限公司新厂区</w:t>
      </w:r>
      <w:r>
        <w:rPr>
          <w:color w:val="auto"/>
        </w:rPr>
        <w:t>3.8</w:t>
      </w:r>
      <w:r>
        <w:rPr>
          <w:rFonts w:hint="eastAsia"/>
          <w:color w:val="auto"/>
        </w:rPr>
        <w:t>万</w:t>
      </w:r>
      <w:r>
        <w:rPr>
          <w:color w:val="auto"/>
        </w:rPr>
        <w:t>t/d</w:t>
      </w:r>
      <w:r>
        <w:rPr>
          <w:rFonts w:hint="eastAsia"/>
          <w:color w:val="auto"/>
        </w:rPr>
        <w:t>污水处理站处理后，总排口废水各项水质均能达标排放。</w:t>
      </w:r>
    </w:p>
    <w:p>
      <w:pPr>
        <w:bidi w:val="0"/>
        <w:rPr>
          <w:color w:val="auto"/>
        </w:rPr>
      </w:pPr>
      <w:r>
        <w:rPr>
          <w:rFonts w:hint="eastAsia"/>
          <w:color w:val="auto"/>
        </w:rPr>
        <w:t>（</w:t>
      </w:r>
      <w:r>
        <w:rPr>
          <w:color w:val="auto"/>
        </w:rPr>
        <w:t>3</w:t>
      </w:r>
      <w:r>
        <w:rPr>
          <w:rFonts w:hint="eastAsia"/>
          <w:color w:val="auto"/>
        </w:rPr>
        <w:t>）废水污染物产排量</w:t>
      </w:r>
    </w:p>
    <w:p>
      <w:pPr>
        <w:bidi w:val="0"/>
        <w:rPr>
          <w:rFonts w:hint="eastAsia"/>
          <w:color w:val="auto"/>
          <w:highlight w:val="none"/>
        </w:rPr>
      </w:pPr>
      <w:r>
        <w:rPr>
          <w:rFonts w:hint="eastAsia"/>
          <w:color w:val="auto"/>
          <w:highlight w:val="none"/>
        </w:rPr>
        <w:t>本项目排放的生产废水排入厂区内的3.8万t/d污水处理站进行处理，达标后经管网排入新乡市小店污水处理厂进一步处理。小店污水处理厂排水水质需满足COD 40mg/L、BOD</w:t>
      </w:r>
      <w:r>
        <w:rPr>
          <w:rFonts w:hint="eastAsia"/>
          <w:color w:val="auto"/>
          <w:highlight w:val="none"/>
          <w:vertAlign w:val="subscript"/>
        </w:rPr>
        <w:t>5</w:t>
      </w:r>
      <w:r>
        <w:rPr>
          <w:rFonts w:hint="eastAsia"/>
          <w:color w:val="auto"/>
          <w:highlight w:val="none"/>
        </w:rPr>
        <w:t xml:space="preserve"> 10mg/L、NH</w:t>
      </w:r>
      <w:r>
        <w:rPr>
          <w:rFonts w:hint="eastAsia"/>
          <w:color w:val="auto"/>
          <w:highlight w:val="none"/>
          <w:vertAlign w:val="subscript"/>
        </w:rPr>
        <w:t>3</w:t>
      </w:r>
      <w:r>
        <w:rPr>
          <w:rFonts w:hint="eastAsia"/>
          <w:color w:val="auto"/>
          <w:highlight w:val="none"/>
        </w:rPr>
        <w:t>-N 2mg/</w:t>
      </w:r>
      <w:r>
        <w:rPr>
          <w:color w:val="auto"/>
          <w:highlight w:val="none"/>
        </w:rPr>
        <w:t>L</w:t>
      </w:r>
      <w:r>
        <w:rPr>
          <w:rFonts w:hint="eastAsia"/>
          <w:color w:val="auto"/>
          <w:highlight w:val="none"/>
        </w:rPr>
        <w:t>、TN 15mg/</w:t>
      </w:r>
      <w:r>
        <w:rPr>
          <w:color w:val="auto"/>
          <w:highlight w:val="none"/>
        </w:rPr>
        <w:t>L</w:t>
      </w:r>
      <w:r>
        <w:rPr>
          <w:rFonts w:hint="eastAsia"/>
          <w:color w:val="auto"/>
          <w:highlight w:val="none"/>
        </w:rPr>
        <w:t>、TP 0.4mg/</w:t>
      </w:r>
      <w:r>
        <w:rPr>
          <w:color w:val="auto"/>
          <w:highlight w:val="none"/>
        </w:rPr>
        <w:t>L</w:t>
      </w:r>
      <w:r>
        <w:rPr>
          <w:rFonts w:hint="eastAsia"/>
          <w:color w:val="auto"/>
          <w:highlight w:val="none"/>
        </w:rPr>
        <w:t>、SS 10mg/L的排放标准。</w:t>
      </w:r>
    </w:p>
    <w:p>
      <w:pPr>
        <w:bidi w:val="0"/>
        <w:rPr>
          <w:rFonts w:hint="eastAsia"/>
          <w:color w:val="auto"/>
        </w:rPr>
      </w:pPr>
      <w:r>
        <w:rPr>
          <w:rFonts w:hint="eastAsia"/>
          <w:color w:val="auto"/>
        </w:rPr>
        <w:t>根据本项目废水产生量以及厂区3.8万t/d污水处理站、小店污水处理厂的出水水质，计算出本项目废水污染物产</w:t>
      </w:r>
      <w:r>
        <w:rPr>
          <w:rFonts w:hint="eastAsia"/>
          <w:color w:val="auto"/>
          <w:lang w:eastAsia="zh-CN"/>
        </w:rPr>
        <w:t>排放</w:t>
      </w:r>
      <w:r>
        <w:rPr>
          <w:rFonts w:hint="eastAsia"/>
          <w:color w:val="auto"/>
        </w:rPr>
        <w:t>情况，具体见表</w:t>
      </w:r>
      <w:r>
        <w:rPr>
          <w:color w:val="auto"/>
        </w:rPr>
        <w:t>3.</w:t>
      </w:r>
      <w:r>
        <w:rPr>
          <w:rFonts w:hint="eastAsia"/>
          <w:color w:val="auto"/>
          <w:lang w:val="en-US" w:eastAsia="zh-CN"/>
        </w:rPr>
        <w:t>8</w:t>
      </w:r>
      <w:r>
        <w:rPr>
          <w:rFonts w:hint="eastAsia"/>
          <w:color w:val="auto"/>
        </w:rPr>
        <w:t>-</w:t>
      </w:r>
      <w:r>
        <w:rPr>
          <w:rFonts w:hint="eastAsia"/>
          <w:color w:val="auto"/>
          <w:lang w:val="en-US" w:eastAsia="zh-CN"/>
        </w:rPr>
        <w:t>21</w:t>
      </w:r>
      <w:r>
        <w:rPr>
          <w:rFonts w:hint="eastAsia"/>
          <w:color w:val="auto"/>
        </w:rPr>
        <w:t>。</w:t>
      </w:r>
    </w:p>
    <w:p>
      <w:pPr>
        <w:pStyle w:val="181"/>
        <w:bidi w:val="0"/>
        <w:rPr>
          <w:b/>
          <w:bCs/>
          <w:color w:val="auto"/>
          <w:u w:val="single"/>
        </w:rPr>
      </w:pPr>
      <w:r>
        <w:rPr>
          <w:rFonts w:hint="eastAsia"/>
          <w:b/>
          <w:bCs/>
          <w:color w:val="auto"/>
          <w:u w:val="single"/>
        </w:rPr>
        <w:t>表</w:t>
      </w:r>
      <w:r>
        <w:rPr>
          <w:b/>
          <w:bCs/>
          <w:color w:val="auto"/>
          <w:u w:val="single"/>
        </w:rPr>
        <w:t>3.</w:t>
      </w:r>
      <w:r>
        <w:rPr>
          <w:rFonts w:hint="eastAsia"/>
          <w:b/>
          <w:bCs/>
          <w:color w:val="auto"/>
          <w:u w:val="single"/>
          <w:lang w:val="en-US" w:eastAsia="zh-CN"/>
        </w:rPr>
        <w:t>8</w:t>
      </w:r>
      <w:r>
        <w:rPr>
          <w:b/>
          <w:bCs/>
          <w:color w:val="auto"/>
          <w:u w:val="single"/>
        </w:rPr>
        <w:t>-</w:t>
      </w:r>
      <w:r>
        <w:rPr>
          <w:rFonts w:hint="eastAsia"/>
          <w:b/>
          <w:bCs/>
          <w:color w:val="auto"/>
          <w:u w:val="single"/>
          <w:lang w:val="en-US" w:eastAsia="zh-CN"/>
        </w:rPr>
        <w:t>21</w:t>
      </w:r>
      <w:r>
        <w:rPr>
          <w:b/>
          <w:bCs/>
          <w:color w:val="auto"/>
          <w:u w:val="single"/>
        </w:rPr>
        <w:t xml:space="preserve">  </w:t>
      </w:r>
      <w:r>
        <w:rPr>
          <w:rFonts w:hint="eastAsia"/>
          <w:b/>
          <w:bCs/>
          <w:color w:val="auto"/>
          <w:u w:val="single"/>
          <w:lang w:val="en-US" w:eastAsia="zh-CN"/>
        </w:rPr>
        <w:t xml:space="preserve">         </w:t>
      </w:r>
      <w:r>
        <w:rPr>
          <w:rFonts w:hint="eastAsia"/>
          <w:b/>
          <w:bCs/>
          <w:color w:val="auto"/>
          <w:u w:val="single"/>
        </w:rPr>
        <w:t>本项目废水污染物产</w:t>
      </w:r>
      <w:r>
        <w:rPr>
          <w:rFonts w:hint="eastAsia"/>
          <w:b/>
          <w:bCs/>
          <w:color w:val="auto"/>
          <w:u w:val="single"/>
          <w:lang w:eastAsia="zh-CN"/>
        </w:rPr>
        <w:t>排放</w:t>
      </w:r>
      <w:r>
        <w:rPr>
          <w:rFonts w:hint="eastAsia"/>
          <w:b/>
          <w:bCs/>
          <w:color w:val="auto"/>
          <w:u w:val="single"/>
        </w:rPr>
        <w:t>情况</w:t>
      </w:r>
      <w:r>
        <w:rPr>
          <w:rFonts w:hint="eastAsia"/>
          <w:b/>
          <w:bCs/>
          <w:color w:val="auto"/>
          <w:u w:val="single"/>
          <w:lang w:val="en-US" w:eastAsia="zh-CN"/>
        </w:rPr>
        <w:t xml:space="preserve">     </w:t>
      </w:r>
      <w:r>
        <w:rPr>
          <w:rFonts w:hint="eastAsia"/>
          <w:b/>
          <w:bCs/>
          <w:color w:val="auto"/>
          <w:u w:val="single"/>
        </w:rPr>
        <w:t>单位：t/a</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4"/>
        <w:gridCol w:w="1706"/>
        <w:gridCol w:w="1706"/>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755" w:type="dxa"/>
            <w:vAlign w:val="center"/>
          </w:tcPr>
          <w:p>
            <w:pPr>
              <w:pStyle w:val="182"/>
              <w:bidi w:val="0"/>
              <w:rPr>
                <w:rFonts w:hint="eastAsia"/>
                <w:b/>
                <w:bCs/>
                <w:color w:val="auto"/>
                <w:u w:val="single"/>
                <w:lang w:eastAsia="zh-CN"/>
              </w:rPr>
            </w:pPr>
            <w:r>
              <w:rPr>
                <w:rFonts w:hint="eastAsia"/>
                <w:b/>
                <w:bCs/>
                <w:color w:val="auto"/>
                <w:u w:val="single"/>
              </w:rPr>
              <w:t>污染物</w:t>
            </w:r>
          </w:p>
        </w:tc>
        <w:tc>
          <w:tcPr>
            <w:tcW w:w="1755" w:type="dxa"/>
            <w:vAlign w:val="center"/>
          </w:tcPr>
          <w:p>
            <w:pPr>
              <w:pStyle w:val="182"/>
              <w:bidi w:val="0"/>
              <w:rPr>
                <w:b/>
                <w:bCs/>
                <w:color w:val="auto"/>
                <w:u w:val="single"/>
              </w:rPr>
            </w:pPr>
            <w:r>
              <w:rPr>
                <w:rFonts w:hint="eastAsia"/>
                <w:b/>
                <w:bCs/>
                <w:color w:val="auto"/>
                <w:u w:val="single"/>
              </w:rPr>
              <w:t>产生量</w:t>
            </w:r>
            <w:r>
              <w:rPr>
                <w:rFonts w:hint="eastAsia"/>
                <w:b/>
                <w:bCs/>
                <w:color w:val="auto"/>
                <w:u w:val="single"/>
                <w:lang w:eastAsia="zh-CN"/>
              </w:rPr>
              <w:t>（</w:t>
            </w:r>
            <w:r>
              <w:rPr>
                <w:rFonts w:hint="eastAsia"/>
                <w:b/>
                <w:bCs/>
                <w:color w:val="auto"/>
                <w:u w:val="single"/>
              </w:rPr>
              <w:t>t/a</w:t>
            </w:r>
            <w:r>
              <w:rPr>
                <w:rFonts w:hint="eastAsia"/>
                <w:b/>
                <w:bCs/>
                <w:color w:val="auto"/>
                <w:u w:val="single"/>
                <w:lang w:eastAsia="zh-CN"/>
              </w:rPr>
              <w:t>）</w:t>
            </w:r>
          </w:p>
        </w:tc>
        <w:tc>
          <w:tcPr>
            <w:tcW w:w="1756" w:type="dxa"/>
            <w:vAlign w:val="center"/>
          </w:tcPr>
          <w:p>
            <w:pPr>
              <w:pStyle w:val="182"/>
              <w:bidi w:val="0"/>
              <w:rPr>
                <w:b/>
                <w:bCs/>
                <w:color w:val="auto"/>
                <w:u w:val="single"/>
              </w:rPr>
            </w:pPr>
            <w:r>
              <w:rPr>
                <w:rFonts w:hint="eastAsia"/>
                <w:b/>
                <w:bCs/>
                <w:color w:val="auto"/>
                <w:u w:val="single"/>
              </w:rPr>
              <w:t>削减量</w:t>
            </w:r>
            <w:r>
              <w:rPr>
                <w:rFonts w:hint="eastAsia"/>
                <w:b/>
                <w:bCs/>
                <w:color w:val="auto"/>
                <w:u w:val="single"/>
                <w:lang w:eastAsia="zh-CN"/>
              </w:rPr>
              <w:t>（</w:t>
            </w:r>
            <w:r>
              <w:rPr>
                <w:rFonts w:hint="eastAsia"/>
                <w:b/>
                <w:bCs/>
                <w:color w:val="auto"/>
                <w:u w:val="single"/>
              </w:rPr>
              <w:t>t/a</w:t>
            </w:r>
            <w:r>
              <w:rPr>
                <w:rFonts w:hint="eastAsia"/>
                <w:b/>
                <w:bCs/>
                <w:color w:val="auto"/>
                <w:u w:val="single"/>
                <w:lang w:eastAsia="zh-CN"/>
              </w:rPr>
              <w:t>）</w:t>
            </w:r>
          </w:p>
        </w:tc>
        <w:tc>
          <w:tcPr>
            <w:tcW w:w="1756" w:type="dxa"/>
            <w:vAlign w:val="center"/>
          </w:tcPr>
          <w:p>
            <w:pPr>
              <w:pStyle w:val="182"/>
              <w:bidi w:val="0"/>
              <w:rPr>
                <w:rFonts w:hint="eastAsia"/>
                <w:b/>
                <w:bCs/>
                <w:color w:val="auto"/>
                <w:u w:val="single"/>
              </w:rPr>
            </w:pPr>
            <w:r>
              <w:rPr>
                <w:rFonts w:hint="eastAsia"/>
                <w:b/>
                <w:bCs/>
                <w:color w:val="auto"/>
                <w:u w:val="single"/>
              </w:rPr>
              <w:t>排放量</w:t>
            </w:r>
          </w:p>
          <w:p>
            <w:pPr>
              <w:pStyle w:val="182"/>
              <w:bidi w:val="0"/>
              <w:rPr>
                <w:b/>
                <w:bCs/>
                <w:color w:val="auto"/>
                <w:u w:val="single"/>
              </w:rPr>
            </w:pPr>
            <w:r>
              <w:rPr>
                <w:rFonts w:hint="eastAsia"/>
                <w:b/>
                <w:bCs/>
                <w:color w:val="auto"/>
                <w:u w:val="single"/>
              </w:rPr>
              <w:t>（厂总排口）</w:t>
            </w:r>
            <w:r>
              <w:rPr>
                <w:rFonts w:hint="eastAsia"/>
                <w:b/>
                <w:bCs/>
                <w:color w:val="auto"/>
                <w:u w:val="single"/>
                <w:lang w:eastAsia="zh-CN"/>
              </w:rPr>
              <w:t>（</w:t>
            </w:r>
            <w:r>
              <w:rPr>
                <w:rFonts w:hint="eastAsia"/>
                <w:b/>
                <w:bCs/>
                <w:color w:val="auto"/>
                <w:u w:val="single"/>
              </w:rPr>
              <w:t>t/a</w:t>
            </w:r>
            <w:r>
              <w:rPr>
                <w:rFonts w:hint="eastAsia"/>
                <w:b/>
                <w:bCs/>
                <w:color w:val="auto"/>
                <w:u w:val="single"/>
                <w:lang w:eastAsia="zh-CN"/>
              </w:rPr>
              <w:t>）</w:t>
            </w:r>
          </w:p>
        </w:tc>
        <w:tc>
          <w:tcPr>
            <w:tcW w:w="1756" w:type="dxa"/>
            <w:vAlign w:val="center"/>
          </w:tcPr>
          <w:p>
            <w:pPr>
              <w:pStyle w:val="182"/>
              <w:bidi w:val="0"/>
              <w:rPr>
                <w:b/>
                <w:bCs/>
                <w:color w:val="auto"/>
                <w:u w:val="single"/>
              </w:rPr>
            </w:pPr>
            <w:r>
              <w:rPr>
                <w:rFonts w:hint="eastAsia"/>
                <w:b/>
                <w:bCs/>
                <w:color w:val="auto"/>
                <w:u w:val="single"/>
              </w:rPr>
              <w:t>排放量（小店污水处理厂出口）</w:t>
            </w:r>
            <w:r>
              <w:rPr>
                <w:rFonts w:hint="eastAsia"/>
                <w:b/>
                <w:bCs/>
                <w:color w:val="auto"/>
                <w:u w:val="single"/>
                <w:lang w:eastAsia="zh-CN"/>
              </w:rPr>
              <w:t>（</w:t>
            </w:r>
            <w:r>
              <w:rPr>
                <w:rFonts w:hint="eastAsia"/>
                <w:b/>
                <w:bCs/>
                <w:color w:val="auto"/>
                <w:u w:val="single"/>
              </w:rPr>
              <w:t>t/a</w:t>
            </w:r>
            <w:r>
              <w:rPr>
                <w:rFonts w:hint="eastAsia"/>
                <w:b/>
                <w:bCs/>
                <w:color w:val="auto"/>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55" w:type="dxa"/>
            <w:vAlign w:val="center"/>
          </w:tcPr>
          <w:p>
            <w:pPr>
              <w:pStyle w:val="182"/>
              <w:bidi w:val="0"/>
              <w:rPr>
                <w:b/>
                <w:bCs/>
                <w:color w:val="auto"/>
                <w:u w:val="single"/>
              </w:rPr>
            </w:pPr>
            <w:r>
              <w:rPr>
                <w:rFonts w:hint="eastAsia"/>
                <w:b/>
                <w:bCs/>
                <w:color w:val="auto"/>
                <w:u w:val="single"/>
              </w:rPr>
              <w:t>C</w:t>
            </w:r>
            <w:r>
              <w:rPr>
                <w:b/>
                <w:bCs/>
                <w:color w:val="auto"/>
                <w:u w:val="single"/>
              </w:rPr>
              <w:t>OD</w:t>
            </w:r>
          </w:p>
        </w:tc>
        <w:tc>
          <w:tcPr>
            <w:tcW w:w="1755"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422.21</w:t>
            </w:r>
          </w:p>
        </w:tc>
        <w:tc>
          <w:tcPr>
            <w:tcW w:w="1756"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388.44</w:t>
            </w:r>
          </w:p>
        </w:tc>
        <w:tc>
          <w:tcPr>
            <w:tcW w:w="1756"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33.78</w:t>
            </w:r>
          </w:p>
        </w:tc>
        <w:tc>
          <w:tcPr>
            <w:tcW w:w="1756" w:type="dxa"/>
            <w:vAlign w:val="center"/>
          </w:tcPr>
          <w:p>
            <w:pPr>
              <w:pStyle w:val="182"/>
              <w:bidi w:val="0"/>
              <w:ind w:firstLine="0" w:firstLineChars="0"/>
              <w:rPr>
                <w:b/>
                <w:bCs/>
                <w:color w:val="auto"/>
                <w:u w:val="single"/>
              </w:rPr>
            </w:pPr>
            <w:r>
              <w:rPr>
                <w:rFonts w:hint="eastAsia"/>
                <w:b/>
                <w:bCs/>
                <w:color w:val="auto"/>
                <w:u w:val="single"/>
                <w:lang w:val="en-US" w:eastAsia="zh-CN"/>
              </w:rPr>
              <w:t>12.51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55" w:type="dxa"/>
            <w:vAlign w:val="center"/>
          </w:tcPr>
          <w:p>
            <w:pPr>
              <w:pStyle w:val="182"/>
              <w:bidi w:val="0"/>
              <w:rPr>
                <w:b/>
                <w:bCs/>
                <w:color w:val="auto"/>
                <w:u w:val="single"/>
              </w:rPr>
            </w:pPr>
            <w:r>
              <w:rPr>
                <w:rFonts w:hint="eastAsia"/>
                <w:b/>
                <w:bCs/>
                <w:color w:val="auto"/>
                <w:u w:val="single"/>
              </w:rPr>
              <w:t>N</w:t>
            </w:r>
            <w:r>
              <w:rPr>
                <w:b/>
                <w:bCs/>
                <w:color w:val="auto"/>
                <w:u w:val="single"/>
              </w:rPr>
              <w:t>H</w:t>
            </w:r>
            <w:r>
              <w:rPr>
                <w:b/>
                <w:bCs/>
                <w:color w:val="auto"/>
                <w:u w:val="single"/>
                <w:vertAlign w:val="subscript"/>
              </w:rPr>
              <w:t>3</w:t>
            </w:r>
            <w:r>
              <w:rPr>
                <w:b/>
                <w:bCs/>
                <w:color w:val="auto"/>
                <w:u w:val="single"/>
              </w:rPr>
              <w:t>-N</w:t>
            </w:r>
          </w:p>
        </w:tc>
        <w:tc>
          <w:tcPr>
            <w:tcW w:w="1755" w:type="dxa"/>
            <w:vAlign w:val="center"/>
          </w:tcPr>
          <w:p>
            <w:pPr>
              <w:pStyle w:val="182"/>
              <w:bidi w:val="0"/>
              <w:ind w:firstLine="0" w:firstLineChars="0"/>
              <w:rPr>
                <w:rFonts w:hint="default"/>
                <w:b/>
                <w:bCs/>
                <w:color w:val="auto"/>
                <w:u w:val="single"/>
                <w:lang w:val="en-US" w:eastAsia="zh-CN"/>
              </w:rPr>
            </w:pPr>
            <w:r>
              <w:rPr>
                <w:rFonts w:hint="default"/>
                <w:b/>
                <w:bCs/>
                <w:color w:val="auto"/>
                <w:u w:val="single"/>
                <w:lang w:val="en-US" w:eastAsia="zh-CN"/>
              </w:rPr>
              <w:t>4.6</w:t>
            </w:r>
            <w:r>
              <w:rPr>
                <w:rFonts w:hint="eastAsia"/>
                <w:b/>
                <w:bCs/>
                <w:color w:val="auto"/>
                <w:u w:val="single"/>
                <w:lang w:val="en-US" w:eastAsia="zh-CN"/>
              </w:rPr>
              <w:t>3</w:t>
            </w:r>
          </w:p>
        </w:tc>
        <w:tc>
          <w:tcPr>
            <w:tcW w:w="1756"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1.16</w:t>
            </w:r>
          </w:p>
        </w:tc>
        <w:tc>
          <w:tcPr>
            <w:tcW w:w="1756"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3.47</w:t>
            </w:r>
          </w:p>
        </w:tc>
        <w:tc>
          <w:tcPr>
            <w:tcW w:w="1756" w:type="dxa"/>
            <w:vAlign w:val="center"/>
          </w:tcPr>
          <w:p>
            <w:pPr>
              <w:pStyle w:val="182"/>
              <w:bidi w:val="0"/>
              <w:ind w:firstLine="0" w:firstLineChars="0"/>
              <w:rPr>
                <w:rFonts w:hint="default"/>
                <w:b/>
                <w:bCs/>
                <w:color w:val="auto"/>
                <w:u w:val="single"/>
                <w:lang w:val="en-US"/>
              </w:rPr>
            </w:pPr>
            <w:r>
              <w:rPr>
                <w:rFonts w:hint="default"/>
                <w:b/>
                <w:bCs/>
                <w:color w:val="auto"/>
                <w:u w:val="single"/>
                <w:lang w:val="en-US" w:eastAsia="zh-CN"/>
              </w:rPr>
              <w:t>0.6</w:t>
            </w:r>
            <w:r>
              <w:rPr>
                <w:rFonts w:hint="eastAsia"/>
                <w:b/>
                <w:bCs/>
                <w:color w:val="auto"/>
                <w:u w:val="single"/>
                <w:lang w:val="en-US" w:eastAsia="zh-CN"/>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55" w:type="dxa"/>
            <w:vAlign w:val="center"/>
          </w:tcPr>
          <w:p>
            <w:pPr>
              <w:pStyle w:val="182"/>
              <w:bidi w:val="0"/>
              <w:rPr>
                <w:rFonts w:hint="default"/>
                <w:b/>
                <w:bCs/>
                <w:color w:val="auto"/>
                <w:u w:val="single"/>
                <w:lang w:val="en-US" w:eastAsia="zh-CN"/>
              </w:rPr>
            </w:pPr>
            <w:r>
              <w:rPr>
                <w:rFonts w:hint="eastAsia"/>
                <w:b/>
                <w:bCs/>
                <w:color w:val="auto"/>
                <w:u w:val="single"/>
                <w:lang w:val="en-US" w:eastAsia="zh-CN"/>
              </w:rPr>
              <w:t>TN</w:t>
            </w:r>
          </w:p>
        </w:tc>
        <w:tc>
          <w:tcPr>
            <w:tcW w:w="1755" w:type="dxa"/>
            <w:vAlign w:val="center"/>
          </w:tcPr>
          <w:p>
            <w:pPr>
              <w:pStyle w:val="182"/>
              <w:bidi w:val="0"/>
              <w:rPr>
                <w:rFonts w:hint="default"/>
                <w:b/>
                <w:bCs/>
                <w:color w:val="auto"/>
                <w:u w:val="single"/>
                <w:lang w:val="en-US" w:eastAsia="zh-CN"/>
              </w:rPr>
            </w:pPr>
            <w:r>
              <w:rPr>
                <w:rFonts w:hint="eastAsia"/>
                <w:b/>
                <w:bCs/>
                <w:color w:val="auto"/>
                <w:u w:val="single"/>
                <w:lang w:val="en-US" w:eastAsia="zh-CN"/>
              </w:rPr>
              <w:t>7.82</w:t>
            </w:r>
          </w:p>
        </w:tc>
        <w:tc>
          <w:tcPr>
            <w:tcW w:w="1756" w:type="dxa"/>
            <w:vAlign w:val="center"/>
          </w:tcPr>
          <w:p>
            <w:pPr>
              <w:pStyle w:val="182"/>
              <w:bidi w:val="0"/>
              <w:rPr>
                <w:rFonts w:hint="default"/>
                <w:b/>
                <w:bCs/>
                <w:color w:val="auto"/>
                <w:u w:val="single"/>
                <w:lang w:val="en-US" w:eastAsia="zh-CN"/>
              </w:rPr>
            </w:pPr>
            <w:r>
              <w:rPr>
                <w:rFonts w:hint="eastAsia"/>
                <w:b/>
                <w:bCs/>
                <w:color w:val="auto"/>
                <w:u w:val="single"/>
                <w:lang w:val="en-US" w:eastAsia="zh-CN"/>
              </w:rPr>
              <w:t>3.13</w:t>
            </w:r>
          </w:p>
        </w:tc>
        <w:tc>
          <w:tcPr>
            <w:tcW w:w="1756" w:type="dxa"/>
            <w:vAlign w:val="center"/>
          </w:tcPr>
          <w:p>
            <w:pPr>
              <w:pStyle w:val="182"/>
              <w:bidi w:val="0"/>
              <w:rPr>
                <w:rFonts w:hint="default"/>
                <w:b/>
                <w:bCs/>
                <w:color w:val="auto"/>
                <w:u w:val="single"/>
                <w:lang w:val="en-US" w:eastAsia="zh-CN"/>
              </w:rPr>
            </w:pPr>
            <w:r>
              <w:rPr>
                <w:rFonts w:hint="eastAsia"/>
                <w:b/>
                <w:bCs/>
                <w:color w:val="auto"/>
                <w:u w:val="single"/>
                <w:lang w:val="en-US" w:eastAsia="zh-CN"/>
              </w:rPr>
              <w:t>4.691</w:t>
            </w:r>
          </w:p>
        </w:tc>
        <w:tc>
          <w:tcPr>
            <w:tcW w:w="1756" w:type="dxa"/>
            <w:vAlign w:val="center"/>
          </w:tcPr>
          <w:p>
            <w:pPr>
              <w:pStyle w:val="182"/>
              <w:bidi w:val="0"/>
              <w:rPr>
                <w:rFonts w:hint="default"/>
                <w:b/>
                <w:bCs/>
                <w:color w:val="auto"/>
                <w:u w:val="single"/>
                <w:lang w:val="en-US" w:eastAsia="zh-CN"/>
              </w:rPr>
            </w:pPr>
            <w:r>
              <w:rPr>
                <w:rFonts w:hint="eastAsia"/>
                <w:b/>
                <w:bCs/>
                <w:color w:val="auto"/>
                <w:u w:val="single"/>
                <w:lang w:val="en-US" w:eastAsia="zh-CN"/>
              </w:rPr>
              <w:t>4.691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55"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TP</w:t>
            </w:r>
          </w:p>
        </w:tc>
        <w:tc>
          <w:tcPr>
            <w:tcW w:w="1755" w:type="dxa"/>
            <w:vAlign w:val="center"/>
          </w:tcPr>
          <w:p>
            <w:pPr>
              <w:pStyle w:val="182"/>
              <w:bidi w:val="0"/>
              <w:rPr>
                <w:rFonts w:hint="default"/>
                <w:b/>
                <w:bCs/>
                <w:color w:val="auto"/>
                <w:u w:val="single"/>
                <w:lang w:val="en-US" w:eastAsia="zh-CN"/>
              </w:rPr>
            </w:pPr>
            <w:r>
              <w:rPr>
                <w:rFonts w:hint="eastAsia"/>
                <w:b/>
                <w:bCs/>
                <w:color w:val="auto"/>
                <w:u w:val="single"/>
                <w:lang w:val="en-US" w:eastAsia="zh-CN"/>
              </w:rPr>
              <w:t>2.50</w:t>
            </w:r>
          </w:p>
        </w:tc>
        <w:tc>
          <w:tcPr>
            <w:tcW w:w="1756" w:type="dxa"/>
            <w:vAlign w:val="center"/>
          </w:tcPr>
          <w:p>
            <w:pPr>
              <w:pStyle w:val="182"/>
              <w:bidi w:val="0"/>
              <w:rPr>
                <w:rFonts w:hint="default"/>
                <w:b/>
                <w:bCs/>
                <w:color w:val="auto"/>
                <w:u w:val="single"/>
                <w:lang w:val="en-US" w:eastAsia="zh-CN"/>
              </w:rPr>
            </w:pPr>
            <w:r>
              <w:rPr>
                <w:rFonts w:hint="eastAsia"/>
                <w:b/>
                <w:bCs/>
                <w:color w:val="auto"/>
                <w:u w:val="single"/>
                <w:lang w:val="en-US" w:eastAsia="zh-CN"/>
              </w:rPr>
              <w:t>1.00</w:t>
            </w:r>
          </w:p>
        </w:tc>
        <w:tc>
          <w:tcPr>
            <w:tcW w:w="1756" w:type="dxa"/>
            <w:vAlign w:val="center"/>
          </w:tcPr>
          <w:p>
            <w:pPr>
              <w:pStyle w:val="182"/>
              <w:bidi w:val="0"/>
              <w:rPr>
                <w:rFonts w:hint="default"/>
                <w:b/>
                <w:bCs/>
                <w:color w:val="auto"/>
                <w:u w:val="single"/>
                <w:lang w:val="en-US" w:eastAsia="zh-CN"/>
              </w:rPr>
            </w:pPr>
            <w:r>
              <w:rPr>
                <w:rFonts w:hint="eastAsia"/>
                <w:b/>
                <w:bCs/>
                <w:color w:val="auto"/>
                <w:u w:val="single"/>
                <w:lang w:val="en-US" w:eastAsia="zh-CN"/>
              </w:rPr>
              <w:t>1.50</w:t>
            </w:r>
          </w:p>
        </w:tc>
        <w:tc>
          <w:tcPr>
            <w:tcW w:w="1756" w:type="dxa"/>
            <w:vAlign w:val="center"/>
          </w:tcPr>
          <w:p>
            <w:pPr>
              <w:pStyle w:val="182"/>
              <w:bidi w:val="0"/>
              <w:rPr>
                <w:rFonts w:hint="default"/>
                <w:b/>
                <w:bCs/>
                <w:color w:val="auto"/>
                <w:u w:val="single"/>
                <w:lang w:val="en-US" w:eastAsia="zh-CN"/>
              </w:rPr>
            </w:pPr>
            <w:r>
              <w:rPr>
                <w:rFonts w:hint="eastAsia"/>
                <w:b/>
                <w:bCs/>
                <w:color w:val="auto"/>
                <w:u w:val="single"/>
                <w:lang w:val="en-US" w:eastAsia="zh-CN"/>
              </w:rPr>
              <w:t>0.125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55" w:type="dxa"/>
            <w:vAlign w:val="center"/>
          </w:tcPr>
          <w:p>
            <w:pPr>
              <w:pStyle w:val="182"/>
              <w:bidi w:val="0"/>
              <w:rPr>
                <w:b/>
                <w:bCs/>
                <w:color w:val="auto"/>
                <w:u w:val="single"/>
              </w:rPr>
            </w:pPr>
            <w:r>
              <w:rPr>
                <w:rFonts w:hint="eastAsia"/>
                <w:b/>
                <w:bCs/>
                <w:color w:val="auto"/>
                <w:u w:val="single"/>
              </w:rPr>
              <w:t>水量（万t/</w:t>
            </w:r>
            <w:r>
              <w:rPr>
                <w:b/>
                <w:bCs/>
                <w:color w:val="auto"/>
                <w:u w:val="single"/>
              </w:rPr>
              <w:t>a</w:t>
            </w:r>
            <w:r>
              <w:rPr>
                <w:rFonts w:hint="eastAsia"/>
                <w:b/>
                <w:bCs/>
                <w:color w:val="auto"/>
                <w:u w:val="single"/>
              </w:rPr>
              <w:t>）</w:t>
            </w:r>
          </w:p>
        </w:tc>
        <w:tc>
          <w:tcPr>
            <w:tcW w:w="1755" w:type="dxa"/>
            <w:vAlign w:val="center"/>
          </w:tcPr>
          <w:p>
            <w:pPr>
              <w:pStyle w:val="182"/>
              <w:bidi w:val="0"/>
              <w:rPr>
                <w:rFonts w:hint="default"/>
                <w:b/>
                <w:bCs/>
                <w:color w:val="auto"/>
                <w:u w:val="single"/>
                <w:lang w:val="en-US" w:eastAsia="zh-CN"/>
              </w:rPr>
            </w:pPr>
            <w:r>
              <w:rPr>
                <w:rFonts w:hint="default"/>
                <w:b/>
                <w:bCs/>
                <w:color w:val="auto"/>
                <w:u w:val="single"/>
                <w:lang w:val="en-US" w:eastAsia="zh-CN"/>
              </w:rPr>
              <w:t>31.</w:t>
            </w:r>
            <w:r>
              <w:rPr>
                <w:rFonts w:hint="eastAsia"/>
                <w:b/>
                <w:bCs/>
                <w:color w:val="auto"/>
                <w:u w:val="single"/>
                <w:lang w:val="en-US" w:eastAsia="zh-CN"/>
              </w:rPr>
              <w:t>28</w:t>
            </w:r>
          </w:p>
        </w:tc>
        <w:tc>
          <w:tcPr>
            <w:tcW w:w="1756" w:type="dxa"/>
            <w:vAlign w:val="center"/>
          </w:tcPr>
          <w:p>
            <w:pPr>
              <w:pStyle w:val="182"/>
              <w:bidi w:val="0"/>
              <w:rPr>
                <w:b/>
                <w:bCs/>
                <w:color w:val="auto"/>
                <w:u w:val="single"/>
              </w:rPr>
            </w:pPr>
            <w:r>
              <w:rPr>
                <w:rFonts w:hint="default"/>
                <w:b/>
                <w:bCs/>
                <w:color w:val="auto"/>
                <w:u w:val="single"/>
                <w:lang w:val="en-US" w:eastAsia="zh-CN"/>
              </w:rPr>
              <w:t>/</w:t>
            </w:r>
          </w:p>
        </w:tc>
        <w:tc>
          <w:tcPr>
            <w:tcW w:w="1756" w:type="dxa"/>
            <w:vAlign w:val="center"/>
          </w:tcPr>
          <w:p>
            <w:pPr>
              <w:pStyle w:val="182"/>
              <w:bidi w:val="0"/>
              <w:rPr>
                <w:rFonts w:hint="default"/>
                <w:b/>
                <w:bCs/>
                <w:color w:val="auto"/>
                <w:u w:val="single"/>
                <w:lang w:val="en-US"/>
              </w:rPr>
            </w:pPr>
            <w:r>
              <w:rPr>
                <w:rFonts w:hint="default"/>
                <w:b/>
                <w:bCs/>
                <w:color w:val="auto"/>
                <w:u w:val="single"/>
                <w:lang w:val="en-US" w:eastAsia="zh-CN"/>
              </w:rPr>
              <w:t>31</w:t>
            </w:r>
            <w:r>
              <w:rPr>
                <w:rFonts w:hint="eastAsia"/>
                <w:b/>
                <w:bCs/>
                <w:color w:val="auto"/>
                <w:u w:val="single"/>
                <w:lang w:val="en-US" w:eastAsia="zh-CN"/>
              </w:rPr>
              <w:t>.28</w:t>
            </w:r>
          </w:p>
        </w:tc>
        <w:tc>
          <w:tcPr>
            <w:tcW w:w="1756" w:type="dxa"/>
            <w:vAlign w:val="center"/>
          </w:tcPr>
          <w:p>
            <w:pPr>
              <w:pStyle w:val="182"/>
              <w:bidi w:val="0"/>
              <w:rPr>
                <w:rFonts w:hint="default"/>
                <w:b/>
                <w:bCs/>
                <w:color w:val="auto"/>
                <w:u w:val="single"/>
                <w:lang w:val="en-US"/>
              </w:rPr>
            </w:pPr>
            <w:r>
              <w:rPr>
                <w:rFonts w:hint="default"/>
                <w:b/>
                <w:bCs/>
                <w:color w:val="auto"/>
                <w:u w:val="single"/>
                <w:lang w:val="en-US" w:eastAsia="zh-CN"/>
              </w:rPr>
              <w:t>31.</w:t>
            </w:r>
            <w:r>
              <w:rPr>
                <w:rFonts w:hint="eastAsia"/>
                <w:b/>
                <w:bCs/>
                <w:color w:val="auto"/>
                <w:u w:val="single"/>
                <w:lang w:val="en-US" w:eastAsia="zh-CN"/>
              </w:rPr>
              <w:t>28</w:t>
            </w:r>
          </w:p>
        </w:tc>
      </w:tr>
    </w:tbl>
    <w:p>
      <w:pPr>
        <w:bidi w:val="0"/>
        <w:rPr>
          <w:color w:val="auto"/>
        </w:rPr>
      </w:pPr>
      <w:r>
        <w:rPr>
          <w:rFonts w:hint="eastAsia"/>
          <w:color w:val="auto"/>
        </w:rPr>
        <w:t>（4）废水污染物排放信息</w:t>
      </w:r>
    </w:p>
    <w:p>
      <w:pPr>
        <w:bidi w:val="0"/>
        <w:rPr>
          <w:color w:val="auto"/>
        </w:rPr>
      </w:pPr>
      <w:r>
        <w:rPr>
          <w:rFonts w:hint="eastAsia"/>
          <w:color w:val="auto"/>
        </w:rPr>
        <w:t>1）废水类别、污染物及污染治理设施信息表</w:t>
      </w:r>
    </w:p>
    <w:p>
      <w:pPr>
        <w:pStyle w:val="181"/>
        <w:bidi w:val="0"/>
        <w:rPr>
          <w:color w:val="auto"/>
        </w:rPr>
      </w:pPr>
      <w:r>
        <w:rPr>
          <w:rFonts w:hint="eastAsia"/>
          <w:color w:val="auto"/>
        </w:rPr>
        <w:t>表</w:t>
      </w:r>
      <w:r>
        <w:rPr>
          <w:color w:val="auto"/>
        </w:rPr>
        <w:t>3.</w:t>
      </w:r>
      <w:r>
        <w:rPr>
          <w:rFonts w:hint="eastAsia"/>
          <w:color w:val="auto"/>
          <w:lang w:val="en-US" w:eastAsia="zh-CN"/>
        </w:rPr>
        <w:t>8</w:t>
      </w:r>
      <w:r>
        <w:rPr>
          <w:rFonts w:hint="eastAsia"/>
          <w:color w:val="auto"/>
        </w:rPr>
        <w:t>-</w:t>
      </w:r>
      <w:r>
        <w:rPr>
          <w:rFonts w:hint="eastAsia"/>
          <w:color w:val="auto"/>
          <w:lang w:val="en-US" w:eastAsia="zh-CN"/>
        </w:rPr>
        <w:t>22</w:t>
      </w:r>
      <w:r>
        <w:rPr>
          <w:color w:val="auto"/>
        </w:rPr>
        <w:t xml:space="preserve"> </w:t>
      </w:r>
      <w:r>
        <w:rPr>
          <w:rFonts w:hint="eastAsia"/>
          <w:color w:val="auto"/>
          <w:lang w:val="en-US" w:eastAsia="zh-CN"/>
        </w:rPr>
        <w:t xml:space="preserve">       </w:t>
      </w:r>
      <w:r>
        <w:rPr>
          <w:rFonts w:hint="eastAsia"/>
          <w:color w:val="auto"/>
        </w:rPr>
        <w:t>废水类别、污染物及污染治理设施信息表</w:t>
      </w:r>
    </w:p>
    <w:tbl>
      <w:tblPr>
        <w:tblStyle w:val="33"/>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1097"/>
        <w:gridCol w:w="832"/>
        <w:gridCol w:w="832"/>
        <w:gridCol w:w="858"/>
        <w:gridCol w:w="832"/>
        <w:gridCol w:w="845"/>
        <w:gridCol w:w="881"/>
        <w:gridCol w:w="983"/>
        <w:gridCol w:w="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4" w:type="pct"/>
            <w:vMerge w:val="restart"/>
            <w:vAlign w:val="center"/>
          </w:tcPr>
          <w:p>
            <w:pPr>
              <w:pStyle w:val="182"/>
              <w:bidi w:val="0"/>
              <w:rPr>
                <w:b/>
                <w:bCs/>
                <w:color w:val="auto"/>
              </w:rPr>
            </w:pPr>
            <w:r>
              <w:rPr>
                <w:rFonts w:hint="eastAsia"/>
                <w:b/>
                <w:bCs/>
                <w:color w:val="auto"/>
              </w:rPr>
              <w:t>废水类别</w:t>
            </w:r>
          </w:p>
        </w:tc>
        <w:tc>
          <w:tcPr>
            <w:tcW w:w="644" w:type="pct"/>
            <w:vMerge w:val="restart"/>
            <w:vAlign w:val="center"/>
          </w:tcPr>
          <w:p>
            <w:pPr>
              <w:pStyle w:val="182"/>
              <w:bidi w:val="0"/>
              <w:rPr>
                <w:b/>
                <w:bCs/>
                <w:color w:val="auto"/>
              </w:rPr>
            </w:pPr>
            <w:r>
              <w:rPr>
                <w:rFonts w:hint="eastAsia"/>
                <w:b/>
                <w:bCs/>
                <w:color w:val="auto"/>
              </w:rPr>
              <w:t>污染物种类</w:t>
            </w:r>
          </w:p>
        </w:tc>
        <w:tc>
          <w:tcPr>
            <w:tcW w:w="488" w:type="pct"/>
            <w:vMerge w:val="restart"/>
            <w:vAlign w:val="center"/>
          </w:tcPr>
          <w:p>
            <w:pPr>
              <w:pStyle w:val="182"/>
              <w:bidi w:val="0"/>
              <w:rPr>
                <w:b/>
                <w:bCs/>
                <w:color w:val="auto"/>
              </w:rPr>
            </w:pPr>
            <w:r>
              <w:rPr>
                <w:rFonts w:hint="eastAsia"/>
                <w:b/>
                <w:bCs/>
                <w:color w:val="auto"/>
              </w:rPr>
              <w:t>排放去向</w:t>
            </w:r>
          </w:p>
        </w:tc>
        <w:tc>
          <w:tcPr>
            <w:tcW w:w="488" w:type="pct"/>
            <w:vMerge w:val="restart"/>
            <w:vAlign w:val="center"/>
          </w:tcPr>
          <w:p>
            <w:pPr>
              <w:pStyle w:val="182"/>
              <w:bidi w:val="0"/>
              <w:rPr>
                <w:b/>
                <w:bCs/>
                <w:color w:val="auto"/>
              </w:rPr>
            </w:pPr>
            <w:r>
              <w:rPr>
                <w:rFonts w:hint="eastAsia"/>
                <w:b/>
                <w:bCs/>
                <w:color w:val="auto"/>
              </w:rPr>
              <w:t>排放规律</w:t>
            </w:r>
          </w:p>
        </w:tc>
        <w:tc>
          <w:tcPr>
            <w:tcW w:w="1487" w:type="pct"/>
            <w:gridSpan w:val="3"/>
            <w:vAlign w:val="center"/>
          </w:tcPr>
          <w:p>
            <w:pPr>
              <w:pStyle w:val="182"/>
              <w:bidi w:val="0"/>
              <w:rPr>
                <w:b/>
                <w:bCs/>
                <w:color w:val="auto"/>
              </w:rPr>
            </w:pPr>
            <w:r>
              <w:rPr>
                <w:rFonts w:hint="eastAsia"/>
                <w:b/>
                <w:bCs/>
                <w:color w:val="auto"/>
              </w:rPr>
              <w:t>污染治理措施</w:t>
            </w:r>
          </w:p>
        </w:tc>
        <w:tc>
          <w:tcPr>
            <w:tcW w:w="517" w:type="pct"/>
            <w:vMerge w:val="restart"/>
            <w:vAlign w:val="center"/>
          </w:tcPr>
          <w:p>
            <w:pPr>
              <w:pStyle w:val="182"/>
              <w:bidi w:val="0"/>
              <w:rPr>
                <w:b/>
                <w:bCs/>
                <w:color w:val="auto"/>
              </w:rPr>
            </w:pPr>
            <w:r>
              <w:rPr>
                <w:rFonts w:hint="eastAsia"/>
                <w:b/>
                <w:bCs/>
                <w:color w:val="auto"/>
              </w:rPr>
              <w:t>排放口编号</w:t>
            </w:r>
          </w:p>
        </w:tc>
        <w:tc>
          <w:tcPr>
            <w:tcW w:w="577" w:type="pct"/>
            <w:vMerge w:val="restart"/>
            <w:vAlign w:val="center"/>
          </w:tcPr>
          <w:p>
            <w:pPr>
              <w:pStyle w:val="182"/>
              <w:bidi w:val="0"/>
              <w:rPr>
                <w:b/>
                <w:bCs/>
                <w:color w:val="auto"/>
              </w:rPr>
            </w:pPr>
            <w:r>
              <w:rPr>
                <w:rFonts w:hint="eastAsia"/>
                <w:b/>
                <w:bCs/>
                <w:color w:val="auto"/>
              </w:rPr>
              <w:t>排放口设置是否符合要求</w:t>
            </w:r>
          </w:p>
        </w:tc>
        <w:tc>
          <w:tcPr>
            <w:tcW w:w="401" w:type="pct"/>
            <w:vMerge w:val="restart"/>
            <w:vAlign w:val="center"/>
          </w:tcPr>
          <w:p>
            <w:pPr>
              <w:pStyle w:val="182"/>
              <w:bidi w:val="0"/>
              <w:rPr>
                <w:b/>
                <w:bCs/>
                <w:color w:val="auto"/>
              </w:rPr>
            </w:pPr>
            <w:r>
              <w:rPr>
                <w:rFonts w:hint="eastAsia"/>
                <w:b/>
                <w:bCs/>
                <w:color w:val="auto"/>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4" w:type="pct"/>
            <w:vMerge w:val="continue"/>
            <w:vAlign w:val="center"/>
          </w:tcPr>
          <w:p>
            <w:pPr>
              <w:pStyle w:val="182"/>
              <w:bidi w:val="0"/>
              <w:rPr>
                <w:b/>
                <w:bCs/>
                <w:color w:val="auto"/>
              </w:rPr>
            </w:pPr>
          </w:p>
        </w:tc>
        <w:tc>
          <w:tcPr>
            <w:tcW w:w="644" w:type="pct"/>
            <w:vMerge w:val="continue"/>
            <w:vAlign w:val="center"/>
          </w:tcPr>
          <w:p>
            <w:pPr>
              <w:pStyle w:val="182"/>
              <w:bidi w:val="0"/>
              <w:rPr>
                <w:b/>
                <w:bCs/>
                <w:color w:val="auto"/>
              </w:rPr>
            </w:pPr>
          </w:p>
        </w:tc>
        <w:tc>
          <w:tcPr>
            <w:tcW w:w="488" w:type="pct"/>
            <w:vMerge w:val="continue"/>
            <w:vAlign w:val="center"/>
          </w:tcPr>
          <w:p>
            <w:pPr>
              <w:pStyle w:val="182"/>
              <w:bidi w:val="0"/>
              <w:rPr>
                <w:b/>
                <w:bCs/>
                <w:color w:val="auto"/>
              </w:rPr>
            </w:pPr>
          </w:p>
        </w:tc>
        <w:tc>
          <w:tcPr>
            <w:tcW w:w="488" w:type="pct"/>
            <w:vMerge w:val="continue"/>
            <w:vAlign w:val="center"/>
          </w:tcPr>
          <w:p>
            <w:pPr>
              <w:pStyle w:val="182"/>
              <w:bidi w:val="0"/>
              <w:rPr>
                <w:b/>
                <w:bCs/>
                <w:color w:val="auto"/>
              </w:rPr>
            </w:pPr>
          </w:p>
        </w:tc>
        <w:tc>
          <w:tcPr>
            <w:tcW w:w="503" w:type="pct"/>
            <w:vAlign w:val="center"/>
          </w:tcPr>
          <w:p>
            <w:pPr>
              <w:pStyle w:val="182"/>
              <w:bidi w:val="0"/>
              <w:rPr>
                <w:b/>
                <w:bCs/>
                <w:color w:val="auto"/>
              </w:rPr>
            </w:pPr>
            <w:r>
              <w:rPr>
                <w:rFonts w:hint="eastAsia"/>
                <w:b/>
                <w:bCs/>
                <w:color w:val="auto"/>
              </w:rPr>
              <w:t>污染治理措施编号</w:t>
            </w:r>
          </w:p>
        </w:tc>
        <w:tc>
          <w:tcPr>
            <w:tcW w:w="488" w:type="pct"/>
            <w:vAlign w:val="center"/>
          </w:tcPr>
          <w:p>
            <w:pPr>
              <w:pStyle w:val="182"/>
              <w:bidi w:val="0"/>
              <w:rPr>
                <w:b/>
                <w:bCs/>
                <w:color w:val="auto"/>
              </w:rPr>
            </w:pPr>
            <w:r>
              <w:rPr>
                <w:rFonts w:hint="eastAsia"/>
                <w:b/>
                <w:bCs/>
                <w:color w:val="auto"/>
              </w:rPr>
              <w:t>污染治理措施名称</w:t>
            </w:r>
          </w:p>
        </w:tc>
        <w:tc>
          <w:tcPr>
            <w:tcW w:w="494" w:type="pct"/>
            <w:vAlign w:val="center"/>
          </w:tcPr>
          <w:p>
            <w:pPr>
              <w:pStyle w:val="182"/>
              <w:bidi w:val="0"/>
              <w:rPr>
                <w:b/>
                <w:bCs/>
                <w:color w:val="auto"/>
              </w:rPr>
            </w:pPr>
            <w:r>
              <w:rPr>
                <w:rFonts w:hint="eastAsia"/>
                <w:b/>
                <w:bCs/>
                <w:color w:val="auto"/>
              </w:rPr>
              <w:t>污染治理措施工艺</w:t>
            </w:r>
          </w:p>
        </w:tc>
        <w:tc>
          <w:tcPr>
            <w:tcW w:w="517" w:type="pct"/>
            <w:vMerge w:val="continue"/>
            <w:vAlign w:val="center"/>
          </w:tcPr>
          <w:p>
            <w:pPr>
              <w:pStyle w:val="182"/>
              <w:bidi w:val="0"/>
              <w:rPr>
                <w:b/>
                <w:bCs/>
                <w:color w:val="auto"/>
              </w:rPr>
            </w:pPr>
          </w:p>
        </w:tc>
        <w:tc>
          <w:tcPr>
            <w:tcW w:w="577" w:type="pct"/>
            <w:vMerge w:val="continue"/>
            <w:vAlign w:val="center"/>
          </w:tcPr>
          <w:p>
            <w:pPr>
              <w:pStyle w:val="182"/>
              <w:bidi w:val="0"/>
              <w:rPr>
                <w:b/>
                <w:bCs/>
                <w:color w:val="auto"/>
              </w:rPr>
            </w:pPr>
          </w:p>
        </w:tc>
        <w:tc>
          <w:tcPr>
            <w:tcW w:w="401" w:type="pct"/>
            <w:vMerge w:val="continue"/>
            <w:vAlign w:val="center"/>
          </w:tcPr>
          <w:p>
            <w:pPr>
              <w:pStyle w:val="182"/>
              <w:bidi w:val="0"/>
              <w:rPr>
                <w:b/>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4" w:type="pct"/>
            <w:vAlign w:val="center"/>
          </w:tcPr>
          <w:p>
            <w:pPr>
              <w:pStyle w:val="182"/>
              <w:bidi w:val="0"/>
              <w:rPr>
                <w:color w:val="auto"/>
              </w:rPr>
            </w:pPr>
            <w:r>
              <w:rPr>
                <w:rFonts w:hint="eastAsia"/>
                <w:color w:val="auto"/>
              </w:rPr>
              <w:t>水洗漂白废水</w:t>
            </w:r>
          </w:p>
        </w:tc>
        <w:tc>
          <w:tcPr>
            <w:tcW w:w="644" w:type="pct"/>
            <w:vAlign w:val="center"/>
          </w:tcPr>
          <w:p>
            <w:pPr>
              <w:pStyle w:val="182"/>
              <w:bidi w:val="0"/>
              <w:rPr>
                <w:color w:val="auto"/>
              </w:rPr>
            </w:pPr>
            <w:r>
              <w:rPr>
                <w:rFonts w:hint="eastAsia"/>
                <w:color w:val="auto"/>
              </w:rPr>
              <w:t>COD、BOD</w:t>
            </w:r>
            <w:r>
              <w:rPr>
                <w:color w:val="auto"/>
                <w:vertAlign w:val="subscript"/>
              </w:rPr>
              <w:t>5</w:t>
            </w:r>
            <w:r>
              <w:rPr>
                <w:rFonts w:hint="eastAsia"/>
                <w:color w:val="auto"/>
              </w:rPr>
              <w:t>、SS、NH</w:t>
            </w:r>
            <w:r>
              <w:rPr>
                <w:rFonts w:hint="eastAsia"/>
                <w:color w:val="auto"/>
                <w:vertAlign w:val="subscript"/>
              </w:rPr>
              <w:t>3</w:t>
            </w:r>
            <w:r>
              <w:rPr>
                <w:rFonts w:hint="eastAsia"/>
                <w:color w:val="auto"/>
              </w:rPr>
              <w:t>-N、TP、TN</w:t>
            </w:r>
          </w:p>
        </w:tc>
        <w:tc>
          <w:tcPr>
            <w:tcW w:w="488" w:type="pct"/>
            <w:vAlign w:val="center"/>
          </w:tcPr>
          <w:p>
            <w:pPr>
              <w:pStyle w:val="182"/>
              <w:bidi w:val="0"/>
              <w:rPr>
                <w:color w:val="auto"/>
              </w:rPr>
            </w:pPr>
            <w:r>
              <w:rPr>
                <w:rFonts w:hint="eastAsia"/>
                <w:color w:val="auto"/>
              </w:rPr>
              <w:t>小店污水处理厂</w:t>
            </w:r>
          </w:p>
        </w:tc>
        <w:tc>
          <w:tcPr>
            <w:tcW w:w="488" w:type="pct"/>
            <w:vAlign w:val="center"/>
          </w:tcPr>
          <w:p>
            <w:pPr>
              <w:pStyle w:val="182"/>
              <w:bidi w:val="0"/>
              <w:rPr>
                <w:color w:val="auto"/>
              </w:rPr>
            </w:pPr>
            <w:r>
              <w:rPr>
                <w:rFonts w:hint="eastAsia"/>
                <w:color w:val="auto"/>
              </w:rPr>
              <w:t>连续排放</w:t>
            </w:r>
          </w:p>
        </w:tc>
        <w:tc>
          <w:tcPr>
            <w:tcW w:w="503" w:type="pct"/>
            <w:vAlign w:val="center"/>
          </w:tcPr>
          <w:p>
            <w:pPr>
              <w:pStyle w:val="182"/>
              <w:bidi w:val="0"/>
              <w:rPr>
                <w:color w:val="auto"/>
              </w:rPr>
            </w:pPr>
            <w:r>
              <w:rPr>
                <w:rFonts w:hint="eastAsia"/>
                <w:color w:val="auto"/>
              </w:rPr>
              <w:t>TW</w:t>
            </w:r>
            <w:r>
              <w:rPr>
                <w:color w:val="auto"/>
              </w:rPr>
              <w:t>001</w:t>
            </w:r>
          </w:p>
        </w:tc>
        <w:tc>
          <w:tcPr>
            <w:tcW w:w="488" w:type="pct"/>
            <w:vAlign w:val="center"/>
          </w:tcPr>
          <w:p>
            <w:pPr>
              <w:pStyle w:val="182"/>
              <w:bidi w:val="0"/>
              <w:rPr>
                <w:color w:val="auto"/>
              </w:rPr>
            </w:pPr>
            <w:r>
              <w:rPr>
                <w:rFonts w:hint="eastAsia"/>
                <w:color w:val="auto"/>
              </w:rPr>
              <w:t>新乡化纤股份有限公司新厂区污水处理站</w:t>
            </w:r>
          </w:p>
        </w:tc>
        <w:tc>
          <w:tcPr>
            <w:tcW w:w="494" w:type="pct"/>
            <w:vAlign w:val="center"/>
          </w:tcPr>
          <w:p>
            <w:pPr>
              <w:pStyle w:val="182"/>
              <w:bidi w:val="0"/>
              <w:jc w:val="both"/>
              <w:rPr>
                <w:color w:val="auto"/>
              </w:rPr>
            </w:pPr>
            <w:r>
              <w:rPr>
                <w:rFonts w:hint="eastAsia"/>
                <w:color w:val="auto"/>
              </w:rPr>
              <w:t>调节+混合池+沉淀+水解酸化+氧化沟+二沉池</w:t>
            </w:r>
            <w:r>
              <w:rPr>
                <w:rFonts w:hint="eastAsia"/>
                <w:color w:val="auto"/>
                <w:lang w:val="en-US" w:eastAsia="zh-CN"/>
              </w:rPr>
              <w:t>+混凝池+终沉池</w:t>
            </w:r>
          </w:p>
        </w:tc>
        <w:tc>
          <w:tcPr>
            <w:tcW w:w="517" w:type="pct"/>
            <w:vAlign w:val="center"/>
          </w:tcPr>
          <w:p>
            <w:pPr>
              <w:pStyle w:val="182"/>
              <w:bidi w:val="0"/>
              <w:rPr>
                <w:color w:val="auto"/>
              </w:rPr>
            </w:pPr>
            <w:r>
              <w:rPr>
                <w:rFonts w:hint="eastAsia"/>
                <w:color w:val="auto"/>
              </w:rPr>
              <w:t>DW</w:t>
            </w:r>
            <w:r>
              <w:rPr>
                <w:color w:val="auto"/>
              </w:rPr>
              <w:t>001</w:t>
            </w:r>
          </w:p>
        </w:tc>
        <w:tc>
          <w:tcPr>
            <w:tcW w:w="577" w:type="pct"/>
            <w:vAlign w:val="center"/>
          </w:tcPr>
          <w:p>
            <w:pPr>
              <w:pStyle w:val="182"/>
              <w:bidi w:val="0"/>
              <w:rPr>
                <w:color w:val="auto"/>
              </w:rPr>
            </w:pPr>
            <w:r>
              <w:rPr>
                <w:rFonts w:hint="eastAsia"/>
                <w:color w:val="auto"/>
              </w:rPr>
              <w:t>是</w:t>
            </w:r>
          </w:p>
        </w:tc>
        <w:tc>
          <w:tcPr>
            <w:tcW w:w="401" w:type="pct"/>
            <w:vAlign w:val="center"/>
          </w:tcPr>
          <w:p>
            <w:pPr>
              <w:pStyle w:val="182"/>
              <w:bidi w:val="0"/>
              <w:rPr>
                <w:color w:val="auto"/>
              </w:rPr>
            </w:pPr>
            <w:r>
              <w:rPr>
                <w:rFonts w:hint="eastAsia"/>
                <w:color w:val="auto"/>
              </w:rPr>
              <w:t>总排放口</w:t>
            </w:r>
          </w:p>
        </w:tc>
      </w:tr>
    </w:tbl>
    <w:p>
      <w:pPr>
        <w:bidi w:val="0"/>
        <w:rPr>
          <w:color w:val="auto"/>
        </w:rPr>
      </w:pPr>
      <w:r>
        <w:rPr>
          <w:rFonts w:hint="eastAsia"/>
          <w:color w:val="auto"/>
        </w:rPr>
        <w:t>2）废水间接排放口基本情况</w:t>
      </w:r>
    </w:p>
    <w:p>
      <w:pPr>
        <w:pStyle w:val="181"/>
        <w:bidi w:val="0"/>
        <w:rPr>
          <w:color w:val="auto"/>
        </w:rPr>
      </w:pPr>
      <w:r>
        <w:rPr>
          <w:rFonts w:hint="eastAsia"/>
          <w:color w:val="auto"/>
        </w:rPr>
        <w:t>表</w:t>
      </w:r>
      <w:r>
        <w:rPr>
          <w:color w:val="auto"/>
        </w:rPr>
        <w:t>3.</w:t>
      </w:r>
      <w:r>
        <w:rPr>
          <w:rFonts w:hint="eastAsia"/>
          <w:color w:val="auto"/>
          <w:lang w:val="en-US" w:eastAsia="zh-CN"/>
        </w:rPr>
        <w:t>8</w:t>
      </w:r>
      <w:r>
        <w:rPr>
          <w:rFonts w:hint="eastAsia"/>
          <w:color w:val="auto"/>
        </w:rPr>
        <w:t>-</w:t>
      </w:r>
      <w:r>
        <w:rPr>
          <w:color w:val="auto"/>
        </w:rPr>
        <w:t>2</w:t>
      </w:r>
      <w:r>
        <w:rPr>
          <w:rFonts w:hint="eastAsia"/>
          <w:color w:val="auto"/>
          <w:lang w:val="en-US" w:eastAsia="zh-CN"/>
        </w:rPr>
        <w:t>3</w:t>
      </w:r>
      <w:r>
        <w:rPr>
          <w:color w:val="auto"/>
        </w:rPr>
        <w:t xml:space="preserve"> </w:t>
      </w:r>
      <w:r>
        <w:rPr>
          <w:rFonts w:hint="eastAsia"/>
          <w:color w:val="auto"/>
          <w:lang w:val="en-US" w:eastAsia="zh-CN"/>
        </w:rPr>
        <w:t xml:space="preserve">             </w:t>
      </w:r>
      <w:r>
        <w:rPr>
          <w:color w:val="auto"/>
        </w:rPr>
        <w:t xml:space="preserve"> </w:t>
      </w:r>
      <w:r>
        <w:rPr>
          <w:rFonts w:hint="eastAsia"/>
          <w:color w:val="auto"/>
          <w:lang w:val="en-US" w:eastAsia="zh-CN"/>
        </w:rPr>
        <w:t>本项目</w:t>
      </w:r>
      <w:r>
        <w:rPr>
          <w:rFonts w:hint="eastAsia"/>
          <w:color w:val="auto"/>
        </w:rPr>
        <w:t>废水排放口基本信息表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3"/>
        <w:gridCol w:w="1091"/>
        <w:gridCol w:w="1159"/>
        <w:gridCol w:w="920"/>
        <w:gridCol w:w="727"/>
        <w:gridCol w:w="534"/>
        <w:gridCol w:w="477"/>
        <w:gridCol w:w="670"/>
        <w:gridCol w:w="828"/>
        <w:gridCol w:w="1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488" w:type="pct"/>
            <w:vMerge w:val="restart"/>
            <w:vAlign w:val="center"/>
          </w:tcPr>
          <w:p>
            <w:pPr>
              <w:pStyle w:val="182"/>
              <w:bidi w:val="0"/>
              <w:rPr>
                <w:color w:val="auto"/>
              </w:rPr>
            </w:pPr>
            <w:r>
              <w:rPr>
                <w:rFonts w:hint="eastAsia"/>
                <w:color w:val="auto"/>
              </w:rPr>
              <w:t>排放口</w:t>
            </w:r>
          </w:p>
          <w:p>
            <w:pPr>
              <w:pStyle w:val="182"/>
              <w:bidi w:val="0"/>
              <w:rPr>
                <w:color w:val="auto"/>
              </w:rPr>
            </w:pPr>
            <w:r>
              <w:rPr>
                <w:rFonts w:hint="eastAsia"/>
                <w:color w:val="auto"/>
              </w:rPr>
              <w:t>编号</w:t>
            </w:r>
          </w:p>
        </w:tc>
        <w:tc>
          <w:tcPr>
            <w:tcW w:w="1320" w:type="pct"/>
            <w:gridSpan w:val="2"/>
            <w:vAlign w:val="center"/>
          </w:tcPr>
          <w:p>
            <w:pPr>
              <w:pStyle w:val="182"/>
              <w:bidi w:val="0"/>
              <w:rPr>
                <w:color w:val="auto"/>
              </w:rPr>
            </w:pPr>
            <w:r>
              <w:rPr>
                <w:rFonts w:hint="eastAsia"/>
                <w:color w:val="auto"/>
              </w:rPr>
              <w:t>排放口地理坐标</w:t>
            </w:r>
          </w:p>
        </w:tc>
        <w:tc>
          <w:tcPr>
            <w:tcW w:w="540" w:type="pct"/>
            <w:vMerge w:val="restart"/>
            <w:vAlign w:val="center"/>
          </w:tcPr>
          <w:p>
            <w:pPr>
              <w:pStyle w:val="182"/>
              <w:bidi w:val="0"/>
              <w:rPr>
                <w:color w:val="auto"/>
              </w:rPr>
            </w:pPr>
            <w:r>
              <w:rPr>
                <w:rFonts w:hint="eastAsia"/>
                <w:color w:val="auto"/>
                <w:lang w:val="en-US" w:eastAsia="zh-CN"/>
              </w:rPr>
              <w:t>本项目</w:t>
            </w:r>
            <w:r>
              <w:rPr>
                <w:rFonts w:hint="eastAsia"/>
                <w:color w:val="auto"/>
              </w:rPr>
              <w:t>废水排放量（万t/a）</w:t>
            </w:r>
          </w:p>
        </w:tc>
        <w:tc>
          <w:tcPr>
            <w:tcW w:w="426" w:type="pct"/>
            <w:vMerge w:val="restart"/>
            <w:vAlign w:val="center"/>
          </w:tcPr>
          <w:p>
            <w:pPr>
              <w:pStyle w:val="182"/>
              <w:bidi w:val="0"/>
              <w:rPr>
                <w:color w:val="auto"/>
              </w:rPr>
            </w:pPr>
            <w:r>
              <w:rPr>
                <w:rFonts w:hint="eastAsia"/>
                <w:color w:val="auto"/>
              </w:rPr>
              <w:t>排放去向</w:t>
            </w:r>
          </w:p>
        </w:tc>
        <w:tc>
          <w:tcPr>
            <w:tcW w:w="313" w:type="pct"/>
            <w:vMerge w:val="restart"/>
            <w:vAlign w:val="center"/>
          </w:tcPr>
          <w:p>
            <w:pPr>
              <w:pStyle w:val="182"/>
              <w:bidi w:val="0"/>
              <w:rPr>
                <w:color w:val="auto"/>
              </w:rPr>
            </w:pPr>
            <w:r>
              <w:rPr>
                <w:rFonts w:hint="eastAsia"/>
                <w:color w:val="auto"/>
              </w:rPr>
              <w:t>排放规律</w:t>
            </w:r>
          </w:p>
        </w:tc>
        <w:tc>
          <w:tcPr>
            <w:tcW w:w="280" w:type="pct"/>
            <w:vMerge w:val="restart"/>
            <w:vAlign w:val="center"/>
          </w:tcPr>
          <w:p>
            <w:pPr>
              <w:pStyle w:val="182"/>
              <w:bidi w:val="0"/>
              <w:rPr>
                <w:color w:val="auto"/>
              </w:rPr>
            </w:pPr>
            <w:r>
              <w:rPr>
                <w:rFonts w:hint="eastAsia"/>
                <w:color w:val="auto"/>
              </w:rPr>
              <w:t>间歇</w:t>
            </w:r>
          </w:p>
          <w:p>
            <w:pPr>
              <w:pStyle w:val="182"/>
              <w:bidi w:val="0"/>
              <w:rPr>
                <w:color w:val="auto"/>
              </w:rPr>
            </w:pPr>
            <w:r>
              <w:rPr>
                <w:rFonts w:hint="eastAsia"/>
                <w:color w:val="auto"/>
              </w:rPr>
              <w:t>排放</w:t>
            </w:r>
          </w:p>
          <w:p>
            <w:pPr>
              <w:pStyle w:val="182"/>
              <w:bidi w:val="0"/>
              <w:rPr>
                <w:color w:val="auto"/>
              </w:rPr>
            </w:pPr>
            <w:r>
              <w:rPr>
                <w:rFonts w:hint="eastAsia"/>
                <w:color w:val="auto"/>
              </w:rPr>
              <w:t>时段</w:t>
            </w:r>
          </w:p>
        </w:tc>
        <w:tc>
          <w:tcPr>
            <w:tcW w:w="1630" w:type="pct"/>
            <w:gridSpan w:val="3"/>
            <w:vAlign w:val="center"/>
          </w:tcPr>
          <w:p>
            <w:pPr>
              <w:pStyle w:val="182"/>
              <w:bidi w:val="0"/>
              <w:rPr>
                <w:color w:val="auto"/>
              </w:rPr>
            </w:pPr>
            <w:r>
              <w:rPr>
                <w:rFonts w:hint="eastAsia"/>
                <w:color w:val="auto"/>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8" w:type="pct"/>
            <w:vMerge w:val="continue"/>
            <w:vAlign w:val="center"/>
          </w:tcPr>
          <w:p>
            <w:pPr>
              <w:pStyle w:val="182"/>
              <w:bidi w:val="0"/>
              <w:rPr>
                <w:color w:val="auto"/>
              </w:rPr>
            </w:pPr>
          </w:p>
        </w:tc>
        <w:tc>
          <w:tcPr>
            <w:tcW w:w="640" w:type="pct"/>
            <w:vAlign w:val="center"/>
          </w:tcPr>
          <w:p>
            <w:pPr>
              <w:pStyle w:val="182"/>
              <w:bidi w:val="0"/>
              <w:rPr>
                <w:color w:val="auto"/>
              </w:rPr>
            </w:pPr>
            <w:r>
              <w:rPr>
                <w:rFonts w:hint="eastAsia"/>
                <w:color w:val="auto"/>
              </w:rPr>
              <w:t>经度</w:t>
            </w:r>
          </w:p>
        </w:tc>
        <w:tc>
          <w:tcPr>
            <w:tcW w:w="680" w:type="pct"/>
            <w:vAlign w:val="center"/>
          </w:tcPr>
          <w:p>
            <w:pPr>
              <w:pStyle w:val="182"/>
              <w:bidi w:val="0"/>
              <w:rPr>
                <w:color w:val="auto"/>
              </w:rPr>
            </w:pPr>
            <w:r>
              <w:rPr>
                <w:rFonts w:hint="eastAsia"/>
                <w:color w:val="auto"/>
              </w:rPr>
              <w:t>纬度</w:t>
            </w:r>
          </w:p>
        </w:tc>
        <w:tc>
          <w:tcPr>
            <w:tcW w:w="540" w:type="pct"/>
            <w:vMerge w:val="continue"/>
            <w:vAlign w:val="center"/>
          </w:tcPr>
          <w:p>
            <w:pPr>
              <w:pStyle w:val="182"/>
              <w:bidi w:val="0"/>
              <w:rPr>
                <w:color w:val="auto"/>
              </w:rPr>
            </w:pPr>
          </w:p>
        </w:tc>
        <w:tc>
          <w:tcPr>
            <w:tcW w:w="426" w:type="pct"/>
            <w:vMerge w:val="continue"/>
            <w:vAlign w:val="center"/>
          </w:tcPr>
          <w:p>
            <w:pPr>
              <w:pStyle w:val="182"/>
              <w:bidi w:val="0"/>
              <w:rPr>
                <w:color w:val="auto"/>
              </w:rPr>
            </w:pPr>
          </w:p>
        </w:tc>
        <w:tc>
          <w:tcPr>
            <w:tcW w:w="313" w:type="pct"/>
            <w:vMerge w:val="continue"/>
            <w:vAlign w:val="center"/>
          </w:tcPr>
          <w:p>
            <w:pPr>
              <w:pStyle w:val="182"/>
              <w:bidi w:val="0"/>
              <w:rPr>
                <w:color w:val="auto"/>
              </w:rPr>
            </w:pPr>
          </w:p>
        </w:tc>
        <w:tc>
          <w:tcPr>
            <w:tcW w:w="280" w:type="pct"/>
            <w:vMerge w:val="continue"/>
            <w:vAlign w:val="center"/>
          </w:tcPr>
          <w:p>
            <w:pPr>
              <w:pStyle w:val="182"/>
              <w:bidi w:val="0"/>
              <w:rPr>
                <w:color w:val="auto"/>
              </w:rPr>
            </w:pPr>
          </w:p>
        </w:tc>
        <w:tc>
          <w:tcPr>
            <w:tcW w:w="393" w:type="pct"/>
            <w:vAlign w:val="center"/>
          </w:tcPr>
          <w:p>
            <w:pPr>
              <w:pStyle w:val="182"/>
              <w:bidi w:val="0"/>
              <w:rPr>
                <w:color w:val="auto"/>
              </w:rPr>
            </w:pPr>
            <w:r>
              <w:rPr>
                <w:rFonts w:hint="eastAsia"/>
                <w:color w:val="auto"/>
              </w:rPr>
              <w:t>名称</w:t>
            </w:r>
          </w:p>
        </w:tc>
        <w:tc>
          <w:tcPr>
            <w:tcW w:w="486" w:type="pct"/>
            <w:vAlign w:val="center"/>
          </w:tcPr>
          <w:p>
            <w:pPr>
              <w:pStyle w:val="182"/>
              <w:bidi w:val="0"/>
              <w:rPr>
                <w:color w:val="auto"/>
              </w:rPr>
            </w:pPr>
            <w:r>
              <w:rPr>
                <w:rFonts w:hint="eastAsia"/>
                <w:color w:val="auto"/>
              </w:rPr>
              <w:t>污染物种类</w:t>
            </w:r>
          </w:p>
        </w:tc>
        <w:tc>
          <w:tcPr>
            <w:tcW w:w="750" w:type="pct"/>
            <w:vAlign w:val="center"/>
          </w:tcPr>
          <w:p>
            <w:pPr>
              <w:pStyle w:val="182"/>
              <w:bidi w:val="0"/>
              <w:rPr>
                <w:color w:val="auto"/>
              </w:rPr>
            </w:pPr>
            <w:r>
              <w:rPr>
                <w:rFonts w:hint="eastAsia"/>
                <w:color w:val="auto"/>
              </w:rPr>
              <w:t>国家或地方污染物排放标准浓度限值（mg/L）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restart"/>
            <w:vAlign w:val="center"/>
          </w:tcPr>
          <w:p>
            <w:pPr>
              <w:pStyle w:val="182"/>
              <w:bidi w:val="0"/>
              <w:rPr>
                <w:color w:val="auto"/>
              </w:rPr>
            </w:pPr>
            <w:r>
              <w:rPr>
                <w:rFonts w:hint="eastAsia"/>
                <w:color w:val="auto"/>
              </w:rPr>
              <w:t>DW</w:t>
            </w:r>
            <w:r>
              <w:rPr>
                <w:color w:val="auto"/>
              </w:rPr>
              <w:t>001</w:t>
            </w:r>
          </w:p>
        </w:tc>
        <w:tc>
          <w:tcPr>
            <w:tcW w:w="640" w:type="pct"/>
            <w:vMerge w:val="restart"/>
            <w:vAlign w:val="center"/>
          </w:tcPr>
          <w:p>
            <w:pPr>
              <w:pStyle w:val="182"/>
              <w:bidi w:val="0"/>
              <w:rPr>
                <w:color w:val="auto"/>
              </w:rPr>
            </w:pPr>
            <w:r>
              <w:rPr>
                <w:color w:val="auto"/>
              </w:rPr>
              <w:t>114°03'35.33"</w:t>
            </w:r>
          </w:p>
        </w:tc>
        <w:tc>
          <w:tcPr>
            <w:tcW w:w="680" w:type="pct"/>
            <w:vMerge w:val="restart"/>
            <w:vAlign w:val="center"/>
          </w:tcPr>
          <w:p>
            <w:pPr>
              <w:pStyle w:val="182"/>
              <w:bidi w:val="0"/>
              <w:rPr>
                <w:color w:val="auto"/>
              </w:rPr>
            </w:pPr>
            <w:r>
              <w:rPr>
                <w:color w:val="auto"/>
              </w:rPr>
              <w:t>35°17'04.24"</w:t>
            </w:r>
          </w:p>
        </w:tc>
        <w:tc>
          <w:tcPr>
            <w:tcW w:w="540" w:type="pct"/>
            <w:vMerge w:val="restart"/>
            <w:vAlign w:val="center"/>
          </w:tcPr>
          <w:p>
            <w:pPr>
              <w:pStyle w:val="182"/>
              <w:bidi w:val="0"/>
              <w:rPr>
                <w:rFonts w:hint="default" w:eastAsia="宋体"/>
                <w:color w:val="auto"/>
                <w:lang w:val="en-US" w:eastAsia="zh-CN"/>
              </w:rPr>
            </w:pPr>
            <w:r>
              <w:rPr>
                <w:rFonts w:hint="default"/>
                <w:b/>
                <w:bCs/>
                <w:color w:val="auto"/>
                <w:u w:val="single"/>
                <w:lang w:val="en-US" w:eastAsia="zh-CN"/>
              </w:rPr>
              <w:t>31.</w:t>
            </w:r>
            <w:r>
              <w:rPr>
                <w:rFonts w:hint="eastAsia"/>
                <w:b/>
                <w:bCs/>
                <w:color w:val="auto"/>
                <w:u w:val="single"/>
                <w:lang w:val="en-US" w:eastAsia="zh-CN"/>
              </w:rPr>
              <w:t>28</w:t>
            </w:r>
          </w:p>
        </w:tc>
        <w:tc>
          <w:tcPr>
            <w:tcW w:w="426" w:type="pct"/>
            <w:vMerge w:val="restart"/>
            <w:vAlign w:val="center"/>
          </w:tcPr>
          <w:p>
            <w:pPr>
              <w:pStyle w:val="182"/>
              <w:bidi w:val="0"/>
              <w:rPr>
                <w:color w:val="auto"/>
              </w:rPr>
            </w:pPr>
            <w:r>
              <w:rPr>
                <w:rFonts w:hint="eastAsia"/>
                <w:color w:val="auto"/>
              </w:rPr>
              <w:t>城市污水处理厂</w:t>
            </w:r>
          </w:p>
        </w:tc>
        <w:tc>
          <w:tcPr>
            <w:tcW w:w="313" w:type="pct"/>
            <w:vMerge w:val="restart"/>
            <w:vAlign w:val="center"/>
          </w:tcPr>
          <w:p>
            <w:pPr>
              <w:pStyle w:val="182"/>
              <w:bidi w:val="0"/>
              <w:rPr>
                <w:color w:val="auto"/>
              </w:rPr>
            </w:pPr>
            <w:r>
              <w:rPr>
                <w:rFonts w:hint="eastAsia"/>
                <w:color w:val="auto"/>
              </w:rPr>
              <w:t>连续排放</w:t>
            </w:r>
          </w:p>
        </w:tc>
        <w:tc>
          <w:tcPr>
            <w:tcW w:w="280" w:type="pct"/>
            <w:vMerge w:val="restart"/>
            <w:vAlign w:val="center"/>
          </w:tcPr>
          <w:p>
            <w:pPr>
              <w:pStyle w:val="182"/>
              <w:bidi w:val="0"/>
              <w:rPr>
                <w:color w:val="auto"/>
              </w:rPr>
            </w:pPr>
            <w:r>
              <w:rPr>
                <w:rFonts w:hint="eastAsia"/>
                <w:color w:val="auto"/>
              </w:rPr>
              <w:t>/</w:t>
            </w:r>
          </w:p>
        </w:tc>
        <w:tc>
          <w:tcPr>
            <w:tcW w:w="393" w:type="pct"/>
            <w:vMerge w:val="restart"/>
            <w:vAlign w:val="center"/>
          </w:tcPr>
          <w:p>
            <w:pPr>
              <w:pStyle w:val="182"/>
              <w:bidi w:val="0"/>
              <w:rPr>
                <w:color w:val="auto"/>
              </w:rPr>
            </w:pPr>
            <w:r>
              <w:rPr>
                <w:rFonts w:hint="eastAsia"/>
                <w:color w:val="auto"/>
              </w:rPr>
              <w:t>小店污水处理厂</w:t>
            </w:r>
          </w:p>
        </w:tc>
        <w:tc>
          <w:tcPr>
            <w:tcW w:w="486" w:type="pct"/>
            <w:vAlign w:val="center"/>
          </w:tcPr>
          <w:p>
            <w:pPr>
              <w:pStyle w:val="182"/>
              <w:bidi w:val="0"/>
              <w:rPr>
                <w:color w:val="auto"/>
              </w:rPr>
            </w:pPr>
            <w:r>
              <w:rPr>
                <w:rFonts w:hint="eastAsia"/>
                <w:color w:val="auto"/>
              </w:rPr>
              <w:t>COD</w:t>
            </w:r>
          </w:p>
        </w:tc>
        <w:tc>
          <w:tcPr>
            <w:tcW w:w="750" w:type="pct"/>
            <w:vAlign w:val="center"/>
          </w:tcPr>
          <w:p>
            <w:pPr>
              <w:pStyle w:val="182"/>
              <w:bidi w:val="0"/>
              <w:rPr>
                <w:color w:val="auto"/>
              </w:rPr>
            </w:pPr>
            <w:r>
              <w:rPr>
                <w:rFonts w:hint="eastAsia"/>
                <w:color w:val="auto"/>
              </w:rPr>
              <w:t>4</w:t>
            </w: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pPr>
              <w:pStyle w:val="182"/>
              <w:bidi w:val="0"/>
              <w:rPr>
                <w:color w:val="auto"/>
              </w:rPr>
            </w:pPr>
          </w:p>
        </w:tc>
        <w:tc>
          <w:tcPr>
            <w:tcW w:w="640" w:type="pct"/>
            <w:vMerge w:val="continue"/>
            <w:vAlign w:val="center"/>
          </w:tcPr>
          <w:p>
            <w:pPr>
              <w:pStyle w:val="182"/>
              <w:bidi w:val="0"/>
              <w:rPr>
                <w:color w:val="auto"/>
              </w:rPr>
            </w:pPr>
          </w:p>
        </w:tc>
        <w:tc>
          <w:tcPr>
            <w:tcW w:w="680" w:type="pct"/>
            <w:vMerge w:val="continue"/>
            <w:vAlign w:val="center"/>
          </w:tcPr>
          <w:p>
            <w:pPr>
              <w:pStyle w:val="182"/>
              <w:bidi w:val="0"/>
              <w:rPr>
                <w:color w:val="auto"/>
              </w:rPr>
            </w:pPr>
          </w:p>
        </w:tc>
        <w:tc>
          <w:tcPr>
            <w:tcW w:w="540" w:type="pct"/>
            <w:vMerge w:val="continue"/>
            <w:vAlign w:val="center"/>
          </w:tcPr>
          <w:p>
            <w:pPr>
              <w:pStyle w:val="182"/>
              <w:bidi w:val="0"/>
              <w:rPr>
                <w:color w:val="auto"/>
              </w:rPr>
            </w:pPr>
          </w:p>
        </w:tc>
        <w:tc>
          <w:tcPr>
            <w:tcW w:w="426" w:type="pct"/>
            <w:vMerge w:val="continue"/>
            <w:vAlign w:val="center"/>
          </w:tcPr>
          <w:p>
            <w:pPr>
              <w:pStyle w:val="182"/>
              <w:bidi w:val="0"/>
              <w:rPr>
                <w:color w:val="auto"/>
              </w:rPr>
            </w:pPr>
          </w:p>
        </w:tc>
        <w:tc>
          <w:tcPr>
            <w:tcW w:w="313" w:type="pct"/>
            <w:vMerge w:val="continue"/>
            <w:vAlign w:val="center"/>
          </w:tcPr>
          <w:p>
            <w:pPr>
              <w:pStyle w:val="182"/>
              <w:bidi w:val="0"/>
              <w:rPr>
                <w:color w:val="auto"/>
              </w:rPr>
            </w:pPr>
          </w:p>
        </w:tc>
        <w:tc>
          <w:tcPr>
            <w:tcW w:w="280" w:type="pct"/>
            <w:vMerge w:val="continue"/>
            <w:vAlign w:val="center"/>
          </w:tcPr>
          <w:p>
            <w:pPr>
              <w:pStyle w:val="182"/>
              <w:bidi w:val="0"/>
              <w:rPr>
                <w:color w:val="auto"/>
              </w:rPr>
            </w:pPr>
          </w:p>
        </w:tc>
        <w:tc>
          <w:tcPr>
            <w:tcW w:w="393" w:type="pct"/>
            <w:vMerge w:val="continue"/>
            <w:vAlign w:val="center"/>
          </w:tcPr>
          <w:p>
            <w:pPr>
              <w:pStyle w:val="182"/>
              <w:bidi w:val="0"/>
              <w:rPr>
                <w:color w:val="auto"/>
              </w:rPr>
            </w:pPr>
          </w:p>
        </w:tc>
        <w:tc>
          <w:tcPr>
            <w:tcW w:w="486" w:type="pct"/>
            <w:vAlign w:val="center"/>
          </w:tcPr>
          <w:p>
            <w:pPr>
              <w:pStyle w:val="182"/>
              <w:bidi w:val="0"/>
              <w:rPr>
                <w:color w:val="auto"/>
              </w:rPr>
            </w:pPr>
            <w:r>
              <w:rPr>
                <w:rFonts w:hint="eastAsia"/>
                <w:color w:val="auto"/>
              </w:rPr>
              <w:t>BOD</w:t>
            </w:r>
            <w:r>
              <w:rPr>
                <w:color w:val="auto"/>
                <w:vertAlign w:val="subscript"/>
              </w:rPr>
              <w:t>5</w:t>
            </w:r>
          </w:p>
        </w:tc>
        <w:tc>
          <w:tcPr>
            <w:tcW w:w="750" w:type="pct"/>
            <w:vAlign w:val="center"/>
          </w:tcPr>
          <w:p>
            <w:pPr>
              <w:pStyle w:val="182"/>
              <w:bidi w:val="0"/>
              <w:rPr>
                <w:color w:val="auto"/>
              </w:rPr>
            </w:pPr>
            <w:r>
              <w:rPr>
                <w:rFonts w:hint="eastAsia"/>
                <w:color w:val="auto"/>
              </w:rPr>
              <w:t>1</w:t>
            </w: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pPr>
              <w:pStyle w:val="182"/>
              <w:bidi w:val="0"/>
              <w:rPr>
                <w:color w:val="auto"/>
              </w:rPr>
            </w:pPr>
          </w:p>
        </w:tc>
        <w:tc>
          <w:tcPr>
            <w:tcW w:w="640" w:type="pct"/>
            <w:vMerge w:val="continue"/>
            <w:vAlign w:val="center"/>
          </w:tcPr>
          <w:p>
            <w:pPr>
              <w:pStyle w:val="182"/>
              <w:bidi w:val="0"/>
              <w:rPr>
                <w:color w:val="auto"/>
              </w:rPr>
            </w:pPr>
          </w:p>
        </w:tc>
        <w:tc>
          <w:tcPr>
            <w:tcW w:w="680" w:type="pct"/>
            <w:vMerge w:val="continue"/>
            <w:vAlign w:val="center"/>
          </w:tcPr>
          <w:p>
            <w:pPr>
              <w:pStyle w:val="182"/>
              <w:bidi w:val="0"/>
              <w:rPr>
                <w:color w:val="auto"/>
              </w:rPr>
            </w:pPr>
          </w:p>
        </w:tc>
        <w:tc>
          <w:tcPr>
            <w:tcW w:w="540" w:type="pct"/>
            <w:vMerge w:val="continue"/>
            <w:vAlign w:val="center"/>
          </w:tcPr>
          <w:p>
            <w:pPr>
              <w:pStyle w:val="182"/>
              <w:bidi w:val="0"/>
              <w:rPr>
                <w:color w:val="auto"/>
              </w:rPr>
            </w:pPr>
          </w:p>
        </w:tc>
        <w:tc>
          <w:tcPr>
            <w:tcW w:w="426" w:type="pct"/>
            <w:vMerge w:val="continue"/>
            <w:vAlign w:val="center"/>
          </w:tcPr>
          <w:p>
            <w:pPr>
              <w:pStyle w:val="182"/>
              <w:bidi w:val="0"/>
              <w:rPr>
                <w:color w:val="auto"/>
              </w:rPr>
            </w:pPr>
          </w:p>
        </w:tc>
        <w:tc>
          <w:tcPr>
            <w:tcW w:w="313" w:type="pct"/>
            <w:vMerge w:val="continue"/>
            <w:vAlign w:val="center"/>
          </w:tcPr>
          <w:p>
            <w:pPr>
              <w:pStyle w:val="182"/>
              <w:bidi w:val="0"/>
              <w:rPr>
                <w:color w:val="auto"/>
              </w:rPr>
            </w:pPr>
          </w:p>
        </w:tc>
        <w:tc>
          <w:tcPr>
            <w:tcW w:w="280" w:type="pct"/>
            <w:vMerge w:val="continue"/>
            <w:vAlign w:val="center"/>
          </w:tcPr>
          <w:p>
            <w:pPr>
              <w:pStyle w:val="182"/>
              <w:bidi w:val="0"/>
              <w:rPr>
                <w:color w:val="auto"/>
              </w:rPr>
            </w:pPr>
          </w:p>
        </w:tc>
        <w:tc>
          <w:tcPr>
            <w:tcW w:w="393" w:type="pct"/>
            <w:vMerge w:val="continue"/>
            <w:vAlign w:val="center"/>
          </w:tcPr>
          <w:p>
            <w:pPr>
              <w:pStyle w:val="182"/>
              <w:bidi w:val="0"/>
              <w:rPr>
                <w:color w:val="auto"/>
              </w:rPr>
            </w:pPr>
          </w:p>
        </w:tc>
        <w:tc>
          <w:tcPr>
            <w:tcW w:w="486" w:type="pct"/>
            <w:vAlign w:val="center"/>
          </w:tcPr>
          <w:p>
            <w:pPr>
              <w:pStyle w:val="182"/>
              <w:bidi w:val="0"/>
              <w:rPr>
                <w:color w:val="auto"/>
              </w:rPr>
            </w:pPr>
            <w:r>
              <w:rPr>
                <w:rFonts w:hint="eastAsia"/>
                <w:color w:val="auto"/>
              </w:rPr>
              <w:t>SS</w:t>
            </w:r>
          </w:p>
        </w:tc>
        <w:tc>
          <w:tcPr>
            <w:tcW w:w="750" w:type="pct"/>
            <w:vAlign w:val="center"/>
          </w:tcPr>
          <w:p>
            <w:pPr>
              <w:pStyle w:val="182"/>
              <w:bidi w:val="0"/>
              <w:rPr>
                <w:color w:val="auto"/>
              </w:rPr>
            </w:pPr>
            <w:r>
              <w:rPr>
                <w:rFonts w:hint="eastAsia"/>
                <w:color w:val="auto"/>
              </w:rPr>
              <w:t>1</w:t>
            </w: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pPr>
              <w:pStyle w:val="182"/>
              <w:bidi w:val="0"/>
              <w:rPr>
                <w:color w:val="auto"/>
              </w:rPr>
            </w:pPr>
          </w:p>
        </w:tc>
        <w:tc>
          <w:tcPr>
            <w:tcW w:w="640" w:type="pct"/>
            <w:vMerge w:val="continue"/>
            <w:vAlign w:val="center"/>
          </w:tcPr>
          <w:p>
            <w:pPr>
              <w:pStyle w:val="182"/>
              <w:bidi w:val="0"/>
              <w:rPr>
                <w:color w:val="auto"/>
              </w:rPr>
            </w:pPr>
          </w:p>
        </w:tc>
        <w:tc>
          <w:tcPr>
            <w:tcW w:w="680" w:type="pct"/>
            <w:vMerge w:val="continue"/>
            <w:vAlign w:val="center"/>
          </w:tcPr>
          <w:p>
            <w:pPr>
              <w:pStyle w:val="182"/>
              <w:bidi w:val="0"/>
              <w:rPr>
                <w:color w:val="auto"/>
              </w:rPr>
            </w:pPr>
          </w:p>
        </w:tc>
        <w:tc>
          <w:tcPr>
            <w:tcW w:w="540" w:type="pct"/>
            <w:vMerge w:val="continue"/>
            <w:vAlign w:val="center"/>
          </w:tcPr>
          <w:p>
            <w:pPr>
              <w:pStyle w:val="182"/>
              <w:bidi w:val="0"/>
              <w:rPr>
                <w:color w:val="auto"/>
              </w:rPr>
            </w:pPr>
          </w:p>
        </w:tc>
        <w:tc>
          <w:tcPr>
            <w:tcW w:w="426" w:type="pct"/>
            <w:vMerge w:val="continue"/>
            <w:vAlign w:val="center"/>
          </w:tcPr>
          <w:p>
            <w:pPr>
              <w:pStyle w:val="182"/>
              <w:bidi w:val="0"/>
              <w:rPr>
                <w:color w:val="auto"/>
              </w:rPr>
            </w:pPr>
          </w:p>
        </w:tc>
        <w:tc>
          <w:tcPr>
            <w:tcW w:w="313" w:type="pct"/>
            <w:vMerge w:val="continue"/>
            <w:vAlign w:val="center"/>
          </w:tcPr>
          <w:p>
            <w:pPr>
              <w:pStyle w:val="182"/>
              <w:bidi w:val="0"/>
              <w:rPr>
                <w:color w:val="auto"/>
              </w:rPr>
            </w:pPr>
          </w:p>
        </w:tc>
        <w:tc>
          <w:tcPr>
            <w:tcW w:w="280" w:type="pct"/>
            <w:vMerge w:val="continue"/>
            <w:vAlign w:val="center"/>
          </w:tcPr>
          <w:p>
            <w:pPr>
              <w:pStyle w:val="182"/>
              <w:bidi w:val="0"/>
              <w:rPr>
                <w:color w:val="auto"/>
              </w:rPr>
            </w:pPr>
          </w:p>
        </w:tc>
        <w:tc>
          <w:tcPr>
            <w:tcW w:w="393" w:type="pct"/>
            <w:vMerge w:val="continue"/>
            <w:vAlign w:val="center"/>
          </w:tcPr>
          <w:p>
            <w:pPr>
              <w:pStyle w:val="182"/>
              <w:bidi w:val="0"/>
              <w:rPr>
                <w:color w:val="auto"/>
              </w:rPr>
            </w:pPr>
          </w:p>
        </w:tc>
        <w:tc>
          <w:tcPr>
            <w:tcW w:w="486" w:type="pct"/>
            <w:vAlign w:val="center"/>
          </w:tcPr>
          <w:p>
            <w:pPr>
              <w:pStyle w:val="182"/>
              <w:bidi w:val="0"/>
              <w:rPr>
                <w:color w:val="auto"/>
              </w:rPr>
            </w:pPr>
            <w:r>
              <w:rPr>
                <w:rFonts w:hint="eastAsia"/>
                <w:color w:val="auto"/>
              </w:rPr>
              <w:t>NH</w:t>
            </w:r>
            <w:r>
              <w:rPr>
                <w:rFonts w:hint="eastAsia"/>
                <w:color w:val="auto"/>
                <w:vertAlign w:val="subscript"/>
              </w:rPr>
              <w:t>3</w:t>
            </w:r>
            <w:r>
              <w:rPr>
                <w:rFonts w:hint="eastAsia"/>
                <w:color w:val="auto"/>
              </w:rPr>
              <w:t>-N</w:t>
            </w:r>
          </w:p>
        </w:tc>
        <w:tc>
          <w:tcPr>
            <w:tcW w:w="750" w:type="pct"/>
            <w:vAlign w:val="center"/>
          </w:tcPr>
          <w:p>
            <w:pPr>
              <w:pStyle w:val="182"/>
              <w:bidi w:val="0"/>
              <w:rPr>
                <w:color w:val="auto"/>
              </w:rPr>
            </w:pPr>
            <w:r>
              <w:rPr>
                <w:rFonts w:hint="eastAsia"/>
                <w:color w:val="auto"/>
              </w:rPr>
              <w:t>2</w:t>
            </w: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pPr>
              <w:pStyle w:val="182"/>
              <w:bidi w:val="0"/>
              <w:rPr>
                <w:color w:val="auto"/>
              </w:rPr>
            </w:pPr>
          </w:p>
        </w:tc>
        <w:tc>
          <w:tcPr>
            <w:tcW w:w="640" w:type="pct"/>
            <w:vMerge w:val="continue"/>
            <w:vAlign w:val="center"/>
          </w:tcPr>
          <w:p>
            <w:pPr>
              <w:pStyle w:val="182"/>
              <w:bidi w:val="0"/>
              <w:rPr>
                <w:color w:val="auto"/>
              </w:rPr>
            </w:pPr>
          </w:p>
        </w:tc>
        <w:tc>
          <w:tcPr>
            <w:tcW w:w="680" w:type="pct"/>
            <w:vMerge w:val="continue"/>
            <w:vAlign w:val="center"/>
          </w:tcPr>
          <w:p>
            <w:pPr>
              <w:pStyle w:val="182"/>
              <w:bidi w:val="0"/>
              <w:rPr>
                <w:color w:val="auto"/>
              </w:rPr>
            </w:pPr>
          </w:p>
        </w:tc>
        <w:tc>
          <w:tcPr>
            <w:tcW w:w="540" w:type="pct"/>
            <w:vMerge w:val="continue"/>
            <w:vAlign w:val="center"/>
          </w:tcPr>
          <w:p>
            <w:pPr>
              <w:pStyle w:val="182"/>
              <w:bidi w:val="0"/>
              <w:rPr>
                <w:color w:val="auto"/>
              </w:rPr>
            </w:pPr>
          </w:p>
        </w:tc>
        <w:tc>
          <w:tcPr>
            <w:tcW w:w="426" w:type="pct"/>
            <w:vMerge w:val="continue"/>
            <w:vAlign w:val="center"/>
          </w:tcPr>
          <w:p>
            <w:pPr>
              <w:pStyle w:val="182"/>
              <w:bidi w:val="0"/>
              <w:rPr>
                <w:color w:val="auto"/>
              </w:rPr>
            </w:pPr>
          </w:p>
        </w:tc>
        <w:tc>
          <w:tcPr>
            <w:tcW w:w="313" w:type="pct"/>
            <w:vMerge w:val="continue"/>
            <w:vAlign w:val="center"/>
          </w:tcPr>
          <w:p>
            <w:pPr>
              <w:pStyle w:val="182"/>
              <w:bidi w:val="0"/>
              <w:rPr>
                <w:color w:val="auto"/>
              </w:rPr>
            </w:pPr>
          </w:p>
        </w:tc>
        <w:tc>
          <w:tcPr>
            <w:tcW w:w="280" w:type="pct"/>
            <w:vMerge w:val="continue"/>
            <w:vAlign w:val="center"/>
          </w:tcPr>
          <w:p>
            <w:pPr>
              <w:pStyle w:val="182"/>
              <w:bidi w:val="0"/>
              <w:rPr>
                <w:color w:val="auto"/>
              </w:rPr>
            </w:pPr>
          </w:p>
        </w:tc>
        <w:tc>
          <w:tcPr>
            <w:tcW w:w="393" w:type="pct"/>
            <w:vMerge w:val="continue"/>
            <w:vAlign w:val="center"/>
          </w:tcPr>
          <w:p>
            <w:pPr>
              <w:pStyle w:val="182"/>
              <w:bidi w:val="0"/>
              <w:rPr>
                <w:color w:val="auto"/>
              </w:rPr>
            </w:pPr>
          </w:p>
        </w:tc>
        <w:tc>
          <w:tcPr>
            <w:tcW w:w="486" w:type="pct"/>
            <w:vAlign w:val="center"/>
          </w:tcPr>
          <w:p>
            <w:pPr>
              <w:pStyle w:val="182"/>
              <w:bidi w:val="0"/>
              <w:rPr>
                <w:color w:val="auto"/>
              </w:rPr>
            </w:pPr>
            <w:r>
              <w:rPr>
                <w:rFonts w:hint="eastAsia"/>
                <w:color w:val="auto"/>
              </w:rPr>
              <w:t>T</w:t>
            </w:r>
            <w:r>
              <w:rPr>
                <w:color w:val="auto"/>
              </w:rPr>
              <w:t>P</w:t>
            </w:r>
          </w:p>
        </w:tc>
        <w:tc>
          <w:tcPr>
            <w:tcW w:w="750" w:type="pct"/>
            <w:vAlign w:val="center"/>
          </w:tcPr>
          <w:p>
            <w:pPr>
              <w:pStyle w:val="182"/>
              <w:bidi w:val="0"/>
              <w:rPr>
                <w:color w:val="auto"/>
              </w:rPr>
            </w:pPr>
            <w:r>
              <w:rPr>
                <w:rFonts w:hint="eastAsia"/>
                <w:color w:val="auto"/>
              </w:rPr>
              <w:t>0</w:t>
            </w: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pPr>
              <w:pStyle w:val="182"/>
              <w:bidi w:val="0"/>
              <w:rPr>
                <w:color w:val="auto"/>
              </w:rPr>
            </w:pPr>
          </w:p>
        </w:tc>
        <w:tc>
          <w:tcPr>
            <w:tcW w:w="640" w:type="pct"/>
            <w:vMerge w:val="continue"/>
            <w:vAlign w:val="center"/>
          </w:tcPr>
          <w:p>
            <w:pPr>
              <w:pStyle w:val="182"/>
              <w:bidi w:val="0"/>
              <w:rPr>
                <w:color w:val="auto"/>
              </w:rPr>
            </w:pPr>
          </w:p>
        </w:tc>
        <w:tc>
          <w:tcPr>
            <w:tcW w:w="680" w:type="pct"/>
            <w:vMerge w:val="continue"/>
            <w:vAlign w:val="center"/>
          </w:tcPr>
          <w:p>
            <w:pPr>
              <w:pStyle w:val="182"/>
              <w:bidi w:val="0"/>
              <w:rPr>
                <w:color w:val="auto"/>
              </w:rPr>
            </w:pPr>
          </w:p>
        </w:tc>
        <w:tc>
          <w:tcPr>
            <w:tcW w:w="540" w:type="pct"/>
            <w:vMerge w:val="continue"/>
            <w:vAlign w:val="center"/>
          </w:tcPr>
          <w:p>
            <w:pPr>
              <w:pStyle w:val="182"/>
              <w:bidi w:val="0"/>
              <w:rPr>
                <w:color w:val="auto"/>
              </w:rPr>
            </w:pPr>
          </w:p>
        </w:tc>
        <w:tc>
          <w:tcPr>
            <w:tcW w:w="426" w:type="pct"/>
            <w:vMerge w:val="continue"/>
            <w:vAlign w:val="center"/>
          </w:tcPr>
          <w:p>
            <w:pPr>
              <w:pStyle w:val="182"/>
              <w:bidi w:val="0"/>
              <w:rPr>
                <w:color w:val="auto"/>
              </w:rPr>
            </w:pPr>
          </w:p>
        </w:tc>
        <w:tc>
          <w:tcPr>
            <w:tcW w:w="313" w:type="pct"/>
            <w:vMerge w:val="continue"/>
            <w:vAlign w:val="center"/>
          </w:tcPr>
          <w:p>
            <w:pPr>
              <w:pStyle w:val="182"/>
              <w:bidi w:val="0"/>
              <w:rPr>
                <w:color w:val="auto"/>
              </w:rPr>
            </w:pPr>
          </w:p>
        </w:tc>
        <w:tc>
          <w:tcPr>
            <w:tcW w:w="280" w:type="pct"/>
            <w:vMerge w:val="continue"/>
            <w:vAlign w:val="center"/>
          </w:tcPr>
          <w:p>
            <w:pPr>
              <w:pStyle w:val="182"/>
              <w:bidi w:val="0"/>
              <w:rPr>
                <w:color w:val="auto"/>
              </w:rPr>
            </w:pPr>
          </w:p>
        </w:tc>
        <w:tc>
          <w:tcPr>
            <w:tcW w:w="393" w:type="pct"/>
            <w:vMerge w:val="continue"/>
            <w:vAlign w:val="center"/>
          </w:tcPr>
          <w:p>
            <w:pPr>
              <w:pStyle w:val="182"/>
              <w:bidi w:val="0"/>
              <w:rPr>
                <w:color w:val="auto"/>
              </w:rPr>
            </w:pPr>
          </w:p>
        </w:tc>
        <w:tc>
          <w:tcPr>
            <w:tcW w:w="486" w:type="pct"/>
            <w:vAlign w:val="center"/>
          </w:tcPr>
          <w:p>
            <w:pPr>
              <w:pStyle w:val="182"/>
              <w:bidi w:val="0"/>
              <w:rPr>
                <w:color w:val="auto"/>
              </w:rPr>
            </w:pPr>
            <w:r>
              <w:rPr>
                <w:rFonts w:hint="eastAsia"/>
                <w:color w:val="auto"/>
              </w:rPr>
              <w:t>T</w:t>
            </w:r>
            <w:r>
              <w:rPr>
                <w:color w:val="auto"/>
              </w:rPr>
              <w:t>N</w:t>
            </w:r>
          </w:p>
        </w:tc>
        <w:tc>
          <w:tcPr>
            <w:tcW w:w="750" w:type="pct"/>
            <w:vAlign w:val="center"/>
          </w:tcPr>
          <w:p>
            <w:pPr>
              <w:pStyle w:val="182"/>
              <w:bidi w:val="0"/>
              <w:rPr>
                <w:color w:val="auto"/>
              </w:rPr>
            </w:pPr>
            <w:r>
              <w:rPr>
                <w:rFonts w:hint="eastAsia"/>
                <w:color w:val="auto"/>
              </w:rPr>
              <w:t>1</w:t>
            </w:r>
            <w:r>
              <w:rPr>
                <w:color w:val="auto"/>
              </w:rPr>
              <w:t>5</w:t>
            </w:r>
          </w:p>
        </w:tc>
      </w:tr>
    </w:tbl>
    <w:p>
      <w:pPr>
        <w:bidi w:val="0"/>
        <w:rPr>
          <w:color w:val="auto"/>
        </w:rPr>
      </w:pPr>
      <w:r>
        <w:rPr>
          <w:rFonts w:hint="eastAsia"/>
          <w:color w:val="auto"/>
        </w:rPr>
        <w:t>3）废水污染物排放执行标准表</w:t>
      </w:r>
    </w:p>
    <w:p>
      <w:pPr>
        <w:pStyle w:val="181"/>
        <w:bidi w:val="0"/>
        <w:rPr>
          <w:color w:val="auto"/>
        </w:rPr>
      </w:pPr>
      <w:r>
        <w:rPr>
          <w:rFonts w:hint="eastAsia"/>
          <w:color w:val="auto"/>
        </w:rPr>
        <w:t>表</w:t>
      </w:r>
      <w:r>
        <w:rPr>
          <w:color w:val="auto"/>
        </w:rPr>
        <w:t>3.</w:t>
      </w:r>
      <w:r>
        <w:rPr>
          <w:rFonts w:hint="eastAsia"/>
          <w:color w:val="auto"/>
          <w:lang w:val="en-US" w:eastAsia="zh-CN"/>
        </w:rPr>
        <w:t>8</w:t>
      </w:r>
      <w:r>
        <w:rPr>
          <w:rFonts w:hint="eastAsia"/>
          <w:color w:val="auto"/>
        </w:rPr>
        <w:t>-</w:t>
      </w:r>
      <w:r>
        <w:rPr>
          <w:color w:val="auto"/>
        </w:rPr>
        <w:t>2</w:t>
      </w:r>
      <w:r>
        <w:rPr>
          <w:rFonts w:hint="eastAsia"/>
          <w:color w:val="auto"/>
          <w:lang w:val="en-US" w:eastAsia="zh-CN"/>
        </w:rPr>
        <w:t>4</w:t>
      </w:r>
      <w:r>
        <w:rPr>
          <w:color w:val="auto"/>
        </w:rPr>
        <w:t xml:space="preserve">  </w:t>
      </w:r>
      <w:r>
        <w:rPr>
          <w:rFonts w:hint="eastAsia"/>
          <w:color w:val="auto"/>
          <w:lang w:val="en-US" w:eastAsia="zh-CN"/>
        </w:rPr>
        <w:t xml:space="preserve">          </w:t>
      </w:r>
      <w:r>
        <w:rPr>
          <w:rFonts w:hint="eastAsia"/>
          <w:color w:val="auto"/>
        </w:rPr>
        <w:t>废水污染物排放执行标准表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386"/>
        <w:gridCol w:w="1386"/>
        <w:gridCol w:w="3007"/>
        <w:gridCol w:w="1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5" w:type="pct"/>
            <w:vMerge w:val="restart"/>
            <w:vAlign w:val="center"/>
          </w:tcPr>
          <w:p>
            <w:pPr>
              <w:pStyle w:val="182"/>
              <w:bidi w:val="0"/>
              <w:rPr>
                <w:b/>
                <w:bCs/>
                <w:color w:val="auto"/>
                <w:u w:val="single"/>
              </w:rPr>
            </w:pPr>
            <w:r>
              <w:rPr>
                <w:rFonts w:hint="eastAsia"/>
                <w:b/>
                <w:bCs/>
                <w:color w:val="auto"/>
                <w:u w:val="single"/>
              </w:rPr>
              <w:t>序号</w:t>
            </w:r>
          </w:p>
        </w:tc>
        <w:tc>
          <w:tcPr>
            <w:tcW w:w="813" w:type="pct"/>
            <w:vMerge w:val="restart"/>
            <w:vAlign w:val="center"/>
          </w:tcPr>
          <w:p>
            <w:pPr>
              <w:pStyle w:val="182"/>
              <w:bidi w:val="0"/>
              <w:rPr>
                <w:b/>
                <w:bCs/>
                <w:color w:val="auto"/>
                <w:u w:val="single"/>
              </w:rPr>
            </w:pPr>
            <w:r>
              <w:rPr>
                <w:rFonts w:hint="eastAsia"/>
                <w:b/>
                <w:bCs/>
                <w:color w:val="auto"/>
                <w:u w:val="single"/>
              </w:rPr>
              <w:t>排放口编号</w:t>
            </w:r>
          </w:p>
        </w:tc>
        <w:tc>
          <w:tcPr>
            <w:tcW w:w="813" w:type="pct"/>
            <w:vMerge w:val="restart"/>
            <w:vAlign w:val="center"/>
          </w:tcPr>
          <w:p>
            <w:pPr>
              <w:pStyle w:val="182"/>
              <w:bidi w:val="0"/>
              <w:rPr>
                <w:b/>
                <w:bCs/>
                <w:color w:val="auto"/>
                <w:u w:val="single"/>
              </w:rPr>
            </w:pPr>
            <w:r>
              <w:rPr>
                <w:rFonts w:hint="eastAsia"/>
                <w:b/>
                <w:bCs/>
                <w:color w:val="auto"/>
                <w:u w:val="single"/>
              </w:rPr>
              <w:t>污染物种类</w:t>
            </w:r>
          </w:p>
        </w:tc>
        <w:tc>
          <w:tcPr>
            <w:tcW w:w="2917" w:type="pct"/>
            <w:gridSpan w:val="2"/>
            <w:vAlign w:val="center"/>
          </w:tcPr>
          <w:p>
            <w:pPr>
              <w:pStyle w:val="182"/>
              <w:bidi w:val="0"/>
              <w:rPr>
                <w:b/>
                <w:bCs/>
                <w:color w:val="auto"/>
                <w:u w:val="single"/>
              </w:rPr>
            </w:pPr>
            <w:r>
              <w:rPr>
                <w:rFonts w:hint="eastAsia"/>
                <w:b/>
                <w:bCs/>
                <w:color w:val="auto"/>
                <w:u w:val="single"/>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5" w:type="pct"/>
            <w:vMerge w:val="continue"/>
            <w:vAlign w:val="center"/>
          </w:tcPr>
          <w:p>
            <w:pPr>
              <w:pStyle w:val="182"/>
              <w:bidi w:val="0"/>
              <w:rPr>
                <w:b/>
                <w:bCs/>
                <w:color w:val="auto"/>
                <w:u w:val="single"/>
              </w:rPr>
            </w:pPr>
          </w:p>
        </w:tc>
        <w:tc>
          <w:tcPr>
            <w:tcW w:w="813" w:type="pct"/>
            <w:vMerge w:val="continue"/>
            <w:vAlign w:val="center"/>
          </w:tcPr>
          <w:p>
            <w:pPr>
              <w:pStyle w:val="182"/>
              <w:bidi w:val="0"/>
              <w:rPr>
                <w:b/>
                <w:bCs/>
                <w:color w:val="auto"/>
                <w:u w:val="single"/>
              </w:rPr>
            </w:pPr>
          </w:p>
        </w:tc>
        <w:tc>
          <w:tcPr>
            <w:tcW w:w="813" w:type="pct"/>
            <w:vMerge w:val="continue"/>
            <w:vAlign w:val="center"/>
          </w:tcPr>
          <w:p>
            <w:pPr>
              <w:pStyle w:val="182"/>
              <w:bidi w:val="0"/>
              <w:rPr>
                <w:b/>
                <w:bCs/>
                <w:color w:val="auto"/>
                <w:u w:val="single"/>
              </w:rPr>
            </w:pPr>
          </w:p>
        </w:tc>
        <w:tc>
          <w:tcPr>
            <w:tcW w:w="1764" w:type="pct"/>
            <w:vAlign w:val="center"/>
          </w:tcPr>
          <w:p>
            <w:pPr>
              <w:pStyle w:val="182"/>
              <w:bidi w:val="0"/>
              <w:rPr>
                <w:b/>
                <w:bCs/>
                <w:color w:val="auto"/>
                <w:u w:val="single"/>
              </w:rPr>
            </w:pPr>
            <w:r>
              <w:rPr>
                <w:rFonts w:hint="eastAsia"/>
                <w:b/>
                <w:bCs/>
                <w:color w:val="auto"/>
                <w:u w:val="single"/>
              </w:rPr>
              <w:t>名称</w:t>
            </w:r>
          </w:p>
        </w:tc>
        <w:tc>
          <w:tcPr>
            <w:tcW w:w="1153" w:type="pct"/>
            <w:vAlign w:val="center"/>
          </w:tcPr>
          <w:p>
            <w:pPr>
              <w:pStyle w:val="182"/>
              <w:bidi w:val="0"/>
              <w:rPr>
                <w:b/>
                <w:bCs/>
                <w:color w:val="auto"/>
                <w:u w:val="single"/>
              </w:rPr>
            </w:pPr>
            <w:r>
              <w:rPr>
                <w:rFonts w:hint="eastAsia"/>
                <w:b/>
                <w:bCs/>
                <w:color w:val="auto"/>
                <w:u w:val="single"/>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5" w:type="pct"/>
            <w:vAlign w:val="center"/>
          </w:tcPr>
          <w:p>
            <w:pPr>
              <w:pStyle w:val="182"/>
              <w:bidi w:val="0"/>
              <w:rPr>
                <w:b/>
                <w:bCs/>
                <w:color w:val="auto"/>
                <w:u w:val="single"/>
              </w:rPr>
            </w:pPr>
            <w:r>
              <w:rPr>
                <w:rFonts w:hint="eastAsia"/>
                <w:b/>
                <w:bCs/>
                <w:color w:val="auto"/>
                <w:u w:val="single"/>
              </w:rPr>
              <w:t>1</w:t>
            </w:r>
          </w:p>
        </w:tc>
        <w:tc>
          <w:tcPr>
            <w:tcW w:w="813" w:type="pct"/>
            <w:vMerge w:val="restart"/>
            <w:vAlign w:val="center"/>
          </w:tcPr>
          <w:p>
            <w:pPr>
              <w:pStyle w:val="182"/>
              <w:bidi w:val="0"/>
              <w:rPr>
                <w:b/>
                <w:bCs/>
                <w:color w:val="auto"/>
                <w:u w:val="single"/>
              </w:rPr>
            </w:pPr>
            <w:r>
              <w:rPr>
                <w:rFonts w:hint="eastAsia"/>
                <w:b/>
                <w:bCs/>
                <w:color w:val="auto"/>
                <w:u w:val="single"/>
              </w:rPr>
              <w:t>DW</w:t>
            </w:r>
            <w:r>
              <w:rPr>
                <w:b/>
                <w:bCs/>
                <w:color w:val="auto"/>
                <w:u w:val="single"/>
              </w:rPr>
              <w:t>001</w:t>
            </w:r>
          </w:p>
        </w:tc>
        <w:tc>
          <w:tcPr>
            <w:tcW w:w="813" w:type="pct"/>
            <w:vAlign w:val="center"/>
          </w:tcPr>
          <w:p>
            <w:pPr>
              <w:pStyle w:val="182"/>
              <w:bidi w:val="0"/>
              <w:rPr>
                <w:b/>
                <w:bCs/>
                <w:color w:val="auto"/>
                <w:u w:val="single"/>
              </w:rPr>
            </w:pPr>
            <w:r>
              <w:rPr>
                <w:rFonts w:hint="eastAsia"/>
                <w:b/>
                <w:bCs/>
                <w:color w:val="auto"/>
                <w:u w:val="single"/>
              </w:rPr>
              <w:t>COD</w:t>
            </w:r>
          </w:p>
        </w:tc>
        <w:tc>
          <w:tcPr>
            <w:tcW w:w="1764" w:type="pct"/>
            <w:vMerge w:val="restart"/>
            <w:vAlign w:val="center"/>
          </w:tcPr>
          <w:p>
            <w:pPr>
              <w:pStyle w:val="182"/>
              <w:bidi w:val="0"/>
              <w:rPr>
                <w:b/>
                <w:bCs/>
                <w:color w:val="auto"/>
                <w:u w:val="single"/>
              </w:rPr>
            </w:pPr>
            <w:r>
              <w:rPr>
                <w:rFonts w:hint="eastAsia"/>
                <w:b/>
                <w:bCs/>
                <w:color w:val="auto"/>
                <w:u w:val="single"/>
              </w:rPr>
              <w:t>《污水综合排放标准》（GB8978-1996）表4</w:t>
            </w:r>
            <w:r>
              <w:rPr>
                <w:rFonts w:hint="eastAsia"/>
                <w:b/>
                <w:bCs/>
                <w:color w:val="auto"/>
                <w:u w:val="single"/>
                <w:lang w:val="en-US" w:eastAsia="zh-CN"/>
              </w:rPr>
              <w:t>二级（</w:t>
            </w:r>
            <w:r>
              <w:rPr>
                <w:rFonts w:hint="eastAsia"/>
                <w:b/>
                <w:bCs/>
                <w:color w:val="auto"/>
                <w:u w:val="single"/>
              </w:rPr>
              <w:t>化纤浆粕工业）标准</w:t>
            </w:r>
          </w:p>
        </w:tc>
        <w:tc>
          <w:tcPr>
            <w:tcW w:w="1153" w:type="pct"/>
            <w:vAlign w:val="center"/>
          </w:tcPr>
          <w:p>
            <w:pPr>
              <w:pStyle w:val="182"/>
              <w:bidi w:val="0"/>
              <w:rPr>
                <w:b/>
                <w:bCs/>
                <w:color w:val="auto"/>
                <w:u w:val="single"/>
              </w:rPr>
            </w:pPr>
            <w:r>
              <w:rPr>
                <w:b/>
                <w:bCs/>
                <w:color w:val="auto"/>
                <w:u w:val="single"/>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5" w:type="pct"/>
            <w:vAlign w:val="center"/>
          </w:tcPr>
          <w:p>
            <w:pPr>
              <w:pStyle w:val="182"/>
              <w:bidi w:val="0"/>
              <w:rPr>
                <w:b/>
                <w:bCs/>
                <w:color w:val="auto"/>
                <w:u w:val="single"/>
              </w:rPr>
            </w:pPr>
            <w:r>
              <w:rPr>
                <w:rFonts w:hint="eastAsia"/>
                <w:b/>
                <w:bCs/>
                <w:color w:val="auto"/>
                <w:u w:val="single"/>
              </w:rPr>
              <w:t>2</w:t>
            </w:r>
          </w:p>
        </w:tc>
        <w:tc>
          <w:tcPr>
            <w:tcW w:w="813" w:type="pct"/>
            <w:vMerge w:val="continue"/>
            <w:vAlign w:val="center"/>
          </w:tcPr>
          <w:p>
            <w:pPr>
              <w:pStyle w:val="182"/>
              <w:bidi w:val="0"/>
              <w:rPr>
                <w:b/>
                <w:bCs/>
                <w:color w:val="auto"/>
                <w:u w:val="single"/>
              </w:rPr>
            </w:pPr>
          </w:p>
        </w:tc>
        <w:tc>
          <w:tcPr>
            <w:tcW w:w="813" w:type="pct"/>
            <w:vAlign w:val="center"/>
          </w:tcPr>
          <w:p>
            <w:pPr>
              <w:pStyle w:val="182"/>
              <w:bidi w:val="0"/>
              <w:rPr>
                <w:b/>
                <w:bCs/>
                <w:color w:val="auto"/>
                <w:u w:val="single"/>
              </w:rPr>
            </w:pPr>
            <w:r>
              <w:rPr>
                <w:rFonts w:hint="eastAsia"/>
                <w:b/>
                <w:bCs/>
                <w:color w:val="auto"/>
                <w:u w:val="single"/>
              </w:rPr>
              <w:t>BOD</w:t>
            </w:r>
            <w:r>
              <w:rPr>
                <w:b/>
                <w:bCs/>
                <w:color w:val="auto"/>
                <w:u w:val="single"/>
                <w:vertAlign w:val="subscript"/>
              </w:rPr>
              <w:t>5</w:t>
            </w:r>
          </w:p>
        </w:tc>
        <w:tc>
          <w:tcPr>
            <w:tcW w:w="1764" w:type="pct"/>
            <w:vMerge w:val="continue"/>
            <w:vAlign w:val="center"/>
          </w:tcPr>
          <w:p>
            <w:pPr>
              <w:pStyle w:val="182"/>
              <w:bidi w:val="0"/>
              <w:rPr>
                <w:b/>
                <w:bCs/>
                <w:color w:val="auto"/>
                <w:u w:val="single"/>
              </w:rPr>
            </w:pPr>
          </w:p>
        </w:tc>
        <w:tc>
          <w:tcPr>
            <w:tcW w:w="1153" w:type="pct"/>
            <w:vAlign w:val="center"/>
          </w:tcPr>
          <w:p>
            <w:pPr>
              <w:pStyle w:val="182"/>
              <w:bidi w:val="0"/>
              <w:rPr>
                <w:b/>
                <w:bCs/>
                <w:color w:val="auto"/>
                <w:u w:val="single"/>
              </w:rPr>
            </w:pPr>
            <w:r>
              <w:rPr>
                <w:rFonts w:hint="eastAsia"/>
                <w:b/>
                <w:bCs/>
                <w:color w:val="auto"/>
                <w:u w:val="single"/>
              </w:rPr>
              <w:t>1</w:t>
            </w:r>
            <w:r>
              <w:rPr>
                <w:b/>
                <w:bCs/>
                <w:color w:val="auto"/>
                <w:u w:val="single"/>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5" w:type="pct"/>
            <w:vAlign w:val="center"/>
          </w:tcPr>
          <w:p>
            <w:pPr>
              <w:pStyle w:val="182"/>
              <w:bidi w:val="0"/>
              <w:rPr>
                <w:b/>
                <w:bCs/>
                <w:color w:val="auto"/>
                <w:u w:val="single"/>
              </w:rPr>
            </w:pPr>
            <w:r>
              <w:rPr>
                <w:rFonts w:hint="eastAsia"/>
                <w:b/>
                <w:bCs/>
                <w:color w:val="auto"/>
                <w:u w:val="single"/>
              </w:rPr>
              <w:t>3</w:t>
            </w:r>
          </w:p>
        </w:tc>
        <w:tc>
          <w:tcPr>
            <w:tcW w:w="813" w:type="pct"/>
            <w:vMerge w:val="continue"/>
            <w:vAlign w:val="center"/>
          </w:tcPr>
          <w:p>
            <w:pPr>
              <w:pStyle w:val="182"/>
              <w:bidi w:val="0"/>
              <w:rPr>
                <w:b/>
                <w:bCs/>
                <w:color w:val="auto"/>
                <w:u w:val="single"/>
              </w:rPr>
            </w:pPr>
          </w:p>
        </w:tc>
        <w:tc>
          <w:tcPr>
            <w:tcW w:w="813" w:type="pct"/>
            <w:vAlign w:val="center"/>
          </w:tcPr>
          <w:p>
            <w:pPr>
              <w:pStyle w:val="182"/>
              <w:bidi w:val="0"/>
              <w:rPr>
                <w:b/>
                <w:bCs/>
                <w:color w:val="auto"/>
                <w:u w:val="single"/>
              </w:rPr>
            </w:pPr>
            <w:r>
              <w:rPr>
                <w:rFonts w:hint="eastAsia"/>
                <w:b/>
                <w:bCs/>
                <w:color w:val="auto"/>
                <w:u w:val="single"/>
              </w:rPr>
              <w:t>SS</w:t>
            </w:r>
          </w:p>
        </w:tc>
        <w:tc>
          <w:tcPr>
            <w:tcW w:w="1764" w:type="pct"/>
            <w:vMerge w:val="continue"/>
            <w:vAlign w:val="center"/>
          </w:tcPr>
          <w:p>
            <w:pPr>
              <w:pStyle w:val="182"/>
              <w:bidi w:val="0"/>
              <w:rPr>
                <w:b/>
                <w:bCs/>
                <w:color w:val="auto"/>
                <w:u w:val="single"/>
              </w:rPr>
            </w:pPr>
          </w:p>
        </w:tc>
        <w:tc>
          <w:tcPr>
            <w:tcW w:w="1153" w:type="pct"/>
            <w:vAlign w:val="center"/>
          </w:tcPr>
          <w:p>
            <w:pPr>
              <w:pStyle w:val="182"/>
              <w:bidi w:val="0"/>
              <w:rPr>
                <w:b/>
                <w:bCs/>
                <w:color w:val="auto"/>
                <w:u w:val="single"/>
              </w:rPr>
            </w:pPr>
            <w:r>
              <w:rPr>
                <w:rFonts w:hint="eastAsia"/>
                <w:b/>
                <w:bCs/>
                <w:color w:val="auto"/>
                <w:u w:val="single"/>
              </w:rPr>
              <w:t>1</w:t>
            </w:r>
            <w:r>
              <w:rPr>
                <w:b/>
                <w:bCs/>
                <w:color w:val="auto"/>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5"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4</w:t>
            </w:r>
          </w:p>
        </w:tc>
        <w:tc>
          <w:tcPr>
            <w:tcW w:w="813" w:type="pct"/>
            <w:vMerge w:val="continue"/>
            <w:vAlign w:val="center"/>
          </w:tcPr>
          <w:p>
            <w:pPr>
              <w:pStyle w:val="182"/>
              <w:bidi w:val="0"/>
              <w:rPr>
                <w:b/>
                <w:bCs/>
                <w:color w:val="auto"/>
                <w:u w:val="single"/>
              </w:rPr>
            </w:pPr>
          </w:p>
        </w:tc>
        <w:tc>
          <w:tcPr>
            <w:tcW w:w="813"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b/>
                <w:bCs/>
                <w:color w:val="auto"/>
                <w:u w:val="single"/>
              </w:rPr>
              <w:t>pH</w:t>
            </w:r>
          </w:p>
        </w:tc>
        <w:tc>
          <w:tcPr>
            <w:tcW w:w="1764" w:type="pct"/>
            <w:vMerge w:val="continue"/>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p>
        </w:tc>
        <w:tc>
          <w:tcPr>
            <w:tcW w:w="1153" w:type="pct"/>
            <w:vAlign w:val="center"/>
          </w:tcPr>
          <w:p>
            <w:pPr>
              <w:pStyle w:val="182"/>
              <w:bidi w:val="0"/>
              <w:rPr>
                <w:rFonts w:hint="eastAsia"/>
                <w:b/>
                <w:bCs/>
                <w:color w:val="auto"/>
                <w:u w:val="single"/>
              </w:rPr>
            </w:pPr>
            <w:r>
              <w:rPr>
                <w:b/>
                <w:bCs/>
                <w:color w:val="auto"/>
                <w:u w:val="single"/>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5"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5</w:t>
            </w:r>
          </w:p>
        </w:tc>
        <w:tc>
          <w:tcPr>
            <w:tcW w:w="813" w:type="pct"/>
            <w:vMerge w:val="continue"/>
            <w:vAlign w:val="center"/>
          </w:tcPr>
          <w:p>
            <w:pPr>
              <w:pStyle w:val="182"/>
              <w:bidi w:val="0"/>
              <w:rPr>
                <w:b/>
                <w:bCs/>
                <w:color w:val="auto"/>
                <w:u w:val="single"/>
              </w:rPr>
            </w:pPr>
          </w:p>
        </w:tc>
        <w:tc>
          <w:tcPr>
            <w:tcW w:w="813" w:type="pct"/>
            <w:vAlign w:val="center"/>
          </w:tcPr>
          <w:p>
            <w:pPr>
              <w:pStyle w:val="182"/>
              <w:bidi w:val="0"/>
              <w:rPr>
                <w:rFonts w:hint="eastAsia"/>
                <w:b/>
                <w:bCs/>
                <w:color w:val="auto"/>
                <w:u w:val="single"/>
              </w:rPr>
            </w:pPr>
            <w:r>
              <w:rPr>
                <w:rFonts w:hint="eastAsia"/>
                <w:b/>
                <w:bCs/>
                <w:color w:val="auto"/>
                <w:u w:val="single"/>
              </w:rPr>
              <w:t>TP</w:t>
            </w:r>
          </w:p>
        </w:tc>
        <w:tc>
          <w:tcPr>
            <w:tcW w:w="1764" w:type="pct"/>
            <w:vMerge w:val="continue"/>
            <w:vAlign w:val="center"/>
          </w:tcPr>
          <w:p>
            <w:pPr>
              <w:pStyle w:val="182"/>
              <w:bidi w:val="0"/>
              <w:rPr>
                <w:b/>
                <w:bCs/>
                <w:color w:val="auto"/>
                <w:u w:val="single"/>
              </w:rPr>
            </w:pPr>
          </w:p>
        </w:tc>
        <w:tc>
          <w:tcPr>
            <w:tcW w:w="1153" w:type="pct"/>
            <w:vAlign w:val="center"/>
          </w:tcPr>
          <w:p>
            <w:pPr>
              <w:pStyle w:val="182"/>
              <w:bidi w:val="0"/>
              <w:rPr>
                <w:rFonts w:hint="eastAsia"/>
                <w:b/>
                <w:bCs/>
                <w:color w:val="auto"/>
                <w:u w:val="single"/>
              </w:rPr>
            </w:pPr>
            <w:r>
              <w:rPr>
                <w:rFonts w:hint="eastAsia"/>
                <w:b/>
                <w:bCs/>
                <w:color w:val="auto"/>
                <w:u w:val="single"/>
                <w:lang w:val="en-US" w:eastAsia="zh-CN"/>
              </w:rPr>
              <w:t>1</w:t>
            </w:r>
            <w:r>
              <w:rPr>
                <w:rFonts w:hint="eastAsia"/>
                <w:b/>
                <w:bCs/>
                <w:color w:val="auto"/>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5"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6</w:t>
            </w:r>
          </w:p>
        </w:tc>
        <w:tc>
          <w:tcPr>
            <w:tcW w:w="813" w:type="pct"/>
            <w:vMerge w:val="continue"/>
            <w:vAlign w:val="center"/>
          </w:tcPr>
          <w:p>
            <w:pPr>
              <w:pStyle w:val="182"/>
              <w:bidi w:val="0"/>
              <w:rPr>
                <w:b/>
                <w:bCs/>
                <w:color w:val="auto"/>
                <w:u w:val="single"/>
              </w:rPr>
            </w:pPr>
          </w:p>
        </w:tc>
        <w:tc>
          <w:tcPr>
            <w:tcW w:w="813" w:type="pct"/>
            <w:vAlign w:val="center"/>
          </w:tcPr>
          <w:p>
            <w:pPr>
              <w:pStyle w:val="182"/>
              <w:bidi w:val="0"/>
              <w:rPr>
                <w:b/>
                <w:bCs/>
                <w:color w:val="auto"/>
                <w:u w:val="single"/>
              </w:rPr>
            </w:pPr>
            <w:r>
              <w:rPr>
                <w:rFonts w:hint="eastAsia"/>
                <w:b/>
                <w:bCs/>
                <w:color w:val="auto"/>
                <w:u w:val="single"/>
              </w:rPr>
              <w:t>NH</w:t>
            </w:r>
            <w:r>
              <w:rPr>
                <w:rFonts w:hint="eastAsia"/>
                <w:b/>
                <w:bCs/>
                <w:color w:val="auto"/>
                <w:u w:val="single"/>
                <w:vertAlign w:val="subscript"/>
              </w:rPr>
              <w:t>3</w:t>
            </w:r>
            <w:r>
              <w:rPr>
                <w:rFonts w:hint="eastAsia"/>
                <w:b/>
                <w:bCs/>
                <w:color w:val="auto"/>
                <w:u w:val="single"/>
              </w:rPr>
              <w:t>-N</w:t>
            </w:r>
          </w:p>
        </w:tc>
        <w:tc>
          <w:tcPr>
            <w:tcW w:w="1764" w:type="pct"/>
            <w:vAlign w:val="center"/>
          </w:tcPr>
          <w:p>
            <w:pPr>
              <w:pStyle w:val="182"/>
              <w:bidi w:val="0"/>
              <w:rPr>
                <w:b/>
                <w:bCs/>
                <w:color w:val="auto"/>
                <w:u w:val="single"/>
              </w:rPr>
            </w:pPr>
            <w:r>
              <w:rPr>
                <w:rFonts w:hint="eastAsia"/>
                <w:b/>
                <w:bCs/>
                <w:color w:val="auto"/>
                <w:u w:val="single"/>
              </w:rPr>
              <w:t>新乡化纤新厂区排污许可证废水最高允许排放浓度</w:t>
            </w:r>
          </w:p>
        </w:tc>
        <w:tc>
          <w:tcPr>
            <w:tcW w:w="1153" w:type="pct"/>
            <w:vAlign w:val="center"/>
          </w:tcPr>
          <w:p>
            <w:pPr>
              <w:pStyle w:val="182"/>
              <w:bidi w:val="0"/>
              <w:rPr>
                <w:b/>
                <w:bCs/>
                <w:color w:val="auto"/>
                <w:u w:val="single"/>
              </w:rPr>
            </w:pPr>
            <w:r>
              <w:rPr>
                <w:rFonts w:hint="eastAsia"/>
                <w:b/>
                <w:bCs/>
                <w:color w:val="auto"/>
                <w:u w:val="single"/>
              </w:rPr>
              <w:t>1</w:t>
            </w:r>
            <w:r>
              <w:rPr>
                <w:b/>
                <w:bCs/>
                <w:color w:val="auto"/>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5"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7</w:t>
            </w:r>
          </w:p>
        </w:tc>
        <w:tc>
          <w:tcPr>
            <w:tcW w:w="813" w:type="pct"/>
            <w:vMerge w:val="continue"/>
            <w:vAlign w:val="center"/>
          </w:tcPr>
          <w:p>
            <w:pPr>
              <w:pStyle w:val="182"/>
              <w:bidi w:val="0"/>
              <w:rPr>
                <w:b/>
                <w:bCs/>
                <w:color w:val="auto"/>
                <w:u w:val="single"/>
              </w:rPr>
            </w:pPr>
          </w:p>
        </w:tc>
        <w:tc>
          <w:tcPr>
            <w:tcW w:w="813" w:type="pct"/>
            <w:vAlign w:val="center"/>
          </w:tcPr>
          <w:p>
            <w:pPr>
              <w:pStyle w:val="182"/>
              <w:bidi w:val="0"/>
              <w:rPr>
                <w:b/>
                <w:bCs/>
                <w:color w:val="auto"/>
                <w:u w:val="single"/>
              </w:rPr>
            </w:pPr>
            <w:r>
              <w:rPr>
                <w:rFonts w:hint="eastAsia"/>
                <w:b/>
                <w:bCs/>
                <w:color w:val="auto"/>
                <w:u w:val="single"/>
              </w:rPr>
              <w:t>T</w:t>
            </w:r>
            <w:r>
              <w:rPr>
                <w:b/>
                <w:bCs/>
                <w:color w:val="auto"/>
                <w:u w:val="single"/>
              </w:rPr>
              <w:t>N</w:t>
            </w:r>
          </w:p>
        </w:tc>
        <w:tc>
          <w:tcPr>
            <w:tcW w:w="1764" w:type="pct"/>
            <w:vAlign w:val="center"/>
          </w:tcPr>
          <w:p>
            <w:pPr>
              <w:pStyle w:val="182"/>
              <w:bidi w:val="0"/>
              <w:rPr>
                <w:b/>
                <w:bCs/>
                <w:color w:val="auto"/>
                <w:u w:val="single"/>
              </w:rPr>
            </w:pPr>
            <w:r>
              <w:rPr>
                <w:rFonts w:hint="eastAsia"/>
                <w:b/>
                <w:bCs/>
                <w:color w:val="auto"/>
                <w:u w:val="single"/>
              </w:rPr>
              <w:t>小店污水处理厂收水标准</w:t>
            </w:r>
          </w:p>
        </w:tc>
        <w:tc>
          <w:tcPr>
            <w:tcW w:w="1153" w:type="pct"/>
            <w:vAlign w:val="center"/>
          </w:tcPr>
          <w:p>
            <w:pPr>
              <w:pStyle w:val="182"/>
              <w:bidi w:val="0"/>
              <w:rPr>
                <w:b/>
                <w:bCs/>
                <w:color w:val="auto"/>
                <w:u w:val="single"/>
              </w:rPr>
            </w:pPr>
            <w:r>
              <w:rPr>
                <w:rFonts w:hint="eastAsia"/>
                <w:b/>
                <w:bCs/>
                <w:color w:val="auto"/>
                <w:u w:val="single"/>
              </w:rPr>
              <w:t>4</w:t>
            </w:r>
            <w:r>
              <w:rPr>
                <w:b/>
                <w:bCs/>
                <w:color w:val="auto"/>
                <w:u w:val="single"/>
              </w:rPr>
              <w:t>0</w:t>
            </w:r>
          </w:p>
        </w:tc>
      </w:tr>
    </w:tbl>
    <w:p>
      <w:pPr>
        <w:bidi w:val="0"/>
        <w:rPr>
          <w:color w:val="auto"/>
        </w:rPr>
      </w:pPr>
      <w:r>
        <w:rPr>
          <w:rFonts w:hint="eastAsia"/>
          <w:color w:val="auto"/>
        </w:rPr>
        <w:t>4）废水污染物排放信息表</w:t>
      </w:r>
    </w:p>
    <w:p>
      <w:pPr>
        <w:pStyle w:val="181"/>
        <w:bidi w:val="0"/>
        <w:rPr>
          <w:color w:val="auto"/>
        </w:rPr>
      </w:pPr>
      <w:r>
        <w:rPr>
          <w:rFonts w:hint="eastAsia"/>
          <w:color w:val="auto"/>
        </w:rPr>
        <w:t>表</w:t>
      </w:r>
      <w:r>
        <w:rPr>
          <w:color w:val="auto"/>
        </w:rPr>
        <w:t>3.</w:t>
      </w:r>
      <w:r>
        <w:rPr>
          <w:rFonts w:hint="eastAsia"/>
          <w:color w:val="auto"/>
          <w:lang w:val="en-US" w:eastAsia="zh-CN"/>
        </w:rPr>
        <w:t>8</w:t>
      </w:r>
      <w:r>
        <w:rPr>
          <w:rFonts w:hint="eastAsia"/>
          <w:color w:val="auto"/>
        </w:rPr>
        <w:t>-</w:t>
      </w:r>
      <w:r>
        <w:rPr>
          <w:color w:val="auto"/>
        </w:rPr>
        <w:t>2</w:t>
      </w:r>
      <w:r>
        <w:rPr>
          <w:rFonts w:hint="eastAsia"/>
          <w:color w:val="auto"/>
          <w:lang w:val="en-US" w:eastAsia="zh-CN"/>
        </w:rPr>
        <w:t>5</w:t>
      </w:r>
      <w:r>
        <w:rPr>
          <w:color w:val="auto"/>
        </w:rPr>
        <w:t xml:space="preserve">  </w:t>
      </w:r>
      <w:r>
        <w:rPr>
          <w:rFonts w:hint="eastAsia"/>
          <w:color w:val="auto"/>
          <w:lang w:val="en-US" w:eastAsia="zh-CN"/>
        </w:rPr>
        <w:t xml:space="preserve">           </w:t>
      </w:r>
      <w:r>
        <w:rPr>
          <w:rFonts w:hint="eastAsia"/>
          <w:color w:val="auto"/>
        </w:rPr>
        <w:t>废水污染物排放信息表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3"/>
        <w:gridCol w:w="1403"/>
        <w:gridCol w:w="1403"/>
        <w:gridCol w:w="2055"/>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23" w:type="pct"/>
            <w:vAlign w:val="center"/>
          </w:tcPr>
          <w:p>
            <w:pPr>
              <w:pStyle w:val="182"/>
              <w:bidi w:val="0"/>
              <w:rPr>
                <w:b/>
                <w:bCs/>
                <w:color w:val="auto"/>
                <w:u w:val="single"/>
              </w:rPr>
            </w:pPr>
            <w:r>
              <w:rPr>
                <w:rFonts w:hint="eastAsia"/>
                <w:b/>
                <w:bCs/>
                <w:color w:val="auto"/>
                <w:u w:val="single"/>
              </w:rPr>
              <w:t>序号</w:t>
            </w:r>
          </w:p>
        </w:tc>
        <w:tc>
          <w:tcPr>
            <w:tcW w:w="823" w:type="pct"/>
            <w:vAlign w:val="center"/>
          </w:tcPr>
          <w:p>
            <w:pPr>
              <w:pStyle w:val="182"/>
              <w:bidi w:val="0"/>
              <w:rPr>
                <w:b/>
                <w:bCs/>
                <w:color w:val="auto"/>
                <w:u w:val="single"/>
              </w:rPr>
            </w:pPr>
            <w:r>
              <w:rPr>
                <w:rFonts w:hint="eastAsia"/>
                <w:b/>
                <w:bCs/>
                <w:color w:val="auto"/>
                <w:u w:val="single"/>
              </w:rPr>
              <w:t>排放口编号</w:t>
            </w:r>
          </w:p>
        </w:tc>
        <w:tc>
          <w:tcPr>
            <w:tcW w:w="823" w:type="pct"/>
            <w:vAlign w:val="center"/>
          </w:tcPr>
          <w:p>
            <w:pPr>
              <w:pStyle w:val="182"/>
              <w:bidi w:val="0"/>
              <w:rPr>
                <w:b/>
                <w:bCs/>
                <w:color w:val="auto"/>
                <w:u w:val="single"/>
              </w:rPr>
            </w:pPr>
            <w:r>
              <w:rPr>
                <w:rFonts w:hint="eastAsia"/>
                <w:b/>
                <w:bCs/>
                <w:color w:val="auto"/>
                <w:u w:val="single"/>
              </w:rPr>
              <w:t>污染物种类</w:t>
            </w:r>
          </w:p>
        </w:tc>
        <w:tc>
          <w:tcPr>
            <w:tcW w:w="1205" w:type="pct"/>
            <w:vAlign w:val="center"/>
          </w:tcPr>
          <w:p>
            <w:pPr>
              <w:pStyle w:val="182"/>
              <w:bidi w:val="0"/>
              <w:rPr>
                <w:b/>
                <w:bCs/>
                <w:color w:val="auto"/>
                <w:u w:val="single"/>
              </w:rPr>
            </w:pPr>
            <w:r>
              <w:rPr>
                <w:rFonts w:hint="eastAsia"/>
                <w:b/>
                <w:bCs/>
                <w:color w:val="auto"/>
                <w:u w:val="single"/>
              </w:rPr>
              <w:t>排放浓度（m</w:t>
            </w:r>
            <w:r>
              <w:rPr>
                <w:b/>
                <w:bCs/>
                <w:color w:val="auto"/>
                <w:u w:val="single"/>
              </w:rPr>
              <w:t>g/L</w:t>
            </w:r>
            <w:r>
              <w:rPr>
                <w:rFonts w:hint="eastAsia"/>
                <w:b/>
                <w:bCs/>
                <w:color w:val="auto"/>
                <w:u w:val="single"/>
              </w:rPr>
              <w:t>）</w:t>
            </w:r>
          </w:p>
        </w:tc>
        <w:tc>
          <w:tcPr>
            <w:tcW w:w="1323" w:type="pct"/>
            <w:vAlign w:val="center"/>
          </w:tcPr>
          <w:p>
            <w:pPr>
              <w:pStyle w:val="182"/>
              <w:bidi w:val="0"/>
              <w:rPr>
                <w:b/>
                <w:bCs/>
                <w:color w:val="auto"/>
                <w:u w:val="single"/>
              </w:rPr>
            </w:pPr>
            <w:r>
              <w:rPr>
                <w:rFonts w:hint="eastAsia"/>
                <w:b/>
                <w:bCs/>
                <w:color w:val="auto"/>
                <w:u w:val="single"/>
              </w:rPr>
              <w:t>新增排放量（t/a）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3" w:type="pct"/>
            <w:vAlign w:val="center"/>
          </w:tcPr>
          <w:p>
            <w:pPr>
              <w:pStyle w:val="182"/>
              <w:bidi w:val="0"/>
              <w:rPr>
                <w:b/>
                <w:bCs/>
                <w:color w:val="auto"/>
                <w:u w:val="single"/>
              </w:rPr>
            </w:pPr>
            <w:r>
              <w:rPr>
                <w:rFonts w:hint="eastAsia"/>
                <w:b/>
                <w:bCs/>
                <w:color w:val="auto"/>
                <w:u w:val="single"/>
              </w:rPr>
              <w:t>1</w:t>
            </w:r>
          </w:p>
        </w:tc>
        <w:tc>
          <w:tcPr>
            <w:tcW w:w="823" w:type="pct"/>
            <w:vMerge w:val="restart"/>
            <w:vAlign w:val="center"/>
          </w:tcPr>
          <w:p>
            <w:pPr>
              <w:pStyle w:val="182"/>
              <w:bidi w:val="0"/>
              <w:rPr>
                <w:b/>
                <w:bCs/>
                <w:color w:val="auto"/>
                <w:u w:val="single"/>
              </w:rPr>
            </w:pPr>
            <w:r>
              <w:rPr>
                <w:rFonts w:hint="eastAsia"/>
                <w:b/>
                <w:bCs/>
                <w:color w:val="auto"/>
                <w:u w:val="single"/>
              </w:rPr>
              <w:t>DW</w:t>
            </w:r>
            <w:r>
              <w:rPr>
                <w:b/>
                <w:bCs/>
                <w:color w:val="auto"/>
                <w:u w:val="single"/>
              </w:rPr>
              <w:t>001</w:t>
            </w:r>
          </w:p>
        </w:tc>
        <w:tc>
          <w:tcPr>
            <w:tcW w:w="823" w:type="pct"/>
            <w:vAlign w:val="center"/>
          </w:tcPr>
          <w:p>
            <w:pPr>
              <w:pStyle w:val="182"/>
              <w:bidi w:val="0"/>
              <w:rPr>
                <w:b/>
                <w:bCs/>
                <w:color w:val="auto"/>
                <w:u w:val="single"/>
              </w:rPr>
            </w:pPr>
            <w:r>
              <w:rPr>
                <w:rFonts w:hint="eastAsia"/>
                <w:b/>
                <w:bCs/>
                <w:color w:val="auto"/>
                <w:u w:val="single"/>
              </w:rPr>
              <w:t>COD</w:t>
            </w:r>
          </w:p>
        </w:tc>
        <w:tc>
          <w:tcPr>
            <w:tcW w:w="1205" w:type="pct"/>
            <w:vAlign w:val="center"/>
          </w:tcPr>
          <w:p>
            <w:pPr>
              <w:pStyle w:val="182"/>
              <w:bidi w:val="0"/>
              <w:rPr>
                <w:rFonts w:hint="default"/>
                <w:b/>
                <w:bCs/>
                <w:color w:val="auto"/>
                <w:u w:val="single"/>
                <w:lang w:val="en-US" w:eastAsia="zh-CN"/>
              </w:rPr>
            </w:pPr>
            <w:r>
              <w:rPr>
                <w:rFonts w:hint="eastAsia"/>
                <w:b/>
                <w:bCs/>
                <w:color w:val="auto"/>
                <w:u w:val="single"/>
                <w:lang w:val="en-US" w:eastAsia="zh-CN"/>
              </w:rPr>
              <w:t>82.83</w:t>
            </w:r>
          </w:p>
        </w:tc>
        <w:tc>
          <w:tcPr>
            <w:tcW w:w="1323" w:type="pct"/>
            <w:vAlign w:val="center"/>
          </w:tcPr>
          <w:p>
            <w:pPr>
              <w:pStyle w:val="182"/>
              <w:bidi w:val="0"/>
              <w:rPr>
                <w:rFonts w:hint="default"/>
                <w:b/>
                <w:bCs/>
                <w:color w:val="auto"/>
                <w:u w:val="single"/>
                <w:lang w:val="en-US"/>
              </w:rPr>
            </w:pPr>
            <w:r>
              <w:rPr>
                <w:rFonts w:hint="eastAsia"/>
                <w:b/>
                <w:bCs/>
                <w:color w:val="auto"/>
                <w:u w:val="single"/>
                <w:lang w:val="en-US" w:eastAsia="zh-CN"/>
              </w:rPr>
              <w:t>33.78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3"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2</w:t>
            </w:r>
          </w:p>
        </w:tc>
        <w:tc>
          <w:tcPr>
            <w:tcW w:w="823" w:type="pct"/>
            <w:vMerge w:val="continue"/>
            <w:vAlign w:val="center"/>
          </w:tcPr>
          <w:p>
            <w:pPr>
              <w:pStyle w:val="182"/>
              <w:bidi w:val="0"/>
              <w:rPr>
                <w:rFonts w:hint="eastAsia"/>
                <w:b/>
                <w:bCs/>
                <w:color w:val="auto"/>
                <w:u w:val="single"/>
              </w:rPr>
            </w:pPr>
          </w:p>
        </w:tc>
        <w:tc>
          <w:tcPr>
            <w:tcW w:w="823"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BOD5</w:t>
            </w:r>
          </w:p>
        </w:tc>
        <w:tc>
          <w:tcPr>
            <w:tcW w:w="1205" w:type="pct"/>
            <w:vAlign w:val="center"/>
          </w:tcPr>
          <w:p>
            <w:pPr>
              <w:pStyle w:val="182"/>
              <w:bidi w:val="0"/>
              <w:rPr>
                <w:rFonts w:hint="default"/>
                <w:b/>
                <w:bCs/>
                <w:color w:val="auto"/>
                <w:u w:val="single"/>
                <w:lang w:val="en-US" w:eastAsia="zh-CN"/>
              </w:rPr>
            </w:pPr>
            <w:r>
              <w:rPr>
                <w:rFonts w:hint="eastAsia"/>
                <w:b/>
                <w:bCs/>
                <w:color w:val="auto"/>
                <w:u w:val="single"/>
                <w:lang w:val="en-US" w:eastAsia="zh-CN"/>
              </w:rPr>
              <w:t>15.03</w:t>
            </w:r>
          </w:p>
        </w:tc>
        <w:tc>
          <w:tcPr>
            <w:tcW w:w="1323" w:type="pct"/>
            <w:vAlign w:val="center"/>
          </w:tcPr>
          <w:p>
            <w:pPr>
              <w:pStyle w:val="182"/>
              <w:bidi w:val="0"/>
              <w:rPr>
                <w:rFonts w:hint="default"/>
                <w:b/>
                <w:bCs/>
                <w:color w:val="auto"/>
                <w:u w:val="single"/>
                <w:lang w:val="en-US" w:eastAsia="zh-CN"/>
              </w:rPr>
            </w:pPr>
            <w:r>
              <w:rPr>
                <w:rFonts w:hint="eastAsia"/>
                <w:b/>
                <w:bCs/>
                <w:color w:val="auto"/>
                <w:u w:val="single"/>
                <w:lang w:val="en-US" w:eastAsia="zh-CN"/>
              </w:rPr>
              <w:t>12.57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3"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3</w:t>
            </w:r>
          </w:p>
        </w:tc>
        <w:tc>
          <w:tcPr>
            <w:tcW w:w="823" w:type="pct"/>
            <w:vMerge w:val="continue"/>
            <w:vAlign w:val="center"/>
          </w:tcPr>
          <w:p>
            <w:pPr>
              <w:pStyle w:val="182"/>
              <w:bidi w:val="0"/>
              <w:rPr>
                <w:b/>
                <w:bCs/>
                <w:color w:val="auto"/>
                <w:u w:val="single"/>
              </w:rPr>
            </w:pPr>
          </w:p>
        </w:tc>
        <w:tc>
          <w:tcPr>
            <w:tcW w:w="823" w:type="pct"/>
            <w:vAlign w:val="center"/>
          </w:tcPr>
          <w:p>
            <w:pPr>
              <w:pStyle w:val="182"/>
              <w:bidi w:val="0"/>
              <w:rPr>
                <w:b/>
                <w:bCs/>
                <w:color w:val="auto"/>
                <w:u w:val="single"/>
              </w:rPr>
            </w:pPr>
            <w:r>
              <w:rPr>
                <w:rFonts w:hint="eastAsia"/>
                <w:b/>
                <w:bCs/>
                <w:color w:val="auto"/>
                <w:u w:val="single"/>
              </w:rPr>
              <w:t>NH</w:t>
            </w:r>
            <w:r>
              <w:rPr>
                <w:rFonts w:hint="eastAsia"/>
                <w:b/>
                <w:bCs/>
                <w:color w:val="auto"/>
                <w:u w:val="single"/>
                <w:vertAlign w:val="subscript"/>
              </w:rPr>
              <w:t>3</w:t>
            </w:r>
            <w:r>
              <w:rPr>
                <w:rFonts w:hint="eastAsia"/>
                <w:b/>
                <w:bCs/>
                <w:color w:val="auto"/>
                <w:u w:val="single"/>
              </w:rPr>
              <w:t>-N</w:t>
            </w:r>
          </w:p>
        </w:tc>
        <w:tc>
          <w:tcPr>
            <w:tcW w:w="1205" w:type="pct"/>
            <w:vAlign w:val="center"/>
          </w:tcPr>
          <w:p>
            <w:pPr>
              <w:pStyle w:val="182"/>
              <w:bidi w:val="0"/>
              <w:rPr>
                <w:rFonts w:hint="default"/>
                <w:b/>
                <w:bCs/>
                <w:color w:val="auto"/>
                <w:u w:val="single"/>
                <w:lang w:val="en-US" w:eastAsia="zh-CN"/>
              </w:rPr>
            </w:pPr>
            <w:r>
              <w:rPr>
                <w:rFonts w:hint="eastAsia"/>
                <w:b/>
                <w:bCs/>
                <w:color w:val="auto"/>
                <w:u w:val="single"/>
                <w:lang w:val="en-US" w:eastAsia="zh-CN"/>
              </w:rPr>
              <w:t>4.87</w:t>
            </w:r>
          </w:p>
        </w:tc>
        <w:tc>
          <w:tcPr>
            <w:tcW w:w="1323" w:type="pct"/>
            <w:vAlign w:val="center"/>
          </w:tcPr>
          <w:p>
            <w:pPr>
              <w:pStyle w:val="182"/>
              <w:bidi w:val="0"/>
              <w:rPr>
                <w:rFonts w:hint="default"/>
                <w:b/>
                <w:bCs/>
                <w:color w:val="auto"/>
                <w:u w:val="single"/>
                <w:lang w:val="en-US"/>
              </w:rPr>
            </w:pPr>
            <w:r>
              <w:rPr>
                <w:rFonts w:hint="eastAsia"/>
                <w:b/>
                <w:bCs/>
                <w:color w:val="auto"/>
                <w:u w:val="single"/>
                <w:lang w:val="en-US" w:eastAsia="zh-CN"/>
              </w:rPr>
              <w:t>3.47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3"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4</w:t>
            </w:r>
          </w:p>
        </w:tc>
        <w:tc>
          <w:tcPr>
            <w:tcW w:w="823" w:type="pct"/>
            <w:vMerge w:val="continue"/>
            <w:vAlign w:val="center"/>
          </w:tcPr>
          <w:p>
            <w:pPr>
              <w:pStyle w:val="182"/>
              <w:bidi w:val="0"/>
              <w:rPr>
                <w:b/>
                <w:bCs/>
                <w:color w:val="auto"/>
                <w:u w:val="single"/>
              </w:rPr>
            </w:pPr>
          </w:p>
        </w:tc>
        <w:tc>
          <w:tcPr>
            <w:tcW w:w="823" w:type="pct"/>
            <w:vAlign w:val="center"/>
          </w:tcPr>
          <w:p>
            <w:pPr>
              <w:pStyle w:val="182"/>
              <w:bidi w:val="0"/>
              <w:rPr>
                <w:rFonts w:hint="eastAsia"/>
                <w:b/>
                <w:bCs/>
                <w:color w:val="auto"/>
                <w:u w:val="single"/>
              </w:rPr>
            </w:pPr>
            <w:r>
              <w:rPr>
                <w:rFonts w:hint="default"/>
                <w:b/>
                <w:bCs/>
                <w:color w:val="auto"/>
                <w:u w:val="single"/>
                <w:lang w:val="en-US" w:eastAsia="zh-CN"/>
              </w:rPr>
              <w:t>TN</w:t>
            </w:r>
          </w:p>
        </w:tc>
        <w:tc>
          <w:tcPr>
            <w:tcW w:w="1205" w:type="pct"/>
            <w:vAlign w:val="center"/>
          </w:tcPr>
          <w:p>
            <w:pPr>
              <w:pStyle w:val="182"/>
              <w:bidi w:val="0"/>
              <w:rPr>
                <w:rFonts w:hint="default"/>
                <w:b/>
                <w:bCs/>
                <w:color w:val="auto"/>
                <w:u w:val="single"/>
                <w:lang w:val="en-US" w:eastAsia="zh-CN"/>
              </w:rPr>
            </w:pPr>
            <w:r>
              <w:rPr>
                <w:rFonts w:hint="eastAsia"/>
                <w:b/>
                <w:bCs/>
                <w:color w:val="auto"/>
                <w:u w:val="single"/>
                <w:lang w:val="en-US" w:eastAsia="zh-CN"/>
              </w:rPr>
              <w:t>10.03</w:t>
            </w:r>
          </w:p>
        </w:tc>
        <w:tc>
          <w:tcPr>
            <w:tcW w:w="1323" w:type="pct"/>
            <w:vAlign w:val="center"/>
          </w:tcPr>
          <w:p>
            <w:pPr>
              <w:pStyle w:val="182"/>
              <w:bidi w:val="0"/>
              <w:rPr>
                <w:rFonts w:hint="default"/>
                <w:b/>
                <w:bCs/>
                <w:color w:val="auto"/>
                <w:u w:val="single"/>
                <w:lang w:val="en-US" w:eastAsia="zh-CN"/>
              </w:rPr>
            </w:pPr>
            <w:r>
              <w:rPr>
                <w:rFonts w:hint="eastAsia"/>
                <w:b/>
                <w:bCs/>
                <w:color w:val="auto"/>
                <w:u w:val="single"/>
                <w:lang w:val="en-US" w:eastAsia="zh-CN"/>
              </w:rPr>
              <w:t>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3"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5</w:t>
            </w:r>
          </w:p>
        </w:tc>
        <w:tc>
          <w:tcPr>
            <w:tcW w:w="823" w:type="pct"/>
            <w:vMerge w:val="continue"/>
            <w:vAlign w:val="center"/>
          </w:tcPr>
          <w:p>
            <w:pPr>
              <w:pStyle w:val="182"/>
              <w:bidi w:val="0"/>
              <w:rPr>
                <w:b/>
                <w:bCs/>
                <w:color w:val="auto"/>
                <w:u w:val="single"/>
              </w:rPr>
            </w:pPr>
          </w:p>
        </w:tc>
        <w:tc>
          <w:tcPr>
            <w:tcW w:w="823" w:type="pct"/>
            <w:vAlign w:val="center"/>
          </w:tcPr>
          <w:p>
            <w:pPr>
              <w:pStyle w:val="182"/>
              <w:bidi w:val="0"/>
              <w:rPr>
                <w:rFonts w:hint="eastAsia"/>
                <w:b/>
                <w:bCs/>
                <w:color w:val="auto"/>
                <w:u w:val="single"/>
              </w:rPr>
            </w:pPr>
            <w:r>
              <w:rPr>
                <w:rFonts w:hint="default"/>
                <w:b/>
                <w:bCs/>
                <w:color w:val="auto"/>
                <w:u w:val="single"/>
                <w:lang w:val="en-US" w:eastAsia="zh-CN"/>
              </w:rPr>
              <w:t>TP</w:t>
            </w:r>
          </w:p>
        </w:tc>
        <w:tc>
          <w:tcPr>
            <w:tcW w:w="1205" w:type="pct"/>
            <w:vAlign w:val="center"/>
          </w:tcPr>
          <w:p>
            <w:pPr>
              <w:pStyle w:val="182"/>
              <w:bidi w:val="0"/>
              <w:rPr>
                <w:rFonts w:hint="default"/>
                <w:b/>
                <w:bCs/>
                <w:color w:val="auto"/>
                <w:u w:val="single"/>
                <w:lang w:val="en-US" w:eastAsia="zh-CN"/>
              </w:rPr>
            </w:pPr>
            <w:r>
              <w:rPr>
                <w:rFonts w:hint="eastAsia"/>
                <w:b/>
                <w:bCs/>
                <w:color w:val="auto"/>
                <w:u w:val="single"/>
                <w:lang w:val="en-US" w:eastAsia="zh-CN"/>
              </w:rPr>
              <w:t>0.31</w:t>
            </w:r>
          </w:p>
        </w:tc>
        <w:tc>
          <w:tcPr>
            <w:tcW w:w="1323" w:type="pct"/>
            <w:vAlign w:val="center"/>
          </w:tcPr>
          <w:p>
            <w:pPr>
              <w:pStyle w:val="182"/>
              <w:bidi w:val="0"/>
              <w:rPr>
                <w:rFonts w:hint="default"/>
                <w:b/>
                <w:bCs/>
                <w:color w:val="auto"/>
                <w:u w:val="single"/>
                <w:lang w:val="en-US" w:eastAsia="zh-CN"/>
              </w:rPr>
            </w:pPr>
            <w:r>
              <w:rPr>
                <w:rFonts w:hint="eastAsia"/>
                <w:b/>
                <w:bCs/>
                <w:color w:val="auto"/>
                <w:u w:val="single"/>
                <w:lang w:val="en-US" w:eastAsia="zh-CN"/>
              </w:rPr>
              <w:t>1.50</w:t>
            </w:r>
          </w:p>
        </w:tc>
      </w:tr>
    </w:tbl>
    <w:p>
      <w:pPr>
        <w:bidi w:val="0"/>
        <w:rPr>
          <w:b/>
          <w:bCs/>
          <w:color w:val="auto"/>
          <w:u w:val="single"/>
        </w:rPr>
      </w:pPr>
      <w:r>
        <w:rPr>
          <w:rFonts w:hint="eastAsia"/>
          <w:b/>
          <w:bCs/>
          <w:color w:val="auto"/>
          <w:u w:val="single"/>
        </w:rPr>
        <w:t>三、噪声</w:t>
      </w:r>
    </w:p>
    <w:p>
      <w:pPr>
        <w:bidi w:val="0"/>
        <w:rPr>
          <w:rFonts w:hint="eastAsia"/>
          <w:b/>
          <w:bCs/>
          <w:color w:val="auto"/>
          <w:u w:val="single"/>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r>
        <w:rPr>
          <w:rFonts w:hint="eastAsia"/>
          <w:b/>
          <w:bCs/>
          <w:color w:val="auto"/>
          <w:u w:val="single"/>
        </w:rPr>
        <w:t>针对泵类</w:t>
      </w:r>
      <w:r>
        <w:rPr>
          <w:rFonts w:hint="eastAsia"/>
          <w:b/>
          <w:bCs/>
          <w:color w:val="auto"/>
          <w:u w:val="single"/>
          <w:lang w:eastAsia="zh-CN"/>
        </w:rPr>
        <w:t>、</w:t>
      </w:r>
      <w:r>
        <w:rPr>
          <w:rFonts w:hint="eastAsia"/>
          <w:b/>
          <w:bCs/>
          <w:color w:val="auto"/>
          <w:u w:val="single"/>
        </w:rPr>
        <w:t>风机</w:t>
      </w:r>
      <w:r>
        <w:rPr>
          <w:rFonts w:hint="eastAsia"/>
          <w:b/>
          <w:bCs/>
          <w:color w:val="auto"/>
          <w:u w:val="single"/>
          <w:lang w:eastAsia="zh-CN"/>
        </w:rPr>
        <w:t>、</w:t>
      </w:r>
      <w:r>
        <w:rPr>
          <w:rFonts w:hint="eastAsia"/>
          <w:b/>
          <w:bCs/>
          <w:color w:val="auto"/>
          <w:u w:val="single"/>
        </w:rPr>
        <w:t>真空泵等高噪声设备设施实施噪声防治工程</w:t>
      </w:r>
      <w:r>
        <w:rPr>
          <w:rFonts w:hint="eastAsia"/>
          <w:b/>
          <w:bCs/>
          <w:color w:val="auto"/>
          <w:u w:val="single"/>
          <w:lang w:eastAsia="zh-CN"/>
        </w:rPr>
        <w:t>，</w:t>
      </w:r>
      <w:r>
        <w:rPr>
          <w:rFonts w:hint="eastAsia"/>
          <w:b/>
          <w:bCs/>
          <w:color w:val="auto"/>
          <w:u w:val="single"/>
        </w:rPr>
        <w:t>通风机出风口设消声扩散塔；泵类、风机、真空泵设隔声门窗；</w:t>
      </w:r>
      <w:r>
        <w:rPr>
          <w:rFonts w:hint="eastAsia"/>
          <w:b/>
          <w:bCs/>
          <w:color w:val="auto"/>
          <w:u w:val="single"/>
          <w:lang w:val="en-US" w:eastAsia="zh-CN"/>
        </w:rPr>
        <w:t>风机</w:t>
      </w:r>
      <w:r>
        <w:rPr>
          <w:rFonts w:hint="eastAsia"/>
          <w:b/>
          <w:bCs/>
          <w:color w:val="auto"/>
          <w:u w:val="single"/>
        </w:rPr>
        <w:t>采用隔振机座，进排气口安装消声器，门窗采用隔声门窗，</w:t>
      </w:r>
      <w:r>
        <w:rPr>
          <w:rFonts w:hint="eastAsia"/>
          <w:b/>
          <w:bCs/>
          <w:color w:val="auto"/>
          <w:u w:val="single"/>
          <w:lang w:val="en-US" w:eastAsia="zh-CN"/>
        </w:rPr>
        <w:t>各</w:t>
      </w:r>
      <w:r>
        <w:rPr>
          <w:rFonts w:hint="eastAsia"/>
          <w:b/>
          <w:bCs/>
          <w:color w:val="auto"/>
          <w:u w:val="single"/>
        </w:rPr>
        <w:t>设备基础进行减振</w:t>
      </w:r>
      <w:r>
        <w:rPr>
          <w:rFonts w:hint="eastAsia"/>
          <w:b/>
          <w:bCs/>
          <w:color w:val="auto"/>
          <w:u w:val="single"/>
          <w:lang w:val="en-US" w:eastAsia="zh-CN"/>
        </w:rPr>
        <w:t>处理</w:t>
      </w:r>
      <w:r>
        <w:rPr>
          <w:rFonts w:hint="eastAsia"/>
          <w:b/>
          <w:bCs/>
          <w:color w:val="auto"/>
          <w:u w:val="single"/>
        </w:rPr>
        <w:t>；振动较强的各类泵房基础设减振、管道连接设橡胶软接头。工程高噪声源主要为</w:t>
      </w:r>
      <w:bookmarkStart w:id="200" w:name="_Hlk121043692"/>
      <w:r>
        <w:rPr>
          <w:rFonts w:hint="eastAsia"/>
          <w:b/>
          <w:bCs/>
          <w:color w:val="auto"/>
          <w:u w:val="single"/>
        </w:rPr>
        <w:t>风机、泵类等</w:t>
      </w:r>
      <w:bookmarkEnd w:id="200"/>
      <w:r>
        <w:rPr>
          <w:rFonts w:hint="eastAsia"/>
          <w:b/>
          <w:bCs/>
          <w:color w:val="auto"/>
          <w:u w:val="single"/>
        </w:rPr>
        <w:t>，工程厂界噪声源强及预测一览表见表</w:t>
      </w:r>
      <w:r>
        <w:rPr>
          <w:b/>
          <w:bCs/>
          <w:color w:val="auto"/>
          <w:u w:val="single"/>
        </w:rPr>
        <w:t>3.</w:t>
      </w:r>
      <w:r>
        <w:rPr>
          <w:rFonts w:hint="eastAsia"/>
          <w:b/>
          <w:bCs/>
          <w:color w:val="auto"/>
          <w:u w:val="single"/>
          <w:lang w:val="en-US" w:eastAsia="zh-CN"/>
        </w:rPr>
        <w:t>8</w:t>
      </w:r>
      <w:r>
        <w:rPr>
          <w:rFonts w:hint="eastAsia"/>
          <w:b/>
          <w:bCs/>
          <w:color w:val="auto"/>
          <w:u w:val="single"/>
        </w:rPr>
        <w:t>-</w:t>
      </w:r>
      <w:r>
        <w:rPr>
          <w:b/>
          <w:bCs/>
          <w:color w:val="auto"/>
          <w:u w:val="single"/>
        </w:rPr>
        <w:t>2</w:t>
      </w:r>
      <w:r>
        <w:rPr>
          <w:rFonts w:hint="eastAsia"/>
          <w:b/>
          <w:bCs/>
          <w:color w:val="auto"/>
          <w:u w:val="single"/>
          <w:lang w:val="en-US" w:eastAsia="zh-CN"/>
        </w:rPr>
        <w:t>6~3.8-28</w:t>
      </w:r>
      <w:r>
        <w:rPr>
          <w:rFonts w:hint="eastAsia"/>
          <w:b/>
          <w:bCs/>
          <w:color w:val="auto"/>
          <w:u w:val="single"/>
        </w:rPr>
        <w:t>。</w:t>
      </w:r>
    </w:p>
    <w:p>
      <w:pPr>
        <w:pStyle w:val="181"/>
        <w:bidi w:val="0"/>
        <w:jc w:val="center"/>
        <w:rPr>
          <w:rFonts w:hint="eastAsia"/>
          <w:b/>
          <w:bCs/>
          <w:color w:val="auto"/>
          <w:u w:val="single"/>
        </w:rPr>
      </w:pPr>
      <w:r>
        <w:rPr>
          <w:rFonts w:hint="eastAsia"/>
          <w:b/>
          <w:bCs/>
          <w:color w:val="auto"/>
          <w:u w:val="single"/>
        </w:rPr>
        <w:t>表</w:t>
      </w:r>
      <w:r>
        <w:rPr>
          <w:rFonts w:hint="eastAsia"/>
          <w:b/>
          <w:bCs/>
          <w:color w:val="auto"/>
          <w:u w:val="single"/>
          <w:lang w:val="en-US" w:eastAsia="zh-CN"/>
        </w:rPr>
        <w:t>3.8-26           年产5000吨菌草生物质纤维产业化研发中试项目</w:t>
      </w:r>
      <w:r>
        <w:rPr>
          <w:rFonts w:hint="eastAsia"/>
          <w:b/>
          <w:bCs/>
          <w:color w:val="auto"/>
          <w:u w:val="single"/>
        </w:rPr>
        <w:t>噪声源强调查清单（室内声源）</w:t>
      </w:r>
    </w:p>
    <w:tbl>
      <w:tblPr>
        <w:tblStyle w:val="32"/>
        <w:tblW w:w="1421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45"/>
        <w:gridCol w:w="804"/>
        <w:gridCol w:w="1213"/>
        <w:gridCol w:w="1820"/>
        <w:gridCol w:w="1089"/>
        <w:gridCol w:w="686"/>
        <w:gridCol w:w="580"/>
        <w:gridCol w:w="540"/>
        <w:gridCol w:w="516"/>
        <w:gridCol w:w="960"/>
        <w:gridCol w:w="1080"/>
        <w:gridCol w:w="864"/>
        <w:gridCol w:w="1594"/>
        <w:gridCol w:w="1047"/>
        <w:gridCol w:w="8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blHeader/>
          <w:jc w:val="center"/>
        </w:trPr>
        <w:tc>
          <w:tcPr>
            <w:tcW w:w="191"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序号</w:t>
            </w:r>
          </w:p>
        </w:tc>
        <w:tc>
          <w:tcPr>
            <w:tcW w:w="282"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建筑物名称</w:t>
            </w:r>
          </w:p>
        </w:tc>
        <w:tc>
          <w:tcPr>
            <w:tcW w:w="426"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声源名称</w:t>
            </w:r>
          </w:p>
        </w:tc>
        <w:tc>
          <w:tcPr>
            <w:tcW w:w="640"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型号</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声源源强</w:t>
            </w:r>
          </w:p>
        </w:tc>
        <w:tc>
          <w:tcPr>
            <w:tcW w:w="241"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声源控制措施</w:t>
            </w:r>
          </w:p>
        </w:tc>
        <w:tc>
          <w:tcPr>
            <w:tcW w:w="575" w:type="pct"/>
            <w:gridSpan w:val="3"/>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空间相对位置</w:t>
            </w:r>
          </w:p>
        </w:tc>
        <w:tc>
          <w:tcPr>
            <w:tcW w:w="337"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距室内边界距离</w:t>
            </w:r>
            <w:r>
              <w:rPr>
                <w:rFonts w:hint="default"/>
                <w:b/>
                <w:bCs/>
                <w:color w:val="auto"/>
                <w:u w:val="single"/>
                <w:lang w:val="en-US" w:eastAsia="zh-CN"/>
              </w:rPr>
              <w:t>/m</w:t>
            </w:r>
          </w:p>
        </w:tc>
        <w:tc>
          <w:tcPr>
            <w:tcW w:w="379"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室内边界声级</w:t>
            </w:r>
            <w:r>
              <w:rPr>
                <w:rFonts w:hint="default"/>
                <w:b/>
                <w:bCs/>
                <w:color w:val="auto"/>
                <w:u w:val="single"/>
                <w:lang w:val="en-US" w:eastAsia="zh-CN"/>
              </w:rPr>
              <w:t>dB</w:t>
            </w:r>
            <w:r>
              <w:rPr>
                <w:rFonts w:hint="eastAsia"/>
                <w:b/>
                <w:bCs/>
                <w:color w:val="auto"/>
                <w:u w:val="single"/>
                <w:lang w:val="en-US" w:eastAsia="zh-CN"/>
              </w:rPr>
              <w:t>（</w:t>
            </w:r>
            <w:r>
              <w:rPr>
                <w:rFonts w:hint="default"/>
                <w:b/>
                <w:bCs/>
                <w:color w:val="auto"/>
                <w:u w:val="single"/>
                <w:lang w:val="en-US" w:eastAsia="zh-CN"/>
              </w:rPr>
              <w:t>A</w:t>
            </w:r>
            <w:r>
              <w:rPr>
                <w:rFonts w:hint="eastAsia"/>
                <w:b/>
                <w:bCs/>
                <w:color w:val="auto"/>
                <w:u w:val="single"/>
                <w:lang w:val="en-US" w:eastAsia="zh-CN"/>
              </w:rPr>
              <w:t>）</w:t>
            </w:r>
          </w:p>
        </w:tc>
        <w:tc>
          <w:tcPr>
            <w:tcW w:w="303"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运行时段</w:t>
            </w:r>
          </w:p>
        </w:tc>
        <w:tc>
          <w:tcPr>
            <w:tcW w:w="560"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建筑物插入损失</w:t>
            </w:r>
            <w:r>
              <w:rPr>
                <w:rFonts w:hint="default"/>
                <w:b/>
                <w:bCs/>
                <w:color w:val="auto"/>
                <w:u w:val="single"/>
                <w:lang w:val="en-US" w:eastAsia="zh-CN"/>
              </w:rPr>
              <w:t>dB</w:t>
            </w:r>
            <w:r>
              <w:rPr>
                <w:rFonts w:hint="eastAsia"/>
                <w:b/>
                <w:bCs/>
                <w:color w:val="auto"/>
                <w:u w:val="single"/>
                <w:lang w:val="en-US" w:eastAsia="zh-CN"/>
              </w:rPr>
              <w:t>（</w:t>
            </w:r>
            <w:r>
              <w:rPr>
                <w:rFonts w:hint="default"/>
                <w:b/>
                <w:bCs/>
                <w:color w:val="auto"/>
                <w:u w:val="single"/>
                <w:lang w:val="en-US" w:eastAsia="zh-CN"/>
              </w:rPr>
              <w:t>A</w:t>
            </w:r>
            <w:r>
              <w:rPr>
                <w:rFonts w:hint="eastAsia"/>
                <w:b/>
                <w:bCs/>
                <w:color w:val="auto"/>
                <w:u w:val="single"/>
                <w:lang w:val="en-US" w:eastAsia="zh-CN"/>
              </w:rPr>
              <w:t>）</w:t>
            </w:r>
          </w:p>
        </w:tc>
        <w:tc>
          <w:tcPr>
            <w:tcW w:w="675"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建筑物外噪声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blHeader/>
          <w:jc w:val="center"/>
        </w:trPr>
        <w:tc>
          <w:tcPr>
            <w:tcW w:w="19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82"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64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声功率级</w:t>
            </w:r>
            <w:r>
              <w:rPr>
                <w:rFonts w:hint="default"/>
                <w:b/>
                <w:bCs/>
                <w:color w:val="auto"/>
                <w:u w:val="single"/>
                <w:lang w:val="en-US" w:eastAsia="zh-CN"/>
              </w:rPr>
              <w:t>dB</w:t>
            </w:r>
            <w:r>
              <w:rPr>
                <w:rFonts w:hint="eastAsia"/>
                <w:b/>
                <w:bCs/>
                <w:color w:val="auto"/>
                <w:u w:val="single"/>
                <w:lang w:val="en-US" w:eastAsia="zh-CN"/>
              </w:rPr>
              <w:t>（</w:t>
            </w:r>
            <w:r>
              <w:rPr>
                <w:rFonts w:hint="default"/>
                <w:b/>
                <w:bCs/>
                <w:color w:val="auto"/>
                <w:u w:val="single"/>
                <w:lang w:val="en-US" w:eastAsia="zh-CN"/>
              </w:rPr>
              <w:t>A</w:t>
            </w:r>
            <w:r>
              <w:rPr>
                <w:rFonts w:hint="eastAsia"/>
                <w:b/>
                <w:bCs/>
                <w:color w:val="auto"/>
                <w:u w:val="single"/>
                <w:lang w:val="en-US" w:eastAsia="zh-CN"/>
              </w:rPr>
              <w:t>）</w:t>
            </w:r>
          </w:p>
        </w:tc>
        <w:tc>
          <w:tcPr>
            <w:tcW w:w="24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X</w:t>
            </w:r>
          </w:p>
        </w:tc>
        <w:tc>
          <w:tcPr>
            <w:tcW w:w="189"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Y</w:t>
            </w:r>
          </w:p>
        </w:tc>
        <w:tc>
          <w:tcPr>
            <w:tcW w:w="181"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Z</w:t>
            </w:r>
          </w:p>
        </w:tc>
        <w:tc>
          <w:tcPr>
            <w:tcW w:w="337"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379"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303"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56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368"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声压级</w:t>
            </w:r>
            <w:r>
              <w:rPr>
                <w:rFonts w:hint="default"/>
                <w:b/>
                <w:bCs/>
                <w:color w:val="auto"/>
                <w:u w:val="single"/>
                <w:lang w:val="en-US" w:eastAsia="zh-CN"/>
              </w:rPr>
              <w:t>dB</w:t>
            </w:r>
            <w:r>
              <w:rPr>
                <w:rFonts w:hint="eastAsia"/>
                <w:b/>
                <w:bCs/>
                <w:color w:val="auto"/>
                <w:u w:val="single"/>
                <w:lang w:val="en-US" w:eastAsia="zh-CN"/>
              </w:rPr>
              <w:t>（</w:t>
            </w:r>
            <w:r>
              <w:rPr>
                <w:rFonts w:hint="default"/>
                <w:b/>
                <w:bCs/>
                <w:color w:val="auto"/>
                <w:u w:val="single"/>
                <w:lang w:val="en-US" w:eastAsia="zh-CN"/>
              </w:rPr>
              <w:t>A</w:t>
            </w:r>
            <w:r>
              <w:rPr>
                <w:rFonts w:hint="eastAsia"/>
                <w:b/>
                <w:bCs/>
                <w:color w:val="auto"/>
                <w:u w:val="single"/>
                <w:lang w:val="en-US" w:eastAsia="zh-CN"/>
              </w:rPr>
              <w:t>）</w:t>
            </w:r>
          </w:p>
        </w:tc>
        <w:tc>
          <w:tcPr>
            <w:tcW w:w="30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建筑物外距离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w:t>
            </w:r>
          </w:p>
        </w:tc>
        <w:tc>
          <w:tcPr>
            <w:tcW w:w="282" w:type="pct"/>
            <w:vMerge w:val="restart"/>
            <w:tcBorders>
              <w:top w:val="single" w:color="000000" w:sz="8" w:space="0"/>
              <w:left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生物质纤维产业化研发中试车间</w:t>
            </w: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药液泵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IJ100-80-160D</w:t>
            </w:r>
            <w:r>
              <w:rPr>
                <w:rFonts w:hint="eastAsia"/>
                <w:b/>
                <w:bCs/>
                <w:color w:val="auto"/>
                <w:u w:val="single"/>
                <w:lang w:val="en-US" w:eastAsia="zh-CN"/>
              </w:rPr>
              <w:t>，</w:t>
            </w:r>
            <w:r>
              <w:rPr>
                <w:rFonts w:hint="default"/>
                <w:b/>
                <w:bCs/>
                <w:color w:val="auto"/>
                <w:u w:val="single"/>
                <w:lang w:val="en-US" w:eastAsia="zh-CN"/>
              </w:rPr>
              <w:t>Q=90m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H=32m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restart"/>
            <w:tcBorders>
              <w:top w:val="single" w:color="000000" w:sz="8" w:space="0"/>
              <w:left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建筑隔声，安装隔声门窗，电机设置减震基础</w:t>
            </w: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206</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33</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33</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66.87</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51.87</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碱液泵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IJ100-80-125D</w:t>
            </w:r>
            <w:r>
              <w:rPr>
                <w:rFonts w:hint="eastAsia"/>
                <w:b/>
                <w:bCs/>
                <w:color w:val="auto"/>
                <w:u w:val="single"/>
                <w:lang w:val="en-US" w:eastAsia="zh-CN"/>
              </w:rPr>
              <w:t>，</w:t>
            </w:r>
            <w:r>
              <w:rPr>
                <w:rFonts w:hint="default"/>
                <w:b/>
                <w:bCs/>
                <w:color w:val="auto"/>
                <w:u w:val="single"/>
                <w:lang w:val="en-US" w:eastAsia="zh-CN"/>
              </w:rPr>
              <w:t>Q=100m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H=20m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213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66.87</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51.87</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高压黑液泵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IJ100-65-315</w:t>
            </w:r>
            <w:r>
              <w:rPr>
                <w:rFonts w:hint="eastAsia"/>
                <w:b/>
                <w:bCs/>
                <w:color w:val="auto"/>
                <w:u w:val="single"/>
                <w:lang w:val="en-US" w:eastAsia="zh-CN"/>
              </w:rPr>
              <w:t>，</w:t>
            </w:r>
            <w:r>
              <w:rPr>
                <w:rFonts w:hint="default"/>
                <w:b/>
                <w:bCs/>
                <w:color w:val="auto"/>
                <w:u w:val="single"/>
                <w:lang w:val="en-US" w:eastAsia="zh-CN"/>
              </w:rPr>
              <w:t>Q=120m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H=105m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65-90</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211</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71.86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56.86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IJ100-80-125D</w:t>
            </w:r>
            <w:r>
              <w:rPr>
                <w:rFonts w:hint="eastAsia"/>
                <w:b/>
                <w:bCs/>
                <w:color w:val="auto"/>
                <w:u w:val="single"/>
                <w:lang w:val="en-US" w:eastAsia="zh-CN"/>
              </w:rPr>
              <w:t>，</w:t>
            </w:r>
            <w:r>
              <w:rPr>
                <w:rFonts w:hint="default"/>
                <w:b/>
                <w:bCs/>
                <w:color w:val="auto"/>
                <w:u w:val="single"/>
                <w:lang w:val="en-US" w:eastAsia="zh-CN"/>
              </w:rPr>
              <w:t>Q=100m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H=20m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260</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57</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57</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清水泵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IJ100-80-160</w:t>
            </w:r>
            <w:r>
              <w:rPr>
                <w:rFonts w:hint="eastAsia"/>
                <w:b/>
                <w:bCs/>
                <w:color w:val="auto"/>
                <w:u w:val="single"/>
                <w:lang w:val="en-US" w:eastAsia="zh-CN"/>
              </w:rPr>
              <w:t>，</w:t>
            </w:r>
            <w:r>
              <w:rPr>
                <w:rFonts w:hint="default"/>
                <w:b/>
                <w:bCs/>
                <w:color w:val="auto"/>
                <w:u w:val="single"/>
                <w:lang w:val="en-US" w:eastAsia="zh-CN"/>
              </w:rPr>
              <w:t>Q=100m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H=32m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256</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润滑油泵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default"/>
                <w:b/>
                <w:bCs/>
                <w:color w:val="auto"/>
                <w:u w:val="single"/>
              </w:rPr>
            </w:pP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223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碱液泵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Q=100m³/h</w:t>
            </w:r>
            <w:r>
              <w:rPr>
                <w:rFonts w:hint="eastAsia"/>
                <w:b/>
                <w:bCs/>
                <w:color w:val="auto"/>
                <w:u w:val="single"/>
                <w:lang w:val="en-US" w:eastAsia="zh-CN"/>
              </w:rPr>
              <w:t>，</w:t>
            </w:r>
            <w:r>
              <w:rPr>
                <w:rFonts w:hint="default"/>
                <w:b/>
                <w:bCs/>
                <w:color w:val="auto"/>
                <w:u w:val="single"/>
                <w:lang w:val="en-US" w:eastAsia="zh-CN"/>
              </w:rPr>
              <w:t>H=20m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8</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挤浆机</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SJ928</w:t>
            </w:r>
            <w:r>
              <w:rPr>
                <w:rFonts w:hint="eastAsia"/>
                <w:b/>
                <w:bCs/>
                <w:color w:val="auto"/>
                <w:u w:val="single"/>
                <w:lang w:val="en-US" w:eastAsia="zh-CN"/>
              </w:rPr>
              <w:t>，</w:t>
            </w:r>
            <w:r>
              <w:rPr>
                <w:rFonts w:hint="default"/>
                <w:b/>
                <w:bCs/>
                <w:color w:val="auto"/>
                <w:u w:val="single"/>
                <w:lang w:val="en-US" w:eastAsia="zh-CN"/>
              </w:rPr>
              <w:t>2820mm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90</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335</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46</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46</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71.86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56.86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浆泵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default"/>
                <w:b/>
                <w:bCs/>
                <w:color w:val="auto"/>
                <w:u w:val="single"/>
              </w:rPr>
            </w:pP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329</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40</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40</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default"/>
                <w:b/>
                <w:bCs/>
                <w:color w:val="auto"/>
                <w:u w:val="single"/>
                <w:lang w:val="en-US"/>
              </w:rPr>
            </w:pPr>
            <w:r>
              <w:rPr>
                <w:rFonts w:hint="eastAsia"/>
                <w:b/>
                <w:bCs/>
                <w:color w:val="auto"/>
                <w:u w:val="single"/>
                <w:lang w:val="en-US" w:eastAsia="zh-CN"/>
              </w:rPr>
              <w:t>66.87</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51.87</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稀黑液泵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Q=100m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H=13m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49</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49</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半浓黑液泵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Q=30m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269</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Ⅰ</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Q=900m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265</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57</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57</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13</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Ⅱ</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Q=580m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271</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51</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51</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14</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Ⅲ</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283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Ⅳ</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288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76</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76</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16</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Ⅴ</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292</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17</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出</w:t>
            </w:r>
            <w:r>
              <w:rPr>
                <w:rFonts w:hint="default"/>
                <w:b/>
                <w:bCs/>
                <w:color w:val="auto"/>
                <w:u w:val="single"/>
                <w:lang w:val="en-US" w:eastAsia="zh-CN"/>
              </w:rPr>
              <w:t>Ⅰ</w:t>
            </w:r>
            <w:r>
              <w:rPr>
                <w:rFonts w:hint="eastAsia"/>
                <w:b/>
                <w:bCs/>
                <w:color w:val="auto"/>
                <w:u w:val="single"/>
                <w:lang w:val="en-US" w:eastAsia="zh-CN"/>
              </w:rPr>
              <w:t>效浓黑液泵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Q=30m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290</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53</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53</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18</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清冷凝水泵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Q=25m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H=30m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265</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61</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61</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污冷凝水泵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Q=80m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H=30m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269</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水环式真空泵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Q=8m</w:t>
            </w:r>
            <w:r>
              <w:rPr>
                <w:rFonts w:hint="default"/>
                <w:b/>
                <w:bCs/>
                <w:color w:val="auto"/>
                <w:u w:val="single"/>
                <w:vertAlign w:val="superscript"/>
                <w:lang w:val="en-US" w:eastAsia="zh-CN"/>
              </w:rPr>
              <w:t>3</w:t>
            </w:r>
            <w:r>
              <w:rPr>
                <w:rFonts w:hint="default"/>
                <w:b/>
                <w:bCs/>
                <w:color w:val="auto"/>
                <w:u w:val="single"/>
                <w:lang w:val="en-US" w:eastAsia="zh-CN"/>
              </w:rPr>
              <w:t>/min</w:t>
            </w:r>
            <w:r>
              <w:rPr>
                <w:rFonts w:hint="eastAsia"/>
                <w:b/>
                <w:bCs/>
                <w:color w:val="auto"/>
                <w:u w:val="single"/>
                <w:lang w:val="en-US" w:eastAsia="zh-CN"/>
              </w:rPr>
              <w:t>，最大真空度：</w:t>
            </w:r>
            <w:r>
              <w:rPr>
                <w:rFonts w:hint="default"/>
                <w:b/>
                <w:bCs/>
                <w:color w:val="auto"/>
                <w:u w:val="single"/>
                <w:lang w:val="en-US" w:eastAsia="zh-CN"/>
              </w:rPr>
              <w:t>0.7-0.8</w:t>
            </w:r>
            <w:r>
              <w:rPr>
                <w:rFonts w:hint="eastAsia"/>
                <w:b/>
                <w:bCs/>
                <w:color w:val="auto"/>
                <w:u w:val="single"/>
                <w:lang w:val="en-US" w:eastAsia="zh-CN"/>
              </w:rPr>
              <w:t>，碳钢</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90</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298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71.86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56.86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21</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浓黑液泵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H=36m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195</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22</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出</w:t>
            </w:r>
            <w:r>
              <w:rPr>
                <w:rFonts w:hint="default"/>
                <w:b/>
                <w:bCs/>
                <w:color w:val="auto"/>
                <w:u w:val="single"/>
                <w:lang w:val="en-US" w:eastAsia="zh-CN"/>
              </w:rPr>
              <w:t>Ⅱ</w:t>
            </w:r>
            <w:r>
              <w:rPr>
                <w:rFonts w:hint="eastAsia"/>
                <w:b/>
                <w:bCs/>
                <w:color w:val="auto"/>
                <w:u w:val="single"/>
                <w:lang w:val="en-US" w:eastAsia="zh-CN"/>
              </w:rPr>
              <w:t>效黑液泵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Q=40m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23</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出</w:t>
            </w:r>
            <w:r>
              <w:rPr>
                <w:rFonts w:hint="default"/>
                <w:b/>
                <w:bCs/>
                <w:color w:val="auto"/>
                <w:u w:val="single"/>
                <w:lang w:val="en-US" w:eastAsia="zh-CN"/>
              </w:rPr>
              <w:t>Ⅲ</w:t>
            </w:r>
            <w:r>
              <w:rPr>
                <w:rFonts w:hint="eastAsia"/>
                <w:b/>
                <w:bCs/>
                <w:color w:val="auto"/>
                <w:u w:val="single"/>
                <w:lang w:val="en-US" w:eastAsia="zh-CN"/>
              </w:rPr>
              <w:t>效黑液泵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201</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24</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污冷凝水泵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H=30m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190</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25</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蒸馏水泵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Q=45m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H=24m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197</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蒸发进校泵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YE3-132S1-2</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183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27</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蒸发出料泵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YE3-132S1-2</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194</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120</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120</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 xml:space="preserve">51.86 </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28</w:t>
            </w:r>
          </w:p>
        </w:tc>
        <w:tc>
          <w:tcPr>
            <w:tcW w:w="282" w:type="pct"/>
            <w:vMerge w:val="continue"/>
            <w:tcBorders>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木质素上料泵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G50-IAJST-4CJ383</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65-85</w:t>
            </w:r>
          </w:p>
        </w:tc>
        <w:tc>
          <w:tcPr>
            <w:tcW w:w="241" w:type="pct"/>
            <w:vMerge w:val="continue"/>
            <w:tcBorders>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bl>
    <w:p>
      <w:pPr>
        <w:rPr>
          <w:rFonts w:hint="eastAsia"/>
          <w:color w:val="auto"/>
        </w:rPr>
      </w:pPr>
    </w:p>
    <w:p>
      <w:pPr>
        <w:pStyle w:val="2"/>
        <w:rPr>
          <w:rFonts w:hint="eastAsia"/>
          <w:color w:val="auto"/>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181"/>
        <w:bidi w:val="0"/>
        <w:rPr>
          <w:rFonts w:hint="eastAsia"/>
          <w:color w:val="auto"/>
        </w:rPr>
      </w:pPr>
      <w:r>
        <w:rPr>
          <w:rFonts w:hint="eastAsia"/>
          <w:color w:val="auto"/>
          <w:u w:val="single"/>
        </w:rPr>
        <w:t>表</w:t>
      </w:r>
      <w:r>
        <w:rPr>
          <w:rFonts w:hint="eastAsia"/>
          <w:color w:val="auto"/>
          <w:u w:val="single"/>
          <w:lang w:val="en-US" w:eastAsia="zh-CN"/>
        </w:rPr>
        <w:t>3.8-27         年产5000吨菌草生物质纤维产业化研发中试项目</w:t>
      </w:r>
      <w:r>
        <w:rPr>
          <w:rFonts w:hint="eastAsia"/>
          <w:color w:val="auto"/>
          <w:u w:val="single"/>
        </w:rPr>
        <w:t>噪声源强调查清单（室</w:t>
      </w:r>
      <w:r>
        <w:rPr>
          <w:rFonts w:hint="eastAsia"/>
          <w:color w:val="auto"/>
          <w:u w:val="single"/>
          <w:lang w:val="en-US" w:eastAsia="zh-CN"/>
        </w:rPr>
        <w:t>外</w:t>
      </w:r>
      <w:r>
        <w:rPr>
          <w:rFonts w:hint="eastAsia"/>
          <w:color w:val="auto"/>
        </w:rPr>
        <w:t>声源）</w:t>
      </w:r>
    </w:p>
    <w:tbl>
      <w:tblPr>
        <w:tblStyle w:val="32"/>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7"/>
        <w:gridCol w:w="1633"/>
        <w:gridCol w:w="1741"/>
        <w:gridCol w:w="1302"/>
        <w:gridCol w:w="1012"/>
        <w:gridCol w:w="1189"/>
        <w:gridCol w:w="2131"/>
        <w:gridCol w:w="2518"/>
        <w:gridCol w:w="11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274"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序号</w:t>
            </w:r>
          </w:p>
        </w:tc>
        <w:tc>
          <w:tcPr>
            <w:tcW w:w="607"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声源名称</w:t>
            </w:r>
          </w:p>
        </w:tc>
        <w:tc>
          <w:tcPr>
            <w:tcW w:w="647"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型号</w:t>
            </w:r>
          </w:p>
        </w:tc>
        <w:tc>
          <w:tcPr>
            <w:tcW w:w="1302" w:type="pct"/>
            <w:gridSpan w:val="3"/>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空间相对位置</w:t>
            </w:r>
          </w:p>
        </w:tc>
        <w:tc>
          <w:tcPr>
            <w:tcW w:w="792"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r>
              <w:rPr>
                <w:rFonts w:hint="eastAsia"/>
                <w:b/>
                <w:bCs/>
                <w:color w:val="auto"/>
                <w:u w:val="single"/>
                <w:lang w:val="en-US" w:eastAsia="zh-CN"/>
              </w:rPr>
              <w:t>声源源强</w:t>
            </w:r>
          </w:p>
        </w:tc>
        <w:tc>
          <w:tcPr>
            <w:tcW w:w="936"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rPr>
              <w:t>声源控制措施</w:t>
            </w:r>
          </w:p>
        </w:tc>
        <w:tc>
          <w:tcPr>
            <w:tcW w:w="440"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rPr>
              <w:t>运行时段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274"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607"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647"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84"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X</w:t>
            </w:r>
          </w:p>
        </w:tc>
        <w:tc>
          <w:tcPr>
            <w:tcW w:w="37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Y</w:t>
            </w:r>
          </w:p>
        </w:tc>
        <w:tc>
          <w:tcPr>
            <w:tcW w:w="441"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Z</w:t>
            </w:r>
          </w:p>
        </w:tc>
        <w:tc>
          <w:tcPr>
            <w:tcW w:w="792"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r>
              <w:rPr>
                <w:b/>
                <w:bCs/>
                <w:color w:val="auto"/>
                <w:u w:val="single"/>
              </w:rPr>
              <w:t>声功率级dB（A）</w:t>
            </w:r>
          </w:p>
        </w:tc>
        <w:tc>
          <w:tcPr>
            <w:tcW w:w="936"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4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27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w:t>
            </w:r>
          </w:p>
        </w:tc>
        <w:tc>
          <w:tcPr>
            <w:tcW w:w="60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引风机</w:t>
            </w:r>
          </w:p>
        </w:tc>
        <w:tc>
          <w:tcPr>
            <w:tcW w:w="64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4-73-12D</w:t>
            </w:r>
          </w:p>
        </w:tc>
        <w:tc>
          <w:tcPr>
            <w:tcW w:w="48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410</w:t>
            </w:r>
          </w:p>
        </w:tc>
        <w:tc>
          <w:tcPr>
            <w:tcW w:w="376"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105</w:t>
            </w:r>
          </w:p>
        </w:tc>
        <w:tc>
          <w:tcPr>
            <w:tcW w:w="44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213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85</w:t>
            </w:r>
          </w:p>
        </w:tc>
        <w:tc>
          <w:tcPr>
            <w:tcW w:w="936" w:type="pct"/>
            <w:vMerge w:val="restart"/>
            <w:tcBorders>
              <w:top w:val="single" w:color="000000" w:sz="8" w:space="0"/>
              <w:left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rPr>
              <w:t>设置减震基础、隔声间</w:t>
            </w:r>
          </w:p>
        </w:tc>
        <w:tc>
          <w:tcPr>
            <w:tcW w:w="44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27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w:t>
            </w:r>
          </w:p>
        </w:tc>
        <w:tc>
          <w:tcPr>
            <w:tcW w:w="60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回流风机</w:t>
            </w:r>
          </w:p>
        </w:tc>
        <w:tc>
          <w:tcPr>
            <w:tcW w:w="64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9-19-9D</w:t>
            </w:r>
          </w:p>
        </w:tc>
        <w:tc>
          <w:tcPr>
            <w:tcW w:w="48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416</w:t>
            </w:r>
          </w:p>
        </w:tc>
        <w:tc>
          <w:tcPr>
            <w:tcW w:w="376"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115</w:t>
            </w:r>
          </w:p>
        </w:tc>
        <w:tc>
          <w:tcPr>
            <w:tcW w:w="44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213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85</w:t>
            </w:r>
          </w:p>
        </w:tc>
        <w:tc>
          <w:tcPr>
            <w:tcW w:w="936" w:type="pct"/>
            <w:vMerge w:val="continue"/>
            <w:tcBorders>
              <w:left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p>
        </w:tc>
        <w:tc>
          <w:tcPr>
            <w:tcW w:w="44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27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w:t>
            </w:r>
          </w:p>
        </w:tc>
        <w:tc>
          <w:tcPr>
            <w:tcW w:w="6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除尘风机</w:t>
            </w:r>
          </w:p>
        </w:tc>
        <w:tc>
          <w:tcPr>
            <w:tcW w:w="64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jc w:val="center"/>
              <w:rPr>
                <w:rFonts w:hint="eastAsia"/>
                <w:b/>
                <w:bCs/>
                <w:color w:val="auto"/>
                <w:u w:val="single"/>
              </w:rPr>
            </w:pPr>
          </w:p>
        </w:tc>
        <w:tc>
          <w:tcPr>
            <w:tcW w:w="48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420</w:t>
            </w:r>
          </w:p>
        </w:tc>
        <w:tc>
          <w:tcPr>
            <w:tcW w:w="376"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130</w:t>
            </w:r>
          </w:p>
        </w:tc>
        <w:tc>
          <w:tcPr>
            <w:tcW w:w="44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w:t>
            </w:r>
          </w:p>
        </w:tc>
        <w:tc>
          <w:tcPr>
            <w:tcW w:w="213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85</w:t>
            </w:r>
          </w:p>
        </w:tc>
        <w:tc>
          <w:tcPr>
            <w:tcW w:w="936" w:type="pct"/>
            <w:vMerge w:val="continue"/>
            <w:tcBorders>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p>
        </w:tc>
        <w:tc>
          <w:tcPr>
            <w:tcW w:w="44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r>
    </w:tbl>
    <w:p>
      <w:pPr>
        <w:rPr>
          <w:rFonts w:hint="eastAsia"/>
          <w:color w:val="auto"/>
        </w:rPr>
      </w:pPr>
    </w:p>
    <w:p>
      <w:pPr>
        <w:rPr>
          <w:color w:val="auto"/>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181"/>
        <w:bidi w:val="0"/>
        <w:rPr>
          <w:b/>
          <w:bCs/>
          <w:color w:val="auto"/>
          <w:u w:val="single"/>
        </w:rPr>
      </w:pPr>
      <w:r>
        <w:rPr>
          <w:b/>
          <w:bCs/>
          <w:color w:val="auto"/>
          <w:u w:val="single"/>
        </w:rPr>
        <w:t>表</w:t>
      </w:r>
      <w:r>
        <w:rPr>
          <w:rFonts w:hint="eastAsia"/>
          <w:b/>
          <w:bCs/>
          <w:color w:val="auto"/>
          <w:u w:val="single"/>
          <w:lang w:val="en-US" w:eastAsia="zh-CN"/>
        </w:rPr>
        <w:t>3.8</w:t>
      </w:r>
      <w:r>
        <w:rPr>
          <w:b/>
          <w:bCs/>
          <w:color w:val="auto"/>
          <w:u w:val="single"/>
        </w:rPr>
        <w:t>-</w:t>
      </w:r>
      <w:r>
        <w:rPr>
          <w:rFonts w:hint="eastAsia"/>
          <w:b/>
          <w:bCs/>
          <w:color w:val="auto"/>
          <w:u w:val="single"/>
          <w:lang w:val="en-US" w:eastAsia="zh-CN"/>
        </w:rPr>
        <w:t>28</w:t>
      </w:r>
      <w:r>
        <w:rPr>
          <w:b/>
          <w:bCs/>
          <w:color w:val="auto"/>
          <w:u w:val="single"/>
        </w:rPr>
        <w:t xml:space="preserve">  </w:t>
      </w:r>
      <w:r>
        <w:rPr>
          <w:rFonts w:hint="eastAsia"/>
          <w:b/>
          <w:bCs/>
          <w:color w:val="auto"/>
          <w:u w:val="single"/>
          <w:lang w:val="en-US" w:eastAsia="zh-CN"/>
        </w:rPr>
        <w:t xml:space="preserve">      </w:t>
      </w:r>
      <w:r>
        <w:rPr>
          <w:b/>
          <w:bCs/>
          <w:color w:val="auto"/>
          <w:u w:val="single"/>
        </w:rPr>
        <w:t>四周厂界噪声预测结果单位：dB(A)</w:t>
      </w:r>
    </w:p>
    <w:tbl>
      <w:tblPr>
        <w:tblStyle w:val="32"/>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92"/>
        <w:gridCol w:w="1210"/>
        <w:gridCol w:w="695"/>
        <w:gridCol w:w="907"/>
        <w:gridCol w:w="869"/>
        <w:gridCol w:w="508"/>
        <w:gridCol w:w="585"/>
        <w:gridCol w:w="1957"/>
        <w:gridCol w:w="8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057" w:hRule="atLeast"/>
          <w:jc w:val="center"/>
        </w:trPr>
        <w:tc>
          <w:tcPr>
            <w:tcW w:w="52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点位</w:t>
            </w:r>
          </w:p>
        </w:tc>
        <w:tc>
          <w:tcPr>
            <w:tcW w:w="71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本项目至厂界距离（</w:t>
            </w:r>
            <w:r>
              <w:rPr>
                <w:rFonts w:hint="default"/>
                <w:b/>
                <w:bCs/>
                <w:color w:val="auto"/>
                <w:u w:val="single"/>
                <w:lang w:val="en-US" w:eastAsia="zh-CN"/>
              </w:rPr>
              <w:t>m</w:t>
            </w:r>
            <w:r>
              <w:rPr>
                <w:rFonts w:hint="eastAsia"/>
                <w:b/>
                <w:bCs/>
                <w:color w:val="auto"/>
                <w:u w:val="single"/>
                <w:lang w:val="en-US" w:eastAsia="zh-CN"/>
              </w:rPr>
              <w:t>）</w:t>
            </w:r>
          </w:p>
        </w:tc>
        <w:tc>
          <w:tcPr>
            <w:tcW w:w="940" w:type="pct"/>
            <w:gridSpan w:val="2"/>
            <w:tcBorders>
              <w:tl2br w:val="nil"/>
              <w:tr2bl w:val="nil"/>
            </w:tcBorders>
            <w:shd w:val="clear" w:color="auto" w:fill="auto"/>
            <w:vAlign w:val="center"/>
          </w:tcPr>
          <w:p>
            <w:pPr>
              <w:pStyle w:val="182"/>
              <w:rPr>
                <w:rFonts w:hint="eastAsia"/>
                <w:b/>
                <w:bCs/>
                <w:color w:val="auto"/>
                <w:u w:val="single"/>
                <w:lang w:val="en-US" w:eastAsia="zh-CN"/>
              </w:rPr>
            </w:pPr>
            <w:r>
              <w:rPr>
                <w:rFonts w:hint="eastAsia"/>
                <w:b/>
                <w:bCs/>
                <w:color w:val="auto"/>
                <w:u w:val="single"/>
                <w:lang w:val="en-US" w:eastAsia="zh-CN"/>
              </w:rPr>
              <w:t>现状背景值</w:t>
            </w:r>
          </w:p>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dB(A)</w:t>
            </w:r>
          </w:p>
        </w:tc>
        <w:tc>
          <w:tcPr>
            <w:tcW w:w="510" w:type="pct"/>
            <w:tcBorders>
              <w:tl2br w:val="nil"/>
              <w:tr2bl w:val="nil"/>
            </w:tcBorders>
            <w:shd w:val="clear" w:color="auto" w:fill="auto"/>
            <w:vAlign w:val="center"/>
          </w:tcPr>
          <w:p>
            <w:pPr>
              <w:pStyle w:val="182"/>
              <w:rPr>
                <w:rFonts w:hint="eastAsia"/>
                <w:b/>
                <w:bCs/>
                <w:color w:val="auto"/>
                <w:u w:val="single"/>
                <w:lang w:val="en-US" w:eastAsia="zh-CN"/>
              </w:rPr>
            </w:pPr>
            <w:r>
              <w:rPr>
                <w:rFonts w:hint="eastAsia"/>
                <w:b/>
                <w:bCs/>
                <w:color w:val="auto"/>
                <w:u w:val="single"/>
                <w:lang w:val="en-US" w:eastAsia="zh-CN"/>
              </w:rPr>
              <w:t>贡献值</w:t>
            </w:r>
          </w:p>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dB(A)</w:t>
            </w:r>
          </w:p>
        </w:tc>
        <w:tc>
          <w:tcPr>
            <w:tcW w:w="641" w:type="pct"/>
            <w:gridSpan w:val="2"/>
            <w:tcBorders>
              <w:tl2br w:val="nil"/>
              <w:tr2bl w:val="nil"/>
            </w:tcBorders>
            <w:shd w:val="clear" w:color="auto" w:fill="auto"/>
            <w:vAlign w:val="center"/>
          </w:tcPr>
          <w:p>
            <w:pPr>
              <w:pStyle w:val="182"/>
              <w:rPr>
                <w:rFonts w:hint="eastAsia"/>
                <w:b/>
                <w:bCs/>
                <w:color w:val="auto"/>
                <w:u w:val="single"/>
                <w:lang w:val="en-US" w:eastAsia="zh-CN"/>
              </w:rPr>
            </w:pPr>
            <w:r>
              <w:rPr>
                <w:rFonts w:hint="eastAsia"/>
                <w:b/>
                <w:bCs/>
                <w:color w:val="auto"/>
                <w:u w:val="single"/>
                <w:lang w:val="en-US" w:eastAsia="zh-CN"/>
              </w:rPr>
              <w:t>预测结果</w:t>
            </w:r>
          </w:p>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dB(A)</w:t>
            </w:r>
          </w:p>
        </w:tc>
        <w:tc>
          <w:tcPr>
            <w:tcW w:w="1148"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评价标准</w:t>
            </w:r>
          </w:p>
        </w:tc>
        <w:tc>
          <w:tcPr>
            <w:tcW w:w="5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预测达标情况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东厂界</w:t>
            </w:r>
          </w:p>
        </w:tc>
        <w:tc>
          <w:tcPr>
            <w:tcW w:w="7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1205</w:t>
            </w:r>
          </w:p>
        </w:tc>
        <w:tc>
          <w:tcPr>
            <w:tcW w:w="4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昼</w:t>
            </w:r>
          </w:p>
        </w:tc>
        <w:tc>
          <w:tcPr>
            <w:tcW w:w="531"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50</w:t>
            </w:r>
          </w:p>
        </w:tc>
        <w:tc>
          <w:tcPr>
            <w:tcW w:w="5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28.17</w:t>
            </w:r>
          </w:p>
        </w:tc>
        <w:tc>
          <w:tcPr>
            <w:tcW w:w="29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昼</w:t>
            </w:r>
          </w:p>
        </w:tc>
        <w:tc>
          <w:tcPr>
            <w:tcW w:w="34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50.0</w:t>
            </w:r>
          </w:p>
        </w:tc>
        <w:tc>
          <w:tcPr>
            <w:tcW w:w="1148"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《工业企业厂界环境噪声排放标准》（</w:t>
            </w:r>
            <w:r>
              <w:rPr>
                <w:rFonts w:hint="default"/>
                <w:b/>
                <w:bCs/>
                <w:color w:val="auto"/>
                <w:u w:val="single"/>
                <w:lang w:val="en-US" w:eastAsia="zh-CN"/>
              </w:rPr>
              <w:t>GB12348-2008</w:t>
            </w:r>
            <w:r>
              <w:rPr>
                <w:rFonts w:hint="eastAsia"/>
                <w:b/>
                <w:bCs/>
                <w:color w:val="auto"/>
                <w:u w:val="single"/>
                <w:lang w:val="en-US" w:eastAsia="zh-CN"/>
              </w:rPr>
              <w:t>）</w:t>
            </w:r>
            <w:r>
              <w:rPr>
                <w:rFonts w:hint="default"/>
                <w:b/>
                <w:bCs/>
                <w:color w:val="auto"/>
                <w:u w:val="single"/>
                <w:lang w:val="en-US" w:eastAsia="zh-CN"/>
              </w:rPr>
              <w:t>3</w:t>
            </w:r>
            <w:r>
              <w:rPr>
                <w:rFonts w:hint="eastAsia"/>
                <w:b/>
                <w:bCs/>
                <w:color w:val="auto"/>
                <w:u w:val="single"/>
                <w:lang w:val="en-US" w:eastAsia="zh-CN"/>
              </w:rPr>
              <w:t>类标准：昼间</w:t>
            </w:r>
            <w:r>
              <w:rPr>
                <w:rFonts w:hint="default"/>
                <w:b/>
                <w:bCs/>
                <w:color w:val="auto"/>
                <w:u w:val="single"/>
                <w:lang w:val="en-US" w:eastAsia="zh-CN"/>
              </w:rPr>
              <w:t>65dB(A)</w:t>
            </w:r>
            <w:r>
              <w:rPr>
                <w:rFonts w:hint="eastAsia"/>
                <w:b/>
                <w:bCs/>
                <w:color w:val="auto"/>
                <w:u w:val="single"/>
                <w:lang w:val="en-US" w:eastAsia="zh-CN"/>
              </w:rPr>
              <w:t>，夜间</w:t>
            </w:r>
            <w:r>
              <w:rPr>
                <w:rFonts w:hint="default"/>
                <w:b/>
                <w:bCs/>
                <w:color w:val="auto"/>
                <w:u w:val="single"/>
                <w:lang w:val="en-US" w:eastAsia="zh-CN"/>
              </w:rPr>
              <w:t>55dB(A)</w:t>
            </w:r>
          </w:p>
        </w:tc>
        <w:tc>
          <w:tcPr>
            <w:tcW w:w="525"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continue"/>
            <w:tcBorders>
              <w:tl2br w:val="nil"/>
              <w:tr2bl w:val="nil"/>
            </w:tcBorders>
            <w:shd w:val="clear" w:color="auto" w:fill="auto"/>
            <w:vAlign w:val="center"/>
          </w:tcPr>
          <w:p>
            <w:pPr>
              <w:pStyle w:val="182"/>
              <w:bidi w:val="0"/>
              <w:rPr>
                <w:rFonts w:hint="eastAsia"/>
                <w:b/>
                <w:bCs/>
                <w:color w:val="auto"/>
                <w:u w:val="single"/>
              </w:rPr>
            </w:pPr>
          </w:p>
        </w:tc>
        <w:tc>
          <w:tcPr>
            <w:tcW w:w="7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1205</w:t>
            </w:r>
          </w:p>
        </w:tc>
        <w:tc>
          <w:tcPr>
            <w:tcW w:w="4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夜</w:t>
            </w:r>
          </w:p>
        </w:tc>
        <w:tc>
          <w:tcPr>
            <w:tcW w:w="531"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39</w:t>
            </w:r>
          </w:p>
        </w:tc>
        <w:tc>
          <w:tcPr>
            <w:tcW w:w="5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28.17</w:t>
            </w:r>
          </w:p>
        </w:tc>
        <w:tc>
          <w:tcPr>
            <w:tcW w:w="29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夜</w:t>
            </w:r>
          </w:p>
        </w:tc>
        <w:tc>
          <w:tcPr>
            <w:tcW w:w="34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39.3</w:t>
            </w:r>
          </w:p>
        </w:tc>
        <w:tc>
          <w:tcPr>
            <w:tcW w:w="1148" w:type="pct"/>
            <w:vMerge w:val="continue"/>
            <w:tcBorders>
              <w:tl2br w:val="nil"/>
              <w:tr2bl w:val="nil"/>
            </w:tcBorders>
            <w:shd w:val="clear" w:color="auto" w:fill="auto"/>
            <w:vAlign w:val="center"/>
          </w:tcPr>
          <w:p>
            <w:pPr>
              <w:pStyle w:val="182"/>
              <w:bidi w:val="0"/>
              <w:rPr>
                <w:rFonts w:hint="eastAsia"/>
                <w:b/>
                <w:bCs/>
                <w:color w:val="auto"/>
                <w:u w:val="single"/>
              </w:rPr>
            </w:pPr>
          </w:p>
        </w:tc>
        <w:tc>
          <w:tcPr>
            <w:tcW w:w="525" w:type="pct"/>
            <w:vMerge w:val="continue"/>
            <w:tcBorders>
              <w:tl2br w:val="nil"/>
              <w:tr2bl w:val="nil"/>
            </w:tcBorders>
            <w:shd w:val="clear" w:color="auto" w:fill="auto"/>
            <w:vAlign w:val="center"/>
          </w:tcPr>
          <w:p>
            <w:pPr>
              <w:pStyle w:val="182"/>
              <w:bidi w:val="0"/>
              <w:rPr>
                <w:rFonts w:hint="eastAsia"/>
                <w:b/>
                <w:bCs/>
                <w:color w:val="auto"/>
                <w:u w:val="singl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西厂界</w:t>
            </w:r>
          </w:p>
        </w:tc>
        <w:tc>
          <w:tcPr>
            <w:tcW w:w="7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401</w:t>
            </w:r>
          </w:p>
        </w:tc>
        <w:tc>
          <w:tcPr>
            <w:tcW w:w="4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昼</w:t>
            </w:r>
          </w:p>
        </w:tc>
        <w:tc>
          <w:tcPr>
            <w:tcW w:w="531"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51</w:t>
            </w:r>
          </w:p>
        </w:tc>
        <w:tc>
          <w:tcPr>
            <w:tcW w:w="5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37.73</w:t>
            </w:r>
          </w:p>
        </w:tc>
        <w:tc>
          <w:tcPr>
            <w:tcW w:w="29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昼</w:t>
            </w:r>
          </w:p>
        </w:tc>
        <w:tc>
          <w:tcPr>
            <w:tcW w:w="34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51.2</w:t>
            </w:r>
          </w:p>
        </w:tc>
        <w:tc>
          <w:tcPr>
            <w:tcW w:w="1148" w:type="pct"/>
            <w:vMerge w:val="continue"/>
            <w:tcBorders>
              <w:tl2br w:val="nil"/>
              <w:tr2bl w:val="nil"/>
            </w:tcBorders>
            <w:shd w:val="clear" w:color="auto" w:fill="auto"/>
            <w:vAlign w:val="center"/>
          </w:tcPr>
          <w:p>
            <w:pPr>
              <w:pStyle w:val="182"/>
              <w:bidi w:val="0"/>
              <w:rPr>
                <w:rFonts w:hint="eastAsia"/>
                <w:b/>
                <w:bCs/>
                <w:color w:val="auto"/>
                <w:u w:val="single"/>
              </w:rPr>
            </w:pPr>
          </w:p>
        </w:tc>
        <w:tc>
          <w:tcPr>
            <w:tcW w:w="525"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continue"/>
            <w:tcBorders>
              <w:tl2br w:val="nil"/>
              <w:tr2bl w:val="nil"/>
            </w:tcBorders>
            <w:shd w:val="clear" w:color="auto" w:fill="auto"/>
            <w:vAlign w:val="center"/>
          </w:tcPr>
          <w:p>
            <w:pPr>
              <w:pStyle w:val="182"/>
              <w:bidi w:val="0"/>
              <w:rPr>
                <w:rFonts w:hint="eastAsia"/>
                <w:b/>
                <w:bCs/>
                <w:color w:val="auto"/>
                <w:u w:val="single"/>
              </w:rPr>
            </w:pPr>
          </w:p>
        </w:tc>
        <w:tc>
          <w:tcPr>
            <w:tcW w:w="7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401</w:t>
            </w:r>
          </w:p>
        </w:tc>
        <w:tc>
          <w:tcPr>
            <w:tcW w:w="4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夜</w:t>
            </w:r>
          </w:p>
        </w:tc>
        <w:tc>
          <w:tcPr>
            <w:tcW w:w="531"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42</w:t>
            </w:r>
          </w:p>
        </w:tc>
        <w:tc>
          <w:tcPr>
            <w:tcW w:w="5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37.73</w:t>
            </w:r>
          </w:p>
        </w:tc>
        <w:tc>
          <w:tcPr>
            <w:tcW w:w="29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夜</w:t>
            </w:r>
          </w:p>
        </w:tc>
        <w:tc>
          <w:tcPr>
            <w:tcW w:w="34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43.4</w:t>
            </w:r>
          </w:p>
        </w:tc>
        <w:tc>
          <w:tcPr>
            <w:tcW w:w="1148" w:type="pct"/>
            <w:vMerge w:val="continue"/>
            <w:tcBorders>
              <w:tl2br w:val="nil"/>
              <w:tr2bl w:val="nil"/>
            </w:tcBorders>
            <w:shd w:val="clear" w:color="auto" w:fill="auto"/>
            <w:vAlign w:val="center"/>
          </w:tcPr>
          <w:p>
            <w:pPr>
              <w:pStyle w:val="182"/>
              <w:bidi w:val="0"/>
              <w:rPr>
                <w:rFonts w:hint="eastAsia"/>
                <w:b/>
                <w:bCs/>
                <w:color w:val="auto"/>
                <w:u w:val="single"/>
              </w:rPr>
            </w:pPr>
          </w:p>
        </w:tc>
        <w:tc>
          <w:tcPr>
            <w:tcW w:w="525" w:type="pct"/>
            <w:vMerge w:val="continue"/>
            <w:tcBorders>
              <w:tl2br w:val="nil"/>
              <w:tr2bl w:val="nil"/>
            </w:tcBorders>
            <w:shd w:val="clear" w:color="auto" w:fill="auto"/>
            <w:vAlign w:val="center"/>
          </w:tcPr>
          <w:p>
            <w:pPr>
              <w:pStyle w:val="182"/>
              <w:bidi w:val="0"/>
              <w:rPr>
                <w:rFonts w:hint="eastAsia"/>
                <w:b/>
                <w:bCs/>
                <w:color w:val="auto"/>
                <w:u w:val="singl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3" w:hRule="atLeast"/>
          <w:jc w:val="center"/>
        </w:trPr>
        <w:tc>
          <w:tcPr>
            <w:tcW w:w="523"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南厂界</w:t>
            </w:r>
          </w:p>
        </w:tc>
        <w:tc>
          <w:tcPr>
            <w:tcW w:w="7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426</w:t>
            </w:r>
          </w:p>
        </w:tc>
        <w:tc>
          <w:tcPr>
            <w:tcW w:w="4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昼</w:t>
            </w:r>
          </w:p>
        </w:tc>
        <w:tc>
          <w:tcPr>
            <w:tcW w:w="531"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55</w:t>
            </w:r>
          </w:p>
        </w:tc>
        <w:tc>
          <w:tcPr>
            <w:tcW w:w="5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37.21</w:t>
            </w:r>
          </w:p>
        </w:tc>
        <w:tc>
          <w:tcPr>
            <w:tcW w:w="29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昼</w:t>
            </w:r>
          </w:p>
        </w:tc>
        <w:tc>
          <w:tcPr>
            <w:tcW w:w="34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55.1</w:t>
            </w:r>
          </w:p>
        </w:tc>
        <w:tc>
          <w:tcPr>
            <w:tcW w:w="1148" w:type="pct"/>
            <w:vMerge w:val="continue"/>
            <w:tcBorders>
              <w:tl2br w:val="nil"/>
              <w:tr2bl w:val="nil"/>
            </w:tcBorders>
            <w:shd w:val="clear" w:color="auto" w:fill="auto"/>
            <w:vAlign w:val="center"/>
          </w:tcPr>
          <w:p>
            <w:pPr>
              <w:pStyle w:val="182"/>
              <w:bidi w:val="0"/>
              <w:rPr>
                <w:rFonts w:hint="eastAsia"/>
                <w:b/>
                <w:bCs/>
                <w:color w:val="auto"/>
                <w:u w:val="single"/>
              </w:rPr>
            </w:pPr>
          </w:p>
        </w:tc>
        <w:tc>
          <w:tcPr>
            <w:tcW w:w="525"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3" w:hRule="atLeast"/>
          <w:jc w:val="center"/>
        </w:trPr>
        <w:tc>
          <w:tcPr>
            <w:tcW w:w="523" w:type="pct"/>
            <w:vMerge w:val="continue"/>
            <w:tcBorders>
              <w:tl2br w:val="nil"/>
              <w:tr2bl w:val="nil"/>
            </w:tcBorders>
            <w:shd w:val="clear" w:color="auto" w:fill="auto"/>
            <w:vAlign w:val="center"/>
          </w:tcPr>
          <w:p>
            <w:pPr>
              <w:pStyle w:val="182"/>
              <w:bidi w:val="0"/>
              <w:rPr>
                <w:rFonts w:hint="eastAsia"/>
                <w:b/>
                <w:bCs/>
                <w:color w:val="auto"/>
                <w:u w:val="single"/>
              </w:rPr>
            </w:pPr>
          </w:p>
        </w:tc>
        <w:tc>
          <w:tcPr>
            <w:tcW w:w="7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426</w:t>
            </w:r>
          </w:p>
        </w:tc>
        <w:tc>
          <w:tcPr>
            <w:tcW w:w="4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夜</w:t>
            </w:r>
          </w:p>
        </w:tc>
        <w:tc>
          <w:tcPr>
            <w:tcW w:w="531"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43</w:t>
            </w:r>
          </w:p>
        </w:tc>
        <w:tc>
          <w:tcPr>
            <w:tcW w:w="5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37.21</w:t>
            </w:r>
          </w:p>
        </w:tc>
        <w:tc>
          <w:tcPr>
            <w:tcW w:w="29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夜</w:t>
            </w:r>
          </w:p>
        </w:tc>
        <w:tc>
          <w:tcPr>
            <w:tcW w:w="34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44.0</w:t>
            </w:r>
          </w:p>
        </w:tc>
        <w:tc>
          <w:tcPr>
            <w:tcW w:w="1148" w:type="pct"/>
            <w:vMerge w:val="continue"/>
            <w:tcBorders>
              <w:tl2br w:val="nil"/>
              <w:tr2bl w:val="nil"/>
            </w:tcBorders>
            <w:shd w:val="clear" w:color="auto" w:fill="auto"/>
            <w:vAlign w:val="center"/>
          </w:tcPr>
          <w:p>
            <w:pPr>
              <w:pStyle w:val="182"/>
              <w:bidi w:val="0"/>
              <w:rPr>
                <w:rFonts w:hint="eastAsia"/>
                <w:b/>
                <w:bCs/>
                <w:color w:val="auto"/>
                <w:u w:val="single"/>
              </w:rPr>
            </w:pPr>
          </w:p>
        </w:tc>
        <w:tc>
          <w:tcPr>
            <w:tcW w:w="525" w:type="pct"/>
            <w:vMerge w:val="continue"/>
            <w:tcBorders>
              <w:tl2br w:val="nil"/>
              <w:tr2bl w:val="nil"/>
            </w:tcBorders>
            <w:shd w:val="clear" w:color="auto" w:fill="auto"/>
            <w:vAlign w:val="center"/>
          </w:tcPr>
          <w:p>
            <w:pPr>
              <w:pStyle w:val="182"/>
              <w:bidi w:val="0"/>
              <w:rPr>
                <w:rFonts w:hint="eastAsia"/>
                <w:b/>
                <w:bCs/>
                <w:color w:val="auto"/>
                <w:u w:val="singl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北厂界</w:t>
            </w:r>
          </w:p>
        </w:tc>
        <w:tc>
          <w:tcPr>
            <w:tcW w:w="7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471</w:t>
            </w:r>
          </w:p>
        </w:tc>
        <w:tc>
          <w:tcPr>
            <w:tcW w:w="4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昼</w:t>
            </w:r>
          </w:p>
        </w:tc>
        <w:tc>
          <w:tcPr>
            <w:tcW w:w="531"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54</w:t>
            </w:r>
          </w:p>
        </w:tc>
        <w:tc>
          <w:tcPr>
            <w:tcW w:w="5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36.33</w:t>
            </w:r>
          </w:p>
        </w:tc>
        <w:tc>
          <w:tcPr>
            <w:tcW w:w="29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昼</w:t>
            </w:r>
          </w:p>
        </w:tc>
        <w:tc>
          <w:tcPr>
            <w:tcW w:w="34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54.1</w:t>
            </w:r>
          </w:p>
        </w:tc>
        <w:tc>
          <w:tcPr>
            <w:tcW w:w="1148" w:type="pct"/>
            <w:vMerge w:val="continue"/>
            <w:tcBorders>
              <w:tl2br w:val="nil"/>
              <w:tr2bl w:val="nil"/>
            </w:tcBorders>
            <w:shd w:val="clear" w:color="auto" w:fill="auto"/>
            <w:vAlign w:val="center"/>
          </w:tcPr>
          <w:p>
            <w:pPr>
              <w:pStyle w:val="182"/>
              <w:bidi w:val="0"/>
              <w:rPr>
                <w:rFonts w:hint="eastAsia"/>
                <w:b/>
                <w:bCs/>
                <w:color w:val="auto"/>
                <w:u w:val="single"/>
              </w:rPr>
            </w:pPr>
          </w:p>
        </w:tc>
        <w:tc>
          <w:tcPr>
            <w:tcW w:w="525"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jc w:val="center"/>
        </w:trPr>
        <w:tc>
          <w:tcPr>
            <w:tcW w:w="523" w:type="pct"/>
            <w:vMerge w:val="continue"/>
            <w:tcBorders>
              <w:tl2br w:val="nil"/>
              <w:tr2bl w:val="nil"/>
            </w:tcBorders>
            <w:shd w:val="clear" w:color="auto" w:fill="auto"/>
            <w:vAlign w:val="center"/>
          </w:tcPr>
          <w:p>
            <w:pPr>
              <w:pStyle w:val="182"/>
              <w:bidi w:val="0"/>
              <w:rPr>
                <w:rFonts w:hint="eastAsia"/>
                <w:b/>
                <w:bCs/>
                <w:color w:val="auto"/>
                <w:u w:val="single"/>
              </w:rPr>
            </w:pPr>
          </w:p>
        </w:tc>
        <w:tc>
          <w:tcPr>
            <w:tcW w:w="7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471</w:t>
            </w:r>
          </w:p>
        </w:tc>
        <w:tc>
          <w:tcPr>
            <w:tcW w:w="4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夜</w:t>
            </w:r>
          </w:p>
        </w:tc>
        <w:tc>
          <w:tcPr>
            <w:tcW w:w="531"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43</w:t>
            </w:r>
          </w:p>
        </w:tc>
        <w:tc>
          <w:tcPr>
            <w:tcW w:w="510"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36.33</w:t>
            </w:r>
          </w:p>
        </w:tc>
        <w:tc>
          <w:tcPr>
            <w:tcW w:w="29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夜</w:t>
            </w:r>
          </w:p>
        </w:tc>
        <w:tc>
          <w:tcPr>
            <w:tcW w:w="34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43.8</w:t>
            </w:r>
          </w:p>
        </w:tc>
        <w:tc>
          <w:tcPr>
            <w:tcW w:w="1148" w:type="pct"/>
            <w:vMerge w:val="continue"/>
            <w:tcBorders>
              <w:tl2br w:val="nil"/>
              <w:tr2bl w:val="nil"/>
            </w:tcBorders>
            <w:shd w:val="clear" w:color="auto" w:fill="auto"/>
            <w:vAlign w:val="center"/>
          </w:tcPr>
          <w:p>
            <w:pPr>
              <w:pStyle w:val="182"/>
              <w:bidi w:val="0"/>
              <w:rPr>
                <w:rFonts w:hint="eastAsia"/>
                <w:b/>
                <w:bCs/>
                <w:color w:val="auto"/>
                <w:u w:val="single"/>
              </w:rPr>
            </w:pPr>
          </w:p>
        </w:tc>
        <w:tc>
          <w:tcPr>
            <w:tcW w:w="525" w:type="pct"/>
            <w:vMerge w:val="continue"/>
            <w:tcBorders>
              <w:tl2br w:val="nil"/>
              <w:tr2bl w:val="nil"/>
            </w:tcBorders>
            <w:shd w:val="clear" w:color="auto" w:fill="auto"/>
            <w:vAlign w:val="center"/>
          </w:tcPr>
          <w:p>
            <w:pPr>
              <w:pStyle w:val="182"/>
              <w:bidi w:val="0"/>
              <w:rPr>
                <w:rFonts w:hint="eastAsia"/>
                <w:b/>
                <w:bCs/>
                <w:color w:val="auto"/>
                <w:u w:val="single"/>
              </w:rPr>
            </w:pPr>
          </w:p>
        </w:tc>
      </w:tr>
    </w:tbl>
    <w:p>
      <w:pPr>
        <w:bidi w:val="0"/>
        <w:rPr>
          <w:rFonts w:hint="eastAsia"/>
          <w:b/>
          <w:bCs/>
          <w:color w:val="auto"/>
          <w:u w:val="single"/>
        </w:rPr>
      </w:pPr>
      <w:r>
        <w:rPr>
          <w:rFonts w:hint="eastAsia"/>
          <w:b/>
          <w:bCs/>
          <w:color w:val="auto"/>
          <w:u w:val="single"/>
        </w:rPr>
        <w:t>噪声设备经安装减振装置、厂房隔声等措施治理后，经预测，各厂界噪声均能够达到《工业企业厂界环境噪声排放标准》（</w:t>
      </w:r>
      <w:r>
        <w:rPr>
          <w:b/>
          <w:bCs/>
          <w:color w:val="auto"/>
          <w:u w:val="single"/>
        </w:rPr>
        <w:t>GB12348-2008</w:t>
      </w:r>
      <w:r>
        <w:rPr>
          <w:rFonts w:hint="eastAsia"/>
          <w:b/>
          <w:bCs/>
          <w:color w:val="auto"/>
          <w:u w:val="single"/>
        </w:rPr>
        <w:t>）</w:t>
      </w:r>
      <w:r>
        <w:rPr>
          <w:b/>
          <w:bCs/>
          <w:color w:val="auto"/>
          <w:u w:val="single"/>
        </w:rPr>
        <w:t>3</w:t>
      </w:r>
      <w:r>
        <w:rPr>
          <w:rFonts w:hint="eastAsia"/>
          <w:b/>
          <w:bCs/>
          <w:color w:val="auto"/>
          <w:u w:val="single"/>
        </w:rPr>
        <w:t>类昼间</w:t>
      </w:r>
      <w:r>
        <w:rPr>
          <w:b/>
          <w:bCs/>
          <w:color w:val="auto"/>
          <w:u w:val="single"/>
        </w:rPr>
        <w:t>65dB(A)</w:t>
      </w:r>
      <w:r>
        <w:rPr>
          <w:rFonts w:hint="eastAsia"/>
          <w:b/>
          <w:bCs/>
          <w:color w:val="auto"/>
          <w:u w:val="single"/>
        </w:rPr>
        <w:t>、夜间</w:t>
      </w:r>
      <w:r>
        <w:rPr>
          <w:b/>
          <w:bCs/>
          <w:color w:val="auto"/>
          <w:u w:val="single"/>
        </w:rPr>
        <w:t>55dB(A)</w:t>
      </w:r>
      <w:r>
        <w:rPr>
          <w:rFonts w:hint="eastAsia"/>
          <w:b/>
          <w:bCs/>
          <w:color w:val="auto"/>
          <w:u w:val="single"/>
        </w:rPr>
        <w:t>。</w:t>
      </w:r>
    </w:p>
    <w:p>
      <w:pPr>
        <w:bidi w:val="0"/>
        <w:rPr>
          <w:rFonts w:hint="eastAsia"/>
          <w:color w:val="auto"/>
          <w:lang w:val="en-US" w:eastAsia="zh-CN"/>
        </w:rPr>
      </w:pPr>
      <w:r>
        <w:rPr>
          <w:rFonts w:hint="eastAsia"/>
          <w:color w:val="auto"/>
          <w:lang w:val="en-US" w:eastAsia="zh-CN"/>
        </w:rPr>
        <w:t>四、固体废物</w:t>
      </w:r>
    </w:p>
    <w:p>
      <w:pPr>
        <w:bidi w:val="0"/>
        <w:jc w:val="left"/>
        <w:rPr>
          <w:b/>
          <w:bCs/>
          <w:color w:val="auto"/>
          <w:u w:val="single"/>
        </w:rPr>
      </w:pPr>
      <w:r>
        <w:rPr>
          <w:rFonts w:hint="eastAsia"/>
          <w:b/>
          <w:bCs/>
          <w:color w:val="auto"/>
          <w:u w:val="single"/>
        </w:rPr>
        <w:t>本项目固体废物主要有水力除杂沉淀池污泥、</w:t>
      </w:r>
      <w:r>
        <w:rPr>
          <w:rFonts w:hint="eastAsia"/>
          <w:b/>
          <w:bCs/>
          <w:color w:val="auto"/>
          <w:u w:val="single"/>
          <w:lang w:val="en-US" w:eastAsia="zh-CN"/>
        </w:rPr>
        <w:t>袋式除尘器收集的颗粒物、</w:t>
      </w:r>
      <w:r>
        <w:rPr>
          <w:rFonts w:hint="eastAsia"/>
          <w:b/>
          <w:bCs/>
          <w:color w:val="auto"/>
          <w:u w:val="single"/>
        </w:rPr>
        <w:t>废</w:t>
      </w:r>
      <w:r>
        <w:rPr>
          <w:rFonts w:hint="eastAsia"/>
          <w:b/>
          <w:bCs/>
          <w:color w:val="auto"/>
          <w:u w:val="single"/>
          <w:lang w:val="en-US" w:eastAsia="zh-CN"/>
        </w:rPr>
        <w:t>布袋、废</w:t>
      </w:r>
      <w:r>
        <w:rPr>
          <w:rFonts w:hint="eastAsia"/>
          <w:b/>
          <w:bCs/>
          <w:color w:val="auto"/>
          <w:u w:val="single"/>
        </w:rPr>
        <w:t>包装袋以及生活垃圾等。</w:t>
      </w:r>
    </w:p>
    <w:p>
      <w:pPr>
        <w:bidi w:val="0"/>
        <w:jc w:val="left"/>
        <w:rPr>
          <w:b/>
          <w:bCs/>
          <w:color w:val="auto"/>
          <w:u w:val="single"/>
        </w:rPr>
      </w:pPr>
      <w:r>
        <w:rPr>
          <w:rFonts w:hint="eastAsia"/>
          <w:b/>
          <w:bCs/>
          <w:color w:val="auto"/>
          <w:u w:val="single"/>
        </w:rPr>
        <w:t>1）水力除杂沉淀池污泥</w:t>
      </w:r>
    </w:p>
    <w:p>
      <w:pPr>
        <w:bidi w:val="0"/>
        <w:rPr>
          <w:rFonts w:hint="eastAsia"/>
          <w:b/>
          <w:bCs/>
          <w:color w:val="auto"/>
          <w:u w:val="single"/>
        </w:rPr>
      </w:pPr>
      <w:r>
        <w:rPr>
          <w:rFonts w:hint="eastAsia"/>
          <w:b/>
          <w:bCs/>
          <w:color w:val="auto"/>
          <w:u w:val="single"/>
        </w:rPr>
        <w:t>主要来源于水力除杂</w:t>
      </w:r>
      <w:r>
        <w:rPr>
          <w:rFonts w:hint="eastAsia"/>
          <w:b/>
          <w:bCs/>
          <w:color w:val="auto"/>
          <w:u w:val="single"/>
          <w:lang w:val="en-US" w:eastAsia="zh-CN"/>
        </w:rPr>
        <w:t>工序</w:t>
      </w:r>
      <w:r>
        <w:rPr>
          <w:rFonts w:hint="eastAsia"/>
          <w:b/>
          <w:bCs/>
          <w:color w:val="auto"/>
          <w:u w:val="single"/>
        </w:rPr>
        <w:t>，</w:t>
      </w:r>
      <w:r>
        <w:rPr>
          <w:rFonts w:hint="eastAsia"/>
          <w:b/>
          <w:bCs/>
          <w:color w:val="auto"/>
          <w:u w:val="single"/>
          <w:lang w:val="en-US" w:eastAsia="zh-CN"/>
        </w:rPr>
        <w:t>根据原料质量，水力除杂产生一般固废约为200t/a</w:t>
      </w:r>
      <w:r>
        <w:rPr>
          <w:rFonts w:hint="eastAsia"/>
          <w:b/>
          <w:bCs/>
          <w:color w:val="auto"/>
          <w:u w:val="single"/>
        </w:rPr>
        <w:t>，清理出来的</w:t>
      </w:r>
      <w:r>
        <w:rPr>
          <w:rFonts w:hint="eastAsia"/>
          <w:b/>
          <w:bCs/>
          <w:color w:val="auto"/>
          <w:u w:val="single"/>
          <w:lang w:val="en-US" w:eastAsia="zh-CN"/>
        </w:rPr>
        <w:t>杂质</w:t>
      </w:r>
      <w:r>
        <w:rPr>
          <w:rFonts w:hint="eastAsia"/>
          <w:b/>
          <w:bCs/>
          <w:color w:val="auto"/>
          <w:u w:val="single"/>
        </w:rPr>
        <w:t>依托现有一般固废暂存间（</w:t>
      </w:r>
      <w:r>
        <w:rPr>
          <w:rFonts w:hint="default"/>
          <w:b/>
          <w:bCs/>
          <w:color w:val="auto"/>
          <w:u w:val="single"/>
          <w:vertAlign w:val="baseline"/>
          <w:lang w:val="en-US" w:eastAsia="zh-CN"/>
        </w:rPr>
        <w:t>36m</w:t>
      </w:r>
      <w:r>
        <w:rPr>
          <w:rFonts w:hint="default"/>
          <w:b/>
          <w:bCs/>
          <w:color w:val="auto"/>
          <w:u w:val="single"/>
          <w:vertAlign w:val="superscript"/>
          <w:lang w:val="en-US" w:eastAsia="zh-CN"/>
        </w:rPr>
        <w:t>2</w:t>
      </w:r>
      <w:r>
        <w:rPr>
          <w:rFonts w:hint="eastAsia"/>
          <w:b/>
          <w:bCs/>
          <w:color w:val="auto"/>
          <w:u w:val="single"/>
        </w:rPr>
        <w:t>）暂存后，</w:t>
      </w:r>
      <w:r>
        <w:rPr>
          <w:rFonts w:hint="eastAsia"/>
          <w:b/>
          <w:bCs/>
          <w:color w:val="auto"/>
          <w:u w:val="single"/>
          <w:lang w:val="en-US" w:eastAsia="zh-CN"/>
        </w:rPr>
        <w:t>及时</w:t>
      </w:r>
      <w:r>
        <w:rPr>
          <w:rFonts w:hint="eastAsia"/>
          <w:b/>
          <w:bCs/>
          <w:color w:val="auto"/>
          <w:u w:val="single"/>
        </w:rPr>
        <w:t>送</w:t>
      </w:r>
      <w:r>
        <w:rPr>
          <w:rFonts w:hint="eastAsia"/>
          <w:b/>
          <w:bCs/>
          <w:color w:val="auto"/>
          <w:u w:val="single"/>
          <w:lang w:val="en-US" w:eastAsia="zh-CN"/>
        </w:rPr>
        <w:t>往</w:t>
      </w:r>
      <w:r>
        <w:rPr>
          <w:rFonts w:hint="eastAsia"/>
          <w:b/>
          <w:bCs/>
          <w:color w:val="auto"/>
          <w:u w:val="single"/>
        </w:rPr>
        <w:t>厂区锅炉燃烧。</w:t>
      </w:r>
    </w:p>
    <w:p>
      <w:pPr>
        <w:bidi w:val="0"/>
        <w:rPr>
          <w:rFonts w:hint="eastAsia"/>
          <w:b/>
          <w:bCs/>
          <w:color w:val="auto"/>
          <w:u w:val="single"/>
        </w:rPr>
      </w:pPr>
      <w:r>
        <w:rPr>
          <w:rFonts w:hint="eastAsia"/>
          <w:b/>
          <w:bCs/>
          <w:color w:val="auto"/>
          <w:u w:val="single"/>
          <w:lang w:val="en-US" w:eastAsia="zh-CN"/>
        </w:rPr>
        <w:t>2）</w:t>
      </w:r>
      <w:r>
        <w:rPr>
          <w:rFonts w:hint="eastAsia"/>
          <w:b/>
          <w:bCs/>
          <w:color w:val="auto"/>
          <w:u w:val="single"/>
        </w:rPr>
        <w:t>除尘器收集的粉尘</w:t>
      </w:r>
    </w:p>
    <w:p>
      <w:pPr>
        <w:bidi w:val="0"/>
        <w:rPr>
          <w:b/>
          <w:bCs/>
          <w:color w:val="auto"/>
          <w:u w:val="single"/>
        </w:rPr>
      </w:pPr>
      <w:r>
        <w:rPr>
          <w:rFonts w:hint="eastAsia"/>
          <w:b/>
          <w:bCs/>
          <w:color w:val="auto"/>
          <w:u w:val="single"/>
        </w:rPr>
        <w:t>本工程</w:t>
      </w:r>
      <w:r>
        <w:rPr>
          <w:rFonts w:hint="eastAsia"/>
          <w:b/>
          <w:bCs/>
          <w:color w:val="auto"/>
          <w:u w:val="single"/>
          <w:lang w:val="en-US" w:eastAsia="zh-CN"/>
        </w:rPr>
        <w:t>木质素混合物在</w:t>
      </w:r>
      <w:r>
        <w:rPr>
          <w:rFonts w:hint="eastAsia"/>
          <w:b/>
          <w:bCs/>
          <w:color w:val="auto"/>
          <w:u w:val="single"/>
        </w:rPr>
        <w:t>干燥工序将采用袋式除尘设施处理含尘废气，其除尘器收集的粉尘约</w:t>
      </w:r>
      <w:r>
        <w:rPr>
          <w:rFonts w:hint="eastAsia"/>
          <w:b/>
          <w:bCs/>
          <w:color w:val="auto"/>
          <w:u w:val="single"/>
          <w:lang w:val="en-US" w:eastAsia="zh-CN"/>
        </w:rPr>
        <w:t xml:space="preserve">69.89 </w:t>
      </w:r>
      <w:r>
        <w:rPr>
          <w:rFonts w:hint="eastAsia"/>
          <w:b/>
          <w:bCs/>
          <w:color w:val="auto"/>
          <w:u w:val="single"/>
        </w:rPr>
        <w:t>t/a，</w:t>
      </w:r>
      <w:r>
        <w:rPr>
          <w:rFonts w:hint="eastAsia"/>
          <w:b/>
          <w:bCs/>
          <w:color w:val="auto"/>
          <w:u w:val="single"/>
          <w:lang w:val="en-US" w:eastAsia="zh-CN"/>
        </w:rPr>
        <w:t>回收试验，暂</w:t>
      </w:r>
      <w:r>
        <w:rPr>
          <w:rFonts w:hint="eastAsia"/>
          <w:b/>
          <w:bCs/>
          <w:color w:val="auto"/>
          <w:u w:val="single"/>
        </w:rPr>
        <w:t>不纳入固废管理</w:t>
      </w:r>
      <w:r>
        <w:rPr>
          <w:rFonts w:hint="eastAsia"/>
          <w:b/>
          <w:bCs/>
          <w:color w:val="auto"/>
          <w:u w:val="single"/>
          <w:lang w:eastAsia="zh-CN"/>
        </w:rPr>
        <w:t>，</w:t>
      </w:r>
      <w:r>
        <w:rPr>
          <w:rFonts w:hint="eastAsia"/>
          <w:b/>
          <w:bCs/>
          <w:color w:val="auto"/>
          <w:u w:val="single"/>
          <w:lang w:val="en-US" w:eastAsia="zh-CN"/>
        </w:rPr>
        <w:t>通过试验确定无法回收利用时作为一般固废处理。</w:t>
      </w:r>
    </w:p>
    <w:p>
      <w:pPr>
        <w:bidi w:val="0"/>
        <w:rPr>
          <w:b/>
          <w:bCs/>
          <w:color w:val="auto"/>
          <w:u w:val="single"/>
        </w:rPr>
      </w:pPr>
      <w:r>
        <w:rPr>
          <w:rFonts w:hint="eastAsia"/>
          <w:b/>
          <w:bCs/>
          <w:color w:val="auto"/>
          <w:u w:val="single"/>
          <w:lang w:val="en-US" w:eastAsia="zh-CN"/>
        </w:rPr>
        <w:t>3</w:t>
      </w:r>
      <w:r>
        <w:rPr>
          <w:b/>
          <w:bCs/>
          <w:color w:val="auto"/>
          <w:u w:val="single"/>
        </w:rPr>
        <w:t>）</w:t>
      </w:r>
      <w:r>
        <w:rPr>
          <w:rFonts w:hint="eastAsia"/>
          <w:b/>
          <w:bCs/>
          <w:color w:val="auto"/>
          <w:u w:val="single"/>
        </w:rPr>
        <w:t>废</w:t>
      </w:r>
      <w:r>
        <w:rPr>
          <w:b/>
          <w:bCs/>
          <w:color w:val="auto"/>
          <w:u w:val="single"/>
        </w:rPr>
        <w:t>包装袋</w:t>
      </w:r>
    </w:p>
    <w:p>
      <w:pPr>
        <w:bidi w:val="0"/>
        <w:ind w:firstLine="482"/>
        <w:rPr>
          <w:b/>
          <w:bCs/>
          <w:color w:val="auto"/>
          <w:u w:val="single"/>
        </w:rPr>
      </w:pPr>
      <w:r>
        <w:rPr>
          <w:rFonts w:hint="eastAsia"/>
          <w:b/>
          <w:bCs/>
          <w:color w:val="auto"/>
          <w:u w:val="single"/>
        </w:rPr>
        <w:t>本项目使用固体二氧化氯释放剂</w:t>
      </w:r>
      <w:r>
        <w:rPr>
          <w:rFonts w:hint="eastAsia"/>
          <w:b/>
          <w:bCs/>
          <w:color w:val="auto"/>
          <w:u w:val="single"/>
          <w:lang w:val="en-US" w:eastAsia="zh-CN"/>
        </w:rPr>
        <w:t>12</w:t>
      </w:r>
      <w:r>
        <w:rPr>
          <w:rFonts w:hint="eastAsia"/>
          <w:b/>
          <w:bCs/>
          <w:color w:val="auto"/>
          <w:u w:val="single"/>
        </w:rPr>
        <w:t>吨，</w:t>
      </w:r>
      <w:r>
        <w:rPr>
          <w:b/>
          <w:bCs/>
          <w:color w:val="auto"/>
          <w:u w:val="single"/>
        </w:rPr>
        <w:t>采用袋装方式，每袋25kg，</w:t>
      </w:r>
      <w:r>
        <w:rPr>
          <w:rFonts w:hint="eastAsia"/>
          <w:b/>
          <w:bCs/>
          <w:color w:val="auto"/>
          <w:u w:val="single"/>
        </w:rPr>
        <w:t>则产生</w:t>
      </w:r>
      <w:r>
        <w:rPr>
          <w:b/>
          <w:bCs/>
          <w:color w:val="auto"/>
          <w:u w:val="single"/>
        </w:rPr>
        <w:t>废弃</w:t>
      </w:r>
      <w:r>
        <w:rPr>
          <w:rFonts w:hint="eastAsia"/>
          <w:b/>
          <w:bCs/>
          <w:color w:val="auto"/>
          <w:u w:val="single"/>
        </w:rPr>
        <w:t>固体二氧化氯释放剂</w:t>
      </w:r>
      <w:r>
        <w:rPr>
          <w:b/>
          <w:bCs/>
          <w:color w:val="auto"/>
          <w:u w:val="single"/>
        </w:rPr>
        <w:t>包装袋</w:t>
      </w:r>
      <w:r>
        <w:rPr>
          <w:rFonts w:hint="eastAsia"/>
          <w:b/>
          <w:bCs/>
          <w:color w:val="auto"/>
          <w:u w:val="single"/>
          <w:lang w:val="en-US" w:eastAsia="zh-CN"/>
        </w:rPr>
        <w:t>480</w:t>
      </w:r>
      <w:r>
        <w:rPr>
          <w:rFonts w:hint="eastAsia"/>
          <w:b/>
          <w:bCs/>
          <w:color w:val="auto"/>
          <w:u w:val="single"/>
        </w:rPr>
        <w:t>个（约</w:t>
      </w:r>
      <w:r>
        <w:rPr>
          <w:rFonts w:hint="eastAsia"/>
          <w:b/>
          <w:bCs/>
          <w:color w:val="auto"/>
          <w:u w:val="single"/>
          <w:lang w:val="en-US" w:eastAsia="zh-CN"/>
        </w:rPr>
        <w:t>0.048</w:t>
      </w:r>
      <w:r>
        <w:rPr>
          <w:b/>
          <w:bCs/>
          <w:color w:val="auto"/>
          <w:u w:val="single"/>
        </w:rPr>
        <w:t>t/a</w:t>
      </w:r>
      <w:r>
        <w:rPr>
          <w:rFonts w:hint="eastAsia"/>
          <w:b/>
          <w:bCs/>
          <w:color w:val="auto"/>
          <w:u w:val="single"/>
        </w:rPr>
        <w:t>）</w:t>
      </w:r>
      <w:r>
        <w:rPr>
          <w:b/>
          <w:bCs/>
          <w:color w:val="auto"/>
          <w:u w:val="single"/>
        </w:rPr>
        <w:t>，</w:t>
      </w:r>
      <w:r>
        <w:rPr>
          <w:rFonts w:hint="eastAsia"/>
          <w:b/>
          <w:bCs/>
          <w:color w:val="auto"/>
          <w:u w:val="single"/>
        </w:rPr>
        <w:t>固体二氧化氯释放剂</w:t>
      </w:r>
      <w:r>
        <w:rPr>
          <w:b/>
          <w:bCs/>
          <w:color w:val="auto"/>
          <w:u w:val="single"/>
        </w:rPr>
        <w:t>包装袋内部装有少量</w:t>
      </w:r>
      <w:r>
        <w:rPr>
          <w:rFonts w:hint="eastAsia"/>
          <w:b/>
          <w:bCs/>
          <w:color w:val="auto"/>
          <w:u w:val="single"/>
        </w:rPr>
        <w:t>固体二氧化氯释放剂</w:t>
      </w:r>
      <w:r>
        <w:rPr>
          <w:b/>
          <w:bCs/>
          <w:color w:val="auto"/>
          <w:u w:val="single"/>
        </w:rPr>
        <w:t>，</w:t>
      </w:r>
      <w:r>
        <w:rPr>
          <w:rFonts w:hint="eastAsia"/>
          <w:b/>
          <w:bCs/>
          <w:color w:val="auto"/>
          <w:u w:val="single"/>
        </w:rPr>
        <w:t>二氧化氯</w:t>
      </w:r>
      <w:r>
        <w:rPr>
          <w:b/>
          <w:bCs/>
          <w:color w:val="auto"/>
          <w:u w:val="single"/>
        </w:rPr>
        <w:t>为危险废物</w:t>
      </w:r>
      <w:r>
        <w:rPr>
          <w:rFonts w:hint="eastAsia"/>
          <w:b/>
          <w:bCs/>
          <w:color w:val="auto"/>
          <w:u w:val="single"/>
        </w:rPr>
        <w:t>，</w:t>
      </w:r>
      <w:r>
        <w:rPr>
          <w:b/>
          <w:bCs/>
          <w:color w:val="auto"/>
          <w:u w:val="single"/>
        </w:rPr>
        <w:t>废物类别为</w:t>
      </w:r>
      <w:r>
        <w:rPr>
          <w:rFonts w:hint="eastAsia"/>
          <w:b/>
          <w:bCs/>
          <w:color w:val="auto"/>
          <w:u w:val="single"/>
        </w:rPr>
        <w:t>HW49其他废物，废物代码为</w:t>
      </w:r>
      <w:r>
        <w:rPr>
          <w:rFonts w:hint="default"/>
          <w:b/>
          <w:bCs/>
          <w:color w:val="auto"/>
          <w:u w:val="single"/>
        </w:rPr>
        <w:t>900-041-49</w:t>
      </w:r>
      <w:r>
        <w:rPr>
          <w:rFonts w:hint="eastAsia"/>
          <w:b/>
          <w:bCs/>
          <w:color w:val="auto"/>
          <w:u w:val="single"/>
        </w:rPr>
        <w:t>，因此固体二氧化氯释放剂包装袋</w:t>
      </w:r>
      <w:r>
        <w:rPr>
          <w:b/>
          <w:bCs/>
          <w:color w:val="auto"/>
          <w:u w:val="single"/>
        </w:rPr>
        <w:t>作为危废交由有资质的单位进行处置。</w:t>
      </w:r>
    </w:p>
    <w:p>
      <w:pPr>
        <w:bidi w:val="0"/>
        <w:rPr>
          <w:color w:val="auto"/>
        </w:rPr>
      </w:pPr>
      <w:r>
        <w:rPr>
          <w:rFonts w:hint="eastAsia"/>
          <w:color w:val="auto"/>
          <w:lang w:val="en-US" w:eastAsia="zh-CN"/>
        </w:rPr>
        <w:t>4</w:t>
      </w:r>
      <w:r>
        <w:rPr>
          <w:rFonts w:hint="eastAsia"/>
          <w:color w:val="auto"/>
        </w:rPr>
        <w:t>）</w:t>
      </w:r>
      <w:r>
        <w:rPr>
          <w:color w:val="auto"/>
        </w:rPr>
        <w:t>生活垃圾</w:t>
      </w:r>
    </w:p>
    <w:p>
      <w:pPr>
        <w:bidi w:val="0"/>
        <w:rPr>
          <w:color w:val="auto"/>
        </w:rPr>
      </w:pPr>
      <w:r>
        <w:rPr>
          <w:rFonts w:hint="eastAsia"/>
          <w:color w:val="auto"/>
        </w:rPr>
        <w:t>本项目</w:t>
      </w:r>
      <w:r>
        <w:rPr>
          <w:color w:val="auto"/>
        </w:rPr>
        <w:t>新增劳动定员100人，生活垃圾产生量按0.5kg/d·人计，则</w:t>
      </w:r>
      <w:r>
        <w:rPr>
          <w:rFonts w:hint="eastAsia"/>
          <w:color w:val="auto"/>
        </w:rPr>
        <w:t>本项目</w:t>
      </w:r>
      <w:r>
        <w:rPr>
          <w:color w:val="auto"/>
        </w:rPr>
        <w:t>产生的生活垃圾量为16.5t/a，</w:t>
      </w:r>
      <w:r>
        <w:rPr>
          <w:rFonts w:hint="eastAsia"/>
          <w:color w:val="auto"/>
        </w:rPr>
        <w:t>厂区设置垃圾桶，生活垃圾集中收集后送环卫部门指定地点处理。</w:t>
      </w:r>
    </w:p>
    <w:p>
      <w:pPr>
        <w:bidi w:val="0"/>
        <w:rPr>
          <w:color w:val="auto"/>
        </w:rPr>
      </w:pPr>
      <w:r>
        <w:rPr>
          <w:color w:val="auto"/>
        </w:rPr>
        <w:t>综上所述，</w:t>
      </w:r>
      <w:r>
        <w:rPr>
          <w:rFonts w:hint="eastAsia"/>
          <w:color w:val="auto"/>
        </w:rPr>
        <w:t>本项目</w:t>
      </w:r>
      <w:r>
        <w:rPr>
          <w:color w:val="auto"/>
        </w:rPr>
        <w:t>营运期产生的各类废物情况见下表。</w:t>
      </w:r>
    </w:p>
    <w:p>
      <w:pPr>
        <w:pStyle w:val="181"/>
        <w:bidi w:val="0"/>
        <w:rPr>
          <w:b/>
          <w:bCs/>
          <w:color w:val="auto"/>
          <w:u w:val="single"/>
        </w:rPr>
      </w:pPr>
      <w:r>
        <w:rPr>
          <w:rFonts w:hint="eastAsia"/>
          <w:b/>
          <w:bCs/>
          <w:color w:val="auto"/>
          <w:u w:val="single"/>
        </w:rPr>
        <w:t>表</w:t>
      </w:r>
      <w:r>
        <w:rPr>
          <w:b/>
          <w:bCs/>
          <w:color w:val="auto"/>
          <w:u w:val="single"/>
        </w:rPr>
        <w:t>3.</w:t>
      </w:r>
      <w:r>
        <w:rPr>
          <w:rFonts w:hint="eastAsia"/>
          <w:b/>
          <w:bCs/>
          <w:color w:val="auto"/>
          <w:u w:val="single"/>
          <w:lang w:val="en-US" w:eastAsia="zh-CN"/>
        </w:rPr>
        <w:t>8</w:t>
      </w:r>
      <w:r>
        <w:rPr>
          <w:rFonts w:hint="eastAsia"/>
          <w:b/>
          <w:bCs/>
          <w:color w:val="auto"/>
          <w:u w:val="single"/>
        </w:rPr>
        <w:t>-</w:t>
      </w:r>
      <w:r>
        <w:rPr>
          <w:b/>
          <w:bCs/>
          <w:color w:val="auto"/>
          <w:u w:val="single"/>
        </w:rPr>
        <w:t>2</w:t>
      </w:r>
      <w:r>
        <w:rPr>
          <w:rFonts w:hint="eastAsia"/>
          <w:b/>
          <w:bCs/>
          <w:color w:val="auto"/>
          <w:u w:val="single"/>
          <w:lang w:val="en-US" w:eastAsia="zh-CN"/>
        </w:rPr>
        <w:t xml:space="preserve">9            </w:t>
      </w:r>
      <w:r>
        <w:rPr>
          <w:b/>
          <w:bCs/>
          <w:color w:val="auto"/>
          <w:u w:val="single"/>
        </w:rPr>
        <w:t xml:space="preserve"> </w:t>
      </w:r>
      <w:r>
        <w:rPr>
          <w:rFonts w:hint="eastAsia"/>
          <w:b/>
          <w:bCs/>
          <w:color w:val="auto"/>
          <w:u w:val="single"/>
        </w:rPr>
        <w:t>固废产生情况及处置措施</w:t>
      </w:r>
    </w:p>
    <w:tbl>
      <w:tblPr>
        <w:tblStyle w:val="32"/>
        <w:tblW w:w="88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276"/>
        <w:gridCol w:w="1559"/>
        <w:gridCol w:w="1276"/>
        <w:gridCol w:w="1275"/>
        <w:gridCol w:w="2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b/>
                <w:bCs/>
                <w:color w:val="auto"/>
                <w:u w:val="single"/>
              </w:rPr>
            </w:pPr>
            <w:r>
              <w:rPr>
                <w:rFonts w:hint="eastAsia"/>
                <w:b/>
                <w:bCs/>
                <w:color w:val="auto"/>
                <w:u w:val="single"/>
              </w:rPr>
              <w:t>序号</w:t>
            </w:r>
          </w:p>
        </w:tc>
        <w:tc>
          <w:tcPr>
            <w:tcW w:w="1276" w:type="dxa"/>
            <w:vAlign w:val="center"/>
          </w:tcPr>
          <w:p>
            <w:pPr>
              <w:pStyle w:val="182"/>
              <w:bidi w:val="0"/>
              <w:rPr>
                <w:b/>
                <w:bCs/>
                <w:color w:val="auto"/>
                <w:u w:val="single"/>
              </w:rPr>
            </w:pPr>
            <w:r>
              <w:rPr>
                <w:rFonts w:hint="eastAsia"/>
                <w:b/>
                <w:bCs/>
                <w:color w:val="auto"/>
                <w:u w:val="single"/>
              </w:rPr>
              <w:t>污染物</w:t>
            </w:r>
          </w:p>
        </w:tc>
        <w:tc>
          <w:tcPr>
            <w:tcW w:w="1559" w:type="dxa"/>
            <w:vAlign w:val="center"/>
          </w:tcPr>
          <w:p>
            <w:pPr>
              <w:pStyle w:val="182"/>
              <w:bidi w:val="0"/>
              <w:rPr>
                <w:b/>
                <w:bCs/>
                <w:color w:val="auto"/>
                <w:u w:val="single"/>
              </w:rPr>
            </w:pPr>
            <w:r>
              <w:rPr>
                <w:rFonts w:hint="eastAsia"/>
                <w:b/>
                <w:bCs/>
                <w:color w:val="auto"/>
                <w:u w:val="single"/>
              </w:rPr>
              <w:t>产生量（</w:t>
            </w:r>
            <w:r>
              <w:rPr>
                <w:b/>
                <w:bCs/>
                <w:color w:val="auto"/>
                <w:u w:val="single"/>
              </w:rPr>
              <w:t>t/a</w:t>
            </w:r>
            <w:r>
              <w:rPr>
                <w:rFonts w:hint="eastAsia"/>
                <w:b/>
                <w:bCs/>
                <w:color w:val="auto"/>
                <w:u w:val="single"/>
              </w:rPr>
              <w:t>）</w:t>
            </w:r>
          </w:p>
        </w:tc>
        <w:tc>
          <w:tcPr>
            <w:tcW w:w="1276" w:type="dxa"/>
            <w:vAlign w:val="center"/>
          </w:tcPr>
          <w:p>
            <w:pPr>
              <w:pStyle w:val="182"/>
              <w:bidi w:val="0"/>
              <w:rPr>
                <w:b/>
                <w:bCs/>
                <w:color w:val="auto"/>
                <w:u w:val="single"/>
              </w:rPr>
            </w:pPr>
            <w:r>
              <w:rPr>
                <w:rFonts w:hint="eastAsia"/>
                <w:b/>
                <w:bCs/>
                <w:color w:val="auto"/>
                <w:u w:val="single"/>
              </w:rPr>
              <w:t>固废性质</w:t>
            </w:r>
          </w:p>
        </w:tc>
        <w:tc>
          <w:tcPr>
            <w:tcW w:w="1275" w:type="dxa"/>
            <w:vAlign w:val="center"/>
          </w:tcPr>
          <w:p>
            <w:pPr>
              <w:pStyle w:val="182"/>
              <w:bidi w:val="0"/>
              <w:rPr>
                <w:b/>
                <w:bCs/>
                <w:color w:val="auto"/>
                <w:u w:val="single"/>
              </w:rPr>
            </w:pPr>
            <w:r>
              <w:rPr>
                <w:rFonts w:hint="eastAsia"/>
                <w:b/>
                <w:bCs/>
                <w:color w:val="auto"/>
                <w:u w:val="single"/>
              </w:rPr>
              <w:t>产生位置</w:t>
            </w:r>
          </w:p>
        </w:tc>
        <w:tc>
          <w:tcPr>
            <w:tcW w:w="2659" w:type="dxa"/>
            <w:vAlign w:val="center"/>
          </w:tcPr>
          <w:p>
            <w:pPr>
              <w:pStyle w:val="182"/>
              <w:bidi w:val="0"/>
              <w:rPr>
                <w:b/>
                <w:bCs/>
                <w:color w:val="auto"/>
                <w:u w:val="single"/>
              </w:rPr>
            </w:pPr>
            <w:r>
              <w:rPr>
                <w:rFonts w:hint="eastAsia"/>
                <w:b/>
                <w:bCs/>
                <w:color w:val="auto"/>
                <w:u w:val="single"/>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b/>
                <w:bCs/>
                <w:color w:val="auto"/>
                <w:u w:val="single"/>
              </w:rPr>
            </w:pPr>
            <w:r>
              <w:rPr>
                <w:rFonts w:hint="eastAsia"/>
                <w:b/>
                <w:bCs/>
                <w:color w:val="auto"/>
                <w:u w:val="single"/>
              </w:rPr>
              <w:t>1</w:t>
            </w:r>
          </w:p>
        </w:tc>
        <w:tc>
          <w:tcPr>
            <w:tcW w:w="1276" w:type="dxa"/>
            <w:vAlign w:val="center"/>
          </w:tcPr>
          <w:p>
            <w:pPr>
              <w:pStyle w:val="182"/>
              <w:bidi w:val="0"/>
              <w:rPr>
                <w:b/>
                <w:bCs/>
                <w:color w:val="auto"/>
                <w:u w:val="single"/>
              </w:rPr>
            </w:pPr>
            <w:r>
              <w:rPr>
                <w:rFonts w:hint="eastAsia"/>
                <w:b/>
                <w:bCs/>
                <w:color w:val="auto"/>
                <w:u w:val="single"/>
              </w:rPr>
              <w:t>水力除杂沉淀池污泥</w:t>
            </w:r>
          </w:p>
        </w:tc>
        <w:tc>
          <w:tcPr>
            <w:tcW w:w="1559" w:type="dxa"/>
            <w:vAlign w:val="center"/>
          </w:tcPr>
          <w:p>
            <w:pPr>
              <w:pStyle w:val="182"/>
              <w:bidi w:val="0"/>
              <w:rPr>
                <w:rFonts w:hint="default"/>
                <w:b/>
                <w:bCs/>
                <w:color w:val="auto"/>
                <w:u w:val="single"/>
                <w:lang w:val="en-US"/>
              </w:rPr>
            </w:pPr>
            <w:r>
              <w:rPr>
                <w:rFonts w:hint="eastAsia"/>
                <w:b/>
                <w:bCs/>
                <w:color w:val="auto"/>
                <w:u w:val="single"/>
                <w:lang w:val="en-US" w:eastAsia="zh-CN"/>
              </w:rPr>
              <w:t>200</w:t>
            </w:r>
          </w:p>
        </w:tc>
        <w:tc>
          <w:tcPr>
            <w:tcW w:w="1276" w:type="dxa"/>
            <w:vAlign w:val="center"/>
          </w:tcPr>
          <w:p>
            <w:pPr>
              <w:pStyle w:val="182"/>
              <w:bidi w:val="0"/>
              <w:rPr>
                <w:b/>
                <w:bCs/>
                <w:color w:val="auto"/>
                <w:u w:val="single"/>
              </w:rPr>
            </w:pPr>
            <w:r>
              <w:rPr>
                <w:rFonts w:hint="eastAsia"/>
                <w:b/>
                <w:bCs/>
                <w:color w:val="auto"/>
                <w:u w:val="single"/>
              </w:rPr>
              <w:t>一般固废</w:t>
            </w:r>
          </w:p>
        </w:tc>
        <w:tc>
          <w:tcPr>
            <w:tcW w:w="1275" w:type="dxa"/>
            <w:vAlign w:val="center"/>
          </w:tcPr>
          <w:p>
            <w:pPr>
              <w:pStyle w:val="182"/>
              <w:bidi w:val="0"/>
              <w:rPr>
                <w:b/>
                <w:bCs/>
                <w:color w:val="auto"/>
                <w:u w:val="single"/>
              </w:rPr>
            </w:pPr>
            <w:r>
              <w:rPr>
                <w:rFonts w:hint="eastAsia"/>
                <w:b/>
                <w:bCs/>
                <w:color w:val="auto"/>
                <w:u w:val="single"/>
              </w:rPr>
              <w:t>水力除杂</w:t>
            </w:r>
          </w:p>
        </w:tc>
        <w:tc>
          <w:tcPr>
            <w:tcW w:w="2659" w:type="dxa"/>
            <w:vAlign w:val="center"/>
          </w:tcPr>
          <w:p>
            <w:pPr>
              <w:pStyle w:val="182"/>
              <w:bidi w:val="0"/>
              <w:rPr>
                <w:b/>
                <w:bCs/>
                <w:color w:val="auto"/>
                <w:u w:val="single"/>
              </w:rPr>
            </w:pPr>
            <w:r>
              <w:rPr>
                <w:rFonts w:hint="eastAsia"/>
                <w:b/>
                <w:bCs/>
                <w:color w:val="auto"/>
                <w:u w:val="single"/>
              </w:rPr>
              <w:t>依托现有一般固废暂存间（</w:t>
            </w:r>
            <w:r>
              <w:rPr>
                <w:rFonts w:hint="default"/>
                <w:b/>
                <w:bCs/>
                <w:color w:val="auto"/>
                <w:u w:val="single"/>
                <w:vertAlign w:val="baseline"/>
                <w:lang w:val="en-US" w:eastAsia="zh-CN"/>
              </w:rPr>
              <w:t>36m</w:t>
            </w:r>
            <w:r>
              <w:rPr>
                <w:rFonts w:hint="default"/>
                <w:b/>
                <w:bCs/>
                <w:color w:val="auto"/>
                <w:u w:val="single"/>
                <w:vertAlign w:val="superscript"/>
                <w:lang w:val="en-US" w:eastAsia="zh-CN"/>
              </w:rPr>
              <w:t>2</w:t>
            </w:r>
            <w:r>
              <w:rPr>
                <w:rFonts w:hint="eastAsia"/>
                <w:b/>
                <w:bCs/>
                <w:color w:val="auto"/>
                <w:u w:val="single"/>
              </w:rPr>
              <w:t>）暂存后，送厂区锅炉燃烧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2</w:t>
            </w:r>
          </w:p>
        </w:tc>
        <w:tc>
          <w:tcPr>
            <w:tcW w:w="1276" w:type="dxa"/>
            <w:vAlign w:val="center"/>
          </w:tcPr>
          <w:p>
            <w:pPr>
              <w:pStyle w:val="182"/>
              <w:bidi w:val="0"/>
              <w:rPr>
                <w:rFonts w:hint="default"/>
                <w:b/>
                <w:bCs/>
                <w:color w:val="auto"/>
                <w:u w:val="single"/>
                <w:lang w:val="en-US"/>
              </w:rPr>
            </w:pPr>
            <w:r>
              <w:rPr>
                <w:rFonts w:hint="eastAsia"/>
                <w:b/>
                <w:bCs/>
                <w:color w:val="auto"/>
                <w:u w:val="single"/>
                <w:lang w:val="en-US" w:eastAsia="zh-CN"/>
              </w:rPr>
              <w:t>后续工序未煮解滤渣</w:t>
            </w:r>
          </w:p>
        </w:tc>
        <w:tc>
          <w:tcPr>
            <w:tcW w:w="1559" w:type="dxa"/>
            <w:vAlign w:val="center"/>
          </w:tcPr>
          <w:p>
            <w:pPr>
              <w:pStyle w:val="182"/>
              <w:bidi w:val="0"/>
              <w:rPr>
                <w:rFonts w:hint="default"/>
                <w:b/>
                <w:bCs/>
                <w:color w:val="auto"/>
                <w:u w:val="single"/>
                <w:lang w:val="en-US" w:eastAsia="zh-CN"/>
              </w:rPr>
            </w:pPr>
            <w:r>
              <w:rPr>
                <w:rFonts w:hint="eastAsia"/>
                <w:b/>
                <w:bCs/>
                <w:color w:val="auto"/>
                <w:u w:val="single"/>
                <w:lang w:val="en-US" w:eastAsia="zh-CN"/>
              </w:rPr>
              <w:t>500</w:t>
            </w:r>
          </w:p>
        </w:tc>
        <w:tc>
          <w:tcPr>
            <w:tcW w:w="1276" w:type="dxa"/>
            <w:vAlign w:val="center"/>
          </w:tcPr>
          <w:p>
            <w:pPr>
              <w:pStyle w:val="182"/>
              <w:bidi w:val="0"/>
              <w:rPr>
                <w:rFonts w:hint="eastAsia"/>
                <w:b/>
                <w:bCs/>
                <w:color w:val="auto"/>
                <w:u w:val="single"/>
              </w:rPr>
            </w:pPr>
            <w:r>
              <w:rPr>
                <w:rFonts w:hint="eastAsia"/>
                <w:b/>
                <w:bCs/>
                <w:color w:val="auto"/>
                <w:u w:val="single"/>
              </w:rPr>
              <w:t>一般固废</w:t>
            </w:r>
          </w:p>
        </w:tc>
        <w:tc>
          <w:tcPr>
            <w:tcW w:w="1275"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蒸煮挤浆</w:t>
            </w:r>
          </w:p>
        </w:tc>
        <w:tc>
          <w:tcPr>
            <w:tcW w:w="2659" w:type="dxa"/>
            <w:vAlign w:val="center"/>
          </w:tcPr>
          <w:p>
            <w:pPr>
              <w:pStyle w:val="182"/>
              <w:bidi w:val="0"/>
              <w:rPr>
                <w:rFonts w:hint="eastAsia"/>
                <w:b/>
                <w:bCs/>
                <w:color w:val="auto"/>
                <w:u w:val="single"/>
              </w:rPr>
            </w:pPr>
            <w:r>
              <w:rPr>
                <w:rFonts w:hint="eastAsia"/>
                <w:b/>
                <w:bCs/>
                <w:color w:val="auto"/>
                <w:u w:val="single"/>
              </w:rPr>
              <w:t>依托现有一般固废暂存间（</w:t>
            </w:r>
            <w:r>
              <w:rPr>
                <w:rFonts w:hint="default"/>
                <w:b/>
                <w:bCs/>
                <w:color w:val="auto"/>
                <w:u w:val="single"/>
                <w:vertAlign w:val="baseline"/>
                <w:lang w:val="en-US" w:eastAsia="zh-CN"/>
              </w:rPr>
              <w:t>36m</w:t>
            </w:r>
            <w:r>
              <w:rPr>
                <w:rFonts w:hint="default"/>
                <w:b/>
                <w:bCs/>
                <w:color w:val="auto"/>
                <w:u w:val="single"/>
                <w:vertAlign w:val="superscript"/>
                <w:lang w:val="en-US" w:eastAsia="zh-CN"/>
              </w:rPr>
              <w:t>2</w:t>
            </w:r>
            <w:r>
              <w:rPr>
                <w:rFonts w:hint="eastAsia"/>
                <w:b/>
                <w:bCs/>
                <w:color w:val="auto"/>
                <w:u w:val="single"/>
              </w:rPr>
              <w:t>）暂存后，送厂区锅炉燃烧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rFonts w:hint="eastAsia" w:eastAsia="宋体"/>
                <w:b/>
                <w:bCs/>
                <w:color w:val="auto"/>
                <w:u w:val="single"/>
                <w:lang w:eastAsia="zh-CN"/>
              </w:rPr>
            </w:pPr>
            <w:r>
              <w:rPr>
                <w:rFonts w:hint="eastAsia"/>
                <w:b/>
                <w:bCs/>
                <w:color w:val="auto"/>
                <w:u w:val="single"/>
                <w:lang w:val="en-US" w:eastAsia="zh-CN"/>
              </w:rPr>
              <w:t>3</w:t>
            </w:r>
          </w:p>
        </w:tc>
        <w:tc>
          <w:tcPr>
            <w:tcW w:w="1276" w:type="dxa"/>
            <w:vAlign w:val="center"/>
          </w:tcPr>
          <w:p>
            <w:pPr>
              <w:pStyle w:val="182"/>
              <w:bidi w:val="0"/>
              <w:rPr>
                <w:b/>
                <w:bCs/>
                <w:color w:val="auto"/>
                <w:u w:val="single"/>
              </w:rPr>
            </w:pPr>
            <w:r>
              <w:rPr>
                <w:rFonts w:hint="eastAsia"/>
                <w:b/>
                <w:bCs/>
                <w:color w:val="auto"/>
                <w:u w:val="single"/>
              </w:rPr>
              <w:t>废包装袋</w:t>
            </w:r>
          </w:p>
        </w:tc>
        <w:tc>
          <w:tcPr>
            <w:tcW w:w="1559"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0.048</w:t>
            </w:r>
          </w:p>
        </w:tc>
        <w:tc>
          <w:tcPr>
            <w:tcW w:w="1276" w:type="dxa"/>
            <w:vAlign w:val="center"/>
          </w:tcPr>
          <w:p>
            <w:pPr>
              <w:pStyle w:val="182"/>
              <w:bidi w:val="0"/>
              <w:rPr>
                <w:b/>
                <w:bCs/>
                <w:color w:val="auto"/>
                <w:u w:val="single"/>
              </w:rPr>
            </w:pPr>
            <w:r>
              <w:rPr>
                <w:rFonts w:hint="eastAsia"/>
                <w:b/>
                <w:bCs/>
                <w:color w:val="auto"/>
                <w:u w:val="single"/>
              </w:rPr>
              <w:t>危险固废</w:t>
            </w:r>
          </w:p>
        </w:tc>
        <w:tc>
          <w:tcPr>
            <w:tcW w:w="1275" w:type="dxa"/>
            <w:vAlign w:val="center"/>
          </w:tcPr>
          <w:p>
            <w:pPr>
              <w:pStyle w:val="182"/>
              <w:bidi w:val="0"/>
              <w:rPr>
                <w:b/>
                <w:bCs/>
                <w:color w:val="auto"/>
                <w:u w:val="single"/>
              </w:rPr>
            </w:pPr>
            <w:r>
              <w:rPr>
                <w:rFonts w:hint="eastAsia"/>
                <w:b/>
                <w:bCs/>
                <w:color w:val="auto"/>
                <w:u w:val="single"/>
              </w:rPr>
              <w:t>原料库</w:t>
            </w:r>
          </w:p>
        </w:tc>
        <w:tc>
          <w:tcPr>
            <w:tcW w:w="2659" w:type="dxa"/>
            <w:vAlign w:val="center"/>
          </w:tcPr>
          <w:p>
            <w:pPr>
              <w:pStyle w:val="182"/>
              <w:bidi w:val="0"/>
              <w:rPr>
                <w:b/>
                <w:bCs/>
                <w:color w:val="auto"/>
                <w:u w:val="single"/>
              </w:rPr>
            </w:pPr>
            <w:r>
              <w:rPr>
                <w:rFonts w:hint="eastAsia"/>
                <w:b/>
                <w:bCs/>
                <w:color w:val="auto"/>
                <w:u w:val="single"/>
              </w:rPr>
              <w:t>危废间暂存，定期交由有资质的单位进行处置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rFonts w:hint="eastAsia" w:eastAsia="宋体"/>
                <w:b/>
                <w:bCs/>
                <w:color w:val="auto"/>
                <w:u w:val="single"/>
                <w:lang w:eastAsia="zh-CN"/>
              </w:rPr>
            </w:pPr>
            <w:r>
              <w:rPr>
                <w:rFonts w:hint="eastAsia"/>
                <w:b/>
                <w:bCs/>
                <w:color w:val="auto"/>
                <w:u w:val="single"/>
                <w:lang w:val="en-US" w:eastAsia="zh-CN"/>
              </w:rPr>
              <w:t>4</w:t>
            </w:r>
          </w:p>
        </w:tc>
        <w:tc>
          <w:tcPr>
            <w:tcW w:w="1276" w:type="dxa"/>
            <w:vAlign w:val="center"/>
          </w:tcPr>
          <w:p>
            <w:pPr>
              <w:pStyle w:val="182"/>
              <w:bidi w:val="0"/>
              <w:rPr>
                <w:b/>
                <w:bCs/>
                <w:color w:val="auto"/>
                <w:u w:val="single"/>
              </w:rPr>
            </w:pPr>
            <w:r>
              <w:rPr>
                <w:rFonts w:hint="eastAsia"/>
                <w:b/>
                <w:bCs/>
                <w:color w:val="auto"/>
                <w:u w:val="single"/>
              </w:rPr>
              <w:t>生活垃圾</w:t>
            </w:r>
          </w:p>
        </w:tc>
        <w:tc>
          <w:tcPr>
            <w:tcW w:w="1559" w:type="dxa"/>
            <w:vAlign w:val="center"/>
          </w:tcPr>
          <w:p>
            <w:pPr>
              <w:pStyle w:val="182"/>
              <w:bidi w:val="0"/>
              <w:rPr>
                <w:b/>
                <w:bCs/>
                <w:color w:val="auto"/>
                <w:u w:val="single"/>
              </w:rPr>
            </w:pPr>
            <w:r>
              <w:rPr>
                <w:rFonts w:hint="eastAsia"/>
                <w:b/>
                <w:bCs/>
                <w:color w:val="auto"/>
                <w:u w:val="single"/>
              </w:rPr>
              <w:t>1</w:t>
            </w:r>
            <w:r>
              <w:rPr>
                <w:b/>
                <w:bCs/>
                <w:color w:val="auto"/>
                <w:u w:val="single"/>
              </w:rPr>
              <w:t>6.5</w:t>
            </w:r>
          </w:p>
        </w:tc>
        <w:tc>
          <w:tcPr>
            <w:tcW w:w="1276" w:type="dxa"/>
            <w:vAlign w:val="center"/>
          </w:tcPr>
          <w:p>
            <w:pPr>
              <w:pStyle w:val="182"/>
              <w:bidi w:val="0"/>
              <w:rPr>
                <w:b/>
                <w:bCs/>
                <w:color w:val="auto"/>
                <w:u w:val="single"/>
              </w:rPr>
            </w:pPr>
            <w:r>
              <w:rPr>
                <w:rFonts w:hint="eastAsia"/>
                <w:b/>
                <w:bCs/>
                <w:color w:val="auto"/>
                <w:u w:val="single"/>
              </w:rPr>
              <w:t>一般固废</w:t>
            </w:r>
          </w:p>
        </w:tc>
        <w:tc>
          <w:tcPr>
            <w:tcW w:w="1275" w:type="dxa"/>
            <w:vAlign w:val="center"/>
          </w:tcPr>
          <w:p>
            <w:pPr>
              <w:pStyle w:val="182"/>
              <w:bidi w:val="0"/>
              <w:rPr>
                <w:b/>
                <w:bCs/>
                <w:color w:val="auto"/>
                <w:u w:val="single"/>
              </w:rPr>
            </w:pPr>
            <w:r>
              <w:rPr>
                <w:rFonts w:hint="eastAsia"/>
                <w:b/>
                <w:bCs/>
                <w:color w:val="auto"/>
                <w:u w:val="single"/>
              </w:rPr>
              <w:t>厂区</w:t>
            </w:r>
          </w:p>
        </w:tc>
        <w:tc>
          <w:tcPr>
            <w:tcW w:w="2659" w:type="dxa"/>
            <w:vAlign w:val="center"/>
          </w:tcPr>
          <w:p>
            <w:pPr>
              <w:pStyle w:val="182"/>
              <w:bidi w:val="0"/>
              <w:rPr>
                <w:b/>
                <w:bCs/>
                <w:color w:val="auto"/>
                <w:u w:val="single"/>
              </w:rPr>
            </w:pPr>
            <w:r>
              <w:rPr>
                <w:rFonts w:hint="eastAsia"/>
                <w:b/>
                <w:bCs/>
                <w:color w:val="auto"/>
                <w:u w:val="single"/>
              </w:rPr>
              <w:t>集中收集后送环卫部门指定地点处理</w:t>
            </w:r>
          </w:p>
        </w:tc>
      </w:tr>
    </w:tbl>
    <w:p>
      <w:pPr>
        <w:bidi w:val="0"/>
        <w:rPr>
          <w:rFonts w:hint="default" w:eastAsia="宋体"/>
          <w:b/>
          <w:bCs/>
          <w:color w:val="auto"/>
          <w:u w:val="single"/>
          <w:lang w:val="en-US" w:eastAsia="zh-CN"/>
        </w:rPr>
      </w:pPr>
      <w:r>
        <w:rPr>
          <w:rFonts w:hint="eastAsia"/>
          <w:b/>
          <w:bCs/>
          <w:color w:val="auto"/>
          <w:u w:val="single"/>
        </w:rPr>
        <w:t>本项目危险废物基本情况及贮存场所情况见表</w:t>
      </w:r>
      <w:r>
        <w:rPr>
          <w:b/>
          <w:bCs/>
          <w:color w:val="auto"/>
          <w:u w:val="single"/>
        </w:rPr>
        <w:t>3.</w:t>
      </w:r>
      <w:r>
        <w:rPr>
          <w:rFonts w:hint="eastAsia"/>
          <w:b/>
          <w:bCs/>
          <w:color w:val="auto"/>
          <w:u w:val="single"/>
          <w:lang w:val="en-US" w:eastAsia="zh-CN"/>
        </w:rPr>
        <w:t>8</w:t>
      </w:r>
      <w:r>
        <w:rPr>
          <w:rFonts w:hint="eastAsia"/>
          <w:b/>
          <w:bCs/>
          <w:color w:val="auto"/>
          <w:u w:val="single"/>
        </w:rPr>
        <w:t>-</w:t>
      </w:r>
      <w:r>
        <w:rPr>
          <w:rFonts w:hint="eastAsia"/>
          <w:b/>
          <w:bCs/>
          <w:color w:val="auto"/>
          <w:u w:val="single"/>
          <w:lang w:val="en-US" w:eastAsia="zh-CN"/>
        </w:rPr>
        <w:t>30</w:t>
      </w:r>
      <w:r>
        <w:rPr>
          <w:rFonts w:hint="eastAsia"/>
          <w:b/>
          <w:bCs/>
          <w:color w:val="auto"/>
          <w:u w:val="single"/>
        </w:rPr>
        <w:t>、表</w:t>
      </w:r>
      <w:r>
        <w:rPr>
          <w:b/>
          <w:bCs/>
          <w:color w:val="auto"/>
          <w:u w:val="single"/>
        </w:rPr>
        <w:t>3.</w:t>
      </w:r>
      <w:r>
        <w:rPr>
          <w:rFonts w:hint="eastAsia"/>
          <w:b/>
          <w:bCs/>
          <w:color w:val="auto"/>
          <w:u w:val="single"/>
          <w:lang w:val="en-US" w:eastAsia="zh-CN"/>
        </w:rPr>
        <w:t>8-31。</w:t>
      </w:r>
    </w:p>
    <w:p>
      <w:pPr>
        <w:pStyle w:val="181"/>
        <w:bidi w:val="0"/>
        <w:rPr>
          <w:color w:val="auto"/>
        </w:rPr>
      </w:pPr>
      <w:r>
        <w:rPr>
          <w:rFonts w:hint="eastAsia"/>
          <w:color w:val="auto"/>
        </w:rPr>
        <w:t>表</w:t>
      </w:r>
      <w:r>
        <w:rPr>
          <w:color w:val="auto"/>
        </w:rPr>
        <w:t>3.</w:t>
      </w:r>
      <w:r>
        <w:rPr>
          <w:rFonts w:hint="eastAsia"/>
          <w:color w:val="auto"/>
          <w:lang w:val="en-US" w:eastAsia="zh-CN"/>
        </w:rPr>
        <w:t>8</w:t>
      </w:r>
      <w:r>
        <w:rPr>
          <w:rFonts w:hint="eastAsia"/>
          <w:color w:val="auto"/>
        </w:rPr>
        <w:t>-</w:t>
      </w:r>
      <w:r>
        <w:rPr>
          <w:rFonts w:hint="eastAsia"/>
          <w:color w:val="auto"/>
          <w:lang w:val="en-US" w:eastAsia="zh-CN"/>
        </w:rPr>
        <w:t>30</w:t>
      </w:r>
      <w:r>
        <w:rPr>
          <w:color w:val="auto"/>
        </w:rPr>
        <w:t xml:space="preserve">  </w:t>
      </w:r>
      <w:r>
        <w:rPr>
          <w:rFonts w:hint="eastAsia"/>
          <w:color w:val="auto"/>
          <w:lang w:val="en-US" w:eastAsia="zh-CN"/>
        </w:rPr>
        <w:t xml:space="preserve">            </w:t>
      </w:r>
      <w:r>
        <w:rPr>
          <w:rFonts w:hint="eastAsia"/>
          <w:color w:val="auto"/>
        </w:rPr>
        <w:t>危险废物汇总表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841"/>
        <w:gridCol w:w="985"/>
        <w:gridCol w:w="871"/>
        <w:gridCol w:w="834"/>
        <w:gridCol w:w="628"/>
        <w:gridCol w:w="629"/>
        <w:gridCol w:w="629"/>
        <w:gridCol w:w="629"/>
        <w:gridCol w:w="504"/>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jc w:val="center"/>
        </w:trPr>
        <w:tc>
          <w:tcPr>
            <w:tcW w:w="467" w:type="pct"/>
            <w:vAlign w:val="center"/>
          </w:tcPr>
          <w:p>
            <w:pPr>
              <w:pStyle w:val="182"/>
              <w:bidi w:val="0"/>
              <w:rPr>
                <w:b/>
                <w:bCs/>
                <w:color w:val="auto"/>
                <w:u w:val="single"/>
              </w:rPr>
            </w:pPr>
            <w:r>
              <w:rPr>
                <w:rFonts w:hint="eastAsia"/>
                <w:b/>
                <w:bCs/>
                <w:color w:val="auto"/>
                <w:u w:val="single"/>
              </w:rPr>
              <w:t>危险废物名称</w:t>
            </w:r>
          </w:p>
        </w:tc>
        <w:tc>
          <w:tcPr>
            <w:tcW w:w="493" w:type="pct"/>
            <w:vAlign w:val="center"/>
          </w:tcPr>
          <w:p>
            <w:pPr>
              <w:pStyle w:val="182"/>
              <w:bidi w:val="0"/>
              <w:rPr>
                <w:b/>
                <w:bCs/>
                <w:color w:val="auto"/>
                <w:u w:val="single"/>
              </w:rPr>
            </w:pPr>
            <w:r>
              <w:rPr>
                <w:rFonts w:hint="eastAsia"/>
                <w:b/>
                <w:bCs/>
                <w:color w:val="auto"/>
                <w:u w:val="single"/>
              </w:rPr>
              <w:t>危险废物类别</w:t>
            </w:r>
          </w:p>
        </w:tc>
        <w:tc>
          <w:tcPr>
            <w:tcW w:w="578" w:type="pct"/>
            <w:vAlign w:val="center"/>
          </w:tcPr>
          <w:p>
            <w:pPr>
              <w:pStyle w:val="182"/>
              <w:bidi w:val="0"/>
              <w:rPr>
                <w:b/>
                <w:bCs/>
                <w:color w:val="auto"/>
                <w:u w:val="single"/>
              </w:rPr>
            </w:pPr>
            <w:r>
              <w:rPr>
                <w:rFonts w:hint="eastAsia"/>
                <w:b/>
                <w:bCs/>
                <w:color w:val="auto"/>
                <w:u w:val="single"/>
              </w:rPr>
              <w:t>危险废物代码</w:t>
            </w:r>
          </w:p>
        </w:tc>
        <w:tc>
          <w:tcPr>
            <w:tcW w:w="511" w:type="pct"/>
            <w:vAlign w:val="center"/>
          </w:tcPr>
          <w:p>
            <w:pPr>
              <w:pStyle w:val="182"/>
              <w:bidi w:val="0"/>
              <w:rPr>
                <w:b/>
                <w:bCs/>
                <w:color w:val="auto"/>
                <w:u w:val="single"/>
              </w:rPr>
            </w:pPr>
            <w:r>
              <w:rPr>
                <w:rFonts w:hint="eastAsia"/>
                <w:b/>
                <w:bCs/>
                <w:color w:val="auto"/>
                <w:u w:val="single"/>
              </w:rPr>
              <w:t>产生量（</w:t>
            </w:r>
            <w:r>
              <w:rPr>
                <w:b/>
                <w:bCs/>
                <w:color w:val="auto"/>
                <w:u w:val="single"/>
              </w:rPr>
              <w:t>t/a</w:t>
            </w:r>
            <w:r>
              <w:rPr>
                <w:rFonts w:hint="eastAsia"/>
                <w:b/>
                <w:bCs/>
                <w:color w:val="auto"/>
                <w:u w:val="single"/>
              </w:rPr>
              <w:t>）</w:t>
            </w:r>
          </w:p>
        </w:tc>
        <w:tc>
          <w:tcPr>
            <w:tcW w:w="489" w:type="pct"/>
            <w:vAlign w:val="center"/>
          </w:tcPr>
          <w:p>
            <w:pPr>
              <w:pStyle w:val="182"/>
              <w:bidi w:val="0"/>
              <w:rPr>
                <w:b/>
                <w:bCs/>
                <w:color w:val="auto"/>
                <w:u w:val="single"/>
              </w:rPr>
            </w:pPr>
            <w:r>
              <w:rPr>
                <w:rFonts w:hint="eastAsia"/>
                <w:b/>
                <w:bCs/>
                <w:color w:val="auto"/>
                <w:u w:val="single"/>
              </w:rPr>
              <w:t>产生工序及装置</w:t>
            </w:r>
          </w:p>
        </w:tc>
        <w:tc>
          <w:tcPr>
            <w:tcW w:w="368" w:type="pct"/>
            <w:vAlign w:val="center"/>
          </w:tcPr>
          <w:p>
            <w:pPr>
              <w:pStyle w:val="182"/>
              <w:bidi w:val="0"/>
              <w:rPr>
                <w:b/>
                <w:bCs/>
                <w:color w:val="auto"/>
                <w:u w:val="single"/>
              </w:rPr>
            </w:pPr>
            <w:r>
              <w:rPr>
                <w:rFonts w:hint="eastAsia"/>
                <w:b/>
                <w:bCs/>
                <w:color w:val="auto"/>
                <w:u w:val="single"/>
              </w:rPr>
              <w:t>形态</w:t>
            </w:r>
          </w:p>
        </w:tc>
        <w:tc>
          <w:tcPr>
            <w:tcW w:w="369" w:type="pct"/>
            <w:vAlign w:val="center"/>
          </w:tcPr>
          <w:p>
            <w:pPr>
              <w:pStyle w:val="182"/>
              <w:bidi w:val="0"/>
              <w:rPr>
                <w:b/>
                <w:bCs/>
                <w:color w:val="auto"/>
                <w:u w:val="single"/>
              </w:rPr>
            </w:pPr>
            <w:r>
              <w:rPr>
                <w:rFonts w:hint="eastAsia"/>
                <w:b/>
                <w:bCs/>
                <w:color w:val="auto"/>
                <w:u w:val="single"/>
              </w:rPr>
              <w:t>主要成分</w:t>
            </w:r>
          </w:p>
        </w:tc>
        <w:tc>
          <w:tcPr>
            <w:tcW w:w="369" w:type="pct"/>
            <w:vAlign w:val="center"/>
          </w:tcPr>
          <w:p>
            <w:pPr>
              <w:pStyle w:val="182"/>
              <w:bidi w:val="0"/>
              <w:rPr>
                <w:b/>
                <w:bCs/>
                <w:color w:val="auto"/>
                <w:u w:val="single"/>
              </w:rPr>
            </w:pPr>
            <w:r>
              <w:rPr>
                <w:rFonts w:hint="eastAsia"/>
                <w:b/>
                <w:bCs/>
                <w:color w:val="auto"/>
                <w:u w:val="single"/>
              </w:rPr>
              <w:t>有害成分</w:t>
            </w:r>
          </w:p>
        </w:tc>
        <w:tc>
          <w:tcPr>
            <w:tcW w:w="369" w:type="pct"/>
            <w:vAlign w:val="center"/>
          </w:tcPr>
          <w:p>
            <w:pPr>
              <w:pStyle w:val="182"/>
              <w:bidi w:val="0"/>
              <w:rPr>
                <w:b/>
                <w:bCs/>
                <w:color w:val="auto"/>
                <w:u w:val="single"/>
              </w:rPr>
            </w:pPr>
            <w:r>
              <w:rPr>
                <w:rFonts w:hint="eastAsia"/>
                <w:b/>
                <w:bCs/>
                <w:color w:val="auto"/>
                <w:u w:val="single"/>
              </w:rPr>
              <w:t>产废周期</w:t>
            </w:r>
          </w:p>
        </w:tc>
        <w:tc>
          <w:tcPr>
            <w:tcW w:w="295" w:type="pct"/>
            <w:vAlign w:val="center"/>
          </w:tcPr>
          <w:p>
            <w:pPr>
              <w:pStyle w:val="182"/>
              <w:bidi w:val="0"/>
              <w:rPr>
                <w:b/>
                <w:bCs/>
                <w:color w:val="auto"/>
                <w:u w:val="single"/>
              </w:rPr>
            </w:pPr>
            <w:r>
              <w:rPr>
                <w:rFonts w:hint="eastAsia"/>
                <w:b/>
                <w:bCs/>
                <w:color w:val="auto"/>
                <w:u w:val="single"/>
              </w:rPr>
              <w:t>危险</w:t>
            </w:r>
          </w:p>
          <w:p>
            <w:pPr>
              <w:pStyle w:val="182"/>
              <w:bidi w:val="0"/>
              <w:rPr>
                <w:b/>
                <w:bCs/>
                <w:color w:val="auto"/>
                <w:u w:val="single"/>
              </w:rPr>
            </w:pPr>
            <w:r>
              <w:rPr>
                <w:rFonts w:hint="eastAsia"/>
                <w:b/>
                <w:bCs/>
                <w:color w:val="auto"/>
                <w:u w:val="single"/>
              </w:rPr>
              <w:t>特性</w:t>
            </w:r>
          </w:p>
        </w:tc>
        <w:tc>
          <w:tcPr>
            <w:tcW w:w="688" w:type="pct"/>
            <w:vAlign w:val="center"/>
          </w:tcPr>
          <w:p>
            <w:pPr>
              <w:pStyle w:val="182"/>
              <w:bidi w:val="0"/>
              <w:rPr>
                <w:b/>
                <w:bCs/>
                <w:color w:val="auto"/>
                <w:u w:val="single"/>
              </w:rPr>
            </w:pPr>
            <w:r>
              <w:rPr>
                <w:rFonts w:hint="eastAsia"/>
                <w:b/>
                <w:bCs/>
                <w:color w:val="auto"/>
                <w:u w:val="single"/>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67" w:type="pct"/>
            <w:vAlign w:val="center"/>
          </w:tcPr>
          <w:p>
            <w:pPr>
              <w:pStyle w:val="182"/>
              <w:bidi w:val="0"/>
              <w:rPr>
                <w:b/>
                <w:bCs/>
                <w:color w:val="auto"/>
                <w:u w:val="single"/>
              </w:rPr>
            </w:pPr>
            <w:r>
              <w:rPr>
                <w:rFonts w:hint="eastAsia"/>
                <w:b/>
                <w:bCs/>
                <w:color w:val="auto"/>
                <w:u w:val="single"/>
              </w:rPr>
              <w:t>废包装袋</w:t>
            </w:r>
          </w:p>
        </w:tc>
        <w:tc>
          <w:tcPr>
            <w:tcW w:w="493" w:type="pct"/>
            <w:vAlign w:val="center"/>
          </w:tcPr>
          <w:p>
            <w:pPr>
              <w:pStyle w:val="182"/>
              <w:bidi w:val="0"/>
              <w:rPr>
                <w:b/>
                <w:bCs/>
                <w:color w:val="auto"/>
                <w:u w:val="single"/>
              </w:rPr>
            </w:pPr>
            <w:r>
              <w:rPr>
                <w:b/>
                <w:bCs/>
                <w:color w:val="auto"/>
                <w:u w:val="single"/>
              </w:rPr>
              <w:t>HW</w:t>
            </w:r>
            <w:r>
              <w:rPr>
                <w:rFonts w:hint="eastAsia"/>
                <w:b/>
                <w:bCs/>
                <w:color w:val="auto"/>
                <w:u w:val="single"/>
                <w:lang w:val="en-US" w:eastAsia="zh-CN"/>
              </w:rPr>
              <w:t>49</w:t>
            </w:r>
          </w:p>
        </w:tc>
        <w:tc>
          <w:tcPr>
            <w:tcW w:w="578" w:type="pct"/>
            <w:vAlign w:val="center"/>
          </w:tcPr>
          <w:p>
            <w:pPr>
              <w:pStyle w:val="182"/>
              <w:bidi w:val="0"/>
              <w:rPr>
                <w:b/>
                <w:bCs/>
                <w:color w:val="auto"/>
                <w:u w:val="single"/>
              </w:rPr>
            </w:pPr>
            <w:r>
              <w:rPr>
                <w:rFonts w:hint="default"/>
                <w:b/>
                <w:bCs/>
                <w:color w:val="auto"/>
                <w:u w:val="single"/>
              </w:rPr>
              <w:t>900-041-49</w:t>
            </w:r>
          </w:p>
        </w:tc>
        <w:tc>
          <w:tcPr>
            <w:tcW w:w="511" w:type="pct"/>
            <w:vAlign w:val="center"/>
          </w:tcPr>
          <w:p>
            <w:pPr>
              <w:pStyle w:val="182"/>
              <w:bidi w:val="0"/>
              <w:rPr>
                <w:b/>
                <w:bCs/>
                <w:color w:val="auto"/>
                <w:u w:val="single"/>
              </w:rPr>
            </w:pPr>
            <w:r>
              <w:rPr>
                <w:rFonts w:hint="eastAsia"/>
                <w:b/>
                <w:bCs/>
                <w:color w:val="auto"/>
                <w:u w:val="single"/>
                <w:lang w:val="en-US" w:eastAsia="zh-CN"/>
              </w:rPr>
              <w:t>0.048</w:t>
            </w:r>
          </w:p>
        </w:tc>
        <w:tc>
          <w:tcPr>
            <w:tcW w:w="489" w:type="pct"/>
            <w:vAlign w:val="center"/>
          </w:tcPr>
          <w:p>
            <w:pPr>
              <w:pStyle w:val="182"/>
              <w:bidi w:val="0"/>
              <w:rPr>
                <w:b/>
                <w:bCs/>
                <w:color w:val="auto"/>
                <w:u w:val="single"/>
              </w:rPr>
            </w:pPr>
            <w:r>
              <w:rPr>
                <w:rFonts w:hint="eastAsia"/>
                <w:b/>
                <w:bCs/>
                <w:color w:val="auto"/>
                <w:u w:val="single"/>
              </w:rPr>
              <w:t>原料包装</w:t>
            </w:r>
          </w:p>
        </w:tc>
        <w:tc>
          <w:tcPr>
            <w:tcW w:w="368" w:type="pct"/>
            <w:vAlign w:val="center"/>
          </w:tcPr>
          <w:p>
            <w:pPr>
              <w:pStyle w:val="182"/>
              <w:bidi w:val="0"/>
              <w:rPr>
                <w:b/>
                <w:bCs/>
                <w:color w:val="auto"/>
                <w:u w:val="single"/>
              </w:rPr>
            </w:pPr>
            <w:r>
              <w:rPr>
                <w:rFonts w:hint="eastAsia"/>
                <w:b/>
                <w:bCs/>
                <w:color w:val="auto"/>
                <w:u w:val="single"/>
              </w:rPr>
              <w:t>固态</w:t>
            </w:r>
          </w:p>
        </w:tc>
        <w:tc>
          <w:tcPr>
            <w:tcW w:w="369" w:type="pct"/>
            <w:vAlign w:val="center"/>
          </w:tcPr>
          <w:p>
            <w:pPr>
              <w:pStyle w:val="182"/>
              <w:bidi w:val="0"/>
              <w:rPr>
                <w:b/>
                <w:bCs/>
                <w:color w:val="auto"/>
                <w:u w:val="single"/>
              </w:rPr>
            </w:pPr>
            <w:r>
              <w:rPr>
                <w:rFonts w:hint="eastAsia"/>
                <w:b/>
                <w:bCs/>
                <w:color w:val="auto"/>
                <w:u w:val="single"/>
              </w:rPr>
              <w:t>固体二氧化氯释放剂</w:t>
            </w:r>
          </w:p>
        </w:tc>
        <w:tc>
          <w:tcPr>
            <w:tcW w:w="369" w:type="pct"/>
            <w:vAlign w:val="center"/>
          </w:tcPr>
          <w:p>
            <w:pPr>
              <w:pStyle w:val="182"/>
              <w:bidi w:val="0"/>
              <w:rPr>
                <w:b/>
                <w:bCs/>
                <w:color w:val="auto"/>
                <w:u w:val="single"/>
              </w:rPr>
            </w:pPr>
            <w:r>
              <w:rPr>
                <w:rFonts w:hint="eastAsia"/>
                <w:b/>
                <w:bCs/>
                <w:color w:val="auto"/>
                <w:u w:val="single"/>
              </w:rPr>
              <w:t>固体二氧化氯释放剂</w:t>
            </w:r>
          </w:p>
        </w:tc>
        <w:tc>
          <w:tcPr>
            <w:tcW w:w="369" w:type="pct"/>
            <w:vAlign w:val="center"/>
          </w:tcPr>
          <w:p>
            <w:pPr>
              <w:pStyle w:val="182"/>
              <w:bidi w:val="0"/>
              <w:rPr>
                <w:b/>
                <w:bCs/>
                <w:color w:val="auto"/>
                <w:u w:val="single"/>
              </w:rPr>
            </w:pPr>
            <w:r>
              <w:rPr>
                <w:rFonts w:hint="eastAsia"/>
                <w:b/>
                <w:bCs/>
                <w:color w:val="auto"/>
                <w:u w:val="single"/>
              </w:rPr>
              <w:t>每天</w:t>
            </w:r>
          </w:p>
        </w:tc>
        <w:tc>
          <w:tcPr>
            <w:tcW w:w="295" w:type="pct"/>
            <w:vAlign w:val="center"/>
          </w:tcPr>
          <w:p>
            <w:pPr>
              <w:pStyle w:val="182"/>
              <w:bidi w:val="0"/>
              <w:rPr>
                <w:b/>
                <w:bCs/>
                <w:color w:val="auto"/>
                <w:u w:val="single"/>
              </w:rPr>
            </w:pPr>
            <w:r>
              <w:rPr>
                <w:rFonts w:hint="eastAsia"/>
                <w:b/>
                <w:bCs/>
                <w:color w:val="auto"/>
                <w:u w:val="single"/>
              </w:rPr>
              <w:t>毒性</w:t>
            </w:r>
          </w:p>
        </w:tc>
        <w:tc>
          <w:tcPr>
            <w:tcW w:w="688" w:type="pct"/>
            <w:vAlign w:val="center"/>
          </w:tcPr>
          <w:p>
            <w:pPr>
              <w:pStyle w:val="182"/>
              <w:bidi w:val="0"/>
              <w:rPr>
                <w:b/>
                <w:bCs/>
                <w:color w:val="auto"/>
                <w:u w:val="single"/>
              </w:rPr>
            </w:pPr>
            <w:r>
              <w:rPr>
                <w:rFonts w:hint="eastAsia"/>
                <w:b/>
                <w:bCs/>
                <w:color w:val="auto"/>
                <w:u w:val="single"/>
              </w:rPr>
              <w:t>危废暂存间贮存，交由有资质单位进行处置。</w:t>
            </w:r>
          </w:p>
        </w:tc>
      </w:tr>
    </w:tbl>
    <w:p>
      <w:pPr>
        <w:pStyle w:val="181"/>
        <w:bidi w:val="0"/>
        <w:rPr>
          <w:color w:val="auto"/>
        </w:rPr>
      </w:pPr>
      <w:r>
        <w:rPr>
          <w:rFonts w:hint="eastAsia"/>
          <w:color w:val="auto"/>
        </w:rPr>
        <w:t>表</w:t>
      </w:r>
      <w:r>
        <w:rPr>
          <w:color w:val="auto"/>
        </w:rPr>
        <w:t>3.</w:t>
      </w:r>
      <w:r>
        <w:rPr>
          <w:rFonts w:hint="eastAsia"/>
          <w:color w:val="auto"/>
          <w:lang w:val="en-US" w:eastAsia="zh-CN"/>
        </w:rPr>
        <w:t>8</w:t>
      </w:r>
      <w:r>
        <w:rPr>
          <w:rFonts w:hint="eastAsia"/>
          <w:color w:val="auto"/>
        </w:rPr>
        <w:t>-</w:t>
      </w:r>
      <w:r>
        <w:rPr>
          <w:rFonts w:hint="eastAsia"/>
          <w:color w:val="auto"/>
          <w:lang w:val="en-US" w:eastAsia="zh-CN"/>
        </w:rPr>
        <w:t>31</w:t>
      </w:r>
      <w:r>
        <w:rPr>
          <w:color w:val="auto"/>
        </w:rPr>
        <w:t xml:space="preserve">  </w:t>
      </w:r>
      <w:r>
        <w:rPr>
          <w:rFonts w:hint="eastAsia"/>
          <w:color w:val="auto"/>
          <w:lang w:val="en-US" w:eastAsia="zh-CN"/>
        </w:rPr>
        <w:t xml:space="preserve">       </w:t>
      </w:r>
      <w:r>
        <w:rPr>
          <w:rFonts w:hint="eastAsia"/>
          <w:color w:val="auto"/>
        </w:rPr>
        <w:t>危险废物贮存场所（设施）基本情况表</w:t>
      </w:r>
    </w:p>
    <w:tbl>
      <w:tblPr>
        <w:tblStyle w:val="32"/>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02"/>
        <w:gridCol w:w="1413"/>
        <w:gridCol w:w="702"/>
        <w:gridCol w:w="776"/>
        <w:gridCol w:w="1196"/>
        <w:gridCol w:w="920"/>
        <w:gridCol w:w="702"/>
        <w:gridCol w:w="702"/>
        <w:gridCol w:w="702"/>
        <w:gridCol w:w="7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序号</w:t>
            </w:r>
          </w:p>
        </w:tc>
        <w:tc>
          <w:tcPr>
            <w:tcW w:w="862"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贮存场所</w:t>
            </w:r>
            <w:r>
              <w:rPr>
                <w:rFonts w:hint="eastAsia"/>
                <w:b/>
                <w:bCs/>
                <w:color w:val="auto"/>
              </w:rPr>
              <w:t>（</w:t>
            </w:r>
            <w:r>
              <w:rPr>
                <w:b/>
                <w:bCs/>
                <w:color w:val="auto"/>
              </w:rPr>
              <w:t>设施</w:t>
            </w:r>
            <w:r>
              <w:rPr>
                <w:rFonts w:hint="eastAsia"/>
                <w:b/>
                <w:bCs/>
                <w:color w:val="auto"/>
              </w:rPr>
              <w:t>）</w:t>
            </w:r>
            <w:r>
              <w:rPr>
                <w:b/>
                <w:bCs/>
                <w:color w:val="auto"/>
              </w:rPr>
              <w:t>名称</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危险废物名称</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危险废物</w:t>
            </w:r>
          </w:p>
          <w:p>
            <w:pPr>
              <w:pStyle w:val="182"/>
              <w:bidi w:val="0"/>
              <w:rPr>
                <w:b/>
                <w:bCs/>
                <w:color w:val="auto"/>
              </w:rPr>
            </w:pPr>
            <w:r>
              <w:rPr>
                <w:b/>
                <w:bCs/>
                <w:color w:val="auto"/>
              </w:rPr>
              <w:t>类别</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危险废物代码</w:t>
            </w:r>
          </w:p>
        </w:tc>
        <w:tc>
          <w:tcPr>
            <w:tcW w:w="573"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位置</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占地</w:t>
            </w:r>
          </w:p>
          <w:p>
            <w:pPr>
              <w:pStyle w:val="182"/>
              <w:bidi w:val="0"/>
              <w:rPr>
                <w:b/>
                <w:bCs/>
                <w:color w:val="auto"/>
              </w:rPr>
            </w:pPr>
            <w:r>
              <w:rPr>
                <w:b/>
                <w:bCs/>
                <w:color w:val="auto"/>
              </w:rPr>
              <w:t>面积</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贮存方式</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贮存能力</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b/>
                <w:bCs/>
                <w:color w:val="auto"/>
              </w:rPr>
            </w:pPr>
            <w:r>
              <w:rPr>
                <w:b/>
                <w:bCs/>
                <w:color w:val="auto"/>
              </w:rPr>
              <w:t>贮存</w:t>
            </w:r>
          </w:p>
          <w:p>
            <w:pPr>
              <w:pStyle w:val="182"/>
              <w:bidi w:val="0"/>
              <w:rPr>
                <w:b/>
                <w:bCs/>
                <w:color w:val="auto"/>
              </w:rPr>
            </w:pPr>
            <w:r>
              <w:rPr>
                <w:b/>
                <w:bCs/>
                <w:color w:val="auto"/>
              </w:rPr>
              <w:t>周期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1</w:t>
            </w:r>
          </w:p>
        </w:tc>
        <w:tc>
          <w:tcPr>
            <w:tcW w:w="862"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危废暂存间</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废包装袋</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HW</w:t>
            </w:r>
            <w:r>
              <w:rPr>
                <w:rFonts w:hint="eastAsia"/>
                <w:color w:val="auto"/>
                <w:lang w:val="en-US" w:eastAsia="zh-CN"/>
              </w:rPr>
              <w:t>49</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rFonts w:hint="default"/>
                <w:b/>
                <w:bCs/>
                <w:color w:val="auto"/>
                <w:u w:val="single"/>
              </w:rPr>
              <w:t>900-041-49</w:t>
            </w:r>
          </w:p>
        </w:tc>
        <w:tc>
          <w:tcPr>
            <w:tcW w:w="573"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厂区东南紧邻现有氨纶车间</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rFonts w:hint="eastAsia"/>
                <w:color w:val="auto"/>
                <w:lang w:val="en-US" w:eastAsia="zh-CN"/>
              </w:rPr>
              <w:t>7</w:t>
            </w:r>
            <w:r>
              <w:rPr>
                <w:color w:val="auto"/>
              </w:rPr>
              <w:t>5m</w:t>
            </w:r>
            <w:r>
              <w:rPr>
                <w:color w:val="auto"/>
                <w:vertAlign w:val="superscript"/>
              </w:rPr>
              <w:t>2</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袋装</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300t</w:t>
            </w:r>
          </w:p>
        </w:tc>
        <w:tc>
          <w:tcPr>
            <w:tcW w:w="445" w:type="pct"/>
            <w:tcBorders>
              <w:top w:val="single" w:color="auto" w:sz="4" w:space="0"/>
              <w:left w:val="single" w:color="auto" w:sz="4" w:space="0"/>
              <w:bottom w:val="single" w:color="auto" w:sz="4" w:space="0"/>
              <w:right w:val="single" w:color="auto" w:sz="4" w:space="0"/>
            </w:tcBorders>
            <w:vAlign w:val="center"/>
          </w:tcPr>
          <w:p>
            <w:pPr>
              <w:pStyle w:val="182"/>
              <w:bidi w:val="0"/>
              <w:rPr>
                <w:color w:val="auto"/>
              </w:rPr>
            </w:pPr>
            <w:r>
              <w:rPr>
                <w:color w:val="auto"/>
              </w:rPr>
              <w:t>1年</w:t>
            </w:r>
          </w:p>
        </w:tc>
      </w:tr>
    </w:tbl>
    <w:p>
      <w:pPr>
        <w:bidi w:val="0"/>
        <w:rPr>
          <w:b/>
          <w:bCs/>
          <w:color w:val="auto"/>
          <w:u w:val="single"/>
        </w:rPr>
      </w:pPr>
      <w:r>
        <w:rPr>
          <w:rFonts w:hint="eastAsia"/>
          <w:b/>
          <w:bCs/>
          <w:color w:val="auto"/>
          <w:u w:val="single"/>
        </w:rPr>
        <w:t>本项目依托厂区现有一般工业固废暂存间（</w:t>
      </w:r>
      <w:r>
        <w:rPr>
          <w:rFonts w:hint="default"/>
          <w:b/>
          <w:bCs/>
          <w:color w:val="auto"/>
          <w:u w:val="single"/>
          <w:vertAlign w:val="baseline"/>
          <w:lang w:val="en-US" w:eastAsia="zh-CN"/>
        </w:rPr>
        <w:t>36m</w:t>
      </w:r>
      <w:r>
        <w:rPr>
          <w:rFonts w:hint="default"/>
          <w:b/>
          <w:bCs/>
          <w:color w:val="auto"/>
          <w:u w:val="single"/>
          <w:vertAlign w:val="superscript"/>
          <w:lang w:val="en-US" w:eastAsia="zh-CN"/>
        </w:rPr>
        <w:t>2</w:t>
      </w:r>
      <w:r>
        <w:rPr>
          <w:rFonts w:hint="eastAsia"/>
          <w:b/>
          <w:bCs/>
          <w:color w:val="auto"/>
          <w:u w:val="single"/>
        </w:rPr>
        <w:t>）和1座危险固废暂存间（</w:t>
      </w:r>
      <w:r>
        <w:rPr>
          <w:rFonts w:hint="eastAsia"/>
          <w:b/>
          <w:bCs/>
          <w:color w:val="auto"/>
          <w:u w:val="single"/>
          <w:vertAlign w:val="baseline"/>
          <w:lang w:val="en-US" w:eastAsia="zh-CN"/>
        </w:rPr>
        <w:t>75m</w:t>
      </w:r>
      <w:r>
        <w:rPr>
          <w:rFonts w:hint="eastAsia"/>
          <w:b/>
          <w:bCs/>
          <w:color w:val="auto"/>
          <w:u w:val="single"/>
          <w:vertAlign w:val="superscript"/>
          <w:lang w:val="en-US" w:eastAsia="zh-CN"/>
        </w:rPr>
        <w:t>2</w:t>
      </w:r>
      <w:r>
        <w:rPr>
          <w:rFonts w:hint="eastAsia"/>
          <w:b/>
          <w:bCs/>
          <w:color w:val="auto"/>
          <w:u w:val="single"/>
        </w:rPr>
        <w:t>），并对项目固废分类分区存放。</w:t>
      </w:r>
    </w:p>
    <w:p>
      <w:pPr>
        <w:bidi w:val="0"/>
        <w:rPr>
          <w:b/>
          <w:bCs/>
          <w:color w:val="auto"/>
          <w:u w:val="single"/>
        </w:rPr>
      </w:pPr>
      <w:r>
        <w:rPr>
          <w:rFonts w:hint="eastAsia"/>
          <w:b/>
          <w:bCs/>
          <w:color w:val="auto"/>
          <w:u w:val="single"/>
        </w:rPr>
        <w:t>厂区内一般工业固废暂存间已按照《一般工业固体废物贮存和填埋污染控制标准》（GB18599-</w:t>
      </w:r>
      <w:r>
        <w:rPr>
          <w:b/>
          <w:bCs/>
          <w:color w:val="auto"/>
          <w:u w:val="single"/>
        </w:rPr>
        <w:t>2020</w:t>
      </w:r>
      <w:r>
        <w:rPr>
          <w:rFonts w:hint="eastAsia"/>
          <w:b/>
          <w:bCs/>
          <w:color w:val="auto"/>
          <w:u w:val="single"/>
        </w:rPr>
        <w:t>）的相关要求进行建设，暂存间地面已硬化，并且有防渗、防风、防晒、防雨淋措施。工程产生的一般固废及时清运，尽量缩短在厂区内的堆存时间。</w:t>
      </w:r>
    </w:p>
    <w:p>
      <w:pPr>
        <w:bidi w:val="0"/>
        <w:rPr>
          <w:b/>
          <w:bCs/>
          <w:color w:val="auto"/>
          <w:u w:val="single"/>
        </w:rPr>
      </w:pPr>
      <w:r>
        <w:rPr>
          <w:rFonts w:hint="eastAsia"/>
          <w:b/>
          <w:bCs/>
          <w:color w:val="auto"/>
          <w:u w:val="single"/>
        </w:rPr>
        <w:t>厂区内危废暂存间地面已进行硬化防渗处理，并且有防风、防雨及防渗的“三防”措施；危险废物的贮存已严格按照《危险废物贮存污染控制标准》（GB 18597-2023）中相关规定进行；在危废的转移处置过程中，严格按照《中华人民共和国固体废物污染环境防治法》和《危险废物转移联单管理办法》有关规定执行。为了避免危险固废在厂区贮存过程中对环境的影响，工程已将其全部装入密闭容器中后临时存放于危废储存间内，定期送至有资质的危废处理单位（生产厂家）安全处置。</w:t>
      </w:r>
    </w:p>
    <w:p>
      <w:pPr>
        <w:bidi w:val="0"/>
        <w:rPr>
          <w:b/>
          <w:bCs/>
          <w:color w:val="auto"/>
          <w:u w:val="single"/>
        </w:rPr>
      </w:pPr>
      <w:r>
        <w:rPr>
          <w:rFonts w:hint="eastAsia"/>
          <w:b/>
          <w:bCs/>
          <w:color w:val="auto"/>
          <w:u w:val="single"/>
        </w:rPr>
        <w:t>综上所述，项目固废均能实现综合利用和安全处置。</w:t>
      </w:r>
    </w:p>
    <w:p>
      <w:pPr>
        <w:pStyle w:val="9"/>
        <w:bidi w:val="0"/>
        <w:rPr>
          <w:b/>
          <w:bCs/>
          <w:color w:val="auto"/>
          <w:u w:val="single"/>
        </w:rPr>
      </w:pPr>
      <w:r>
        <w:rPr>
          <w:rFonts w:hint="default"/>
          <w:b/>
          <w:bCs/>
          <w:color w:val="auto"/>
          <w:u w:val="single"/>
        </w:rPr>
        <w:t>3</w:t>
      </w:r>
      <w:r>
        <w:rPr>
          <w:b/>
          <w:bCs/>
          <w:color w:val="auto"/>
          <w:u w:val="single"/>
        </w:rPr>
        <w:t>.</w:t>
      </w:r>
      <w:r>
        <w:rPr>
          <w:rFonts w:hint="eastAsia"/>
          <w:b/>
          <w:bCs/>
          <w:color w:val="auto"/>
          <w:u w:val="single"/>
          <w:lang w:val="en-US" w:eastAsia="zh-CN"/>
        </w:rPr>
        <w:t>8</w:t>
      </w:r>
      <w:r>
        <w:rPr>
          <w:b/>
          <w:bCs/>
          <w:color w:val="auto"/>
          <w:u w:val="single"/>
        </w:rPr>
        <w:t>.</w:t>
      </w:r>
      <w:r>
        <w:rPr>
          <w:rFonts w:hint="default"/>
          <w:b/>
          <w:bCs/>
          <w:color w:val="auto"/>
          <w:u w:val="single"/>
          <w:lang w:val="en-US" w:eastAsia="zh-CN"/>
        </w:rPr>
        <w:t>1</w:t>
      </w:r>
      <w:r>
        <w:rPr>
          <w:rFonts w:hint="eastAsia"/>
          <w:b/>
          <w:bCs/>
          <w:color w:val="auto"/>
          <w:u w:val="single"/>
          <w:lang w:val="en-US" w:eastAsia="zh-CN"/>
        </w:rPr>
        <w:t>4 中试试验</w:t>
      </w:r>
      <w:r>
        <w:rPr>
          <w:rFonts w:hint="default"/>
          <w:b/>
          <w:bCs/>
          <w:color w:val="auto"/>
          <w:u w:val="single"/>
        </w:rPr>
        <w:t>非正常</w:t>
      </w:r>
      <w:r>
        <w:rPr>
          <w:rFonts w:hint="eastAsia"/>
          <w:b/>
          <w:bCs/>
          <w:color w:val="auto"/>
          <w:u w:val="single"/>
          <w:lang w:val="en-US" w:eastAsia="zh-CN"/>
        </w:rPr>
        <w:t>情况</w:t>
      </w:r>
      <w:r>
        <w:rPr>
          <w:rFonts w:hint="default"/>
          <w:b/>
          <w:bCs/>
          <w:color w:val="auto"/>
          <w:u w:val="single"/>
        </w:rPr>
        <w:t>污染分析</w:t>
      </w:r>
    </w:p>
    <w:p>
      <w:pPr>
        <w:bidi w:val="0"/>
        <w:ind w:firstLine="480" w:firstLineChars="200"/>
        <w:rPr>
          <w:rFonts w:hint="eastAsia"/>
          <w:color w:val="auto"/>
          <w:lang w:val="en-US" w:eastAsia="zh-CN"/>
        </w:rPr>
      </w:pPr>
      <w:r>
        <w:rPr>
          <w:rFonts w:hint="eastAsia"/>
          <w:color w:val="auto"/>
          <w:lang w:val="en-US" w:eastAsia="zh-CN"/>
        </w:rPr>
        <w:t>本项目作为中试项目，生产过程中涉及工艺调整，试验过程中废水水量、水质，固体废物产生量均可能会有变化。</w:t>
      </w:r>
    </w:p>
    <w:p>
      <w:pPr>
        <w:rPr>
          <w:rFonts w:hint="eastAsia"/>
          <w:b/>
          <w:bCs/>
          <w:color w:val="auto"/>
          <w:u w:val="single"/>
        </w:rPr>
      </w:pPr>
      <w:r>
        <w:rPr>
          <w:rFonts w:hint="eastAsia"/>
          <w:b/>
          <w:bCs/>
          <w:color w:val="auto"/>
          <w:u w:val="single"/>
          <w:lang w:val="en-US" w:eastAsia="zh-CN"/>
        </w:rPr>
        <w:t>本项目为中试项目，</w:t>
      </w:r>
      <w:r>
        <w:rPr>
          <w:rFonts w:hint="eastAsia"/>
          <w:b/>
          <w:bCs/>
          <w:color w:val="auto"/>
          <w:u w:val="single"/>
        </w:rPr>
        <w:t>试验中的不利情况</w:t>
      </w:r>
      <w:r>
        <w:rPr>
          <w:rFonts w:hint="eastAsia"/>
          <w:b/>
          <w:bCs/>
          <w:color w:val="auto"/>
          <w:u w:val="single"/>
          <w:lang w:val="en-US" w:eastAsia="zh-CN"/>
        </w:rPr>
        <w:t>如下</w:t>
      </w:r>
      <w:r>
        <w:rPr>
          <w:rFonts w:hint="eastAsia"/>
          <w:b/>
          <w:bCs/>
          <w:color w:val="auto"/>
          <w:u w:val="single"/>
        </w:rPr>
        <w:t>：</w:t>
      </w:r>
    </w:p>
    <w:p>
      <w:pPr>
        <w:numPr>
          <w:ilvl w:val="0"/>
          <w:numId w:val="12"/>
        </w:numPr>
        <w:rPr>
          <w:rFonts w:hint="eastAsia"/>
          <w:b/>
          <w:bCs/>
          <w:color w:val="auto"/>
          <w:u w:val="single"/>
        </w:rPr>
      </w:pPr>
      <w:r>
        <w:rPr>
          <w:rFonts w:hint="eastAsia"/>
          <w:b/>
          <w:bCs/>
          <w:color w:val="auto"/>
          <w:u w:val="single"/>
        </w:rPr>
        <w:t>在多种菌草原料进行筛选过程中，菌草原料不理想</w:t>
      </w:r>
    </w:p>
    <w:p>
      <w:pPr>
        <w:rPr>
          <w:rFonts w:hint="eastAsia" w:eastAsia="宋体"/>
          <w:b/>
          <w:bCs/>
          <w:color w:val="auto"/>
          <w:u w:val="single"/>
          <w:lang w:eastAsia="zh-CN"/>
        </w:rPr>
      </w:pPr>
      <w:r>
        <w:rPr>
          <w:rFonts w:hint="eastAsia"/>
          <w:b/>
          <w:bCs/>
          <w:color w:val="auto"/>
          <w:u w:val="single"/>
        </w:rPr>
        <w:t>待菌草和碱液在蒸煮器内蒸煮后，发现原料不</w:t>
      </w:r>
      <w:r>
        <w:rPr>
          <w:rFonts w:hint="eastAsia"/>
          <w:b/>
          <w:bCs/>
          <w:color w:val="auto"/>
          <w:u w:val="single"/>
          <w:lang w:val="en-US" w:eastAsia="zh-CN"/>
        </w:rPr>
        <w:t>理想</w:t>
      </w:r>
      <w:r>
        <w:rPr>
          <w:rFonts w:hint="eastAsia"/>
          <w:b/>
          <w:bCs/>
          <w:color w:val="auto"/>
          <w:u w:val="single"/>
        </w:rPr>
        <w:t>，没有再试的必要性。继续进行下道工序：放料→挤浆，挤出的黑液回用于生产；浆料</w:t>
      </w:r>
      <w:r>
        <w:rPr>
          <w:rFonts w:hint="eastAsia"/>
          <w:b/>
          <w:bCs/>
          <w:color w:val="auto"/>
          <w:u w:val="single"/>
          <w:lang w:val="en-US" w:eastAsia="zh-CN"/>
        </w:rPr>
        <w:t>作为一般固废</w:t>
      </w:r>
      <w:r>
        <w:rPr>
          <w:rFonts w:hint="eastAsia"/>
          <w:b/>
          <w:bCs/>
          <w:color w:val="auto"/>
          <w:u w:val="single"/>
        </w:rPr>
        <w:t>处置，送锅炉随煤燃烧</w:t>
      </w:r>
      <w:r>
        <w:rPr>
          <w:rFonts w:hint="eastAsia"/>
          <w:b/>
          <w:bCs/>
          <w:color w:val="auto"/>
          <w:u w:val="single"/>
          <w:lang w:eastAsia="zh-CN"/>
        </w:rPr>
        <w:t>。</w:t>
      </w:r>
    </w:p>
    <w:p>
      <w:pPr>
        <w:numPr>
          <w:ilvl w:val="0"/>
          <w:numId w:val="12"/>
        </w:numPr>
        <w:ind w:firstLine="480"/>
        <w:rPr>
          <w:rFonts w:hint="eastAsia"/>
          <w:b/>
          <w:bCs/>
          <w:color w:val="auto"/>
          <w:u w:val="single"/>
        </w:rPr>
      </w:pPr>
      <w:r>
        <w:rPr>
          <w:rFonts w:hint="eastAsia"/>
          <w:b/>
          <w:bCs/>
          <w:color w:val="auto"/>
          <w:u w:val="single"/>
        </w:rPr>
        <w:t>在工艺条件试验中，加碱量少或蒸煮压力低或蒸煮时间不够，造成碱化程度低</w:t>
      </w:r>
    </w:p>
    <w:p>
      <w:pPr>
        <w:numPr>
          <w:ilvl w:val="0"/>
          <w:numId w:val="13"/>
        </w:numPr>
        <w:rPr>
          <w:rFonts w:hint="eastAsia"/>
          <w:b/>
          <w:bCs/>
          <w:color w:val="auto"/>
          <w:u w:val="single"/>
        </w:rPr>
      </w:pPr>
      <w:r>
        <w:rPr>
          <w:rFonts w:hint="eastAsia"/>
          <w:b/>
          <w:bCs/>
          <w:color w:val="auto"/>
          <w:u w:val="single"/>
        </w:rPr>
        <w:t>待菌草和碱液在蒸煮器内蒸煮后，发现碱化程度低</w:t>
      </w:r>
      <w:r>
        <w:rPr>
          <w:rFonts w:hint="eastAsia"/>
          <w:b/>
          <w:bCs/>
          <w:color w:val="auto"/>
          <w:u w:val="single"/>
          <w:lang w:eastAsia="zh-CN"/>
        </w:rPr>
        <w:t>、</w:t>
      </w:r>
      <w:r>
        <w:rPr>
          <w:rFonts w:hint="eastAsia"/>
          <w:b/>
          <w:bCs/>
          <w:color w:val="auto"/>
          <w:u w:val="single"/>
          <w:lang w:val="en-US" w:eastAsia="zh-CN"/>
        </w:rPr>
        <w:t>蒸煮压力不够、蒸煮时间不足</w:t>
      </w:r>
      <w:r>
        <w:rPr>
          <w:rFonts w:hint="eastAsia"/>
          <w:b/>
          <w:bCs/>
          <w:color w:val="auto"/>
          <w:u w:val="single"/>
        </w:rPr>
        <w:t>，可对将原料重新投放蒸煮器，重新加工。</w:t>
      </w:r>
    </w:p>
    <w:p>
      <w:pPr>
        <w:bidi w:val="0"/>
        <w:rPr>
          <w:rFonts w:hint="eastAsia"/>
          <w:b/>
          <w:bCs/>
          <w:color w:val="auto"/>
          <w:u w:val="single"/>
        </w:rPr>
      </w:pPr>
      <w:r>
        <w:rPr>
          <w:rFonts w:hint="eastAsia"/>
          <w:b/>
          <w:bCs/>
          <w:color w:val="auto"/>
          <w:u w:val="single"/>
          <w:lang w:eastAsia="zh-CN"/>
        </w:rPr>
        <w:t>（</w:t>
      </w:r>
      <w:r>
        <w:rPr>
          <w:rFonts w:hint="eastAsia"/>
          <w:b/>
          <w:bCs/>
          <w:color w:val="auto"/>
          <w:u w:val="single"/>
          <w:lang w:val="en-US" w:eastAsia="zh-CN"/>
        </w:rPr>
        <w:t>3</w:t>
      </w:r>
      <w:r>
        <w:rPr>
          <w:rFonts w:hint="eastAsia"/>
          <w:b/>
          <w:bCs/>
          <w:color w:val="auto"/>
          <w:u w:val="single"/>
          <w:lang w:eastAsia="zh-CN"/>
        </w:rPr>
        <w:t>）</w:t>
      </w:r>
      <w:r>
        <w:rPr>
          <w:rFonts w:hint="eastAsia"/>
          <w:b/>
          <w:bCs/>
          <w:color w:val="auto"/>
          <w:u w:val="single"/>
        </w:rPr>
        <w:t>加碱过量或者蒸煮时间过长</w:t>
      </w:r>
    </w:p>
    <w:p>
      <w:pPr>
        <w:bidi w:val="0"/>
        <w:ind w:firstLine="480"/>
        <w:rPr>
          <w:rFonts w:hint="eastAsia"/>
          <w:b/>
          <w:bCs/>
          <w:color w:val="auto"/>
          <w:u w:val="single"/>
        </w:rPr>
      </w:pPr>
      <w:r>
        <w:rPr>
          <w:rFonts w:hint="eastAsia"/>
          <w:b/>
          <w:bCs/>
          <w:color w:val="auto"/>
          <w:u w:val="single"/>
        </w:rPr>
        <w:t>加碱过量或者蒸煮时间过长</w:t>
      </w:r>
      <w:r>
        <w:rPr>
          <w:rFonts w:hint="eastAsia"/>
          <w:b/>
          <w:bCs/>
          <w:color w:val="auto"/>
          <w:u w:val="single"/>
          <w:lang w:val="en-US" w:eastAsia="zh-CN"/>
        </w:rPr>
        <w:t>时</w:t>
      </w:r>
      <w:r>
        <w:rPr>
          <w:rFonts w:hint="eastAsia"/>
          <w:b/>
          <w:bCs/>
          <w:color w:val="auto"/>
          <w:u w:val="single"/>
        </w:rPr>
        <w:t>会使部分纤维降解，纤维聚合度降低，导致</w:t>
      </w:r>
      <w:r>
        <w:rPr>
          <w:rFonts w:hint="eastAsia"/>
          <w:b/>
          <w:bCs/>
          <w:color w:val="auto"/>
          <w:u w:val="single"/>
          <w:lang w:val="en-US" w:eastAsia="zh-CN"/>
        </w:rPr>
        <w:t>纤维素</w:t>
      </w:r>
      <w:r>
        <w:rPr>
          <w:rFonts w:hint="eastAsia"/>
          <w:b/>
          <w:bCs/>
          <w:color w:val="auto"/>
          <w:u w:val="single"/>
        </w:rPr>
        <w:t>得率降低</w:t>
      </w:r>
      <w:r>
        <w:rPr>
          <w:rFonts w:hint="eastAsia"/>
          <w:b/>
          <w:bCs/>
          <w:color w:val="auto"/>
          <w:u w:val="single"/>
          <w:lang w:eastAsia="zh-CN"/>
        </w:rPr>
        <w:t>，</w:t>
      </w:r>
      <w:r>
        <w:rPr>
          <w:rFonts w:hint="eastAsia"/>
          <w:b/>
          <w:bCs/>
          <w:color w:val="auto"/>
          <w:u w:val="single"/>
        </w:rPr>
        <w:t>同时会出现废水COD偏高的情况，但这个偏高是有限的，</w:t>
      </w:r>
      <w:r>
        <w:rPr>
          <w:rFonts w:hint="eastAsia"/>
          <w:b/>
          <w:bCs/>
          <w:color w:val="auto"/>
          <w:u w:val="single"/>
          <w:lang w:val="en-US" w:eastAsia="zh-CN"/>
        </w:rPr>
        <w:t>中试试验是在小试的基础上进行的，中试试验</w:t>
      </w:r>
      <w:r>
        <w:rPr>
          <w:rFonts w:hint="eastAsia"/>
          <w:b/>
          <w:bCs/>
          <w:color w:val="auto"/>
          <w:u w:val="single"/>
        </w:rPr>
        <w:t>不是破坏性试验。如果</w:t>
      </w:r>
      <w:r>
        <w:rPr>
          <w:rFonts w:hint="eastAsia"/>
          <w:b/>
          <w:bCs/>
          <w:color w:val="auto"/>
          <w:u w:val="single"/>
          <w:lang w:val="en-US" w:eastAsia="zh-CN"/>
        </w:rPr>
        <w:t>试验过程中</w:t>
      </w:r>
      <w:r>
        <w:rPr>
          <w:rFonts w:hint="eastAsia"/>
          <w:b/>
          <w:bCs/>
          <w:color w:val="auto"/>
          <w:u w:val="single"/>
        </w:rPr>
        <w:t>出现废水COD偏高较多，可以先将部分废水暂时存放在事故</w:t>
      </w:r>
      <w:r>
        <w:rPr>
          <w:rFonts w:hint="eastAsia"/>
          <w:b/>
          <w:bCs/>
          <w:color w:val="auto"/>
          <w:u w:val="single"/>
          <w:lang w:val="en-US" w:eastAsia="zh-CN"/>
        </w:rPr>
        <w:t>废水</w:t>
      </w:r>
      <w:r>
        <w:rPr>
          <w:rFonts w:hint="eastAsia"/>
          <w:b/>
          <w:bCs/>
          <w:color w:val="auto"/>
          <w:u w:val="single"/>
        </w:rPr>
        <w:t>池，</w:t>
      </w:r>
      <w:r>
        <w:rPr>
          <w:rFonts w:hint="eastAsia"/>
          <w:b/>
          <w:bCs/>
          <w:color w:val="auto"/>
          <w:u w:val="single"/>
          <w:lang w:val="en-US" w:eastAsia="zh-CN"/>
        </w:rPr>
        <w:t>在中试试验间歇</w:t>
      </w:r>
      <w:r>
        <w:rPr>
          <w:rFonts w:hint="eastAsia"/>
          <w:b/>
          <w:bCs/>
          <w:color w:val="auto"/>
          <w:u w:val="single"/>
        </w:rPr>
        <w:t>有序到污水处理厂处理。</w:t>
      </w:r>
    </w:p>
    <w:p>
      <w:pPr>
        <w:bidi w:val="0"/>
        <w:ind w:firstLine="480"/>
        <w:rPr>
          <w:rFonts w:hint="eastAsia"/>
          <w:b/>
          <w:bCs/>
          <w:color w:val="auto"/>
          <w:u w:val="single"/>
        </w:rPr>
      </w:pPr>
      <w:r>
        <w:rPr>
          <w:rFonts w:hint="eastAsia"/>
          <w:b/>
          <w:bCs/>
          <w:color w:val="auto"/>
          <w:u w:val="single"/>
        </w:rPr>
        <w:t>根据现场调查，厂区内建设有1个</w:t>
      </w:r>
      <w:r>
        <w:rPr>
          <w:rFonts w:hint="eastAsia"/>
          <w:b/>
          <w:bCs/>
          <w:color w:val="auto"/>
          <w:u w:val="single"/>
          <w:lang w:val="en-US" w:eastAsia="zh-CN"/>
        </w:rPr>
        <w:t>1</w:t>
      </w:r>
      <w:r>
        <w:rPr>
          <w:b/>
          <w:bCs/>
          <w:color w:val="auto"/>
          <w:u w:val="single"/>
        </w:rPr>
        <w:t>000</w:t>
      </w:r>
      <w:r>
        <w:rPr>
          <w:rFonts w:hint="eastAsia"/>
          <w:b/>
          <w:bCs/>
          <w:color w:val="auto"/>
          <w:u w:val="single"/>
        </w:rPr>
        <w:t>m</w:t>
      </w:r>
      <w:r>
        <w:rPr>
          <w:b/>
          <w:bCs/>
          <w:color w:val="auto"/>
          <w:u w:val="single"/>
          <w:vertAlign w:val="superscript"/>
        </w:rPr>
        <w:t>3</w:t>
      </w:r>
      <w:r>
        <w:rPr>
          <w:rFonts w:hint="eastAsia"/>
          <w:b/>
          <w:bCs/>
          <w:color w:val="auto"/>
          <w:u w:val="single"/>
        </w:rPr>
        <w:t>的事故</w:t>
      </w:r>
      <w:r>
        <w:rPr>
          <w:rFonts w:hint="eastAsia"/>
          <w:b/>
          <w:bCs/>
          <w:color w:val="auto"/>
          <w:u w:val="single"/>
          <w:lang w:val="en-US" w:eastAsia="zh-CN"/>
        </w:rPr>
        <w:t>废水</w:t>
      </w:r>
      <w:r>
        <w:rPr>
          <w:rFonts w:hint="eastAsia"/>
          <w:b/>
          <w:bCs/>
          <w:color w:val="auto"/>
          <w:u w:val="single"/>
        </w:rPr>
        <w:t>池，本项目拟利用该事故池，</w:t>
      </w:r>
      <w:r>
        <w:rPr>
          <w:rFonts w:hint="eastAsia"/>
          <w:b/>
          <w:bCs/>
          <w:color w:val="auto"/>
          <w:u w:val="single"/>
          <w:lang w:val="en-US" w:eastAsia="zh-CN"/>
        </w:rPr>
        <w:t>中试不利时产生的废水不能及时处理时</w:t>
      </w:r>
      <w:r>
        <w:rPr>
          <w:rFonts w:hint="eastAsia"/>
          <w:b/>
          <w:bCs/>
          <w:color w:val="auto"/>
          <w:u w:val="single"/>
        </w:rPr>
        <w:t>可暂时储存于事故废水收集池中，</w:t>
      </w:r>
      <w:r>
        <w:rPr>
          <w:rFonts w:hint="eastAsia"/>
          <w:b/>
          <w:bCs/>
          <w:color w:val="auto"/>
          <w:u w:val="single"/>
          <w:lang w:val="en-US" w:eastAsia="zh-CN"/>
        </w:rPr>
        <w:t>在中试试验间歇</w:t>
      </w:r>
      <w:r>
        <w:rPr>
          <w:rFonts w:hint="eastAsia"/>
          <w:b/>
          <w:bCs/>
          <w:color w:val="auto"/>
          <w:u w:val="single"/>
        </w:rPr>
        <w:t>有序到污水处理厂处理。如果新乡化纤股份有限公司新厂区污水处理站停止运行，本项目需停止生产。</w:t>
      </w:r>
    </w:p>
    <w:p>
      <w:pPr>
        <w:ind w:firstLine="480"/>
        <w:rPr>
          <w:rFonts w:hint="default"/>
          <w:b/>
          <w:bCs/>
          <w:color w:val="auto"/>
          <w:u w:val="single"/>
        </w:rPr>
      </w:pPr>
      <w:r>
        <w:rPr>
          <w:rFonts w:hint="eastAsia"/>
          <w:b/>
          <w:bCs/>
          <w:color w:val="auto"/>
          <w:u w:val="single"/>
          <w:lang w:val="en-US" w:eastAsia="zh-CN"/>
        </w:rPr>
        <w:t>本项目生产过程中产生的废物主要为一般固体废物，固体废物产生量有限，一般固废暂存间（</w:t>
      </w:r>
      <w:r>
        <w:rPr>
          <w:rFonts w:hint="default"/>
          <w:b/>
          <w:bCs/>
          <w:color w:val="auto"/>
          <w:u w:val="single"/>
          <w:vertAlign w:val="baseline"/>
          <w:lang w:val="en-US" w:eastAsia="zh-CN"/>
        </w:rPr>
        <w:t>36m</w:t>
      </w:r>
      <w:r>
        <w:rPr>
          <w:rFonts w:hint="default"/>
          <w:b/>
          <w:bCs/>
          <w:color w:val="auto"/>
          <w:u w:val="single"/>
          <w:vertAlign w:val="superscript"/>
          <w:lang w:val="en-US" w:eastAsia="zh-CN"/>
        </w:rPr>
        <w:t>2</w:t>
      </w:r>
      <w:r>
        <w:rPr>
          <w:rFonts w:hint="eastAsia"/>
          <w:b/>
          <w:bCs/>
          <w:color w:val="auto"/>
          <w:u w:val="single"/>
          <w:lang w:val="en-US" w:eastAsia="zh-CN"/>
        </w:rPr>
        <w:t>）可满足短期暂存，暂存的固体废物可由厂区锅炉焚烧处置。</w:t>
      </w:r>
    </w:p>
    <w:p>
      <w:pPr>
        <w:pStyle w:val="9"/>
        <w:rPr>
          <w:rFonts w:hint="default" w:eastAsia="宋体"/>
          <w:color w:val="auto"/>
          <w:lang w:val="en-US" w:eastAsia="zh-CN"/>
        </w:rPr>
      </w:pPr>
      <w:r>
        <w:rPr>
          <w:rFonts w:hint="eastAsia"/>
          <w:color w:val="auto"/>
          <w:lang w:val="en-US" w:eastAsia="zh-CN"/>
        </w:rPr>
        <w:t>3.8.15 小结</w:t>
      </w:r>
    </w:p>
    <w:p>
      <w:pPr>
        <w:bidi w:val="0"/>
        <w:rPr>
          <w:rFonts w:hint="eastAsia"/>
          <w:b/>
          <w:bCs/>
          <w:color w:val="auto"/>
          <w:u w:val="single"/>
        </w:rPr>
      </w:pPr>
      <w:r>
        <w:rPr>
          <w:rFonts w:hint="eastAsia"/>
          <w:b/>
          <w:bCs/>
          <w:color w:val="auto"/>
          <w:u w:val="single"/>
        </w:rPr>
        <w:t>本项目建成后全厂污染物产</w:t>
      </w:r>
      <w:r>
        <w:rPr>
          <w:rFonts w:hint="eastAsia"/>
          <w:b/>
          <w:bCs/>
          <w:color w:val="auto"/>
          <w:u w:val="single"/>
          <w:lang w:eastAsia="zh-CN"/>
        </w:rPr>
        <w:t>排放</w:t>
      </w:r>
      <w:r>
        <w:rPr>
          <w:rFonts w:hint="eastAsia"/>
          <w:b/>
          <w:bCs/>
          <w:color w:val="auto"/>
          <w:u w:val="single"/>
        </w:rPr>
        <w:t>情况见表</w:t>
      </w:r>
      <w:r>
        <w:rPr>
          <w:rFonts w:hint="eastAsia"/>
          <w:b/>
          <w:bCs/>
          <w:color w:val="auto"/>
          <w:u w:val="single"/>
          <w:lang w:val="en-US" w:eastAsia="zh-CN"/>
        </w:rPr>
        <w:t>3.8</w:t>
      </w:r>
      <w:r>
        <w:rPr>
          <w:rFonts w:hint="eastAsia"/>
          <w:b/>
          <w:bCs/>
          <w:color w:val="auto"/>
          <w:u w:val="single"/>
        </w:rPr>
        <w:t>-</w:t>
      </w:r>
      <w:r>
        <w:rPr>
          <w:rFonts w:hint="eastAsia"/>
          <w:b/>
          <w:bCs/>
          <w:color w:val="auto"/>
          <w:u w:val="single"/>
          <w:lang w:val="en-US" w:eastAsia="zh-CN"/>
        </w:rPr>
        <w:t>32</w:t>
      </w:r>
      <w:r>
        <w:rPr>
          <w:rFonts w:hint="eastAsia"/>
          <w:b/>
          <w:bCs/>
          <w:color w:val="auto"/>
          <w:u w:val="single"/>
        </w:rPr>
        <w:t>。</w:t>
      </w:r>
    </w:p>
    <w:p>
      <w:pPr>
        <w:pStyle w:val="181"/>
        <w:bidi w:val="0"/>
        <w:rPr>
          <w:rFonts w:hint="eastAsia"/>
          <w:b/>
          <w:bCs/>
          <w:color w:val="auto"/>
          <w:u w:val="single"/>
        </w:rPr>
      </w:pPr>
      <w:r>
        <w:rPr>
          <w:rFonts w:hint="eastAsia"/>
          <w:b/>
          <w:bCs/>
          <w:color w:val="auto"/>
          <w:u w:val="single"/>
        </w:rPr>
        <w:t>表</w:t>
      </w:r>
      <w:r>
        <w:rPr>
          <w:rFonts w:hint="eastAsia"/>
          <w:b/>
          <w:bCs/>
          <w:color w:val="auto"/>
          <w:u w:val="single"/>
          <w:lang w:val="en-US" w:eastAsia="zh-CN"/>
        </w:rPr>
        <w:t>3</w:t>
      </w:r>
      <w:r>
        <w:rPr>
          <w:b/>
          <w:bCs/>
          <w:color w:val="auto"/>
          <w:u w:val="single"/>
        </w:rPr>
        <w:t>.</w:t>
      </w:r>
      <w:r>
        <w:rPr>
          <w:rFonts w:hint="eastAsia"/>
          <w:b/>
          <w:bCs/>
          <w:color w:val="auto"/>
          <w:u w:val="single"/>
          <w:lang w:val="en-US" w:eastAsia="zh-CN"/>
        </w:rPr>
        <w:t>8</w:t>
      </w:r>
      <w:r>
        <w:rPr>
          <w:rFonts w:hint="eastAsia"/>
          <w:b/>
          <w:bCs/>
          <w:color w:val="auto"/>
          <w:u w:val="single"/>
        </w:rPr>
        <w:t>-</w:t>
      </w:r>
      <w:r>
        <w:rPr>
          <w:rFonts w:hint="eastAsia"/>
          <w:b/>
          <w:bCs/>
          <w:color w:val="auto"/>
          <w:u w:val="single"/>
          <w:lang w:val="en-US" w:eastAsia="zh-CN"/>
        </w:rPr>
        <w:t>32</w:t>
      </w:r>
      <w:r>
        <w:rPr>
          <w:b/>
          <w:bCs/>
          <w:color w:val="auto"/>
          <w:u w:val="single"/>
        </w:rPr>
        <w:t xml:space="preserve"> </w:t>
      </w:r>
      <w:r>
        <w:rPr>
          <w:rFonts w:hint="eastAsia"/>
          <w:b/>
          <w:bCs/>
          <w:color w:val="auto"/>
          <w:u w:val="single"/>
          <w:lang w:val="en-US" w:eastAsia="zh-CN"/>
        </w:rPr>
        <w:t xml:space="preserve">     </w:t>
      </w:r>
      <w:r>
        <w:rPr>
          <w:rFonts w:hint="eastAsia"/>
          <w:b/>
          <w:bCs/>
          <w:color w:val="auto"/>
          <w:u w:val="single"/>
        </w:rPr>
        <w:t>项目建成后全厂主要污染物排放三笔账单位：t/a</w:t>
      </w:r>
    </w:p>
    <w:tbl>
      <w:tblPr>
        <w:tblStyle w:val="33"/>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022"/>
        <w:gridCol w:w="1066"/>
        <w:gridCol w:w="1061"/>
        <w:gridCol w:w="809"/>
        <w:gridCol w:w="686"/>
        <w:gridCol w:w="920"/>
        <w:gridCol w:w="920"/>
        <w:gridCol w:w="746"/>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50" w:type="pct"/>
            <w:gridSpan w:val="2"/>
            <w:vMerge w:val="restart"/>
            <w:vAlign w:val="center"/>
          </w:tcPr>
          <w:p>
            <w:pPr>
              <w:pStyle w:val="182"/>
              <w:bidi w:val="0"/>
              <w:rPr>
                <w:b/>
                <w:bCs/>
                <w:u w:val="single"/>
              </w:rPr>
            </w:pPr>
            <w:r>
              <w:rPr>
                <w:rFonts w:hint="default"/>
                <w:b/>
                <w:bCs/>
                <w:u w:val="single"/>
              </w:rPr>
              <w:t>污染物</w:t>
            </w:r>
          </w:p>
        </w:tc>
        <w:tc>
          <w:tcPr>
            <w:tcW w:w="626" w:type="pct"/>
            <w:vMerge w:val="restart"/>
            <w:vAlign w:val="center"/>
          </w:tcPr>
          <w:p>
            <w:pPr>
              <w:pStyle w:val="182"/>
              <w:bidi w:val="0"/>
              <w:rPr>
                <w:b/>
                <w:bCs/>
                <w:u w:val="single"/>
              </w:rPr>
            </w:pPr>
            <w:r>
              <w:rPr>
                <w:rFonts w:hint="default"/>
                <w:b/>
                <w:bCs/>
                <w:u w:val="single"/>
              </w:rPr>
              <w:t>已建工程</w:t>
            </w:r>
          </w:p>
        </w:tc>
        <w:tc>
          <w:tcPr>
            <w:tcW w:w="623" w:type="pct"/>
            <w:vMerge w:val="restart"/>
            <w:vAlign w:val="center"/>
          </w:tcPr>
          <w:p>
            <w:pPr>
              <w:pStyle w:val="182"/>
              <w:bidi w:val="0"/>
              <w:rPr>
                <w:b/>
                <w:bCs/>
                <w:u w:val="single"/>
              </w:rPr>
            </w:pPr>
            <w:r>
              <w:rPr>
                <w:rFonts w:hint="default"/>
                <w:b/>
                <w:bCs/>
                <w:u w:val="single"/>
              </w:rPr>
              <w:t>在建工程</w:t>
            </w:r>
          </w:p>
        </w:tc>
        <w:tc>
          <w:tcPr>
            <w:tcW w:w="475" w:type="pct"/>
            <w:vMerge w:val="restart"/>
            <w:vAlign w:val="center"/>
          </w:tcPr>
          <w:p>
            <w:pPr>
              <w:pStyle w:val="182"/>
              <w:bidi w:val="0"/>
              <w:rPr>
                <w:b/>
                <w:bCs/>
                <w:u w:val="single"/>
              </w:rPr>
            </w:pPr>
            <w:r>
              <w:rPr>
                <w:rFonts w:hint="default"/>
                <w:b/>
                <w:bCs/>
                <w:u w:val="single"/>
              </w:rPr>
              <w:t>本工程</w:t>
            </w:r>
          </w:p>
        </w:tc>
        <w:tc>
          <w:tcPr>
            <w:tcW w:w="402" w:type="pct"/>
            <w:vMerge w:val="restart"/>
            <w:vAlign w:val="center"/>
          </w:tcPr>
          <w:p>
            <w:pPr>
              <w:pStyle w:val="182"/>
              <w:bidi w:val="0"/>
              <w:rPr>
                <w:b/>
                <w:bCs/>
                <w:u w:val="single"/>
              </w:rPr>
            </w:pPr>
            <w:r>
              <w:rPr>
                <w:rFonts w:hint="default"/>
                <w:b/>
                <w:bCs/>
                <w:u w:val="single"/>
              </w:rPr>
              <w:t>以新带老削减量</w:t>
            </w:r>
          </w:p>
        </w:tc>
        <w:tc>
          <w:tcPr>
            <w:tcW w:w="1080" w:type="pct"/>
            <w:gridSpan w:val="2"/>
            <w:vAlign w:val="center"/>
          </w:tcPr>
          <w:p>
            <w:pPr>
              <w:pStyle w:val="182"/>
              <w:bidi w:val="0"/>
              <w:rPr>
                <w:b/>
                <w:bCs/>
                <w:u w:val="single"/>
              </w:rPr>
            </w:pPr>
            <w:r>
              <w:rPr>
                <w:rFonts w:hint="default"/>
                <w:b/>
                <w:bCs/>
                <w:u w:val="single"/>
              </w:rPr>
              <w:t>全厂排放量</w:t>
            </w:r>
          </w:p>
        </w:tc>
        <w:tc>
          <w:tcPr>
            <w:tcW w:w="941" w:type="pct"/>
            <w:gridSpan w:val="2"/>
            <w:vAlign w:val="center"/>
          </w:tcPr>
          <w:p>
            <w:pPr>
              <w:pStyle w:val="182"/>
              <w:bidi w:val="0"/>
              <w:rPr>
                <w:b/>
                <w:bCs/>
                <w:u w:val="single"/>
              </w:rPr>
            </w:pPr>
            <w:r>
              <w:rPr>
                <w:rFonts w:hint="default"/>
                <w:b/>
                <w:bCs/>
                <w:u w:val="single"/>
              </w:rPr>
              <w:t>排放增减量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50" w:type="pct"/>
            <w:gridSpan w:val="2"/>
            <w:vMerge w:val="continue"/>
            <w:vAlign w:val="center"/>
          </w:tcPr>
          <w:p>
            <w:pPr>
              <w:pStyle w:val="182"/>
              <w:bidi w:val="0"/>
              <w:rPr>
                <w:b/>
                <w:bCs/>
                <w:u w:val="single"/>
              </w:rPr>
            </w:pPr>
          </w:p>
        </w:tc>
        <w:tc>
          <w:tcPr>
            <w:tcW w:w="626" w:type="pct"/>
            <w:vMerge w:val="continue"/>
            <w:vAlign w:val="center"/>
          </w:tcPr>
          <w:p>
            <w:pPr>
              <w:pStyle w:val="182"/>
              <w:bidi w:val="0"/>
              <w:rPr>
                <w:b/>
                <w:bCs/>
                <w:u w:val="single"/>
              </w:rPr>
            </w:pPr>
          </w:p>
        </w:tc>
        <w:tc>
          <w:tcPr>
            <w:tcW w:w="623" w:type="pct"/>
            <w:vMerge w:val="continue"/>
            <w:vAlign w:val="center"/>
          </w:tcPr>
          <w:p>
            <w:pPr>
              <w:pStyle w:val="182"/>
              <w:bidi w:val="0"/>
              <w:rPr>
                <w:b/>
                <w:bCs/>
                <w:u w:val="single"/>
              </w:rPr>
            </w:pPr>
          </w:p>
        </w:tc>
        <w:tc>
          <w:tcPr>
            <w:tcW w:w="475" w:type="pct"/>
            <w:vMerge w:val="continue"/>
            <w:vAlign w:val="center"/>
          </w:tcPr>
          <w:p>
            <w:pPr>
              <w:pStyle w:val="182"/>
              <w:bidi w:val="0"/>
              <w:rPr>
                <w:b/>
                <w:bCs/>
                <w:u w:val="single"/>
              </w:rPr>
            </w:pPr>
          </w:p>
        </w:tc>
        <w:tc>
          <w:tcPr>
            <w:tcW w:w="402" w:type="pct"/>
            <w:vMerge w:val="continue"/>
            <w:vAlign w:val="center"/>
          </w:tcPr>
          <w:p>
            <w:pPr>
              <w:pStyle w:val="182"/>
              <w:bidi w:val="0"/>
              <w:rPr>
                <w:b/>
                <w:bCs/>
                <w:u w:val="single"/>
              </w:rPr>
            </w:pPr>
          </w:p>
        </w:tc>
        <w:tc>
          <w:tcPr>
            <w:tcW w:w="540" w:type="pct"/>
            <w:vAlign w:val="center"/>
          </w:tcPr>
          <w:p>
            <w:pPr>
              <w:pStyle w:val="182"/>
              <w:bidi w:val="0"/>
              <w:rPr>
                <w:b/>
                <w:bCs/>
                <w:u w:val="single"/>
              </w:rPr>
            </w:pPr>
            <w:r>
              <w:rPr>
                <w:rFonts w:hint="default"/>
                <w:b/>
                <w:bCs/>
                <w:u w:val="single"/>
              </w:rPr>
              <w:t>厂总排放口</w:t>
            </w:r>
          </w:p>
        </w:tc>
        <w:tc>
          <w:tcPr>
            <w:tcW w:w="540" w:type="pct"/>
            <w:vAlign w:val="center"/>
          </w:tcPr>
          <w:p>
            <w:pPr>
              <w:pStyle w:val="182"/>
              <w:bidi w:val="0"/>
              <w:rPr>
                <w:b/>
                <w:bCs/>
                <w:u w:val="single"/>
              </w:rPr>
            </w:pPr>
            <w:r>
              <w:rPr>
                <w:rFonts w:hint="default"/>
                <w:b/>
                <w:bCs/>
                <w:u w:val="single"/>
              </w:rPr>
              <w:t>小店污水处理厂出口</w:t>
            </w:r>
          </w:p>
        </w:tc>
        <w:tc>
          <w:tcPr>
            <w:tcW w:w="438" w:type="pct"/>
            <w:vAlign w:val="center"/>
          </w:tcPr>
          <w:p>
            <w:pPr>
              <w:pStyle w:val="182"/>
              <w:bidi w:val="0"/>
              <w:rPr>
                <w:b/>
                <w:bCs/>
                <w:u w:val="single"/>
              </w:rPr>
            </w:pPr>
            <w:r>
              <w:rPr>
                <w:rFonts w:hint="default"/>
                <w:b/>
                <w:bCs/>
                <w:u w:val="single"/>
              </w:rPr>
              <w:t>厂总排放口</w:t>
            </w:r>
          </w:p>
        </w:tc>
        <w:tc>
          <w:tcPr>
            <w:tcW w:w="503" w:type="pct"/>
            <w:vAlign w:val="center"/>
          </w:tcPr>
          <w:p>
            <w:pPr>
              <w:pStyle w:val="182"/>
              <w:bidi w:val="0"/>
              <w:rPr>
                <w:b/>
                <w:bCs/>
                <w:u w:val="single"/>
              </w:rPr>
            </w:pPr>
            <w:r>
              <w:rPr>
                <w:rFonts w:hint="default"/>
                <w:b/>
                <w:bCs/>
                <w:u w:val="single"/>
              </w:rPr>
              <w:t>小店污水处理厂出口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restart"/>
            <w:vAlign w:val="center"/>
          </w:tcPr>
          <w:p>
            <w:pPr>
              <w:pStyle w:val="182"/>
              <w:bidi w:val="0"/>
              <w:rPr>
                <w:b/>
                <w:bCs/>
                <w:u w:val="single"/>
              </w:rPr>
            </w:pPr>
            <w:r>
              <w:rPr>
                <w:rFonts w:hint="default"/>
                <w:b/>
                <w:bCs/>
                <w:u w:val="single"/>
              </w:rPr>
              <w:t>废水</w:t>
            </w:r>
          </w:p>
        </w:tc>
        <w:tc>
          <w:tcPr>
            <w:tcW w:w="600" w:type="pct"/>
            <w:vAlign w:val="center"/>
          </w:tcPr>
          <w:p>
            <w:pPr>
              <w:pStyle w:val="182"/>
              <w:bidi w:val="0"/>
              <w:rPr>
                <w:b/>
                <w:bCs/>
                <w:u w:val="single"/>
              </w:rPr>
            </w:pPr>
            <w:r>
              <w:rPr>
                <w:rFonts w:hint="default"/>
                <w:b/>
                <w:bCs/>
                <w:u w:val="single"/>
              </w:rPr>
              <w:t>COD</w:t>
            </w:r>
          </w:p>
        </w:tc>
        <w:tc>
          <w:tcPr>
            <w:tcW w:w="626" w:type="pct"/>
            <w:vAlign w:val="center"/>
          </w:tcPr>
          <w:p>
            <w:pPr>
              <w:pStyle w:val="182"/>
              <w:bidi w:val="0"/>
              <w:rPr>
                <w:rFonts w:hint="default"/>
                <w:b/>
                <w:bCs/>
                <w:u w:val="single"/>
                <w:lang w:val="en-US" w:eastAsia="zh-CN"/>
              </w:rPr>
            </w:pPr>
            <w:r>
              <w:rPr>
                <w:rFonts w:hint="eastAsia"/>
                <w:b/>
                <w:bCs/>
                <w:u w:val="single"/>
                <w:lang w:val="en-US" w:eastAsia="zh-CN"/>
              </w:rPr>
              <w:t>798.4136</w:t>
            </w:r>
          </w:p>
        </w:tc>
        <w:tc>
          <w:tcPr>
            <w:tcW w:w="623" w:type="pct"/>
            <w:vAlign w:val="center"/>
          </w:tcPr>
          <w:p>
            <w:pPr>
              <w:pStyle w:val="182"/>
              <w:bidi w:val="0"/>
              <w:rPr>
                <w:rFonts w:hint="default"/>
                <w:b/>
                <w:bCs/>
                <w:u w:val="single"/>
                <w:lang w:val="en-US"/>
              </w:rPr>
            </w:pPr>
            <w:r>
              <w:rPr>
                <w:rFonts w:hint="eastAsia"/>
                <w:b/>
                <w:bCs/>
                <w:u w:val="single"/>
                <w:lang w:val="en-US" w:eastAsia="zh-CN"/>
              </w:rPr>
              <w:t>413.0139</w:t>
            </w:r>
          </w:p>
        </w:tc>
        <w:tc>
          <w:tcPr>
            <w:tcW w:w="475" w:type="pct"/>
            <w:vAlign w:val="center"/>
          </w:tcPr>
          <w:p>
            <w:pPr>
              <w:pStyle w:val="182"/>
              <w:bidi w:val="0"/>
              <w:rPr>
                <w:rFonts w:hint="default"/>
                <w:b/>
                <w:bCs/>
                <w:u w:val="single"/>
                <w:lang w:val="en-US" w:eastAsia="zh-CN"/>
              </w:rPr>
            </w:pPr>
            <w:r>
              <w:rPr>
                <w:rFonts w:hint="default"/>
                <w:b/>
                <w:bCs/>
                <w:u w:val="single"/>
                <w:lang w:eastAsia="zh-CN"/>
              </w:rPr>
              <w:t>3</w:t>
            </w:r>
            <w:r>
              <w:rPr>
                <w:rFonts w:hint="default"/>
                <w:b/>
                <w:bCs/>
                <w:u w:val="single"/>
                <w:lang w:val="en-US" w:eastAsia="zh-CN"/>
              </w:rPr>
              <w:t>3.78</w:t>
            </w:r>
          </w:p>
        </w:tc>
        <w:tc>
          <w:tcPr>
            <w:tcW w:w="402" w:type="pct"/>
            <w:vAlign w:val="center"/>
          </w:tcPr>
          <w:p>
            <w:pPr>
              <w:pStyle w:val="182"/>
              <w:bidi w:val="0"/>
              <w:rPr>
                <w:b/>
                <w:bCs/>
                <w:u w:val="single"/>
              </w:rPr>
            </w:pPr>
            <w:r>
              <w:rPr>
                <w:rFonts w:hint="default"/>
                <w:b/>
                <w:bCs/>
                <w:u w:val="single"/>
              </w:rPr>
              <w:t>/</w:t>
            </w:r>
          </w:p>
        </w:tc>
        <w:tc>
          <w:tcPr>
            <w:tcW w:w="540" w:type="pct"/>
            <w:vAlign w:val="center"/>
          </w:tcPr>
          <w:p>
            <w:pPr>
              <w:pStyle w:val="182"/>
              <w:bidi w:val="0"/>
              <w:rPr>
                <w:rFonts w:hint="default"/>
                <w:b/>
                <w:bCs/>
                <w:u w:val="single"/>
                <w:lang w:val="en-US" w:eastAsia="zh-CN"/>
              </w:rPr>
            </w:pPr>
            <w:r>
              <w:rPr>
                <w:rFonts w:hint="eastAsia"/>
                <w:b/>
                <w:bCs/>
                <w:u w:val="single"/>
                <w:lang w:val="en-US" w:eastAsia="zh-CN"/>
              </w:rPr>
              <w:t>1245.207</w:t>
            </w:r>
          </w:p>
        </w:tc>
        <w:tc>
          <w:tcPr>
            <w:tcW w:w="540" w:type="pct"/>
            <w:vAlign w:val="center"/>
          </w:tcPr>
          <w:p>
            <w:pPr>
              <w:pStyle w:val="182"/>
              <w:bidi w:val="0"/>
              <w:rPr>
                <w:rFonts w:hint="default"/>
                <w:b/>
                <w:bCs/>
                <w:u w:val="single"/>
                <w:lang w:val="en-US" w:eastAsia="zh-CN"/>
              </w:rPr>
            </w:pPr>
            <w:r>
              <w:rPr>
                <w:rFonts w:hint="eastAsia"/>
                <w:b/>
                <w:bCs/>
                <w:u w:val="single"/>
                <w:lang w:val="en-US" w:eastAsia="zh-CN"/>
              </w:rPr>
              <w:t>434.130</w:t>
            </w:r>
          </w:p>
        </w:tc>
        <w:tc>
          <w:tcPr>
            <w:tcW w:w="438" w:type="pct"/>
            <w:vAlign w:val="center"/>
          </w:tcPr>
          <w:p>
            <w:pPr>
              <w:pStyle w:val="182"/>
              <w:bidi w:val="0"/>
              <w:rPr>
                <w:rFonts w:hint="default"/>
                <w:b/>
                <w:bCs/>
                <w:u w:val="single"/>
                <w:lang w:val="en-US" w:eastAsia="zh-CN"/>
              </w:rPr>
            </w:pPr>
            <w:r>
              <w:rPr>
                <w:rFonts w:hint="eastAsia"/>
                <w:b/>
                <w:bCs/>
                <w:u w:val="single"/>
                <w:lang w:val="en-US" w:eastAsia="zh-CN"/>
              </w:rPr>
              <w:t>33.78</w:t>
            </w:r>
          </w:p>
        </w:tc>
        <w:tc>
          <w:tcPr>
            <w:tcW w:w="503" w:type="pct"/>
            <w:vAlign w:val="center"/>
          </w:tcPr>
          <w:p>
            <w:pPr>
              <w:pStyle w:val="182"/>
              <w:bidi w:val="0"/>
              <w:rPr>
                <w:rFonts w:hint="default"/>
                <w:b/>
                <w:bCs/>
                <w:u w:val="single"/>
                <w:lang w:val="en-US" w:eastAsia="zh-CN"/>
              </w:rPr>
            </w:pPr>
            <w:r>
              <w:rPr>
                <w:rFonts w:hint="eastAsia"/>
                <w:b/>
                <w:bCs/>
                <w:u w:val="single"/>
                <w:lang w:val="en-US" w:eastAsia="zh-CN"/>
              </w:rPr>
              <w:t>12.512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b/>
                <w:bCs/>
                <w:u w:val="single"/>
              </w:rPr>
            </w:pPr>
            <w:r>
              <w:rPr>
                <w:rFonts w:hint="default"/>
                <w:b/>
                <w:bCs/>
                <w:u w:val="single"/>
              </w:rPr>
              <w:t>NH3-N</w:t>
            </w:r>
          </w:p>
        </w:tc>
        <w:tc>
          <w:tcPr>
            <w:tcW w:w="626" w:type="pct"/>
            <w:vAlign w:val="center"/>
          </w:tcPr>
          <w:p>
            <w:pPr>
              <w:pStyle w:val="182"/>
              <w:bidi w:val="0"/>
              <w:rPr>
                <w:rFonts w:hint="default"/>
                <w:b/>
                <w:bCs/>
                <w:u w:val="single"/>
                <w:lang w:val="en-US" w:eastAsia="zh-CN"/>
              </w:rPr>
            </w:pPr>
            <w:r>
              <w:rPr>
                <w:rFonts w:hint="eastAsia"/>
                <w:b/>
                <w:bCs/>
                <w:u w:val="single"/>
                <w:lang w:val="en-US" w:eastAsia="zh-CN"/>
              </w:rPr>
              <w:t>33.5311</w:t>
            </w:r>
          </w:p>
        </w:tc>
        <w:tc>
          <w:tcPr>
            <w:tcW w:w="623" w:type="pct"/>
            <w:vAlign w:val="center"/>
          </w:tcPr>
          <w:p>
            <w:pPr>
              <w:pStyle w:val="182"/>
              <w:bidi w:val="0"/>
              <w:rPr>
                <w:b/>
                <w:bCs/>
                <w:u w:val="single"/>
              </w:rPr>
            </w:pPr>
            <w:r>
              <w:rPr>
                <w:rFonts w:hint="eastAsia"/>
                <w:b/>
                <w:bCs/>
                <w:u w:val="single"/>
                <w:lang w:val="en-US" w:eastAsia="zh-CN"/>
              </w:rPr>
              <w:t>17.5492</w:t>
            </w:r>
          </w:p>
        </w:tc>
        <w:tc>
          <w:tcPr>
            <w:tcW w:w="475" w:type="pct"/>
            <w:vAlign w:val="center"/>
          </w:tcPr>
          <w:p>
            <w:pPr>
              <w:pStyle w:val="182"/>
              <w:bidi w:val="0"/>
              <w:rPr>
                <w:rFonts w:hint="default"/>
                <w:b/>
                <w:bCs/>
                <w:u w:val="single"/>
                <w:lang w:val="en-US" w:eastAsia="zh-CN"/>
              </w:rPr>
            </w:pPr>
            <w:r>
              <w:rPr>
                <w:rFonts w:hint="default"/>
                <w:b/>
                <w:bCs/>
                <w:u w:val="single"/>
                <w:lang w:val="en-US" w:eastAsia="zh-CN"/>
              </w:rPr>
              <w:t>3.47</w:t>
            </w:r>
          </w:p>
        </w:tc>
        <w:tc>
          <w:tcPr>
            <w:tcW w:w="402" w:type="pct"/>
            <w:vAlign w:val="center"/>
          </w:tcPr>
          <w:p>
            <w:pPr>
              <w:pStyle w:val="182"/>
              <w:bidi w:val="0"/>
              <w:rPr>
                <w:b/>
                <w:bCs/>
                <w:u w:val="single"/>
              </w:rPr>
            </w:pPr>
            <w:r>
              <w:rPr>
                <w:rFonts w:hint="default"/>
                <w:b/>
                <w:bCs/>
                <w:u w:val="single"/>
              </w:rPr>
              <w:t>/</w:t>
            </w:r>
          </w:p>
        </w:tc>
        <w:tc>
          <w:tcPr>
            <w:tcW w:w="540" w:type="pct"/>
            <w:vAlign w:val="center"/>
          </w:tcPr>
          <w:p>
            <w:pPr>
              <w:pStyle w:val="182"/>
              <w:bidi w:val="0"/>
              <w:rPr>
                <w:rFonts w:hint="default"/>
                <w:b/>
                <w:bCs/>
                <w:u w:val="single"/>
                <w:lang w:val="en-US" w:eastAsia="zh-CN"/>
              </w:rPr>
            </w:pPr>
            <w:r>
              <w:rPr>
                <w:rFonts w:hint="eastAsia"/>
                <w:b/>
                <w:bCs/>
                <w:u w:val="single"/>
                <w:lang w:val="en-US" w:eastAsia="zh-CN"/>
              </w:rPr>
              <w:t>54.550</w:t>
            </w:r>
          </w:p>
        </w:tc>
        <w:tc>
          <w:tcPr>
            <w:tcW w:w="540" w:type="pct"/>
            <w:vAlign w:val="center"/>
          </w:tcPr>
          <w:p>
            <w:pPr>
              <w:pStyle w:val="182"/>
              <w:bidi w:val="0"/>
              <w:rPr>
                <w:rFonts w:hint="default"/>
                <w:b/>
                <w:bCs/>
                <w:u w:val="single"/>
                <w:lang w:val="en-US" w:eastAsia="zh-CN"/>
              </w:rPr>
            </w:pPr>
            <w:r>
              <w:rPr>
                <w:rFonts w:hint="eastAsia"/>
                <w:b/>
                <w:bCs/>
                <w:u w:val="single"/>
                <w:lang w:val="en-US" w:eastAsia="zh-CN"/>
              </w:rPr>
              <w:t>21.706</w:t>
            </w:r>
          </w:p>
        </w:tc>
        <w:tc>
          <w:tcPr>
            <w:tcW w:w="438" w:type="pct"/>
            <w:vAlign w:val="center"/>
          </w:tcPr>
          <w:p>
            <w:pPr>
              <w:pStyle w:val="182"/>
              <w:bidi w:val="0"/>
              <w:rPr>
                <w:rFonts w:hint="default"/>
                <w:b/>
                <w:bCs/>
                <w:u w:val="single"/>
                <w:lang w:val="en-US" w:eastAsia="zh-CN"/>
              </w:rPr>
            </w:pPr>
            <w:r>
              <w:rPr>
                <w:rFonts w:hint="eastAsia"/>
                <w:b/>
                <w:bCs/>
                <w:u w:val="single"/>
                <w:lang w:val="en-US" w:eastAsia="zh-CN"/>
              </w:rPr>
              <w:t>3.47</w:t>
            </w:r>
          </w:p>
        </w:tc>
        <w:tc>
          <w:tcPr>
            <w:tcW w:w="503" w:type="pct"/>
            <w:vAlign w:val="center"/>
          </w:tcPr>
          <w:p>
            <w:pPr>
              <w:pStyle w:val="182"/>
              <w:bidi w:val="0"/>
              <w:rPr>
                <w:rFonts w:hint="default"/>
                <w:b/>
                <w:bCs/>
                <w:u w:val="single"/>
                <w:lang w:val="en-US" w:eastAsia="zh-CN"/>
              </w:rPr>
            </w:pPr>
            <w:r>
              <w:rPr>
                <w:rFonts w:hint="eastAsia"/>
                <w:b/>
                <w:bCs/>
                <w:u w:val="single"/>
                <w:lang w:val="en-US" w:eastAsia="zh-CN"/>
              </w:rPr>
              <w:t>0.626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rFonts w:hint="default"/>
                <w:b/>
                <w:bCs/>
                <w:u w:val="single"/>
                <w:lang w:val="en-US" w:eastAsia="zh-CN"/>
              </w:rPr>
            </w:pPr>
            <w:r>
              <w:rPr>
                <w:rFonts w:hint="default"/>
                <w:b/>
                <w:bCs/>
                <w:u w:val="single"/>
                <w:lang w:val="en-US" w:eastAsia="zh-CN"/>
              </w:rPr>
              <w:t>TN</w:t>
            </w:r>
          </w:p>
        </w:tc>
        <w:tc>
          <w:tcPr>
            <w:tcW w:w="626" w:type="pct"/>
            <w:vAlign w:val="center"/>
          </w:tcPr>
          <w:p>
            <w:pPr>
              <w:pStyle w:val="182"/>
              <w:bidi w:val="0"/>
              <w:rPr>
                <w:rFonts w:hint="default"/>
                <w:b/>
                <w:bCs/>
                <w:u w:val="single"/>
                <w:lang w:val="en-US" w:eastAsia="zh-CN"/>
              </w:rPr>
            </w:pPr>
            <w:r>
              <w:rPr>
                <w:rFonts w:hint="eastAsia"/>
                <w:b/>
                <w:bCs/>
                <w:u w:val="single"/>
                <w:lang w:val="en-US" w:eastAsia="zh-CN"/>
              </w:rPr>
              <w:t>122.4675</w:t>
            </w:r>
          </w:p>
        </w:tc>
        <w:tc>
          <w:tcPr>
            <w:tcW w:w="623" w:type="pct"/>
            <w:vAlign w:val="center"/>
          </w:tcPr>
          <w:p>
            <w:pPr>
              <w:pStyle w:val="182"/>
              <w:bidi w:val="0"/>
              <w:rPr>
                <w:rFonts w:hint="default"/>
                <w:b/>
                <w:bCs/>
                <w:u w:val="single"/>
                <w:lang w:val="en-US"/>
              </w:rPr>
            </w:pPr>
            <w:r>
              <w:rPr>
                <w:rFonts w:hint="eastAsia"/>
                <w:b/>
                <w:bCs/>
                <w:u w:val="single"/>
                <w:lang w:val="en-US" w:eastAsia="zh-CN"/>
              </w:rPr>
              <w:t>58.1741</w:t>
            </w:r>
          </w:p>
        </w:tc>
        <w:tc>
          <w:tcPr>
            <w:tcW w:w="475" w:type="pct"/>
            <w:vAlign w:val="center"/>
          </w:tcPr>
          <w:p>
            <w:pPr>
              <w:pStyle w:val="182"/>
              <w:bidi w:val="0"/>
              <w:rPr>
                <w:rFonts w:hint="default"/>
                <w:b/>
                <w:bCs/>
                <w:u w:val="single"/>
                <w:lang w:val="en-US" w:eastAsia="zh-CN"/>
              </w:rPr>
            </w:pPr>
            <w:r>
              <w:rPr>
                <w:rFonts w:hint="default"/>
                <w:b/>
                <w:bCs/>
                <w:u w:val="single"/>
                <w:lang w:val="en-US" w:eastAsia="zh-CN"/>
              </w:rPr>
              <w:t>4.69</w:t>
            </w:r>
          </w:p>
        </w:tc>
        <w:tc>
          <w:tcPr>
            <w:tcW w:w="402" w:type="pct"/>
            <w:vAlign w:val="center"/>
          </w:tcPr>
          <w:p>
            <w:pPr>
              <w:pStyle w:val="182"/>
              <w:bidi w:val="0"/>
              <w:rPr>
                <w:rFonts w:hint="default"/>
                <w:b/>
                <w:bCs/>
                <w:u w:val="single"/>
              </w:rPr>
            </w:pPr>
            <w:r>
              <w:rPr>
                <w:b/>
                <w:bCs/>
                <w:u w:val="single"/>
              </w:rPr>
              <w:t>/</w:t>
            </w:r>
          </w:p>
        </w:tc>
        <w:tc>
          <w:tcPr>
            <w:tcW w:w="540" w:type="pct"/>
            <w:vAlign w:val="center"/>
          </w:tcPr>
          <w:p>
            <w:pPr>
              <w:pStyle w:val="182"/>
              <w:bidi w:val="0"/>
              <w:rPr>
                <w:rFonts w:hint="default"/>
                <w:b/>
                <w:bCs/>
                <w:u w:val="single"/>
                <w:lang w:val="en-US" w:eastAsia="zh-CN"/>
              </w:rPr>
            </w:pPr>
            <w:r>
              <w:rPr>
                <w:rFonts w:hint="eastAsia"/>
                <w:b/>
                <w:bCs/>
                <w:u w:val="single"/>
                <w:lang w:val="en-US" w:eastAsia="zh-CN"/>
              </w:rPr>
              <w:t>185.332</w:t>
            </w:r>
          </w:p>
        </w:tc>
        <w:tc>
          <w:tcPr>
            <w:tcW w:w="540" w:type="pct"/>
            <w:vAlign w:val="center"/>
          </w:tcPr>
          <w:p>
            <w:pPr>
              <w:pStyle w:val="182"/>
              <w:bidi w:val="0"/>
              <w:rPr>
                <w:rFonts w:hint="default"/>
                <w:b/>
                <w:bCs/>
                <w:u w:val="single"/>
                <w:lang w:val="en-US" w:eastAsia="zh-CN"/>
              </w:rPr>
            </w:pPr>
            <w:r>
              <w:rPr>
                <w:rFonts w:hint="eastAsia"/>
                <w:b/>
                <w:bCs/>
                <w:u w:val="single"/>
                <w:lang w:val="en-US" w:eastAsia="zh-CN"/>
              </w:rPr>
              <w:t>14.287</w:t>
            </w:r>
          </w:p>
        </w:tc>
        <w:tc>
          <w:tcPr>
            <w:tcW w:w="438" w:type="pct"/>
            <w:vAlign w:val="center"/>
          </w:tcPr>
          <w:p>
            <w:pPr>
              <w:pStyle w:val="182"/>
              <w:bidi w:val="0"/>
              <w:rPr>
                <w:rFonts w:hint="default"/>
                <w:b/>
                <w:bCs/>
                <w:u w:val="single"/>
                <w:lang w:val="en-US" w:eastAsia="zh-CN"/>
              </w:rPr>
            </w:pPr>
            <w:r>
              <w:rPr>
                <w:rFonts w:hint="eastAsia"/>
                <w:b/>
                <w:bCs/>
                <w:u w:val="single"/>
                <w:lang w:val="en-US" w:eastAsia="zh-CN"/>
              </w:rPr>
              <w:t>4.69</w:t>
            </w:r>
          </w:p>
        </w:tc>
        <w:tc>
          <w:tcPr>
            <w:tcW w:w="503" w:type="pct"/>
            <w:vAlign w:val="center"/>
          </w:tcPr>
          <w:p>
            <w:pPr>
              <w:pStyle w:val="182"/>
              <w:bidi w:val="0"/>
              <w:rPr>
                <w:rFonts w:hint="default"/>
                <w:b/>
                <w:bCs/>
                <w:u w:val="single"/>
                <w:lang w:val="en-US" w:eastAsia="zh-CN"/>
              </w:rPr>
            </w:pPr>
            <w:r>
              <w:rPr>
                <w:rFonts w:hint="eastAsia"/>
                <w:b/>
                <w:bCs/>
                <w:u w:val="single"/>
                <w:lang w:val="en-US" w:eastAsia="zh-CN"/>
              </w:rPr>
              <w:t>4.692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rFonts w:hint="default"/>
                <w:b/>
                <w:bCs/>
                <w:u w:val="single"/>
                <w:lang w:val="en-US" w:eastAsia="zh-CN"/>
              </w:rPr>
            </w:pPr>
            <w:r>
              <w:rPr>
                <w:rFonts w:hint="default"/>
                <w:b/>
                <w:bCs/>
                <w:u w:val="single"/>
                <w:lang w:val="en-US" w:eastAsia="zh-CN"/>
              </w:rPr>
              <w:t>TP</w:t>
            </w:r>
          </w:p>
        </w:tc>
        <w:tc>
          <w:tcPr>
            <w:tcW w:w="626" w:type="pct"/>
            <w:vAlign w:val="center"/>
          </w:tcPr>
          <w:p>
            <w:pPr>
              <w:pStyle w:val="182"/>
              <w:bidi w:val="0"/>
              <w:rPr>
                <w:rFonts w:hint="default"/>
                <w:b/>
                <w:bCs/>
                <w:u w:val="single"/>
              </w:rPr>
            </w:pPr>
            <w:r>
              <w:rPr>
                <w:rFonts w:hint="eastAsia"/>
                <w:b/>
                <w:bCs/>
                <w:u w:val="single"/>
                <w:lang w:val="en-US" w:eastAsia="zh-CN"/>
              </w:rPr>
              <w:t>1.9428</w:t>
            </w:r>
          </w:p>
        </w:tc>
        <w:tc>
          <w:tcPr>
            <w:tcW w:w="623" w:type="pct"/>
            <w:vAlign w:val="center"/>
          </w:tcPr>
          <w:p>
            <w:pPr>
              <w:pStyle w:val="182"/>
              <w:bidi w:val="0"/>
              <w:rPr>
                <w:rFonts w:hint="default"/>
                <w:b/>
                <w:bCs/>
                <w:u w:val="single"/>
                <w:lang w:val="en-US" w:eastAsia="zh-CN"/>
              </w:rPr>
            </w:pPr>
            <w:r>
              <w:rPr>
                <w:rFonts w:hint="eastAsia"/>
                <w:b/>
                <w:bCs/>
                <w:u w:val="single"/>
                <w:lang w:val="en-US" w:eastAsia="zh-CN"/>
              </w:rPr>
              <w:t>0.4598</w:t>
            </w:r>
          </w:p>
        </w:tc>
        <w:tc>
          <w:tcPr>
            <w:tcW w:w="475" w:type="pct"/>
            <w:vAlign w:val="center"/>
          </w:tcPr>
          <w:p>
            <w:pPr>
              <w:pStyle w:val="182"/>
              <w:bidi w:val="0"/>
              <w:rPr>
                <w:rFonts w:hint="default"/>
                <w:b/>
                <w:bCs/>
                <w:u w:val="single"/>
                <w:lang w:val="en-US" w:eastAsia="zh-CN"/>
              </w:rPr>
            </w:pPr>
            <w:r>
              <w:rPr>
                <w:rFonts w:hint="default"/>
                <w:b/>
                <w:bCs/>
                <w:u w:val="single"/>
                <w:lang w:val="en-US" w:eastAsia="zh-CN"/>
              </w:rPr>
              <w:t>1.50</w:t>
            </w:r>
          </w:p>
        </w:tc>
        <w:tc>
          <w:tcPr>
            <w:tcW w:w="402" w:type="pct"/>
            <w:vAlign w:val="center"/>
          </w:tcPr>
          <w:p>
            <w:pPr>
              <w:pStyle w:val="182"/>
              <w:bidi w:val="0"/>
              <w:rPr>
                <w:b/>
                <w:bCs/>
                <w:u w:val="single"/>
              </w:rPr>
            </w:pPr>
          </w:p>
        </w:tc>
        <w:tc>
          <w:tcPr>
            <w:tcW w:w="540" w:type="pct"/>
            <w:vAlign w:val="center"/>
          </w:tcPr>
          <w:p>
            <w:pPr>
              <w:pStyle w:val="182"/>
              <w:bidi w:val="0"/>
              <w:rPr>
                <w:rFonts w:hint="default"/>
                <w:b/>
                <w:bCs/>
                <w:u w:val="single"/>
                <w:lang w:val="en-US" w:eastAsia="zh-CN"/>
              </w:rPr>
            </w:pPr>
            <w:r>
              <w:rPr>
                <w:rFonts w:hint="eastAsia"/>
                <w:b/>
                <w:bCs/>
                <w:u w:val="single"/>
                <w:lang w:val="en-US" w:eastAsia="zh-CN"/>
              </w:rPr>
              <w:t>3.903</w:t>
            </w:r>
          </w:p>
        </w:tc>
        <w:tc>
          <w:tcPr>
            <w:tcW w:w="540" w:type="pct"/>
            <w:vAlign w:val="center"/>
          </w:tcPr>
          <w:p>
            <w:pPr>
              <w:pStyle w:val="182"/>
              <w:bidi w:val="0"/>
              <w:rPr>
                <w:rFonts w:hint="default"/>
                <w:b/>
                <w:bCs/>
                <w:u w:val="single"/>
                <w:lang w:val="en-US" w:eastAsia="zh-CN"/>
              </w:rPr>
            </w:pPr>
            <w:r>
              <w:rPr>
                <w:rFonts w:hint="eastAsia"/>
                <w:b/>
                <w:bCs/>
                <w:u w:val="single"/>
                <w:lang w:val="en-US" w:eastAsia="zh-CN"/>
              </w:rPr>
              <w:t>4.341</w:t>
            </w:r>
          </w:p>
        </w:tc>
        <w:tc>
          <w:tcPr>
            <w:tcW w:w="438" w:type="pct"/>
            <w:vAlign w:val="center"/>
          </w:tcPr>
          <w:p>
            <w:pPr>
              <w:pStyle w:val="182"/>
              <w:bidi w:val="0"/>
              <w:rPr>
                <w:rFonts w:hint="default"/>
                <w:b/>
                <w:bCs/>
                <w:u w:val="single"/>
                <w:lang w:val="en-US" w:eastAsia="zh-CN"/>
              </w:rPr>
            </w:pPr>
            <w:r>
              <w:rPr>
                <w:rFonts w:hint="eastAsia"/>
                <w:b/>
                <w:bCs/>
                <w:u w:val="single"/>
                <w:lang w:val="en-US" w:eastAsia="zh-CN"/>
              </w:rPr>
              <w:t>1.50</w:t>
            </w:r>
          </w:p>
        </w:tc>
        <w:tc>
          <w:tcPr>
            <w:tcW w:w="503" w:type="pct"/>
            <w:vAlign w:val="center"/>
          </w:tcPr>
          <w:p>
            <w:pPr>
              <w:pStyle w:val="182"/>
              <w:bidi w:val="0"/>
              <w:rPr>
                <w:rFonts w:hint="default"/>
                <w:b/>
                <w:bCs/>
                <w:u w:val="single"/>
                <w:lang w:val="en-US" w:eastAsia="zh-CN"/>
              </w:rPr>
            </w:pPr>
            <w:r>
              <w:rPr>
                <w:rFonts w:hint="eastAsia"/>
                <w:b/>
                <w:bCs/>
                <w:u w:val="single"/>
                <w:lang w:val="en-US" w:eastAsia="zh-CN"/>
              </w:rPr>
              <w:t>0.125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rFonts w:hint="eastAsia"/>
                <w:b/>
                <w:bCs/>
                <w:u w:val="single"/>
                <w:lang w:val="en-US" w:eastAsia="zh-CN"/>
              </w:rPr>
            </w:pPr>
            <w:r>
              <w:rPr>
                <w:rFonts w:hint="default"/>
                <w:b/>
                <w:bCs/>
                <w:u w:val="single"/>
              </w:rPr>
              <w:t>锌</w:t>
            </w:r>
          </w:p>
        </w:tc>
        <w:tc>
          <w:tcPr>
            <w:tcW w:w="626" w:type="pct"/>
            <w:vAlign w:val="center"/>
          </w:tcPr>
          <w:p>
            <w:pPr>
              <w:pStyle w:val="182"/>
              <w:bidi w:val="0"/>
              <w:rPr>
                <w:rFonts w:hint="default"/>
                <w:b/>
                <w:bCs/>
                <w:u w:val="single"/>
              </w:rPr>
            </w:pPr>
            <w:r>
              <w:rPr>
                <w:rFonts w:hint="eastAsia"/>
                <w:b/>
                <w:bCs/>
                <w:u w:val="single"/>
                <w:lang w:val="en-US" w:eastAsia="zh-CN"/>
              </w:rPr>
              <w:t>0.2446</w:t>
            </w:r>
          </w:p>
        </w:tc>
        <w:tc>
          <w:tcPr>
            <w:tcW w:w="623" w:type="pct"/>
            <w:vAlign w:val="center"/>
          </w:tcPr>
          <w:p>
            <w:pPr>
              <w:pStyle w:val="182"/>
              <w:bidi w:val="0"/>
              <w:rPr>
                <w:rFonts w:hint="default"/>
                <w:b/>
                <w:bCs/>
                <w:u w:val="single"/>
                <w:lang w:val="en-US" w:eastAsia="zh-CN"/>
              </w:rPr>
            </w:pPr>
            <w:r>
              <w:rPr>
                <w:rFonts w:hint="default"/>
                <w:b/>
                <w:bCs/>
                <w:u w:val="single"/>
                <w:lang w:val="en-US" w:eastAsia="zh-CN"/>
              </w:rPr>
              <w:t>9.97</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b/>
                <w:bCs/>
                <w:u w:val="single"/>
              </w:rPr>
            </w:pPr>
          </w:p>
        </w:tc>
        <w:tc>
          <w:tcPr>
            <w:tcW w:w="540" w:type="pct"/>
            <w:vAlign w:val="center"/>
          </w:tcPr>
          <w:p>
            <w:pPr>
              <w:pStyle w:val="182"/>
              <w:bidi w:val="0"/>
              <w:rPr>
                <w:rFonts w:hint="default"/>
                <w:b/>
                <w:bCs/>
                <w:u w:val="single"/>
                <w:lang w:val="en-US" w:eastAsia="zh-CN"/>
              </w:rPr>
            </w:pPr>
          </w:p>
        </w:tc>
        <w:tc>
          <w:tcPr>
            <w:tcW w:w="540" w:type="pct"/>
            <w:vAlign w:val="center"/>
          </w:tcPr>
          <w:p>
            <w:pPr>
              <w:pStyle w:val="182"/>
              <w:bidi w:val="0"/>
              <w:rPr>
                <w:rFonts w:hint="default"/>
                <w:b/>
                <w:bCs/>
                <w:u w:val="single"/>
                <w:lang w:val="en-US" w:eastAsia="zh-CN"/>
              </w:rPr>
            </w:pPr>
          </w:p>
        </w:tc>
        <w:tc>
          <w:tcPr>
            <w:tcW w:w="438" w:type="pct"/>
            <w:vAlign w:val="center"/>
          </w:tcPr>
          <w:p>
            <w:pPr>
              <w:pStyle w:val="182"/>
              <w:bidi w:val="0"/>
              <w:rPr>
                <w:rFonts w:hint="default"/>
                <w:b/>
                <w:bCs/>
                <w:u w:val="single"/>
                <w:lang w:val="en-US" w:eastAsia="zh-CN"/>
              </w:rPr>
            </w:pPr>
          </w:p>
        </w:tc>
        <w:tc>
          <w:tcPr>
            <w:tcW w:w="503" w:type="pct"/>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rFonts w:hint="eastAsia"/>
                <w:b/>
                <w:bCs/>
                <w:u w:val="single"/>
                <w:lang w:val="en-US" w:eastAsia="zh-CN"/>
              </w:rPr>
            </w:pPr>
            <w:r>
              <w:rPr>
                <w:rFonts w:hint="default"/>
                <w:b/>
                <w:bCs/>
                <w:u w:val="single"/>
              </w:rPr>
              <w:t>硫化物</w:t>
            </w:r>
          </w:p>
        </w:tc>
        <w:tc>
          <w:tcPr>
            <w:tcW w:w="626" w:type="pct"/>
            <w:vAlign w:val="center"/>
          </w:tcPr>
          <w:p>
            <w:pPr>
              <w:pStyle w:val="182"/>
              <w:bidi w:val="0"/>
              <w:rPr>
                <w:rFonts w:hint="default"/>
                <w:b/>
                <w:bCs/>
                <w:u w:val="single"/>
              </w:rPr>
            </w:pPr>
            <w:r>
              <w:rPr>
                <w:rFonts w:hint="eastAsia"/>
                <w:b/>
                <w:bCs/>
                <w:u w:val="single"/>
                <w:lang w:val="en-US" w:eastAsia="zh-CN"/>
              </w:rPr>
              <w:t>0.0720</w:t>
            </w:r>
          </w:p>
        </w:tc>
        <w:tc>
          <w:tcPr>
            <w:tcW w:w="623" w:type="pct"/>
            <w:vAlign w:val="center"/>
          </w:tcPr>
          <w:p>
            <w:pPr>
              <w:pStyle w:val="182"/>
              <w:bidi w:val="0"/>
              <w:rPr>
                <w:rFonts w:hint="default"/>
                <w:b/>
                <w:bCs/>
                <w:u w:val="single"/>
                <w:lang w:val="en-US" w:eastAsia="zh-CN"/>
              </w:rPr>
            </w:pPr>
            <w:r>
              <w:rPr>
                <w:rFonts w:hint="default"/>
                <w:b/>
                <w:bCs/>
                <w:u w:val="single"/>
                <w:lang w:val="en-US" w:eastAsia="zh-CN"/>
              </w:rPr>
              <w:t>2.1493</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b/>
                <w:bCs/>
                <w:u w:val="single"/>
              </w:rPr>
            </w:pPr>
          </w:p>
        </w:tc>
        <w:tc>
          <w:tcPr>
            <w:tcW w:w="540" w:type="pct"/>
            <w:vAlign w:val="center"/>
          </w:tcPr>
          <w:p>
            <w:pPr>
              <w:pStyle w:val="182"/>
              <w:bidi w:val="0"/>
              <w:rPr>
                <w:rFonts w:hint="default"/>
                <w:b/>
                <w:bCs/>
                <w:u w:val="single"/>
                <w:lang w:val="en-US" w:eastAsia="zh-CN"/>
              </w:rPr>
            </w:pPr>
          </w:p>
        </w:tc>
        <w:tc>
          <w:tcPr>
            <w:tcW w:w="540" w:type="pct"/>
            <w:vAlign w:val="center"/>
          </w:tcPr>
          <w:p>
            <w:pPr>
              <w:pStyle w:val="182"/>
              <w:bidi w:val="0"/>
              <w:rPr>
                <w:rFonts w:hint="default"/>
                <w:b/>
                <w:bCs/>
                <w:u w:val="single"/>
                <w:lang w:val="en-US" w:eastAsia="zh-CN"/>
              </w:rPr>
            </w:pPr>
          </w:p>
        </w:tc>
        <w:tc>
          <w:tcPr>
            <w:tcW w:w="438" w:type="pct"/>
            <w:vAlign w:val="center"/>
          </w:tcPr>
          <w:p>
            <w:pPr>
              <w:pStyle w:val="182"/>
              <w:bidi w:val="0"/>
              <w:rPr>
                <w:rFonts w:hint="default"/>
                <w:b/>
                <w:bCs/>
                <w:u w:val="single"/>
                <w:lang w:val="en-US" w:eastAsia="zh-CN"/>
              </w:rPr>
            </w:pPr>
          </w:p>
        </w:tc>
        <w:tc>
          <w:tcPr>
            <w:tcW w:w="503" w:type="pct"/>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b/>
                <w:bCs/>
                <w:u w:val="single"/>
              </w:rPr>
            </w:pPr>
            <w:r>
              <w:rPr>
                <w:rFonts w:hint="default"/>
                <w:b/>
                <w:bCs/>
                <w:u w:val="single"/>
              </w:rPr>
              <w:t>水量</w:t>
            </w:r>
          </w:p>
          <w:p>
            <w:pPr>
              <w:pStyle w:val="182"/>
              <w:bidi w:val="0"/>
              <w:rPr>
                <w:b/>
                <w:bCs/>
                <w:u w:val="single"/>
              </w:rPr>
            </w:pPr>
            <w:r>
              <w:rPr>
                <w:rFonts w:hint="default"/>
                <w:b/>
                <w:bCs/>
                <w:u w:val="single"/>
              </w:rPr>
              <w:t>（万t</w:t>
            </w:r>
            <w:r>
              <w:rPr>
                <w:b/>
                <w:bCs/>
                <w:u w:val="single"/>
              </w:rPr>
              <w:t>/a</w:t>
            </w:r>
            <w:r>
              <w:rPr>
                <w:rFonts w:hint="default"/>
                <w:b/>
                <w:bCs/>
                <w:u w:val="single"/>
              </w:rPr>
              <w:t>）</w:t>
            </w:r>
          </w:p>
        </w:tc>
        <w:tc>
          <w:tcPr>
            <w:tcW w:w="626" w:type="pct"/>
            <w:vAlign w:val="center"/>
          </w:tcPr>
          <w:p>
            <w:pPr>
              <w:pStyle w:val="182"/>
              <w:bidi w:val="0"/>
              <w:rPr>
                <w:rFonts w:hint="default"/>
                <w:b/>
                <w:bCs/>
                <w:u w:val="single"/>
                <w:lang w:val="en-US" w:eastAsia="zh-CN"/>
              </w:rPr>
            </w:pPr>
            <w:r>
              <w:rPr>
                <w:rFonts w:hint="eastAsia"/>
                <w:b/>
                <w:bCs/>
                <w:u w:val="single"/>
                <w:lang w:val="en-US" w:eastAsia="zh-CN"/>
              </w:rPr>
              <w:t>719.5508</w:t>
            </w:r>
          </w:p>
        </w:tc>
        <w:tc>
          <w:tcPr>
            <w:tcW w:w="623" w:type="pct"/>
            <w:vAlign w:val="center"/>
          </w:tcPr>
          <w:p>
            <w:pPr>
              <w:pStyle w:val="182"/>
              <w:bidi w:val="0"/>
              <w:rPr>
                <w:rFonts w:hint="default"/>
                <w:b/>
                <w:bCs/>
                <w:u w:val="single"/>
                <w:lang w:val="en-US"/>
              </w:rPr>
            </w:pPr>
            <w:r>
              <w:rPr>
                <w:rFonts w:hint="eastAsia"/>
                <w:b/>
                <w:bCs/>
                <w:u w:val="single"/>
                <w:lang w:val="en-US" w:eastAsia="zh-CN"/>
              </w:rPr>
              <w:t>334.4939</w:t>
            </w:r>
          </w:p>
        </w:tc>
        <w:tc>
          <w:tcPr>
            <w:tcW w:w="475" w:type="pct"/>
            <w:vAlign w:val="center"/>
          </w:tcPr>
          <w:p>
            <w:pPr>
              <w:pStyle w:val="182"/>
              <w:bidi w:val="0"/>
              <w:rPr>
                <w:rFonts w:hint="default"/>
                <w:b/>
                <w:bCs/>
                <w:u w:val="single"/>
                <w:lang w:val="en-US" w:eastAsia="zh-CN"/>
              </w:rPr>
            </w:pPr>
            <w:r>
              <w:rPr>
                <w:rFonts w:hint="default"/>
                <w:b/>
                <w:bCs/>
                <w:u w:val="single"/>
                <w:lang w:val="en-US" w:eastAsia="zh-CN"/>
              </w:rPr>
              <w:t>31.28</w:t>
            </w:r>
          </w:p>
        </w:tc>
        <w:tc>
          <w:tcPr>
            <w:tcW w:w="402" w:type="pct"/>
            <w:vAlign w:val="center"/>
          </w:tcPr>
          <w:p>
            <w:pPr>
              <w:pStyle w:val="182"/>
              <w:bidi w:val="0"/>
              <w:rPr>
                <w:b/>
                <w:bCs/>
                <w:u w:val="single"/>
              </w:rPr>
            </w:pPr>
            <w:r>
              <w:rPr>
                <w:rFonts w:hint="default"/>
                <w:b/>
                <w:bCs/>
                <w:u w:val="single"/>
              </w:rPr>
              <w:t>/</w:t>
            </w:r>
          </w:p>
        </w:tc>
        <w:tc>
          <w:tcPr>
            <w:tcW w:w="1080" w:type="pct"/>
            <w:gridSpan w:val="2"/>
            <w:vAlign w:val="center"/>
          </w:tcPr>
          <w:p>
            <w:pPr>
              <w:pStyle w:val="182"/>
              <w:bidi w:val="0"/>
              <w:rPr>
                <w:rFonts w:hint="default"/>
                <w:b/>
                <w:bCs/>
                <w:u w:val="single"/>
                <w:lang w:val="en-US"/>
              </w:rPr>
            </w:pPr>
            <w:r>
              <w:rPr>
                <w:rFonts w:hint="eastAsia"/>
                <w:b/>
                <w:bCs/>
                <w:u w:val="single"/>
                <w:lang w:val="en-US" w:eastAsia="zh-CN"/>
              </w:rPr>
              <w:t>1085.325</w:t>
            </w:r>
          </w:p>
        </w:tc>
        <w:tc>
          <w:tcPr>
            <w:tcW w:w="941" w:type="pct"/>
            <w:gridSpan w:val="2"/>
            <w:vAlign w:val="center"/>
          </w:tcPr>
          <w:p>
            <w:pPr>
              <w:pStyle w:val="182"/>
              <w:bidi w:val="0"/>
              <w:rPr>
                <w:rFonts w:hint="default"/>
                <w:b/>
                <w:bCs/>
                <w:u w:val="single"/>
                <w:lang w:val="en-US" w:eastAsia="zh-CN"/>
              </w:rPr>
            </w:pPr>
            <w:r>
              <w:rPr>
                <w:rFonts w:hint="eastAsia"/>
                <w:b/>
                <w:bCs/>
                <w:u w:val="single"/>
                <w:lang w:val="en-US" w:eastAsia="zh-CN"/>
              </w:rPr>
              <w:t>31.28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restart"/>
            <w:vAlign w:val="center"/>
          </w:tcPr>
          <w:p>
            <w:pPr>
              <w:pStyle w:val="182"/>
              <w:bidi w:val="0"/>
              <w:rPr>
                <w:b/>
                <w:bCs/>
                <w:u w:val="single"/>
              </w:rPr>
            </w:pPr>
            <w:r>
              <w:rPr>
                <w:rFonts w:hint="default"/>
                <w:b/>
                <w:bCs/>
                <w:u w:val="single"/>
              </w:rPr>
              <w:t>废气</w:t>
            </w:r>
          </w:p>
        </w:tc>
        <w:tc>
          <w:tcPr>
            <w:tcW w:w="600" w:type="pct"/>
            <w:vAlign w:val="center"/>
          </w:tcPr>
          <w:p>
            <w:pPr>
              <w:pStyle w:val="182"/>
              <w:bidi w:val="0"/>
              <w:rPr>
                <w:b/>
                <w:bCs/>
                <w:u w:val="single"/>
              </w:rPr>
            </w:pPr>
            <w:r>
              <w:rPr>
                <w:rFonts w:hint="eastAsia"/>
                <w:b/>
                <w:bCs/>
                <w:u w:val="single"/>
                <w:lang w:val="en-US" w:eastAsia="zh-CN"/>
              </w:rPr>
              <w:t>颗粒物</w:t>
            </w:r>
          </w:p>
        </w:tc>
        <w:tc>
          <w:tcPr>
            <w:tcW w:w="626" w:type="pct"/>
            <w:vAlign w:val="center"/>
          </w:tcPr>
          <w:p>
            <w:pPr>
              <w:pStyle w:val="182"/>
              <w:bidi w:val="0"/>
              <w:rPr>
                <w:b/>
                <w:bCs/>
                <w:u w:val="single"/>
              </w:rPr>
            </w:pPr>
            <w:r>
              <w:rPr>
                <w:rFonts w:hint="eastAsia"/>
                <w:b/>
                <w:bCs/>
                <w:u w:val="single"/>
                <w:lang w:val="en-US" w:eastAsia="zh-CN"/>
              </w:rPr>
              <w:t>7.81</w:t>
            </w:r>
          </w:p>
        </w:tc>
        <w:tc>
          <w:tcPr>
            <w:tcW w:w="623" w:type="pct"/>
            <w:vAlign w:val="center"/>
          </w:tcPr>
          <w:p>
            <w:pPr>
              <w:pStyle w:val="182"/>
              <w:bidi w:val="0"/>
              <w:rPr>
                <w:rFonts w:hint="default"/>
                <w:b/>
                <w:bCs/>
                <w:u w:val="single"/>
                <w:lang w:val="en-US"/>
              </w:rPr>
            </w:pPr>
            <w:r>
              <w:rPr>
                <w:rFonts w:hint="eastAsia"/>
                <w:b/>
                <w:bCs/>
                <w:u w:val="single"/>
                <w:lang w:val="en-US" w:eastAsia="zh-CN"/>
              </w:rPr>
              <w:t>28.8131</w:t>
            </w:r>
          </w:p>
        </w:tc>
        <w:tc>
          <w:tcPr>
            <w:tcW w:w="475" w:type="pct"/>
            <w:vAlign w:val="center"/>
          </w:tcPr>
          <w:p>
            <w:pPr>
              <w:pStyle w:val="182"/>
              <w:bidi w:val="0"/>
              <w:rPr>
                <w:rFonts w:hint="default"/>
                <w:b/>
                <w:bCs/>
                <w:u w:val="single"/>
                <w:lang w:val="en-US" w:eastAsia="zh-CN"/>
              </w:rPr>
            </w:pPr>
            <w:r>
              <w:rPr>
                <w:rFonts w:hint="eastAsia"/>
                <w:b/>
                <w:bCs/>
                <w:u w:val="single"/>
                <w:lang w:val="en-US" w:eastAsia="zh-CN"/>
              </w:rPr>
              <w:t>0.841</w:t>
            </w:r>
          </w:p>
        </w:tc>
        <w:tc>
          <w:tcPr>
            <w:tcW w:w="402" w:type="pct"/>
            <w:vAlign w:val="center"/>
          </w:tcPr>
          <w:p>
            <w:pPr>
              <w:pStyle w:val="182"/>
              <w:bidi w:val="0"/>
              <w:rPr>
                <w:b/>
                <w:bCs/>
                <w:u w:val="single"/>
              </w:rPr>
            </w:pPr>
            <w:r>
              <w:rPr>
                <w:rFonts w:hint="eastAsia"/>
                <w:b/>
                <w:bCs/>
                <w:u w:val="single"/>
                <w:lang w:val="en-US" w:eastAsia="zh-CN"/>
              </w:rPr>
              <w:t>/</w:t>
            </w:r>
          </w:p>
        </w:tc>
        <w:tc>
          <w:tcPr>
            <w:tcW w:w="1080" w:type="pct"/>
            <w:gridSpan w:val="2"/>
            <w:vAlign w:val="center"/>
          </w:tcPr>
          <w:p>
            <w:pPr>
              <w:pStyle w:val="182"/>
              <w:bidi w:val="0"/>
              <w:rPr>
                <w:rFonts w:hint="default"/>
                <w:b/>
                <w:bCs/>
                <w:u w:val="single"/>
                <w:lang w:val="en-US"/>
              </w:rPr>
            </w:pPr>
            <w:r>
              <w:rPr>
                <w:rFonts w:hint="eastAsia"/>
                <w:b/>
                <w:bCs/>
                <w:u w:val="single"/>
                <w:lang w:val="en-US" w:eastAsia="zh-CN"/>
              </w:rPr>
              <w:t>37.464</w:t>
            </w:r>
          </w:p>
        </w:tc>
        <w:tc>
          <w:tcPr>
            <w:tcW w:w="941" w:type="pct"/>
            <w:gridSpan w:val="2"/>
            <w:vAlign w:val="center"/>
          </w:tcPr>
          <w:p>
            <w:pPr>
              <w:pStyle w:val="182"/>
              <w:bidi w:val="0"/>
              <w:rPr>
                <w:rFonts w:hint="default"/>
                <w:b/>
                <w:bCs/>
                <w:u w:val="single"/>
                <w:lang w:val="en-US" w:eastAsia="zh-CN"/>
              </w:rPr>
            </w:pPr>
            <w:r>
              <w:rPr>
                <w:rFonts w:hint="eastAsia"/>
                <w:b/>
                <w:bCs/>
                <w:u w:val="single"/>
                <w:lang w:val="en-US" w:eastAsia="zh-CN"/>
              </w:rPr>
              <w:t>0.841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default"/>
                <w:b/>
                <w:bCs/>
                <w:u w:val="single"/>
                <w:lang w:val="en-US" w:eastAsia="zh-CN"/>
              </w:rPr>
              <w:t>SO</w:t>
            </w:r>
            <w:r>
              <w:rPr>
                <w:rFonts w:hint="default"/>
                <w:b/>
                <w:bCs/>
                <w:u w:val="single"/>
                <w:vertAlign w:val="subscript"/>
                <w:lang w:val="en-US" w:eastAsia="zh-CN"/>
              </w:rPr>
              <w:t>2</w:t>
            </w:r>
          </w:p>
        </w:tc>
        <w:tc>
          <w:tcPr>
            <w:tcW w:w="626" w:type="pct"/>
            <w:vAlign w:val="center"/>
          </w:tcPr>
          <w:p>
            <w:pPr>
              <w:pStyle w:val="182"/>
              <w:bidi w:val="0"/>
              <w:rPr>
                <w:rFonts w:hint="default"/>
                <w:b/>
                <w:bCs/>
                <w:u w:val="single"/>
                <w:lang w:val="en-US" w:eastAsia="zh-CN"/>
              </w:rPr>
            </w:pPr>
            <w:r>
              <w:rPr>
                <w:rFonts w:hint="default"/>
                <w:b/>
                <w:bCs/>
                <w:u w:val="single"/>
                <w:lang w:val="en-US" w:eastAsia="zh-CN"/>
              </w:rPr>
              <w:t>73.38</w:t>
            </w:r>
          </w:p>
        </w:tc>
        <w:tc>
          <w:tcPr>
            <w:tcW w:w="623" w:type="pct"/>
            <w:vAlign w:val="center"/>
          </w:tcPr>
          <w:p>
            <w:pPr>
              <w:pStyle w:val="182"/>
              <w:bidi w:val="0"/>
              <w:rPr>
                <w:rFonts w:hint="default"/>
                <w:b/>
                <w:bCs/>
                <w:u w:val="single"/>
                <w:lang w:val="en-US" w:eastAsia="zh-CN"/>
              </w:rPr>
            </w:pPr>
            <w:r>
              <w:rPr>
                <w:rFonts w:hint="default"/>
                <w:b/>
                <w:bCs/>
                <w:u w:val="single"/>
                <w:lang w:val="en-US" w:eastAsia="zh-CN"/>
              </w:rPr>
              <w:t>93.5155</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166.8955</w:t>
            </w:r>
          </w:p>
        </w:tc>
        <w:tc>
          <w:tcPr>
            <w:tcW w:w="941" w:type="pct"/>
            <w:gridSpan w:val="2"/>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default"/>
                <w:b/>
                <w:bCs/>
                <w:u w:val="single"/>
                <w:lang w:val="en-US" w:eastAsia="zh-CN"/>
              </w:rPr>
              <w:t>NOx</w:t>
            </w:r>
          </w:p>
        </w:tc>
        <w:tc>
          <w:tcPr>
            <w:tcW w:w="626" w:type="pct"/>
            <w:vAlign w:val="center"/>
          </w:tcPr>
          <w:p>
            <w:pPr>
              <w:pStyle w:val="182"/>
              <w:bidi w:val="0"/>
              <w:rPr>
                <w:rFonts w:hint="default"/>
                <w:b/>
                <w:bCs/>
                <w:u w:val="single"/>
                <w:lang w:val="en-US" w:eastAsia="zh-CN"/>
              </w:rPr>
            </w:pPr>
            <w:r>
              <w:rPr>
                <w:rFonts w:hint="default"/>
                <w:b/>
                <w:bCs/>
                <w:u w:val="single"/>
                <w:lang w:val="en-US" w:eastAsia="zh-CN"/>
              </w:rPr>
              <w:t>134.06</w:t>
            </w:r>
          </w:p>
        </w:tc>
        <w:tc>
          <w:tcPr>
            <w:tcW w:w="623" w:type="pct"/>
            <w:vAlign w:val="center"/>
          </w:tcPr>
          <w:p>
            <w:pPr>
              <w:pStyle w:val="182"/>
              <w:bidi w:val="0"/>
              <w:rPr>
                <w:rFonts w:hint="default"/>
                <w:b/>
                <w:bCs/>
                <w:u w:val="single"/>
                <w:lang w:val="en-US" w:eastAsia="zh-CN"/>
              </w:rPr>
            </w:pPr>
            <w:r>
              <w:rPr>
                <w:rFonts w:hint="default"/>
                <w:b/>
                <w:bCs/>
                <w:u w:val="single"/>
                <w:lang w:val="en-US" w:eastAsia="zh-CN"/>
              </w:rPr>
              <w:t>154.5593</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288.6193</w:t>
            </w:r>
          </w:p>
        </w:tc>
        <w:tc>
          <w:tcPr>
            <w:tcW w:w="941" w:type="pct"/>
            <w:gridSpan w:val="2"/>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default"/>
                <w:b/>
                <w:bCs/>
                <w:u w:val="single"/>
                <w:lang w:val="en-US" w:eastAsia="zh-CN"/>
              </w:rPr>
              <w:t>Hg</w:t>
            </w:r>
          </w:p>
        </w:tc>
        <w:tc>
          <w:tcPr>
            <w:tcW w:w="626" w:type="pct"/>
            <w:vAlign w:val="center"/>
          </w:tcPr>
          <w:p>
            <w:pPr>
              <w:pStyle w:val="182"/>
              <w:bidi w:val="0"/>
              <w:rPr>
                <w:rFonts w:hint="default"/>
                <w:b/>
                <w:bCs/>
                <w:u w:val="single"/>
                <w:lang w:val="en-US" w:eastAsia="zh-CN"/>
              </w:rPr>
            </w:pPr>
            <w:r>
              <w:rPr>
                <w:rFonts w:hint="default"/>
                <w:b/>
                <w:bCs/>
                <w:u w:val="single"/>
                <w:lang w:val="en-US" w:eastAsia="zh-CN"/>
              </w:rPr>
              <w:t>/</w:t>
            </w:r>
          </w:p>
        </w:tc>
        <w:tc>
          <w:tcPr>
            <w:tcW w:w="623" w:type="pct"/>
            <w:vAlign w:val="center"/>
          </w:tcPr>
          <w:p>
            <w:pPr>
              <w:pStyle w:val="182"/>
              <w:bidi w:val="0"/>
              <w:rPr>
                <w:rFonts w:hint="default"/>
                <w:b/>
                <w:bCs/>
                <w:u w:val="single"/>
                <w:lang w:val="en-US" w:eastAsia="zh-CN"/>
              </w:rPr>
            </w:pPr>
            <w:r>
              <w:rPr>
                <w:rFonts w:hint="default"/>
                <w:b/>
                <w:bCs/>
                <w:u w:val="single"/>
                <w:lang w:val="en-US" w:eastAsia="zh-CN"/>
              </w:rPr>
              <w:t>0.0095</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0.0095</w:t>
            </w:r>
          </w:p>
        </w:tc>
        <w:tc>
          <w:tcPr>
            <w:tcW w:w="941" w:type="pct"/>
            <w:gridSpan w:val="2"/>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eastAsia"/>
                <w:b/>
                <w:bCs/>
                <w:u w:val="single"/>
                <w:lang w:val="en-US" w:eastAsia="zh-CN"/>
              </w:rPr>
              <w:t>氨</w:t>
            </w:r>
          </w:p>
        </w:tc>
        <w:tc>
          <w:tcPr>
            <w:tcW w:w="626" w:type="pct"/>
            <w:vAlign w:val="center"/>
          </w:tcPr>
          <w:p>
            <w:pPr>
              <w:pStyle w:val="182"/>
              <w:bidi w:val="0"/>
              <w:rPr>
                <w:rFonts w:hint="default"/>
                <w:b/>
                <w:bCs/>
                <w:u w:val="single"/>
                <w:lang w:val="en-US" w:eastAsia="zh-CN"/>
              </w:rPr>
            </w:pPr>
            <w:r>
              <w:rPr>
                <w:rFonts w:hint="default"/>
                <w:b/>
                <w:bCs/>
                <w:u w:val="single"/>
                <w:lang w:val="en-US" w:eastAsia="zh-CN"/>
              </w:rPr>
              <w:t>4.47</w:t>
            </w:r>
          </w:p>
        </w:tc>
        <w:tc>
          <w:tcPr>
            <w:tcW w:w="623" w:type="pct"/>
            <w:vAlign w:val="center"/>
          </w:tcPr>
          <w:p>
            <w:pPr>
              <w:pStyle w:val="182"/>
              <w:bidi w:val="0"/>
              <w:rPr>
                <w:rFonts w:hint="default"/>
                <w:b/>
                <w:bCs/>
                <w:u w:val="single"/>
                <w:lang w:val="en-US" w:eastAsia="zh-CN"/>
              </w:rPr>
            </w:pPr>
            <w:r>
              <w:rPr>
                <w:rFonts w:hint="default"/>
                <w:b/>
                <w:bCs/>
                <w:u w:val="single"/>
                <w:lang w:val="en-US" w:eastAsia="zh-CN"/>
              </w:rPr>
              <w:t>12.829</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17.299</w:t>
            </w:r>
          </w:p>
        </w:tc>
        <w:tc>
          <w:tcPr>
            <w:tcW w:w="941" w:type="pct"/>
            <w:gridSpan w:val="2"/>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default"/>
                <w:b/>
                <w:bCs/>
                <w:u w:val="single"/>
                <w:lang w:val="en-US" w:eastAsia="zh-CN"/>
              </w:rPr>
              <w:t>VOC</w:t>
            </w:r>
            <w:r>
              <w:rPr>
                <w:rFonts w:hint="default"/>
                <w:b/>
                <w:bCs/>
                <w:u w:val="single"/>
                <w:vertAlign w:val="subscript"/>
                <w:lang w:val="en-US" w:eastAsia="zh-CN"/>
              </w:rPr>
              <w:t>S</w:t>
            </w:r>
          </w:p>
        </w:tc>
        <w:tc>
          <w:tcPr>
            <w:tcW w:w="626" w:type="pct"/>
            <w:vAlign w:val="center"/>
          </w:tcPr>
          <w:p>
            <w:pPr>
              <w:pStyle w:val="182"/>
              <w:bidi w:val="0"/>
              <w:rPr>
                <w:rFonts w:hint="default"/>
                <w:b/>
                <w:bCs/>
                <w:u w:val="single"/>
                <w:lang w:val="en-US" w:eastAsia="zh-CN"/>
              </w:rPr>
            </w:pPr>
            <w:r>
              <w:rPr>
                <w:rFonts w:hint="default"/>
                <w:b/>
                <w:bCs/>
                <w:u w:val="single"/>
                <w:lang w:val="en-US" w:eastAsia="zh-CN"/>
              </w:rPr>
              <w:t>5.42</w:t>
            </w:r>
          </w:p>
        </w:tc>
        <w:tc>
          <w:tcPr>
            <w:tcW w:w="623" w:type="pct"/>
            <w:vAlign w:val="center"/>
          </w:tcPr>
          <w:p>
            <w:pPr>
              <w:pStyle w:val="182"/>
              <w:bidi w:val="0"/>
              <w:rPr>
                <w:rFonts w:hint="default"/>
                <w:b/>
                <w:bCs/>
                <w:u w:val="single"/>
                <w:lang w:val="en-US" w:eastAsia="zh-CN"/>
              </w:rPr>
            </w:pPr>
            <w:r>
              <w:rPr>
                <w:rFonts w:hint="default"/>
                <w:b/>
                <w:bCs/>
                <w:u w:val="single"/>
                <w:lang w:val="en-US" w:eastAsia="zh-CN"/>
              </w:rPr>
              <w:t>20.174</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25.594</w:t>
            </w:r>
          </w:p>
        </w:tc>
        <w:tc>
          <w:tcPr>
            <w:tcW w:w="941" w:type="pct"/>
            <w:gridSpan w:val="2"/>
            <w:vAlign w:val="center"/>
          </w:tcPr>
          <w:p>
            <w:pPr>
              <w:pStyle w:val="182"/>
              <w:bidi w:val="0"/>
              <w:rPr>
                <w:rFonts w:hint="default"/>
                <w:b/>
                <w:bCs/>
                <w:u w:val="single"/>
                <w:lang w:val="en-US" w:eastAsia="zh-CN"/>
              </w:rPr>
            </w:pPr>
          </w:p>
        </w:tc>
      </w:tr>
    </w:tbl>
    <w:p>
      <w:pPr>
        <w:bidi w:val="0"/>
        <w:ind w:firstLine="482"/>
        <w:rPr>
          <w:rFonts w:hint="eastAsia"/>
          <w:b/>
          <w:bCs/>
          <w:color w:val="auto"/>
          <w:u w:val="single"/>
        </w:rPr>
      </w:pPr>
      <w:r>
        <w:rPr>
          <w:rFonts w:hint="eastAsia"/>
          <w:b/>
          <w:bCs/>
          <w:color w:val="auto"/>
          <w:u w:val="single"/>
        </w:rPr>
        <w:t>注：表中水量不包含中纺院绿色纤维项目的废水排放量，仅为新乡化纤厂区废水产生、排放量。</w:t>
      </w:r>
    </w:p>
    <w:p>
      <w:pPr>
        <w:bidi w:val="0"/>
        <w:rPr>
          <w:rFonts w:hint="eastAsia"/>
          <w:b/>
          <w:bCs/>
          <w:color w:val="auto"/>
          <w:u w:val="single"/>
        </w:rPr>
      </w:pPr>
      <w:r>
        <w:rPr>
          <w:rFonts w:hint="eastAsia"/>
          <w:b/>
          <w:bCs/>
          <w:color w:val="auto"/>
          <w:u w:val="single"/>
        </w:rPr>
        <w:t>由上表可以看出，本项目建成后全厂污染物排放量为：</w:t>
      </w:r>
    </w:p>
    <w:p>
      <w:pPr>
        <w:bidi w:val="0"/>
        <w:rPr>
          <w:rFonts w:hint="eastAsia"/>
          <w:b/>
          <w:bCs/>
          <w:color w:val="auto"/>
          <w:u w:val="single"/>
        </w:rPr>
      </w:pPr>
      <w:r>
        <w:rPr>
          <w:rFonts w:hint="eastAsia"/>
          <w:b/>
          <w:bCs/>
          <w:color w:val="auto"/>
          <w:u w:val="single"/>
        </w:rPr>
        <w:t>①本项目建成后全厂废水污染物总量指标为：COD</w:t>
      </w:r>
      <w:r>
        <w:rPr>
          <w:rFonts w:hint="eastAsia"/>
          <w:b/>
          <w:bCs/>
          <w:color w:val="auto"/>
          <w:u w:val="single"/>
          <w:lang w:val="en-US" w:eastAsia="zh-CN"/>
        </w:rPr>
        <w:t xml:space="preserve"> </w:t>
      </w:r>
      <w:r>
        <w:rPr>
          <w:rFonts w:hint="eastAsia"/>
          <w:b/>
          <w:bCs/>
          <w:u w:val="single"/>
          <w:lang w:val="en-US" w:eastAsia="zh-CN"/>
        </w:rPr>
        <w:t>1245.207</w:t>
      </w:r>
      <w:r>
        <w:rPr>
          <w:rFonts w:hint="eastAsia"/>
          <w:b/>
          <w:bCs/>
          <w:color w:val="auto"/>
          <w:u w:val="single"/>
          <w:lang w:val="en-US" w:eastAsia="zh-CN"/>
        </w:rPr>
        <w:t>t</w:t>
      </w:r>
      <w:r>
        <w:rPr>
          <w:rFonts w:hint="eastAsia"/>
          <w:b/>
          <w:bCs/>
          <w:color w:val="auto"/>
          <w:u w:val="single"/>
        </w:rPr>
        <w:t>/a，氨氮</w:t>
      </w:r>
      <w:r>
        <w:rPr>
          <w:rFonts w:hint="eastAsia"/>
          <w:b/>
          <w:bCs/>
          <w:u w:val="single"/>
          <w:lang w:val="en-US" w:eastAsia="zh-CN"/>
        </w:rPr>
        <w:t>54.550</w:t>
      </w:r>
      <w:r>
        <w:rPr>
          <w:rFonts w:hint="eastAsia"/>
          <w:b/>
          <w:bCs/>
          <w:color w:val="auto"/>
          <w:u w:val="single"/>
          <w:lang w:val="en-US" w:eastAsia="zh-CN"/>
        </w:rPr>
        <w:t xml:space="preserve"> </w:t>
      </w:r>
      <w:r>
        <w:rPr>
          <w:rFonts w:hint="eastAsia"/>
          <w:b/>
          <w:bCs/>
          <w:color w:val="auto"/>
          <w:u w:val="single"/>
        </w:rPr>
        <w:t>t/a</w:t>
      </w:r>
      <w:r>
        <w:rPr>
          <w:rFonts w:hint="eastAsia"/>
          <w:b/>
          <w:bCs/>
          <w:color w:val="auto"/>
          <w:u w:val="single"/>
          <w:lang w:eastAsia="zh-CN"/>
        </w:rPr>
        <w:t>、</w:t>
      </w:r>
      <w:r>
        <w:rPr>
          <w:rFonts w:hint="eastAsia"/>
          <w:b/>
          <w:bCs/>
          <w:color w:val="auto"/>
          <w:u w:val="single"/>
          <w:lang w:val="en-US" w:eastAsia="zh-CN"/>
        </w:rPr>
        <w:t xml:space="preserve">TN </w:t>
      </w:r>
      <w:r>
        <w:rPr>
          <w:rFonts w:hint="eastAsia"/>
          <w:b/>
          <w:bCs/>
          <w:u w:val="single"/>
          <w:lang w:val="en-US" w:eastAsia="zh-CN"/>
        </w:rPr>
        <w:t>185.332</w:t>
      </w:r>
      <w:r>
        <w:rPr>
          <w:rFonts w:hint="eastAsia"/>
          <w:b/>
          <w:bCs/>
          <w:color w:val="auto"/>
          <w:u w:val="single"/>
          <w:lang w:val="en-US" w:eastAsia="zh-CN"/>
        </w:rPr>
        <w:t xml:space="preserve">t/a、TP </w:t>
      </w:r>
      <w:r>
        <w:rPr>
          <w:rFonts w:hint="eastAsia"/>
          <w:b/>
          <w:bCs/>
          <w:u w:val="single"/>
          <w:lang w:val="en-US" w:eastAsia="zh-CN"/>
        </w:rPr>
        <w:t>3.903</w:t>
      </w:r>
      <w:r>
        <w:rPr>
          <w:rFonts w:hint="eastAsia"/>
          <w:b/>
          <w:bCs/>
          <w:color w:val="auto"/>
          <w:u w:val="single"/>
          <w:lang w:val="en-US" w:eastAsia="zh-CN"/>
        </w:rPr>
        <w:t>t/a</w:t>
      </w:r>
      <w:r>
        <w:rPr>
          <w:rFonts w:hint="eastAsia"/>
          <w:b/>
          <w:bCs/>
          <w:color w:val="auto"/>
          <w:u w:val="single"/>
        </w:rPr>
        <w:t>。</w:t>
      </w:r>
    </w:p>
    <w:p>
      <w:pPr>
        <w:bidi w:val="0"/>
        <w:rPr>
          <w:b/>
          <w:bCs/>
          <w:color w:val="auto"/>
          <w:u w:val="single"/>
        </w:rPr>
      </w:pPr>
      <w:r>
        <w:rPr>
          <w:rFonts w:hint="eastAsia"/>
          <w:b/>
          <w:bCs/>
          <w:color w:val="auto"/>
          <w:u w:val="single"/>
        </w:rPr>
        <w:t xml:space="preserve">新增废水污染物总量指标为：COD </w:t>
      </w:r>
      <w:r>
        <w:rPr>
          <w:rFonts w:hint="eastAsia"/>
          <w:b/>
          <w:bCs/>
          <w:color w:val="auto"/>
          <w:u w:val="single"/>
          <w:lang w:val="en-US" w:eastAsia="zh-CN"/>
        </w:rPr>
        <w:t>12.512</w:t>
      </w:r>
      <w:r>
        <w:rPr>
          <w:rFonts w:hint="eastAsia"/>
          <w:b/>
          <w:bCs/>
          <w:color w:val="auto"/>
          <w:u w:val="single"/>
        </w:rPr>
        <w:t>t/a，NH</w:t>
      </w:r>
      <w:r>
        <w:rPr>
          <w:rFonts w:hint="eastAsia"/>
          <w:b/>
          <w:bCs/>
          <w:color w:val="auto"/>
          <w:u w:val="single"/>
          <w:vertAlign w:val="subscript"/>
        </w:rPr>
        <w:t>3</w:t>
      </w:r>
      <w:r>
        <w:rPr>
          <w:rFonts w:hint="eastAsia"/>
          <w:b/>
          <w:bCs/>
          <w:color w:val="auto"/>
          <w:u w:val="single"/>
        </w:rPr>
        <w:t xml:space="preserve">-N </w:t>
      </w:r>
      <w:r>
        <w:rPr>
          <w:rFonts w:hint="eastAsia"/>
          <w:b/>
          <w:bCs/>
          <w:color w:val="auto"/>
          <w:u w:val="single"/>
          <w:lang w:val="en-US" w:eastAsia="zh-CN"/>
        </w:rPr>
        <w:t>0.626</w:t>
      </w:r>
      <w:r>
        <w:rPr>
          <w:rFonts w:hint="eastAsia"/>
          <w:b/>
          <w:bCs/>
          <w:color w:val="auto"/>
          <w:u w:val="single"/>
        </w:rPr>
        <w:t>t/a。</w:t>
      </w:r>
    </w:p>
    <w:p>
      <w:pPr>
        <w:bidi w:val="0"/>
        <w:rPr>
          <w:rFonts w:hint="eastAsia"/>
          <w:b/>
          <w:bCs/>
          <w:color w:val="auto"/>
          <w:u w:val="single"/>
        </w:rPr>
      </w:pPr>
      <w:r>
        <w:rPr>
          <w:rFonts w:hint="eastAsia"/>
          <w:b/>
          <w:bCs/>
          <w:color w:val="auto"/>
          <w:u w:val="single"/>
        </w:rPr>
        <w:t>②本项目建成后全厂废气污染物总量控制指标：颗粒物</w:t>
      </w:r>
      <w:r>
        <w:rPr>
          <w:rFonts w:hint="eastAsia"/>
          <w:b/>
          <w:bCs/>
          <w:u w:val="single"/>
          <w:lang w:val="en-US" w:eastAsia="zh-CN"/>
        </w:rPr>
        <w:t>37.464t</w:t>
      </w:r>
      <w:r>
        <w:rPr>
          <w:rFonts w:hint="eastAsia"/>
          <w:b/>
          <w:bCs/>
          <w:color w:val="auto"/>
          <w:u w:val="single"/>
        </w:rPr>
        <w:t>/a。</w:t>
      </w:r>
    </w:p>
    <w:p>
      <w:pPr>
        <w:bidi w:val="0"/>
        <w:rPr>
          <w:color w:val="auto"/>
        </w:rPr>
      </w:pPr>
      <w:r>
        <w:rPr>
          <w:rFonts w:hint="eastAsia"/>
          <w:b/>
          <w:bCs/>
          <w:color w:val="auto"/>
          <w:u w:val="single"/>
        </w:rPr>
        <w:t>新增废气污染物总量指标为：颗粒物</w:t>
      </w:r>
      <w:r>
        <w:rPr>
          <w:rFonts w:hint="eastAsia"/>
          <w:b/>
          <w:bCs/>
          <w:color w:val="auto"/>
          <w:u w:val="single"/>
          <w:lang w:val="en-US" w:eastAsia="zh-CN"/>
        </w:rPr>
        <w:t>0.841</w:t>
      </w:r>
      <w:r>
        <w:rPr>
          <w:rFonts w:hint="eastAsia"/>
          <w:b/>
          <w:bCs/>
          <w:color w:val="auto"/>
          <w:u w:val="single"/>
        </w:rPr>
        <w:t>t/a。</w:t>
      </w:r>
    </w:p>
    <w:p>
      <w:pPr>
        <w:bidi w:val="0"/>
      </w:pPr>
      <w:r>
        <w:rPr>
          <w:rFonts w:hint="eastAsia"/>
          <w:b/>
          <w:bCs/>
          <w:u w:val="single"/>
        </w:rPr>
        <w:t>本项目新增水污染物排放量为COD 12.512t/a，NH</w:t>
      </w:r>
      <w:r>
        <w:rPr>
          <w:rFonts w:hint="eastAsia"/>
          <w:b/>
          <w:bCs/>
          <w:u w:val="single"/>
          <w:vertAlign w:val="subscript"/>
        </w:rPr>
        <w:t>3</w:t>
      </w:r>
      <w:r>
        <w:rPr>
          <w:rFonts w:hint="eastAsia"/>
          <w:b/>
          <w:bCs/>
          <w:u w:val="single"/>
        </w:rPr>
        <w:t>-N 0.626t/a。新增废气污染物总量指标为：颗粒物0.841t/a，本项目大气污染物需进行倍量替代，项目所需替代量为1.682 t/a；水污染物替代量为COD 12.512t/a，NH</w:t>
      </w:r>
      <w:r>
        <w:rPr>
          <w:rFonts w:hint="eastAsia"/>
          <w:b/>
          <w:bCs/>
          <w:u w:val="single"/>
          <w:vertAlign w:val="subscript"/>
        </w:rPr>
        <w:t>3</w:t>
      </w:r>
      <w:r>
        <w:rPr>
          <w:rFonts w:hint="eastAsia"/>
          <w:b/>
          <w:bCs/>
          <w:u w:val="single"/>
        </w:rPr>
        <w:t>-N 0.626t/a。其中颗粒物拟从河南晋开集团延化化工有限公司排污许可注销后核算的削减量131.6t/a中扣除，COD和氨氮拟从东兴实业污水处理厂提标改造拟形成的削减量182.5t/a和54.75t/a中扣除。</w:t>
      </w:r>
    </w:p>
    <w:p>
      <w:pPr>
        <w:pStyle w:val="7"/>
        <w:bidi w:val="0"/>
        <w:rPr>
          <w:rFonts w:hint="eastAsia"/>
          <w:color w:val="auto"/>
          <w:lang w:eastAsia="zh-CN"/>
        </w:rPr>
      </w:pPr>
      <w:bookmarkStart w:id="201" w:name="_Toc469647373"/>
      <w:bookmarkStart w:id="202" w:name="_Toc23196"/>
      <w:bookmarkStart w:id="203" w:name="_Toc106552521"/>
      <w:bookmarkStart w:id="204" w:name="_Toc292267855"/>
      <w:bookmarkStart w:id="205" w:name="_Toc292384083"/>
      <w:bookmarkStart w:id="206" w:name="_Toc247457101"/>
      <w:bookmarkStart w:id="207" w:name="_Toc256177446"/>
      <w:r>
        <w:rPr>
          <w:rFonts w:hint="eastAsia"/>
          <w:color w:val="auto"/>
          <w:lang w:eastAsia="zh-CN"/>
        </w:rPr>
        <w:t>3.</w:t>
      </w:r>
      <w:r>
        <w:rPr>
          <w:rFonts w:hint="eastAsia"/>
          <w:color w:val="auto"/>
          <w:lang w:val="en-US" w:eastAsia="zh-CN"/>
        </w:rPr>
        <w:t>9</w:t>
      </w:r>
      <w:r>
        <w:rPr>
          <w:rFonts w:hint="eastAsia"/>
          <w:color w:val="auto"/>
          <w:lang w:eastAsia="zh-CN"/>
        </w:rPr>
        <w:t>本项目清洁生产分析</w:t>
      </w:r>
      <w:bookmarkEnd w:id="201"/>
      <w:bookmarkEnd w:id="202"/>
      <w:bookmarkEnd w:id="203"/>
    </w:p>
    <w:p>
      <w:pPr>
        <w:rPr>
          <w:rFonts w:hint="eastAsia"/>
          <w:b/>
          <w:bCs/>
          <w:color w:val="auto"/>
          <w:u w:val="single"/>
          <w:lang w:val="en-US" w:eastAsia="zh-CN"/>
        </w:rPr>
      </w:pPr>
      <w:r>
        <w:rPr>
          <w:rFonts w:hint="eastAsia"/>
          <w:b/>
          <w:bCs/>
          <w:color w:val="auto"/>
          <w:u w:val="single"/>
          <w:lang w:val="en-US" w:eastAsia="zh-CN"/>
        </w:rPr>
        <w:t>本项目为中试项目，没有可以直接参照的</w:t>
      </w:r>
      <w:r>
        <w:rPr>
          <w:rFonts w:hint="eastAsia"/>
          <w:b/>
          <w:bCs/>
          <w:color w:val="auto"/>
          <w:u w:val="single"/>
        </w:rPr>
        <w:t>清洁生产标准</w:t>
      </w:r>
      <w:r>
        <w:rPr>
          <w:rFonts w:hint="eastAsia"/>
          <w:b/>
          <w:bCs/>
          <w:color w:val="auto"/>
          <w:u w:val="single"/>
          <w:lang w:eastAsia="zh-CN"/>
        </w:rPr>
        <w:t>，</w:t>
      </w:r>
      <w:r>
        <w:rPr>
          <w:rFonts w:hint="eastAsia"/>
          <w:b/>
          <w:bCs/>
          <w:color w:val="auto"/>
          <w:u w:val="single"/>
          <w:lang w:val="en-US" w:eastAsia="zh-CN"/>
        </w:rPr>
        <w:t>本项目参照《</w:t>
      </w:r>
      <w:r>
        <w:rPr>
          <w:rFonts w:hint="eastAsia"/>
          <w:b/>
          <w:bCs/>
          <w:color w:val="auto"/>
          <w:u w:val="single"/>
        </w:rPr>
        <w:t>清洁生产标准</w:t>
      </w:r>
      <w:r>
        <w:rPr>
          <w:rFonts w:hint="eastAsia"/>
          <w:b/>
          <w:bCs/>
          <w:color w:val="auto"/>
          <w:u w:val="single"/>
          <w:lang w:val="en-US" w:eastAsia="zh-CN"/>
        </w:rPr>
        <w:t xml:space="preserve"> </w:t>
      </w:r>
      <w:r>
        <w:rPr>
          <w:rFonts w:hint="eastAsia"/>
          <w:b/>
          <w:bCs/>
          <w:color w:val="auto"/>
          <w:u w:val="single"/>
        </w:rPr>
        <w:t>造纸工业</w:t>
      </w:r>
      <w:r>
        <w:rPr>
          <w:rFonts w:hint="eastAsia"/>
          <w:b/>
          <w:bCs/>
          <w:color w:val="auto"/>
          <w:u w:val="single"/>
          <w:lang w:val="en-US" w:eastAsia="zh-CN"/>
        </w:rPr>
        <w:t>》（</w:t>
      </w:r>
      <w:r>
        <w:rPr>
          <w:rFonts w:hint="eastAsia"/>
          <w:b/>
          <w:bCs/>
          <w:color w:val="auto"/>
          <w:u w:val="single"/>
        </w:rPr>
        <w:t>漂白化学烧碱法麦草浆生产工艺</w:t>
      </w:r>
      <w:r>
        <w:rPr>
          <w:rFonts w:hint="eastAsia"/>
          <w:b/>
          <w:bCs/>
          <w:color w:val="auto"/>
          <w:u w:val="single"/>
          <w:lang w:val="en-US" w:eastAsia="zh-CN"/>
        </w:rPr>
        <w:t>）。</w:t>
      </w:r>
    </w:p>
    <w:p>
      <w:pPr>
        <w:pStyle w:val="181"/>
        <w:rPr>
          <w:rFonts w:hint="default"/>
          <w:color w:val="auto"/>
          <w:lang w:val="en-US" w:eastAsia="zh-CN"/>
        </w:rPr>
      </w:pPr>
      <w:r>
        <w:rPr>
          <w:rFonts w:hint="eastAsia"/>
          <w:color w:val="auto"/>
          <w:lang w:val="en-US" w:eastAsia="zh-CN"/>
        </w:rPr>
        <w:t>表3.9-1             本项目清洁生产水平分析</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0"/>
        <w:gridCol w:w="1732"/>
        <w:gridCol w:w="1714"/>
        <w:gridCol w:w="1698"/>
        <w:gridCol w:w="1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清洁生产指标等级</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一级</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lang w:val="en-US" w:eastAsia="zh-CN"/>
              </w:rPr>
              <w:t>二</w:t>
            </w:r>
            <w:r>
              <w:rPr>
                <w:rFonts w:hint="default" w:ascii="Times New Roman" w:hAnsi="Times New Roman" w:cs="Times New Roman"/>
              </w:rPr>
              <w:t>级</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lang w:val="en-US" w:eastAsia="zh-CN"/>
              </w:rPr>
              <w:t>三</w:t>
            </w:r>
            <w:r>
              <w:rPr>
                <w:rFonts w:hint="default" w:ascii="Times New Roman" w:hAnsi="Times New Roman" w:cs="Times New Roman"/>
              </w:rPr>
              <w:t>级</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lang w:val="en-US" w:eastAsia="zh-CN"/>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00" w:type="dxa"/>
            <w:gridSpan w:val="4"/>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一、生产工艺与装备要求</w:t>
            </w:r>
          </w:p>
        </w:tc>
        <w:tc>
          <w:tcPr>
            <w:tcW w:w="1800" w:type="dxa"/>
            <w:vAlign w:val="center"/>
          </w:tcPr>
          <w:p>
            <w:pPr>
              <w:pStyle w:val="182"/>
              <w:bidi w:val="0"/>
              <w:rPr>
                <w:rFonts w:hint="default" w:ascii="Times New Roman" w:hAnsi="Times New Roman" w:cs="Times New Roma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0" w:type="dxa"/>
            <w:vAlign w:val="center"/>
          </w:tcPr>
          <w:p>
            <w:pPr>
              <w:pStyle w:val="182"/>
              <w:bidi w:val="0"/>
              <w:rPr>
                <w:rFonts w:hint="default" w:ascii="Times New Roman" w:hAnsi="Times New Roman" w:cs="Times New Roman"/>
                <w:lang w:val="en-US" w:eastAsia="zh-CN"/>
              </w:rPr>
            </w:pPr>
            <w:r>
              <w:rPr>
                <w:rFonts w:hint="eastAsia" w:ascii="Times New Roman" w:hAnsi="Times New Roman" w:cs="Times New Roman"/>
                <w:lang w:val="en-US" w:eastAsia="zh-CN"/>
              </w:rPr>
              <w:t>1</w:t>
            </w:r>
            <w:r>
              <w:rPr>
                <w:rFonts w:hint="default" w:ascii="Times New Roman" w:hAnsi="Times New Roman" w:cs="Times New Roman"/>
                <w:lang w:val="en-US" w:eastAsia="zh-CN"/>
              </w:rPr>
              <w:t>.</w:t>
            </w:r>
            <w:r>
              <w:rPr>
                <w:rFonts w:hint="default" w:ascii="Times New Roman" w:hAnsi="Times New Roman" w:cs="Times New Roman"/>
              </w:rPr>
              <w:t>备料</w:t>
            </w:r>
          </w:p>
        </w:tc>
        <w:tc>
          <w:tcPr>
            <w:tcW w:w="5400" w:type="dxa"/>
            <w:gridSpan w:val="3"/>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干湿法或干法备料，洗涤水循环利用</w:t>
            </w:r>
          </w:p>
        </w:tc>
        <w:tc>
          <w:tcPr>
            <w:tcW w:w="1800" w:type="dxa"/>
            <w:vAlign w:val="center"/>
          </w:tcPr>
          <w:p>
            <w:pPr>
              <w:pStyle w:val="182"/>
              <w:bidi w:val="0"/>
              <w:rPr>
                <w:rFonts w:hint="default" w:ascii="Times New Roman" w:hAnsi="Times New Roman" w:cs="Times New Roman"/>
              </w:rPr>
            </w:pPr>
            <w:r>
              <w:rPr>
                <w:rFonts w:hint="default" w:ascii="Times New Roman" w:hAnsi="Times New Roman" w:cs="Times New Roman"/>
              </w:rPr>
              <w:t>干湿法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0" w:type="dxa"/>
            <w:vAlign w:val="center"/>
          </w:tcPr>
          <w:p>
            <w:pPr>
              <w:pStyle w:val="182"/>
              <w:bidi w:val="0"/>
              <w:rPr>
                <w:rFonts w:hint="default" w:ascii="Times New Roman" w:hAnsi="Times New Roman" w:cs="Times New Roman"/>
                <w:lang w:val="en-US" w:eastAsia="zh-CN"/>
              </w:rPr>
            </w:pPr>
            <w:r>
              <w:rPr>
                <w:rFonts w:hint="eastAsia" w:ascii="Times New Roman" w:hAnsi="Times New Roman" w:cs="Times New Roman"/>
                <w:lang w:val="en-US" w:eastAsia="zh-CN"/>
              </w:rPr>
              <w:t>2</w:t>
            </w:r>
            <w:r>
              <w:rPr>
                <w:rFonts w:hint="default" w:ascii="Times New Roman" w:hAnsi="Times New Roman" w:cs="Times New Roman"/>
                <w:lang w:val="en-US" w:eastAsia="zh-CN"/>
              </w:rPr>
              <w:t>.</w:t>
            </w:r>
            <w:r>
              <w:rPr>
                <w:rFonts w:hint="default" w:ascii="Times New Roman" w:hAnsi="Times New Roman" w:cs="Times New Roman"/>
              </w:rPr>
              <w:t>蒸煮</w:t>
            </w:r>
          </w:p>
        </w:tc>
        <w:tc>
          <w:tcPr>
            <w:tcW w:w="3600" w:type="dxa"/>
            <w:gridSpan w:val="2"/>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横管连续蒸煮；间歇置换蒸煮，冷喷放</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间歇蒸煮</w:t>
            </w:r>
          </w:p>
        </w:tc>
        <w:tc>
          <w:tcPr>
            <w:tcW w:w="1800" w:type="dxa"/>
            <w:vAlign w:val="center"/>
          </w:tcPr>
          <w:p>
            <w:pPr>
              <w:pStyle w:val="182"/>
              <w:bidi w:val="0"/>
              <w:rPr>
                <w:rFonts w:hint="default" w:ascii="Times New Roman" w:hAnsi="Times New Roman" w:cs="Times New Roman"/>
              </w:rPr>
            </w:pPr>
            <w:r>
              <w:rPr>
                <w:rFonts w:hint="default" w:ascii="Times New Roman" w:hAnsi="Times New Roman" w:cs="Times New Roman"/>
              </w:rPr>
              <w:t>间歇蒸煮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0" w:type="dxa"/>
            <w:vAlign w:val="center"/>
          </w:tcPr>
          <w:p>
            <w:pPr>
              <w:pStyle w:val="182"/>
              <w:bidi w:val="0"/>
              <w:rPr>
                <w:rFonts w:hint="default" w:ascii="Times New Roman" w:hAnsi="Times New Roman" w:cs="Times New Roman"/>
                <w:lang w:val="en-US" w:eastAsia="zh-CN"/>
              </w:rPr>
            </w:pPr>
            <w:r>
              <w:rPr>
                <w:rFonts w:hint="eastAsia" w:ascii="Times New Roman" w:hAnsi="Times New Roman" w:cs="Times New Roman"/>
                <w:lang w:val="en-US" w:eastAsia="zh-CN"/>
              </w:rPr>
              <w:t>3</w:t>
            </w:r>
            <w:r>
              <w:rPr>
                <w:rFonts w:hint="default" w:ascii="Times New Roman" w:hAnsi="Times New Roman" w:cs="Times New Roman"/>
                <w:lang w:val="en-US" w:eastAsia="zh-CN"/>
              </w:rPr>
              <w:t>.</w:t>
            </w:r>
            <w:r>
              <w:rPr>
                <w:rFonts w:hint="default" w:ascii="Times New Roman" w:hAnsi="Times New Roman" w:cs="Times New Roman"/>
              </w:rPr>
              <w:t>洗涤</w:t>
            </w:r>
          </w:p>
        </w:tc>
        <w:tc>
          <w:tcPr>
            <w:tcW w:w="5400" w:type="dxa"/>
            <w:gridSpan w:val="3"/>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多段逆流洗涤</w:t>
            </w:r>
          </w:p>
        </w:tc>
        <w:tc>
          <w:tcPr>
            <w:tcW w:w="1800" w:type="dxa"/>
            <w:vAlign w:val="center"/>
          </w:tcPr>
          <w:p>
            <w:pPr>
              <w:pStyle w:val="182"/>
              <w:bidi w:val="0"/>
              <w:rPr>
                <w:rFonts w:hint="default" w:ascii="Times New Roman" w:hAnsi="Times New Roman" w:cs="Times New Roman"/>
              </w:rPr>
            </w:pPr>
            <w:r>
              <w:rPr>
                <w:rFonts w:hint="default" w:ascii="Times New Roman" w:hAnsi="Times New Roman" w:cs="Times New Roman"/>
              </w:rPr>
              <w:t>多段逆流洗涤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lang w:val="en-US" w:eastAsia="zh-CN"/>
              </w:rPr>
              <w:t>4.</w:t>
            </w:r>
            <w:r>
              <w:rPr>
                <w:rFonts w:hint="default" w:ascii="Times New Roman" w:hAnsi="Times New Roman" w:cs="Times New Roman"/>
              </w:rPr>
              <w:t>筛选</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全封闭压力筛选</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压力筛选</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改进传统的筛选</w:t>
            </w:r>
          </w:p>
        </w:tc>
        <w:tc>
          <w:tcPr>
            <w:tcW w:w="1800" w:type="dxa"/>
            <w:vAlign w:val="center"/>
          </w:tcPr>
          <w:p>
            <w:pPr>
              <w:pStyle w:val="182"/>
              <w:bidi w:val="0"/>
              <w:rPr>
                <w:rFonts w:hint="default" w:ascii="Times New Roman" w:hAnsi="Times New Roman" w:cs="Times New Roman"/>
              </w:rPr>
            </w:pPr>
            <w:r>
              <w:rPr>
                <w:rFonts w:hint="default" w:ascii="Times New Roman" w:hAnsi="Times New Roman" w:cs="Times New Roman"/>
              </w:rPr>
              <w:t>压力筛选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lang w:val="en-US" w:eastAsia="zh-CN"/>
              </w:rPr>
              <w:t>5.</w:t>
            </w:r>
            <w:r>
              <w:rPr>
                <w:rFonts w:hint="default" w:ascii="Times New Roman" w:hAnsi="Times New Roman" w:cs="Times New Roman"/>
              </w:rPr>
              <w:t>漂白</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氧脱木素，无元素氯（</w:t>
            </w:r>
            <w:r>
              <w:rPr>
                <w:rFonts w:hint="eastAsia" w:ascii="Times New Roman" w:hAnsi="Times New Roman" w:cs="Times New Roman"/>
                <w:lang w:val="en-US" w:eastAsia="zh-CN"/>
              </w:rPr>
              <w:t>ECF</w:t>
            </w:r>
            <w:r>
              <w:rPr>
                <w:rFonts w:hint="default" w:ascii="Times New Roman" w:hAnsi="Times New Roman" w:cs="Times New Roman"/>
              </w:rPr>
              <w:t>）或全无氯（</w:t>
            </w:r>
            <w:r>
              <w:rPr>
                <w:rFonts w:hint="eastAsia" w:ascii="Times New Roman" w:hAnsi="Times New Roman" w:cs="Times New Roman"/>
                <w:lang w:val="en-US" w:eastAsia="zh-CN"/>
              </w:rPr>
              <w:t>TCF</w:t>
            </w:r>
            <w:r>
              <w:rPr>
                <w:rFonts w:hint="default" w:ascii="Times New Roman" w:hAnsi="Times New Roman" w:cs="Times New Roman"/>
              </w:rPr>
              <w:t>）漂白</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氧脱木素，</w:t>
            </w:r>
            <w:r>
              <w:rPr>
                <w:rFonts w:hint="eastAsia" w:ascii="Times New Roman" w:hAnsi="Times New Roman" w:cs="Times New Roman"/>
                <w:lang w:val="en-US" w:eastAsia="zh-CN"/>
              </w:rPr>
              <w:t>ECF</w:t>
            </w:r>
            <w:r>
              <w:rPr>
                <w:rFonts w:hint="default" w:ascii="Times New Roman" w:hAnsi="Times New Roman" w:cs="Times New Roman"/>
              </w:rPr>
              <w:t>、</w:t>
            </w:r>
            <w:r>
              <w:rPr>
                <w:rFonts w:hint="eastAsia" w:ascii="Times New Roman" w:hAnsi="Times New Roman" w:cs="Times New Roman"/>
                <w:lang w:val="en-US" w:eastAsia="zh-CN"/>
              </w:rPr>
              <w:t>ClO</w:t>
            </w:r>
            <w:r>
              <w:rPr>
                <w:rFonts w:hint="eastAsia" w:ascii="Times New Roman" w:hAnsi="Times New Roman" w:cs="Times New Roman"/>
                <w:vertAlign w:val="subscript"/>
                <w:lang w:val="en-US" w:eastAsia="zh-CN"/>
              </w:rPr>
              <w:t>2</w:t>
            </w:r>
            <w:r>
              <w:rPr>
                <w:rFonts w:hint="default" w:ascii="Times New Roman" w:hAnsi="Times New Roman" w:cs="Times New Roman"/>
              </w:rPr>
              <w:t>或过氧化氢替代部分氯漂白</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过氧化氢替代部分氯或多段漂白</w:t>
            </w:r>
          </w:p>
        </w:tc>
        <w:tc>
          <w:tcPr>
            <w:tcW w:w="1800" w:type="dxa"/>
            <w:vAlign w:val="center"/>
          </w:tcPr>
          <w:p>
            <w:pPr>
              <w:pStyle w:val="182"/>
              <w:bidi w:val="0"/>
              <w:rPr>
                <w:rFonts w:hint="default" w:ascii="Times New Roman" w:hAnsi="Times New Roman" w:cs="Times New Roman"/>
              </w:rPr>
            </w:pPr>
            <w:r>
              <w:rPr>
                <w:rFonts w:hint="eastAsia" w:ascii="Times New Roman" w:hAnsi="Times New Roman" w:cs="Times New Roman"/>
                <w:lang w:val="en-US" w:eastAsia="zh-CN"/>
              </w:rPr>
              <w:t>ClO</w:t>
            </w:r>
            <w:r>
              <w:rPr>
                <w:rFonts w:hint="eastAsia" w:ascii="Times New Roman" w:hAnsi="Times New Roman" w:cs="Times New Roman"/>
                <w:vertAlign w:val="subscript"/>
                <w:lang w:val="en-US" w:eastAsia="zh-CN"/>
              </w:rPr>
              <w:t>2</w:t>
            </w:r>
            <w:r>
              <w:rPr>
                <w:rFonts w:hint="default" w:ascii="Times New Roman" w:hAnsi="Times New Roman" w:cs="Times New Roman"/>
                <w:lang w:val="en-US" w:eastAsia="zh-CN"/>
              </w:rPr>
              <w:t>缓释剂漂白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0" w:type="dxa"/>
            <w:vAlign w:val="center"/>
          </w:tcPr>
          <w:p>
            <w:pPr>
              <w:pStyle w:val="182"/>
              <w:bidi w:val="0"/>
              <w:rPr>
                <w:rFonts w:hint="default" w:ascii="Times New Roman" w:hAnsi="Times New Roman" w:cs="Times New Roman"/>
                <w:lang w:val="en-US" w:eastAsia="zh-CN"/>
              </w:rPr>
            </w:pPr>
            <w:r>
              <w:rPr>
                <w:rFonts w:hint="eastAsia" w:ascii="Times New Roman" w:hAnsi="Times New Roman" w:cs="Times New Roman"/>
                <w:lang w:val="en-US" w:eastAsia="zh-CN"/>
              </w:rPr>
              <w:t>6</w:t>
            </w:r>
            <w:r>
              <w:rPr>
                <w:rFonts w:hint="default" w:ascii="Times New Roman" w:hAnsi="Times New Roman" w:cs="Times New Roman"/>
                <w:lang w:val="en-US" w:eastAsia="zh-CN"/>
              </w:rPr>
              <w:t>.</w:t>
            </w:r>
            <w:r>
              <w:rPr>
                <w:rFonts w:hint="default" w:ascii="Times New Roman" w:hAnsi="Times New Roman" w:cs="Times New Roman"/>
              </w:rPr>
              <w:t>碱回收</w:t>
            </w:r>
          </w:p>
        </w:tc>
        <w:tc>
          <w:tcPr>
            <w:tcW w:w="3600" w:type="dxa"/>
            <w:gridSpan w:val="2"/>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多效降膜或升、降膜组合蒸发器预挂式过滤机，有热电联产</w:t>
            </w:r>
          </w:p>
        </w:tc>
        <w:tc>
          <w:tcPr>
            <w:tcW w:w="1800" w:type="dxa"/>
            <w:vAlign w:val="center"/>
          </w:tcPr>
          <w:p>
            <w:pPr>
              <w:pStyle w:val="182"/>
              <w:bidi w:val="0"/>
              <w:rPr>
                <w:rFonts w:hint="default" w:ascii="Times New Roman" w:hAnsi="Times New Roman" w:cs="Times New Roman"/>
                <w:lang w:val="en-US" w:eastAsia="zh-CN"/>
              </w:rPr>
            </w:pPr>
            <w:r>
              <w:rPr>
                <w:rFonts w:hint="default" w:ascii="Times New Roman" w:hAnsi="Times New Roman" w:cs="Times New Roman"/>
              </w:rPr>
              <w:t>碱回收设施配套齐全，运行正常</w:t>
            </w:r>
          </w:p>
        </w:tc>
        <w:tc>
          <w:tcPr>
            <w:tcW w:w="1800" w:type="dxa"/>
            <w:vAlign w:val="center"/>
          </w:tcPr>
          <w:p>
            <w:pPr>
              <w:pStyle w:val="182"/>
              <w:bidi w:val="0"/>
              <w:rPr>
                <w:rFonts w:hint="default" w:ascii="Times New Roman" w:hAnsi="Times New Roman" w:cs="Times New Roman"/>
              </w:rPr>
            </w:pPr>
            <w:r>
              <w:rPr>
                <w:rFonts w:hint="default" w:ascii="Times New Roman" w:hAnsi="Times New Roman" w:cs="Times New Roman"/>
              </w:rPr>
              <w:t>降膜组合蒸发器</w:t>
            </w:r>
          </w:p>
        </w:tc>
      </w:tr>
    </w:tbl>
    <w:p>
      <w:pPr>
        <w:rPr>
          <w:rFonts w:hint="default"/>
          <w:b/>
          <w:bCs/>
          <w:color w:val="auto"/>
          <w:u w:val="single"/>
          <w:lang w:val="en-US" w:eastAsia="zh-CN"/>
        </w:rPr>
      </w:pPr>
      <w:r>
        <w:rPr>
          <w:rFonts w:hint="eastAsia"/>
          <w:b/>
          <w:bCs/>
          <w:color w:val="auto"/>
          <w:u w:val="single"/>
          <w:lang w:val="en-US" w:eastAsia="zh-CN"/>
        </w:rPr>
        <w:t>本项目生产工艺符合清洁生产二级水平，蒸煮方式为间歇蒸煮符合一般清洁生产水平，对于“</w:t>
      </w:r>
      <w:r>
        <w:rPr>
          <w:rFonts w:hint="eastAsia"/>
          <w:b/>
          <w:bCs/>
          <w:color w:val="auto"/>
          <w:u w:val="single"/>
        </w:rPr>
        <w:t>资源能源利用指标、废物回收利用指标</w:t>
      </w:r>
      <w:r>
        <w:rPr>
          <w:rFonts w:hint="eastAsia"/>
          <w:b/>
          <w:bCs/>
          <w:color w:val="auto"/>
          <w:u w:val="single"/>
          <w:lang w:val="en-US" w:eastAsia="zh-CN"/>
        </w:rPr>
        <w:t>”为本次中试项目着重探索的内容。</w:t>
      </w:r>
    </w:p>
    <w:p>
      <w:pPr>
        <w:pStyle w:val="9"/>
        <w:bidi w:val="0"/>
        <w:rPr>
          <w:rStyle w:val="170"/>
          <w:rFonts w:eastAsia="楷体"/>
          <w:b/>
          <w:bCs/>
          <w:color w:val="auto"/>
          <w:u w:val="single"/>
        </w:rPr>
      </w:pPr>
      <w:bookmarkStart w:id="208" w:name="_Toc428287583"/>
      <w:bookmarkStart w:id="209" w:name="_Toc428287231"/>
      <w:bookmarkStart w:id="210" w:name="_Toc428286870"/>
      <w:r>
        <w:rPr>
          <w:rStyle w:val="170"/>
          <w:rFonts w:hint="eastAsia" w:eastAsia="楷体"/>
          <w:b/>
          <w:bCs/>
          <w:color w:val="auto"/>
          <w:u w:val="single"/>
        </w:rPr>
        <w:t>3.</w:t>
      </w:r>
      <w:r>
        <w:rPr>
          <w:rStyle w:val="170"/>
          <w:rFonts w:hint="eastAsia" w:eastAsia="楷体"/>
          <w:b/>
          <w:bCs/>
          <w:color w:val="auto"/>
          <w:u w:val="single"/>
          <w:lang w:val="en-US"/>
        </w:rPr>
        <w:t>9</w:t>
      </w:r>
      <w:r>
        <w:rPr>
          <w:rStyle w:val="170"/>
          <w:rFonts w:hint="eastAsia" w:eastAsia="楷体"/>
          <w:b/>
          <w:bCs/>
          <w:color w:val="auto"/>
          <w:u w:val="single"/>
        </w:rPr>
        <w:t>.1原辅材料及能源利用</w:t>
      </w:r>
    </w:p>
    <w:p>
      <w:pPr>
        <w:numPr>
          <w:ilvl w:val="0"/>
          <w:numId w:val="14"/>
        </w:numPr>
        <w:bidi w:val="0"/>
        <w:rPr>
          <w:rFonts w:hint="eastAsia"/>
          <w:b/>
          <w:bCs/>
          <w:color w:val="auto"/>
          <w:u w:val="single"/>
          <w:lang w:val="en-US" w:eastAsia="zh-CN"/>
        </w:rPr>
      </w:pPr>
      <w:r>
        <w:rPr>
          <w:rFonts w:hint="eastAsia"/>
          <w:b/>
          <w:bCs/>
          <w:color w:val="auto"/>
          <w:u w:val="single"/>
          <w:lang w:val="en-US" w:eastAsia="zh-CN"/>
        </w:rPr>
        <w:t>原材料</w:t>
      </w:r>
      <w:r>
        <w:rPr>
          <w:rFonts w:hint="eastAsia"/>
          <w:b/>
          <w:bCs/>
          <w:color w:val="auto"/>
          <w:u w:val="single"/>
        </w:rPr>
        <w:t>：</w:t>
      </w:r>
      <w:r>
        <w:rPr>
          <w:rFonts w:hint="eastAsia"/>
          <w:b/>
          <w:bCs/>
          <w:color w:val="auto"/>
          <w:u w:val="single"/>
          <w:lang w:val="en-US" w:eastAsia="zh-CN"/>
        </w:rPr>
        <w:t>本项目原材料为菌草，我国在福建、贵州、新疆、西藏等地和沿黄河9个省份，在不同气候地理条件下，开展利用菌草治理水土流失、治理荒漠、防沙固沙、治理盐碱地、治理石漠化、治理砒砂岩、矿山植被修复、滨海防风固沙等系列试验示范，种植规模广泛。本项目将菌草进行资源化利用，扩大其应用范围，同时扩大了纤维素的原料来源，减轻当前对进口依赖的现状；</w:t>
      </w:r>
    </w:p>
    <w:p>
      <w:pPr>
        <w:numPr>
          <w:ilvl w:val="0"/>
          <w:numId w:val="14"/>
        </w:numPr>
        <w:bidi w:val="0"/>
        <w:rPr>
          <w:b/>
          <w:bCs/>
          <w:color w:val="auto"/>
          <w:u w:val="single"/>
        </w:rPr>
      </w:pPr>
      <w:r>
        <w:rPr>
          <w:rFonts w:hint="eastAsia"/>
          <w:b/>
          <w:bCs/>
          <w:color w:val="auto"/>
          <w:u w:val="single"/>
          <w:lang w:val="en-US" w:eastAsia="zh-CN"/>
        </w:rPr>
        <w:t>辅料</w:t>
      </w:r>
      <w:r>
        <w:rPr>
          <w:rFonts w:hint="eastAsia"/>
          <w:b/>
          <w:bCs/>
          <w:color w:val="auto"/>
          <w:u w:val="single"/>
        </w:rPr>
        <w:t>：本项目</w:t>
      </w:r>
      <w:r>
        <w:rPr>
          <w:rFonts w:hint="eastAsia"/>
          <w:b/>
          <w:bCs/>
          <w:color w:val="auto"/>
          <w:u w:val="single"/>
          <w:lang w:val="en-US" w:eastAsia="zh-CN"/>
        </w:rPr>
        <w:t>辅料主要有氢氧化钠、硫酸、固体二氧化氯释放剂（含7%二氧化氯，按二氧化氯计），</w:t>
      </w:r>
      <w:r>
        <w:rPr>
          <w:rFonts w:hint="eastAsia"/>
          <w:b/>
          <w:bCs/>
          <w:color w:val="auto"/>
          <w:u w:val="single"/>
        </w:rPr>
        <w:t>均采用不含重金属</w:t>
      </w:r>
      <w:r>
        <w:rPr>
          <w:rFonts w:hint="eastAsia"/>
          <w:b/>
          <w:bCs/>
          <w:color w:val="auto"/>
          <w:u w:val="single"/>
          <w:lang w:eastAsia="zh-CN"/>
        </w:rPr>
        <w:t>，</w:t>
      </w:r>
      <w:r>
        <w:rPr>
          <w:rFonts w:hint="eastAsia"/>
          <w:b/>
          <w:bCs/>
          <w:color w:val="auto"/>
          <w:u w:val="single"/>
          <w:lang w:val="en-US" w:eastAsia="zh-CN"/>
        </w:rPr>
        <w:t>且</w:t>
      </w:r>
      <w:r>
        <w:rPr>
          <w:rFonts w:hint="eastAsia"/>
          <w:b/>
          <w:bCs/>
          <w:color w:val="auto"/>
          <w:u w:val="single"/>
        </w:rPr>
        <w:t>无毒，项目严格控制各种</w:t>
      </w:r>
      <w:r>
        <w:rPr>
          <w:rFonts w:hint="eastAsia"/>
          <w:b/>
          <w:bCs/>
          <w:color w:val="auto"/>
          <w:u w:val="single"/>
          <w:lang w:val="en-US" w:eastAsia="zh-CN"/>
        </w:rPr>
        <w:t>辅料</w:t>
      </w:r>
      <w:r>
        <w:rPr>
          <w:rFonts w:hint="eastAsia"/>
          <w:b/>
          <w:bCs/>
          <w:color w:val="auto"/>
          <w:u w:val="single"/>
        </w:rPr>
        <w:t>的来料质量和生产使用量；</w:t>
      </w:r>
    </w:p>
    <w:p>
      <w:pPr>
        <w:numPr>
          <w:ilvl w:val="0"/>
          <w:numId w:val="14"/>
        </w:numPr>
        <w:bidi w:val="0"/>
        <w:rPr>
          <w:b/>
          <w:bCs/>
          <w:color w:val="auto"/>
          <w:kern w:val="0"/>
          <w:szCs w:val="20"/>
          <w:u w:val="single"/>
        </w:rPr>
      </w:pPr>
      <w:r>
        <w:rPr>
          <w:rFonts w:hint="eastAsia"/>
          <w:b/>
          <w:bCs/>
          <w:color w:val="auto"/>
          <w:u w:val="single"/>
        </w:rPr>
        <w:t>能源利用：本项目无自建锅炉，所需热源由化纤厂新厂区供热锅炉提供，锅炉尾气采用低氮燃烧</w:t>
      </w:r>
      <w:r>
        <w:rPr>
          <w:b/>
          <w:bCs/>
          <w:color w:val="auto"/>
          <w:u w:val="single"/>
        </w:rPr>
        <w:t>+SCR</w:t>
      </w:r>
      <w:r>
        <w:rPr>
          <w:rFonts w:hint="eastAsia"/>
          <w:b/>
          <w:bCs/>
          <w:color w:val="auto"/>
          <w:u w:val="single"/>
        </w:rPr>
        <w:t>脱硝</w:t>
      </w:r>
      <w:r>
        <w:rPr>
          <w:b/>
          <w:bCs/>
          <w:color w:val="auto"/>
          <w:u w:val="single"/>
        </w:rPr>
        <w:t>+</w:t>
      </w:r>
      <w:r>
        <w:rPr>
          <w:rFonts w:hint="eastAsia"/>
          <w:b/>
          <w:bCs/>
          <w:color w:val="auto"/>
          <w:u w:val="single"/>
        </w:rPr>
        <w:t>袋式除尘器</w:t>
      </w:r>
      <w:r>
        <w:rPr>
          <w:b/>
          <w:bCs/>
          <w:color w:val="auto"/>
          <w:u w:val="single"/>
        </w:rPr>
        <w:t>+</w:t>
      </w:r>
      <w:r>
        <w:rPr>
          <w:rFonts w:hint="eastAsia"/>
          <w:b/>
          <w:bCs/>
          <w:color w:val="auto"/>
          <w:u w:val="single"/>
        </w:rPr>
        <w:t>钠碱法湿式（废碱液）脱硫</w:t>
      </w:r>
      <w:r>
        <w:rPr>
          <w:b/>
          <w:bCs/>
          <w:color w:val="auto"/>
          <w:u w:val="single"/>
        </w:rPr>
        <w:t>+</w:t>
      </w:r>
      <w:r>
        <w:rPr>
          <w:rFonts w:hint="eastAsia"/>
          <w:b/>
          <w:bCs/>
          <w:color w:val="auto"/>
          <w:u w:val="single"/>
        </w:rPr>
        <w:t>湿式电除尘处理后，经80</w:t>
      </w:r>
      <w:r>
        <w:rPr>
          <w:b/>
          <w:bCs/>
          <w:color w:val="auto"/>
          <w:u w:val="single"/>
        </w:rPr>
        <w:t xml:space="preserve"> m</w:t>
      </w:r>
      <w:r>
        <w:rPr>
          <w:rFonts w:hint="eastAsia"/>
          <w:b/>
          <w:bCs/>
          <w:color w:val="auto"/>
          <w:u w:val="single"/>
        </w:rPr>
        <w:t>烟囱排放，处理后尾气达标排放。对区域环境空气影响较小</w:t>
      </w:r>
      <w:r>
        <w:rPr>
          <w:rFonts w:hint="eastAsia"/>
          <w:b/>
          <w:bCs/>
          <w:color w:val="auto"/>
          <w:kern w:val="0"/>
          <w:szCs w:val="20"/>
          <w:u w:val="single"/>
        </w:rPr>
        <w:t>。</w:t>
      </w:r>
    </w:p>
    <w:bookmarkEnd w:id="208"/>
    <w:bookmarkEnd w:id="209"/>
    <w:bookmarkEnd w:id="210"/>
    <w:p>
      <w:pPr>
        <w:pStyle w:val="9"/>
        <w:tabs>
          <w:tab w:val="left" w:pos="540"/>
        </w:tabs>
        <w:spacing w:before="240" w:after="0" w:line="360" w:lineRule="auto"/>
        <w:rPr>
          <w:rStyle w:val="170"/>
          <w:rFonts w:hint="eastAsia" w:eastAsia="楷体"/>
          <w:b/>
          <w:bCs/>
          <w:color w:val="auto"/>
          <w:u w:val="single"/>
        </w:rPr>
      </w:pPr>
      <w:bookmarkStart w:id="211" w:name="_Toc428287232"/>
      <w:bookmarkStart w:id="212" w:name="_Toc428287584"/>
      <w:bookmarkStart w:id="213" w:name="_Toc428286871"/>
      <w:r>
        <w:rPr>
          <w:rStyle w:val="170"/>
          <w:rFonts w:hint="eastAsia" w:eastAsia="楷体"/>
          <w:b/>
          <w:bCs/>
          <w:color w:val="auto"/>
          <w:u w:val="single"/>
        </w:rPr>
        <w:t>3.</w:t>
      </w:r>
      <w:r>
        <w:rPr>
          <w:rStyle w:val="170"/>
          <w:rFonts w:hint="eastAsia" w:eastAsia="楷体"/>
          <w:b/>
          <w:bCs/>
          <w:color w:val="auto"/>
          <w:u w:val="single"/>
          <w:lang w:val="en-US"/>
        </w:rPr>
        <w:t>9</w:t>
      </w:r>
      <w:r>
        <w:rPr>
          <w:rStyle w:val="170"/>
          <w:rFonts w:hint="eastAsia" w:eastAsia="楷体"/>
          <w:b/>
          <w:bCs/>
          <w:color w:val="auto"/>
          <w:u w:val="single"/>
        </w:rPr>
        <w:t>.2</w:t>
      </w:r>
      <w:bookmarkEnd w:id="211"/>
      <w:bookmarkEnd w:id="212"/>
      <w:bookmarkEnd w:id="213"/>
      <w:r>
        <w:rPr>
          <w:rStyle w:val="170"/>
          <w:rFonts w:hint="eastAsia" w:eastAsia="楷体"/>
          <w:b/>
          <w:bCs/>
          <w:color w:val="auto"/>
          <w:u w:val="single"/>
        </w:rPr>
        <w:t>产品</w:t>
      </w:r>
    </w:p>
    <w:p>
      <w:pPr>
        <w:bidi w:val="0"/>
        <w:rPr>
          <w:rFonts w:hint="eastAsia"/>
          <w:b/>
          <w:bCs/>
          <w:color w:val="auto"/>
          <w:u w:val="single"/>
          <w:lang w:val="en-US" w:eastAsia="zh-CN"/>
        </w:rPr>
      </w:pPr>
      <w:r>
        <w:rPr>
          <w:rFonts w:hint="eastAsia"/>
          <w:b/>
          <w:bCs/>
          <w:color w:val="auto"/>
          <w:u w:val="single"/>
          <w:lang w:val="en-US" w:eastAsia="zh-CN"/>
        </w:rPr>
        <w:t>企业小试</w:t>
      </w:r>
      <w:r>
        <w:rPr>
          <w:rFonts w:hint="eastAsia"/>
          <w:b/>
          <w:bCs/>
          <w:color w:val="auto"/>
          <w:u w:val="single"/>
        </w:rPr>
        <w:t>实现了从菌䓍→纤维素（俗称浆粕）→纤维素纤维（长丝）的工艺流程，生产出了小批量菌䓍纤维素长丝产品</w:t>
      </w:r>
      <w:r>
        <w:rPr>
          <w:rFonts w:hint="eastAsia"/>
          <w:b/>
          <w:bCs/>
          <w:color w:val="auto"/>
          <w:u w:val="single"/>
          <w:lang w:eastAsia="zh-CN"/>
        </w:rPr>
        <w:t>，</w:t>
      </w:r>
      <w:r>
        <w:rPr>
          <w:rFonts w:hint="eastAsia"/>
          <w:b/>
          <w:bCs/>
          <w:color w:val="auto"/>
          <w:u w:val="single"/>
        </w:rPr>
        <w:t>现已申请多项国家发明专利</w:t>
      </w:r>
      <w:r>
        <w:rPr>
          <w:rFonts w:hint="eastAsia"/>
          <w:b/>
          <w:bCs/>
          <w:color w:val="auto"/>
          <w:u w:val="single"/>
          <w:lang w:eastAsia="zh-CN"/>
        </w:rPr>
        <w:t>。</w:t>
      </w:r>
      <w:r>
        <w:rPr>
          <w:rFonts w:hint="eastAsia"/>
          <w:b/>
          <w:bCs/>
          <w:color w:val="auto"/>
          <w:u w:val="single"/>
          <w:lang w:val="en-US" w:eastAsia="zh-CN"/>
        </w:rPr>
        <w:t>本项目为在小试基础上的扩大生产。</w:t>
      </w:r>
    </w:p>
    <w:p>
      <w:pPr>
        <w:bidi w:val="0"/>
        <w:rPr>
          <w:rFonts w:hint="eastAsia"/>
          <w:b/>
          <w:bCs/>
          <w:color w:val="auto"/>
          <w:u w:val="single"/>
        </w:rPr>
      </w:pPr>
      <w:r>
        <w:rPr>
          <w:rFonts w:hint="eastAsia"/>
          <w:b/>
          <w:bCs/>
          <w:color w:val="auto"/>
          <w:u w:val="single"/>
          <w:lang w:val="en-US" w:eastAsia="zh-CN"/>
        </w:rPr>
        <w:t>小试</w:t>
      </w:r>
      <w:r>
        <w:rPr>
          <w:rFonts w:hint="eastAsia"/>
          <w:b/>
          <w:bCs/>
          <w:color w:val="auto"/>
          <w:u w:val="single"/>
        </w:rPr>
        <w:t>对菌草纤维素制胶的反应性能进行了测试，数值优于棉浆，与木浆相当。</w:t>
      </w:r>
      <w:r>
        <w:rPr>
          <w:rFonts w:hint="eastAsia"/>
          <w:b/>
          <w:bCs/>
          <w:color w:val="auto"/>
          <w:u w:val="single"/>
          <w:lang w:val="en-US" w:eastAsia="zh-CN"/>
        </w:rPr>
        <w:t>并且</w:t>
      </w:r>
      <w:r>
        <w:rPr>
          <w:rFonts w:hint="eastAsia"/>
          <w:b/>
          <w:bCs/>
          <w:color w:val="auto"/>
          <w:u w:val="single"/>
        </w:rPr>
        <w:t>对菌草纤维素纤维产品进行了抗菌性检测，具有抗菌性，其中金黄色葡萄球菌的抑菌率＞99%（标准值≥70%），</w:t>
      </w:r>
      <w:r>
        <w:rPr>
          <w:rFonts w:hint="eastAsia"/>
          <w:b/>
          <w:bCs/>
          <w:color w:val="auto"/>
          <w:u w:val="single"/>
          <w:lang w:eastAsia="zh-CN"/>
        </w:rPr>
        <w:t>白念珠菌</w:t>
      </w:r>
      <w:r>
        <w:rPr>
          <w:rFonts w:hint="eastAsia"/>
          <w:b/>
          <w:bCs/>
          <w:color w:val="auto"/>
          <w:u w:val="single"/>
        </w:rPr>
        <w:t>的抑菌率＞60%（标准值≥70%），大肠杆菌的抑菌率＞99%（标准值≥70%）。产品检测报告附件。</w:t>
      </w:r>
    </w:p>
    <w:p>
      <w:pPr>
        <w:bidi w:val="0"/>
        <w:rPr>
          <w:b/>
          <w:bCs/>
          <w:color w:val="auto"/>
          <w:u w:val="single"/>
        </w:rPr>
      </w:pPr>
      <w:r>
        <w:rPr>
          <w:rFonts w:hint="eastAsia"/>
          <w:b/>
          <w:bCs/>
          <w:color w:val="auto"/>
          <w:u w:val="single"/>
          <w:lang w:val="en-US" w:eastAsia="zh-CN"/>
        </w:rPr>
        <w:t>小试</w:t>
      </w:r>
      <w:r>
        <w:rPr>
          <w:rFonts w:hint="eastAsia"/>
          <w:b/>
          <w:bCs/>
          <w:color w:val="auto"/>
          <w:u w:val="single"/>
        </w:rPr>
        <w:t>对菌草纤维素纤维产品进行了强度值、伸长值、染色均匀性检测，与用木浆或棉浆粕做成的纤维素纤维产品相当。菌草纤维素纤维</w:t>
      </w:r>
      <w:r>
        <w:rPr>
          <w:b/>
          <w:bCs/>
          <w:color w:val="auto"/>
          <w:u w:val="single"/>
        </w:rPr>
        <w:t>在完成使用功能后，可被自然界微生物和植物分解、吸收</w:t>
      </w:r>
      <w:r>
        <w:rPr>
          <w:rFonts w:hint="eastAsia"/>
          <w:b/>
          <w:bCs/>
          <w:color w:val="auto"/>
          <w:u w:val="single"/>
        </w:rPr>
        <w:t>，</w:t>
      </w:r>
      <w:r>
        <w:rPr>
          <w:b/>
          <w:bCs/>
          <w:color w:val="auto"/>
          <w:u w:val="single"/>
        </w:rPr>
        <w:t>有利于环境保护，有利于其织物的可持续发展。</w:t>
      </w:r>
    </w:p>
    <w:p>
      <w:pPr>
        <w:bidi w:val="0"/>
        <w:rPr>
          <w:b/>
          <w:bCs/>
          <w:color w:val="auto"/>
          <w:u w:val="single"/>
        </w:rPr>
      </w:pPr>
      <w:r>
        <w:rPr>
          <w:rFonts w:hint="eastAsia"/>
          <w:b/>
          <w:bCs/>
          <w:color w:val="auto"/>
          <w:u w:val="single"/>
        </w:rPr>
        <w:t>综上所述，评价认为，本项目的产品符合清洁生产的要求。</w:t>
      </w:r>
    </w:p>
    <w:p>
      <w:pPr>
        <w:pStyle w:val="9"/>
        <w:tabs>
          <w:tab w:val="left" w:pos="540"/>
        </w:tabs>
        <w:spacing w:before="240" w:after="0" w:line="360" w:lineRule="auto"/>
        <w:rPr>
          <w:rStyle w:val="170"/>
          <w:rFonts w:eastAsia="楷体"/>
          <w:b/>
          <w:bCs/>
          <w:color w:val="auto"/>
          <w:u w:val="single"/>
        </w:rPr>
      </w:pPr>
      <w:bookmarkStart w:id="214" w:name="_Toc428287585"/>
      <w:bookmarkStart w:id="215" w:name="_Toc428286872"/>
      <w:bookmarkStart w:id="216" w:name="_Toc428287233"/>
      <w:r>
        <w:rPr>
          <w:rStyle w:val="170"/>
          <w:rFonts w:hint="eastAsia" w:eastAsia="楷体"/>
          <w:b/>
          <w:bCs/>
          <w:color w:val="auto"/>
          <w:u w:val="single"/>
        </w:rPr>
        <w:t>3.</w:t>
      </w:r>
      <w:r>
        <w:rPr>
          <w:rStyle w:val="170"/>
          <w:rFonts w:hint="eastAsia" w:eastAsia="楷体"/>
          <w:b/>
          <w:bCs/>
          <w:color w:val="auto"/>
          <w:u w:val="single"/>
          <w:lang w:val="en-US"/>
        </w:rPr>
        <w:t>9</w:t>
      </w:r>
      <w:r>
        <w:rPr>
          <w:rStyle w:val="170"/>
          <w:rFonts w:hint="eastAsia" w:eastAsia="楷体"/>
          <w:b/>
          <w:bCs/>
          <w:color w:val="auto"/>
          <w:u w:val="single"/>
        </w:rPr>
        <w:t>.3生产工艺与生产设备</w:t>
      </w:r>
      <w:bookmarkEnd w:id="214"/>
      <w:bookmarkEnd w:id="215"/>
      <w:bookmarkEnd w:id="216"/>
    </w:p>
    <w:p>
      <w:pPr>
        <w:adjustRightInd w:val="0"/>
        <w:snapToGrid w:val="0"/>
        <w:spacing w:after="80" w:line="520" w:lineRule="exact"/>
        <w:ind w:firstLine="482" w:firstLineChars="200"/>
        <w:textAlignment w:val="baseline"/>
        <w:rPr>
          <w:b/>
          <w:bCs/>
          <w:color w:val="auto"/>
          <w:kern w:val="0"/>
          <w:sz w:val="24"/>
          <w:szCs w:val="20"/>
          <w:u w:val="single"/>
        </w:rPr>
      </w:pPr>
      <w:r>
        <w:rPr>
          <w:rFonts w:hint="eastAsia"/>
          <w:b/>
          <w:bCs/>
          <w:color w:val="auto"/>
          <w:kern w:val="0"/>
          <w:sz w:val="24"/>
          <w:szCs w:val="20"/>
          <w:u w:val="single"/>
        </w:rPr>
        <w:t>一、生产工艺</w:t>
      </w:r>
    </w:p>
    <w:p>
      <w:pPr>
        <w:bidi w:val="0"/>
        <w:rPr>
          <w:b/>
          <w:bCs/>
          <w:color w:val="auto"/>
          <w:u w:val="single"/>
        </w:rPr>
      </w:pPr>
      <w:r>
        <w:rPr>
          <w:rFonts w:hint="eastAsia"/>
          <w:b/>
          <w:bCs/>
          <w:color w:val="auto"/>
          <w:u w:val="single"/>
        </w:rPr>
        <w:t>（</w:t>
      </w:r>
      <w:r>
        <w:rPr>
          <w:b/>
          <w:bCs/>
          <w:color w:val="auto"/>
          <w:u w:val="single"/>
        </w:rPr>
        <w:t>1</w:t>
      </w:r>
      <w:r>
        <w:rPr>
          <w:rFonts w:hint="eastAsia"/>
          <w:b/>
          <w:bCs/>
          <w:color w:val="auto"/>
          <w:u w:val="single"/>
        </w:rPr>
        <w:t>）生产工艺技术</w:t>
      </w:r>
    </w:p>
    <w:p>
      <w:pPr>
        <w:bidi w:val="0"/>
        <w:rPr>
          <w:rFonts w:hint="default"/>
          <w:b/>
          <w:bCs/>
          <w:color w:val="auto"/>
          <w:u w:val="single"/>
          <w:lang w:val="en-US"/>
        </w:rPr>
      </w:pPr>
      <w:r>
        <w:rPr>
          <w:rFonts w:hint="eastAsia"/>
          <w:b/>
          <w:bCs/>
          <w:color w:val="auto"/>
          <w:u w:val="single"/>
        </w:rPr>
        <w:t>本项目采用的工艺是一种不经化学反应而生产纤维素纤维的新工艺，</w:t>
      </w:r>
      <w:r>
        <w:rPr>
          <w:rFonts w:hint="eastAsia"/>
          <w:b/>
          <w:bCs/>
          <w:color w:val="auto"/>
          <w:u w:val="single"/>
          <w:lang w:val="en-US" w:eastAsia="zh-CN"/>
        </w:rPr>
        <w:t>本项目主要工序为菌草的蒸煮，</w:t>
      </w:r>
      <w:r>
        <w:rPr>
          <w:rFonts w:hint="eastAsia"/>
          <w:b/>
          <w:bCs/>
          <w:color w:val="auto"/>
          <w:u w:val="single"/>
        </w:rPr>
        <w:t>备料车间来合格菌草原料通过预热螺旋输送机和螺旋进料器进入立式蒸煮器中进行蒸煮处理</w:t>
      </w:r>
      <w:r>
        <w:rPr>
          <w:rFonts w:hint="eastAsia"/>
          <w:b/>
          <w:bCs/>
          <w:color w:val="auto"/>
          <w:u w:val="single"/>
          <w:lang w:eastAsia="zh-CN"/>
        </w:rPr>
        <w:t>，</w:t>
      </w:r>
      <w:r>
        <w:rPr>
          <w:rFonts w:hint="eastAsia"/>
          <w:b/>
          <w:bCs/>
          <w:color w:val="auto"/>
          <w:u w:val="single"/>
          <w:lang w:val="en-US" w:eastAsia="zh-CN"/>
        </w:rPr>
        <w:t>蒸煮工序产生的冷凝水去水洗漂白工序。</w:t>
      </w:r>
      <w:r>
        <w:rPr>
          <w:rFonts w:hint="eastAsia"/>
          <w:b/>
          <w:bCs/>
          <w:color w:val="auto"/>
          <w:u w:val="single"/>
        </w:rPr>
        <w:t>物料通过蒸煮后得到粗浆</w:t>
      </w:r>
      <w:r>
        <w:rPr>
          <w:rFonts w:hint="eastAsia"/>
          <w:b/>
          <w:bCs/>
          <w:color w:val="auto"/>
          <w:u w:val="single"/>
          <w:lang w:eastAsia="zh-CN"/>
        </w:rPr>
        <w:t>，</w:t>
      </w:r>
      <w:r>
        <w:rPr>
          <w:rFonts w:hint="eastAsia"/>
          <w:b/>
          <w:bCs/>
          <w:color w:val="auto"/>
          <w:u w:val="single"/>
        </w:rPr>
        <w:t>粗浆经过挤浆机设备提取粗浆中的黑液</w:t>
      </w:r>
      <w:r>
        <w:rPr>
          <w:rFonts w:hint="eastAsia"/>
          <w:b/>
          <w:bCs/>
          <w:color w:val="auto"/>
          <w:u w:val="single"/>
          <w:lang w:eastAsia="zh-CN"/>
        </w:rPr>
        <w:t>，</w:t>
      </w:r>
      <w:r>
        <w:rPr>
          <w:rFonts w:hint="eastAsia"/>
          <w:b/>
          <w:bCs/>
          <w:color w:val="auto"/>
          <w:u w:val="single"/>
          <w:lang w:val="en-US" w:eastAsia="zh-CN"/>
        </w:rPr>
        <w:t>黑液用于回收木质素混合物。</w:t>
      </w:r>
      <w:r>
        <w:rPr>
          <w:rFonts w:hint="eastAsia"/>
          <w:b/>
          <w:bCs/>
          <w:color w:val="auto"/>
          <w:u w:val="single"/>
        </w:rPr>
        <w:t>采用挤浆机能降低洗浆的稀释因子，节约用水的同时提高黑液提取率和外送的黑液浓度，有利于环境保护和节能、节水，还减少了浆中的残碱，提高产品质量</w:t>
      </w:r>
      <w:r>
        <w:rPr>
          <w:rFonts w:hint="eastAsia"/>
          <w:b/>
          <w:bCs/>
          <w:color w:val="auto"/>
          <w:u w:val="single"/>
          <w:lang w:eastAsia="zh-CN"/>
        </w:rPr>
        <w:t>，</w:t>
      </w:r>
      <w:r>
        <w:rPr>
          <w:rFonts w:hint="eastAsia"/>
          <w:b/>
          <w:bCs/>
          <w:color w:val="auto"/>
          <w:u w:val="single"/>
          <w:lang w:val="en-US" w:eastAsia="zh-CN"/>
        </w:rPr>
        <w:t>同时粗产品进入洗浆工序</w:t>
      </w:r>
    </w:p>
    <w:p>
      <w:pPr>
        <w:bidi w:val="0"/>
        <w:rPr>
          <w:b/>
          <w:bCs/>
          <w:color w:val="auto"/>
          <w:u w:val="single"/>
        </w:rPr>
      </w:pPr>
      <w:r>
        <w:rPr>
          <w:rFonts w:hint="eastAsia"/>
          <w:b/>
          <w:bCs/>
          <w:color w:val="auto"/>
          <w:u w:val="single"/>
        </w:rPr>
        <w:t>本项目的工艺特点为：生产工艺流程短，生产成本和能耗较低，生产过程中仅有少量的</w:t>
      </w:r>
      <w:r>
        <w:rPr>
          <w:rFonts w:hint="eastAsia"/>
          <w:b/>
          <w:bCs/>
          <w:color w:val="auto"/>
          <w:u w:val="single"/>
          <w:lang w:val="en-US" w:eastAsia="zh-CN"/>
        </w:rPr>
        <w:t>蒸煮</w:t>
      </w:r>
      <w:r>
        <w:rPr>
          <w:rFonts w:hint="eastAsia"/>
          <w:b/>
          <w:bCs/>
          <w:color w:val="auto"/>
          <w:u w:val="single"/>
        </w:rPr>
        <w:t>废气产生，不会对环境造成不良影响。</w:t>
      </w:r>
    </w:p>
    <w:p>
      <w:pPr>
        <w:bidi w:val="0"/>
        <w:rPr>
          <w:b/>
          <w:bCs/>
          <w:color w:val="auto"/>
          <w:u w:val="single"/>
        </w:rPr>
      </w:pPr>
      <w:r>
        <w:rPr>
          <w:rFonts w:hint="eastAsia"/>
          <w:b/>
          <w:bCs/>
          <w:color w:val="auto"/>
          <w:u w:val="single"/>
        </w:rPr>
        <w:t>综上所述，本项目生产过程采用的工艺简单、先进，符合清洁生产的要求。</w:t>
      </w:r>
    </w:p>
    <w:p>
      <w:pPr>
        <w:adjustRightInd w:val="0"/>
        <w:snapToGrid w:val="0"/>
        <w:spacing w:after="80" w:line="520" w:lineRule="exact"/>
        <w:ind w:firstLine="482" w:firstLineChars="200"/>
        <w:textAlignment w:val="baseline"/>
        <w:rPr>
          <w:b/>
          <w:bCs/>
          <w:color w:val="auto"/>
          <w:kern w:val="0"/>
          <w:sz w:val="24"/>
          <w:szCs w:val="20"/>
          <w:u w:val="single"/>
        </w:rPr>
      </w:pPr>
      <w:r>
        <w:rPr>
          <w:rFonts w:hint="eastAsia"/>
          <w:b/>
          <w:bCs/>
          <w:color w:val="auto"/>
          <w:kern w:val="0"/>
          <w:sz w:val="24"/>
          <w:szCs w:val="20"/>
          <w:u w:val="single"/>
        </w:rPr>
        <w:t>二、生产设备</w:t>
      </w:r>
    </w:p>
    <w:p>
      <w:pPr>
        <w:bidi w:val="0"/>
        <w:rPr>
          <w:rFonts w:hint="eastAsia"/>
          <w:b/>
          <w:bCs/>
          <w:color w:val="auto"/>
          <w:u w:val="single"/>
        </w:rPr>
      </w:pPr>
      <w:r>
        <w:rPr>
          <w:rFonts w:hint="eastAsia"/>
          <w:b/>
          <w:bCs/>
          <w:color w:val="auto"/>
          <w:u w:val="single"/>
        </w:rPr>
        <w:t>本项目采用先进成熟的主机设备，具有自动化程度高、工艺参数稳定、产品档次高、投资省、能耗低、污染物排放少等优点。蒸煮系统配备有热回收和节水系统，通过对蒸煮器排放系统的湿热空气和水汽冷凝段的热能进行回收利用，降低了新鲜水的消耗量；五效蒸发器采用多效闪蒸技术，降低了蒸汽消耗量。因此，项目生产设备符合清洁生产的要求。</w:t>
      </w:r>
    </w:p>
    <w:p>
      <w:pPr>
        <w:bidi w:val="0"/>
        <w:rPr>
          <w:rFonts w:hint="eastAsia"/>
          <w:b/>
          <w:bCs/>
          <w:color w:val="auto"/>
          <w:u w:val="single"/>
        </w:rPr>
      </w:pPr>
      <w:r>
        <w:rPr>
          <w:rFonts w:hint="eastAsia"/>
          <w:b/>
          <w:bCs/>
          <w:color w:val="auto"/>
          <w:u w:val="single"/>
        </w:rPr>
        <w:t>项目生产过程中根据不同的物料性质分别选用相应材质的生产设备、储罐和液泵，在工程设计和安装过程中严格按照国家有关标准要求进行安装，各类物料由专用管线进行输送，定期对设备、接头、阀门等进行检修，有效地减少了物料泄漏的可能。</w:t>
      </w:r>
    </w:p>
    <w:p>
      <w:pPr>
        <w:bidi w:val="0"/>
        <w:rPr>
          <w:rFonts w:hint="eastAsia"/>
          <w:b/>
          <w:bCs/>
          <w:color w:val="auto"/>
          <w:u w:val="single"/>
        </w:rPr>
      </w:pPr>
      <w:r>
        <w:rPr>
          <w:rFonts w:hint="eastAsia"/>
          <w:b/>
          <w:bCs/>
          <w:color w:val="auto"/>
          <w:u w:val="single"/>
        </w:rPr>
        <w:t>（1）新乡化纤股份有限公司年产5000吨菌草生物质纤维产业化研发中试项目设计严格遵循《工业建筑节能设计统一标准》（GB51245-2017）中的相关规定。所选用设备符合国家现行标准规定的节能型产品。</w:t>
      </w:r>
    </w:p>
    <w:p>
      <w:pPr>
        <w:bidi w:val="0"/>
        <w:rPr>
          <w:rFonts w:hint="eastAsia"/>
          <w:b/>
          <w:bCs/>
          <w:color w:val="auto"/>
          <w:u w:val="single"/>
        </w:rPr>
      </w:pPr>
      <w:r>
        <w:rPr>
          <w:rFonts w:hint="eastAsia"/>
          <w:b/>
          <w:bCs/>
          <w:color w:val="auto"/>
          <w:u w:val="single"/>
        </w:rPr>
        <w:t>（2）主要设备的生产能力应与建设规模、产品方案和技术方案相适应，满足项目投产后的生产或使用的要求。主要设备之间、主要设备与辅助设备之间的生产能力应相互配套，以满足设备运行的节能要求。</w:t>
      </w:r>
    </w:p>
    <w:p>
      <w:pPr>
        <w:bidi w:val="0"/>
        <w:rPr>
          <w:rFonts w:hint="eastAsia"/>
          <w:b/>
          <w:bCs/>
          <w:color w:val="auto"/>
          <w:u w:val="single"/>
        </w:rPr>
      </w:pPr>
      <w:r>
        <w:rPr>
          <w:rFonts w:hint="eastAsia"/>
          <w:b/>
          <w:bCs/>
          <w:color w:val="auto"/>
          <w:u w:val="single"/>
        </w:rPr>
        <w:t>（3）所选设备应符合国家或行业专门机构发布的有关技术标准。</w:t>
      </w:r>
    </w:p>
    <w:p>
      <w:pPr>
        <w:bidi w:val="0"/>
        <w:rPr>
          <w:rFonts w:hint="eastAsia"/>
          <w:b/>
          <w:bCs/>
          <w:color w:val="auto"/>
          <w:u w:val="single"/>
        </w:rPr>
      </w:pPr>
      <w:r>
        <w:rPr>
          <w:rFonts w:hint="eastAsia"/>
          <w:b/>
          <w:bCs/>
          <w:color w:val="auto"/>
          <w:u w:val="single"/>
        </w:rPr>
        <w:t>（4）项目相关的大型高耗能装置为专门定制的设备，选型时应选择国家推荐的节能型装置，以满足</w:t>
      </w:r>
      <w:r>
        <w:rPr>
          <w:rFonts w:hint="eastAsia"/>
          <w:b/>
          <w:bCs/>
          <w:color w:val="auto"/>
          <w:u w:val="single"/>
          <w:lang w:val="en-US" w:eastAsia="zh-CN"/>
        </w:rPr>
        <w:t>清洁生产</w:t>
      </w:r>
      <w:r>
        <w:rPr>
          <w:rFonts w:hint="eastAsia"/>
          <w:b/>
          <w:bCs/>
          <w:color w:val="auto"/>
          <w:u w:val="single"/>
        </w:rPr>
        <w:t>要求。</w:t>
      </w:r>
    </w:p>
    <w:p>
      <w:pPr>
        <w:bidi w:val="0"/>
        <w:rPr>
          <w:b/>
          <w:bCs/>
          <w:color w:val="auto"/>
          <w:u w:val="single"/>
        </w:rPr>
      </w:pPr>
      <w:r>
        <w:rPr>
          <w:rFonts w:hint="eastAsia"/>
          <w:b/>
          <w:bCs/>
          <w:color w:val="auto"/>
          <w:u w:val="single"/>
        </w:rPr>
        <w:t>先进设备的选择大大提高了项目的清洁生产水平。</w:t>
      </w:r>
    </w:p>
    <w:p>
      <w:pPr>
        <w:adjustRightInd w:val="0"/>
        <w:snapToGrid w:val="0"/>
        <w:spacing w:after="80" w:line="520" w:lineRule="exact"/>
        <w:ind w:firstLine="482" w:firstLineChars="200"/>
        <w:textAlignment w:val="baseline"/>
        <w:rPr>
          <w:b/>
          <w:bCs/>
          <w:color w:val="auto"/>
          <w:kern w:val="0"/>
          <w:sz w:val="24"/>
          <w:szCs w:val="20"/>
          <w:u w:val="single"/>
        </w:rPr>
      </w:pPr>
      <w:r>
        <w:rPr>
          <w:rFonts w:hint="eastAsia"/>
          <w:b/>
          <w:bCs/>
          <w:color w:val="auto"/>
          <w:kern w:val="0"/>
          <w:sz w:val="24"/>
          <w:szCs w:val="20"/>
          <w:u w:val="single"/>
        </w:rPr>
        <w:t>三、过程控制</w:t>
      </w:r>
    </w:p>
    <w:p>
      <w:pPr>
        <w:bidi w:val="0"/>
        <w:rPr>
          <w:b/>
          <w:bCs/>
          <w:color w:val="auto"/>
          <w:u w:val="single"/>
        </w:rPr>
      </w:pPr>
      <w:r>
        <w:rPr>
          <w:rFonts w:hint="eastAsia"/>
          <w:b/>
          <w:bCs/>
          <w:color w:val="auto"/>
          <w:u w:val="single"/>
        </w:rPr>
        <w:t>本项目的工程自控设计，由于工艺过程控制参数较多，过程参数的变化对产品质量的影响较大，自动控制效果的好坏直接影响到最终产品的质量，工艺生产连续进行，要求自控系统稳定可靠，考虑到工艺生产控制点较多，部分工艺设备需联动控制，本设计在满足工艺参数控制要求的同时，本着经济、实用的原则，配置基本的自动化控制仪表。</w:t>
      </w:r>
    </w:p>
    <w:p>
      <w:pPr>
        <w:bidi w:val="0"/>
        <w:rPr>
          <w:rFonts w:hint="eastAsia"/>
          <w:b/>
          <w:bCs/>
          <w:color w:val="auto"/>
          <w:u w:val="single"/>
        </w:rPr>
      </w:pPr>
      <w:r>
        <w:rPr>
          <w:rFonts w:hint="eastAsia"/>
          <w:b/>
          <w:bCs/>
          <w:color w:val="auto"/>
          <w:u w:val="single"/>
        </w:rPr>
        <w:t>本项目的</w:t>
      </w:r>
      <w:r>
        <w:rPr>
          <w:rFonts w:hint="eastAsia"/>
          <w:b/>
          <w:bCs/>
          <w:color w:val="auto"/>
          <w:u w:val="single"/>
          <w:lang w:val="en-US" w:eastAsia="zh-CN"/>
        </w:rPr>
        <w:t>蒸煮、挤浆、洗浆、漂白等工序为</w:t>
      </w:r>
      <w:r>
        <w:rPr>
          <w:rFonts w:hint="eastAsia"/>
          <w:b/>
          <w:bCs/>
          <w:color w:val="auto"/>
          <w:u w:val="single"/>
        </w:rPr>
        <w:t>生产的关键</w:t>
      </w:r>
      <w:r>
        <w:rPr>
          <w:rFonts w:hint="eastAsia"/>
          <w:b/>
          <w:bCs/>
          <w:color w:val="auto"/>
          <w:u w:val="single"/>
          <w:lang w:val="en-US" w:eastAsia="zh-CN"/>
        </w:rPr>
        <w:t>工序</w:t>
      </w:r>
      <w:r>
        <w:rPr>
          <w:rFonts w:hint="eastAsia"/>
          <w:b/>
          <w:bCs/>
          <w:color w:val="auto"/>
          <w:u w:val="single"/>
        </w:rPr>
        <w:t>，</w:t>
      </w:r>
      <w:r>
        <w:rPr>
          <w:rFonts w:hint="eastAsia"/>
          <w:b/>
          <w:bCs/>
          <w:color w:val="auto"/>
          <w:u w:val="single"/>
          <w:lang w:val="en-US" w:eastAsia="zh-CN"/>
        </w:rPr>
        <w:t>蒸煮</w:t>
      </w:r>
      <w:r>
        <w:rPr>
          <w:rFonts w:hint="eastAsia"/>
          <w:b/>
          <w:bCs/>
          <w:color w:val="auto"/>
          <w:u w:val="single"/>
        </w:rPr>
        <w:t>效果的好坏将直接影响到后续产品的质量，因此采用</w:t>
      </w:r>
      <w:r>
        <w:rPr>
          <w:b/>
          <w:bCs/>
          <w:color w:val="auto"/>
          <w:u w:val="single"/>
        </w:rPr>
        <w:t>DCS</w:t>
      </w:r>
      <w:r>
        <w:rPr>
          <w:rFonts w:hint="eastAsia"/>
          <w:b/>
          <w:bCs/>
          <w:color w:val="auto"/>
          <w:u w:val="single"/>
        </w:rPr>
        <w:t>（集散型计算机控制系统）控制方式，该车间各控制参数均能在计算机上得到有效控制、显示、记录。</w:t>
      </w:r>
    </w:p>
    <w:p>
      <w:pPr>
        <w:bidi w:val="0"/>
        <w:rPr>
          <w:rFonts w:hint="eastAsia"/>
          <w:b/>
          <w:bCs/>
          <w:color w:val="auto"/>
          <w:u w:val="single"/>
        </w:rPr>
      </w:pPr>
      <w:r>
        <w:rPr>
          <w:rFonts w:hint="eastAsia"/>
          <w:b/>
          <w:bCs/>
          <w:color w:val="auto"/>
          <w:u w:val="single"/>
          <w:lang w:val="en-US" w:eastAsia="zh-CN"/>
        </w:rPr>
        <w:t>四、</w:t>
      </w:r>
      <w:r>
        <w:rPr>
          <w:rFonts w:hint="eastAsia"/>
          <w:b/>
          <w:bCs/>
          <w:color w:val="auto"/>
          <w:u w:val="single"/>
        </w:rPr>
        <w:t>污染物控制及综合利用</w:t>
      </w:r>
    </w:p>
    <w:p>
      <w:pPr>
        <w:bidi w:val="0"/>
        <w:rPr>
          <w:rFonts w:hint="eastAsia"/>
          <w:b/>
          <w:bCs/>
          <w:color w:val="auto"/>
          <w:u w:val="single"/>
        </w:rPr>
      </w:pPr>
      <w:r>
        <w:rPr>
          <w:rFonts w:hint="eastAsia"/>
          <w:b/>
          <w:bCs/>
          <w:color w:val="auto"/>
          <w:u w:val="single"/>
        </w:rPr>
        <w:t>废气：本项目废气主要是菌草堆料库在装卸、储存过程中产生的扬尘。为减少扬尘排放，项目设置密闭式菌草堆料库，仓库地面进行硬化，顶部设置雾化喷淋装置。装卸料时，进行喷淋抑尘，并及时清扫地面。</w:t>
      </w:r>
    </w:p>
    <w:p>
      <w:pPr>
        <w:bidi w:val="0"/>
        <w:rPr>
          <w:rFonts w:hint="eastAsia"/>
          <w:b/>
          <w:bCs/>
          <w:color w:val="auto"/>
          <w:u w:val="single"/>
        </w:rPr>
      </w:pPr>
      <w:r>
        <w:rPr>
          <w:rFonts w:hint="eastAsia"/>
          <w:b/>
          <w:bCs/>
          <w:color w:val="auto"/>
          <w:u w:val="single"/>
        </w:rPr>
        <w:t>废水：本工程产生的生产废水拟排入新厂区3.8万t/d污水处理站进行处理，采用的处理工艺为“调节+混合池+沉淀+水解酸化+氧化沟+二沉池+混凝池+终沉池”，处理达标后的废水，经管网排入新乡市小店污水处理厂进一步处理。</w:t>
      </w:r>
    </w:p>
    <w:p>
      <w:pPr>
        <w:bidi w:val="0"/>
        <w:rPr>
          <w:rFonts w:hint="eastAsia"/>
          <w:b/>
          <w:bCs/>
          <w:color w:val="auto"/>
          <w:u w:val="single"/>
        </w:rPr>
      </w:pPr>
      <w:r>
        <w:rPr>
          <w:rFonts w:hint="eastAsia"/>
          <w:b/>
          <w:bCs/>
          <w:color w:val="auto"/>
          <w:u w:val="single"/>
        </w:rPr>
        <w:t>噪声：企业在选购设备时即选用低噪声设备，并采用减振、隔音、消音、合理布局等措施，将噪声污染降至最低。</w:t>
      </w:r>
    </w:p>
    <w:p>
      <w:pPr>
        <w:bidi w:val="0"/>
        <w:rPr>
          <w:b/>
          <w:bCs/>
          <w:color w:val="auto"/>
          <w:u w:val="single"/>
        </w:rPr>
      </w:pPr>
      <w:r>
        <w:rPr>
          <w:rFonts w:hint="eastAsia"/>
          <w:b/>
          <w:bCs/>
          <w:color w:val="auto"/>
          <w:u w:val="single"/>
        </w:rPr>
        <w:t>固废：工程产生的固废主要有沉淀池底泥、废包装袋等。废包装袋为危险固废，送具有相应资质的危废中心处理。</w:t>
      </w:r>
    </w:p>
    <w:p>
      <w:pPr>
        <w:pStyle w:val="9"/>
        <w:tabs>
          <w:tab w:val="left" w:pos="540"/>
        </w:tabs>
        <w:spacing w:before="240" w:after="0" w:line="360" w:lineRule="auto"/>
        <w:rPr>
          <w:rStyle w:val="170"/>
          <w:rFonts w:eastAsia="楷体"/>
          <w:b/>
          <w:bCs/>
          <w:color w:val="auto"/>
          <w:u w:val="single"/>
        </w:rPr>
      </w:pPr>
      <w:r>
        <w:rPr>
          <w:rStyle w:val="170"/>
          <w:rFonts w:eastAsia="楷体"/>
          <w:b/>
          <w:bCs/>
          <w:color w:val="auto"/>
          <w:u w:val="single"/>
        </w:rPr>
        <w:t>3.</w:t>
      </w:r>
      <w:r>
        <w:rPr>
          <w:rStyle w:val="170"/>
          <w:rFonts w:hint="eastAsia" w:eastAsia="楷体"/>
          <w:b/>
          <w:bCs/>
          <w:color w:val="auto"/>
          <w:u w:val="single"/>
          <w:lang w:val="en-US"/>
        </w:rPr>
        <w:t>9</w:t>
      </w:r>
      <w:r>
        <w:rPr>
          <w:rStyle w:val="170"/>
          <w:rFonts w:eastAsia="楷体"/>
          <w:b/>
          <w:bCs/>
          <w:color w:val="auto"/>
          <w:u w:val="single"/>
        </w:rPr>
        <w:t>.4节能措施</w:t>
      </w:r>
    </w:p>
    <w:p>
      <w:pPr>
        <w:pStyle w:val="10"/>
        <w:bidi w:val="0"/>
        <w:rPr>
          <w:rFonts w:hint="eastAsia"/>
          <w:b/>
          <w:bCs/>
          <w:color w:val="auto"/>
          <w:u w:val="single"/>
          <w:lang w:val="en-US"/>
        </w:rPr>
      </w:pPr>
      <w:r>
        <w:rPr>
          <w:rFonts w:hint="eastAsia"/>
          <w:b/>
          <w:bCs/>
          <w:color w:val="auto"/>
          <w:u w:val="single"/>
          <w:lang w:val="en-US"/>
        </w:rPr>
        <w:t>3.</w:t>
      </w:r>
      <w:r>
        <w:rPr>
          <w:rFonts w:hint="eastAsia"/>
          <w:b/>
          <w:bCs/>
          <w:color w:val="auto"/>
          <w:u w:val="single"/>
          <w:lang w:val="en-US" w:eastAsia="zh-CN"/>
        </w:rPr>
        <w:t>9</w:t>
      </w:r>
      <w:r>
        <w:rPr>
          <w:rFonts w:hint="eastAsia"/>
          <w:b/>
          <w:bCs/>
          <w:color w:val="auto"/>
          <w:u w:val="single"/>
          <w:lang w:val="en-US"/>
        </w:rPr>
        <w:t>.4.1 建筑节能</w:t>
      </w:r>
    </w:p>
    <w:p>
      <w:pPr>
        <w:bidi w:val="0"/>
        <w:rPr>
          <w:rFonts w:hint="default"/>
          <w:b/>
          <w:bCs/>
          <w:color w:val="auto"/>
          <w:u w:val="single"/>
          <w:lang w:val="en-US"/>
        </w:rPr>
      </w:pPr>
      <w:r>
        <w:rPr>
          <w:rFonts w:hint="default"/>
          <w:b/>
          <w:bCs/>
          <w:color w:val="auto"/>
          <w:u w:val="single"/>
          <w:lang w:val="en-US"/>
        </w:rPr>
        <w:t>（1）总图布置上力求紧凑，按货物合理流向布置，缩短物料储存、运输的距离，尽量避免大量物品的二次搬运，减少人力、物力消耗。</w:t>
      </w:r>
    </w:p>
    <w:p>
      <w:pPr>
        <w:bidi w:val="0"/>
        <w:rPr>
          <w:rFonts w:hint="default"/>
          <w:b/>
          <w:bCs/>
          <w:color w:val="auto"/>
          <w:u w:val="single"/>
          <w:lang w:val="en-US"/>
        </w:rPr>
      </w:pPr>
      <w:r>
        <w:rPr>
          <w:rFonts w:hint="default"/>
          <w:b/>
          <w:bCs/>
          <w:color w:val="auto"/>
          <w:u w:val="single"/>
          <w:lang w:val="en-US"/>
        </w:rPr>
        <w:t>（2）在保证冬季室内热环境、改善夏季热舒适性和坚持卫生标准的前提下，降低单位建筑面积的能耗，提高建筑物的保温隔热性能，尽量利用自然采光和自然通风。</w:t>
      </w:r>
    </w:p>
    <w:p>
      <w:pPr>
        <w:bidi w:val="0"/>
        <w:rPr>
          <w:rFonts w:hint="default"/>
          <w:b/>
          <w:bCs/>
          <w:color w:val="auto"/>
          <w:u w:val="single"/>
          <w:lang w:val="en-US"/>
        </w:rPr>
      </w:pPr>
      <w:r>
        <w:rPr>
          <w:rFonts w:hint="default"/>
          <w:b/>
          <w:bCs/>
          <w:color w:val="auto"/>
          <w:u w:val="single"/>
          <w:lang w:val="en-US"/>
        </w:rPr>
        <w:t>（3）采用合理的建筑体形及窗墙类型，推广保温隔热性能好的围护结构，围护结构的外墙、屋顶及地面的热工性能，应符合现行国家标准《</w:t>
      </w:r>
      <w:r>
        <w:rPr>
          <w:rFonts w:hint="eastAsia"/>
          <w:b/>
          <w:bCs/>
          <w:color w:val="auto"/>
          <w:u w:val="single"/>
          <w:lang w:val="en-US" w:eastAsia="zh-CN"/>
        </w:rPr>
        <w:t>工业建筑供暖通风与空气调节设计规范</w:t>
      </w:r>
      <w:r>
        <w:rPr>
          <w:rFonts w:hint="default"/>
          <w:b/>
          <w:bCs/>
          <w:color w:val="auto"/>
          <w:u w:val="single"/>
          <w:lang w:val="en-US"/>
        </w:rPr>
        <w:t>》（</w:t>
      </w:r>
      <w:r>
        <w:rPr>
          <w:rFonts w:hint="eastAsia"/>
          <w:b/>
          <w:bCs/>
          <w:color w:val="auto"/>
          <w:u w:val="single"/>
          <w:lang w:val="en-US" w:eastAsia="zh-CN"/>
        </w:rPr>
        <w:t>GB 50019-2015</w:t>
      </w:r>
      <w:r>
        <w:rPr>
          <w:rFonts w:hint="default"/>
          <w:b/>
          <w:bCs/>
          <w:color w:val="auto"/>
          <w:u w:val="single"/>
          <w:lang w:val="en-US"/>
        </w:rPr>
        <w:t>）和现行行业标准《</w:t>
      </w:r>
      <w:r>
        <w:rPr>
          <w:rFonts w:hint="eastAsia"/>
          <w:b/>
          <w:bCs/>
          <w:color w:val="auto"/>
          <w:u w:val="single"/>
          <w:lang w:val="en-US" w:eastAsia="zh-CN"/>
        </w:rPr>
        <w:t>严寒和寒冷地区居住建筑节能设计标准</w:t>
      </w:r>
      <w:r>
        <w:rPr>
          <w:rFonts w:hint="default"/>
          <w:b/>
          <w:bCs/>
          <w:color w:val="auto"/>
          <w:u w:val="single"/>
          <w:lang w:val="en-US"/>
        </w:rPr>
        <w:t>》（</w:t>
      </w:r>
      <w:r>
        <w:rPr>
          <w:rFonts w:hint="eastAsia"/>
          <w:b/>
          <w:bCs/>
          <w:color w:val="auto"/>
          <w:u w:val="single"/>
          <w:lang w:val="en-US" w:eastAsia="zh-CN"/>
        </w:rPr>
        <w:t>J</w:t>
      </w:r>
      <w:r>
        <w:rPr>
          <w:rFonts w:hint="default"/>
          <w:b/>
          <w:bCs/>
          <w:color w:val="auto"/>
          <w:u w:val="single"/>
          <w:lang w:val="en-US"/>
        </w:rPr>
        <w:t>GJ</w:t>
      </w:r>
      <w:r>
        <w:rPr>
          <w:rFonts w:hint="eastAsia"/>
          <w:b/>
          <w:bCs/>
          <w:color w:val="auto"/>
          <w:u w:val="single"/>
          <w:lang w:val="en-US" w:eastAsia="zh-CN"/>
        </w:rPr>
        <w:t xml:space="preserve"> </w:t>
      </w:r>
      <w:r>
        <w:rPr>
          <w:rFonts w:hint="default"/>
          <w:b/>
          <w:bCs/>
          <w:color w:val="auto"/>
          <w:u w:val="single"/>
          <w:lang w:val="en-US"/>
        </w:rPr>
        <w:t>26-2010）的规定。</w:t>
      </w:r>
    </w:p>
    <w:p>
      <w:pPr>
        <w:bidi w:val="0"/>
        <w:rPr>
          <w:rFonts w:hint="default"/>
          <w:b/>
          <w:bCs/>
          <w:color w:val="auto"/>
          <w:u w:val="single"/>
          <w:lang w:val="en-US"/>
        </w:rPr>
      </w:pPr>
      <w:r>
        <w:rPr>
          <w:rFonts w:hint="default"/>
          <w:b/>
          <w:bCs/>
          <w:color w:val="auto"/>
          <w:u w:val="single"/>
          <w:lang w:val="en-US"/>
        </w:rPr>
        <w:t>（4）项目建设中要采用新型建筑材料、高效隔热材料、节能型门窗等。</w:t>
      </w:r>
    </w:p>
    <w:p>
      <w:pPr>
        <w:pStyle w:val="10"/>
        <w:bidi w:val="0"/>
        <w:rPr>
          <w:rFonts w:hint="eastAsia"/>
          <w:b/>
          <w:bCs/>
          <w:color w:val="auto"/>
          <w:u w:val="single"/>
          <w:lang w:val="en-US"/>
        </w:rPr>
      </w:pPr>
      <w:r>
        <w:rPr>
          <w:rFonts w:hint="eastAsia"/>
          <w:b/>
          <w:bCs/>
          <w:color w:val="auto"/>
          <w:u w:val="single"/>
          <w:lang w:val="en-US"/>
        </w:rPr>
        <w:t>3</w:t>
      </w:r>
      <w:r>
        <w:rPr>
          <w:rFonts w:hint="eastAsia"/>
          <w:b/>
          <w:bCs/>
          <w:color w:val="auto"/>
          <w:u w:val="single"/>
          <w:lang w:val="en-US" w:eastAsia="zh-CN"/>
        </w:rPr>
        <w:t>.9</w:t>
      </w:r>
      <w:r>
        <w:rPr>
          <w:rFonts w:hint="eastAsia"/>
          <w:b/>
          <w:bCs/>
          <w:color w:val="auto"/>
          <w:u w:val="single"/>
          <w:lang w:val="en-US"/>
        </w:rPr>
        <w:t>.4.2 给排水节能</w:t>
      </w:r>
    </w:p>
    <w:p>
      <w:pPr>
        <w:bidi w:val="0"/>
        <w:rPr>
          <w:rFonts w:hint="eastAsia"/>
          <w:b/>
          <w:bCs/>
          <w:color w:val="auto"/>
          <w:u w:val="single"/>
        </w:rPr>
      </w:pPr>
      <w:r>
        <w:rPr>
          <w:rFonts w:hint="eastAsia"/>
          <w:b/>
          <w:bCs/>
          <w:color w:val="auto"/>
          <w:u w:val="single"/>
        </w:rPr>
        <w:t>（1）充分利用厂区供水压力供应各单体的生产、生活用水，节省设备的日常运行费用，节省电耗。</w:t>
      </w:r>
    </w:p>
    <w:p>
      <w:pPr>
        <w:bidi w:val="0"/>
        <w:rPr>
          <w:rFonts w:hint="eastAsia"/>
          <w:b/>
          <w:bCs/>
          <w:color w:val="auto"/>
          <w:u w:val="single"/>
        </w:rPr>
      </w:pPr>
      <w:r>
        <w:rPr>
          <w:rFonts w:hint="eastAsia"/>
          <w:b/>
          <w:bCs/>
          <w:color w:val="auto"/>
          <w:u w:val="single"/>
        </w:rPr>
        <w:t>（2）输水管道根据输送介质和所处环境的不同，采用相对应的管材和连接方式，给排水系统选用密闭性能好的阀门、设备，使用耐腐蚀、耐久性能好的管材、管件。污水管道根据厂区地势走向顺坡敷设，不但使排水更加顺畅，而且减小了管道埋深，节约工程造价。</w:t>
      </w:r>
    </w:p>
    <w:p>
      <w:pPr>
        <w:bidi w:val="0"/>
        <w:rPr>
          <w:rFonts w:hint="eastAsia"/>
          <w:b/>
          <w:bCs/>
          <w:color w:val="auto"/>
          <w:u w:val="single"/>
        </w:rPr>
      </w:pPr>
      <w:r>
        <w:rPr>
          <w:rFonts w:hint="eastAsia"/>
          <w:b/>
          <w:bCs/>
          <w:color w:val="auto"/>
          <w:u w:val="single"/>
        </w:rPr>
        <w:t>（</w:t>
      </w:r>
      <w:r>
        <w:rPr>
          <w:rFonts w:hint="eastAsia"/>
          <w:b/>
          <w:bCs/>
          <w:color w:val="auto"/>
          <w:u w:val="single"/>
          <w:lang w:val="en-US" w:eastAsia="zh-CN"/>
        </w:rPr>
        <w:t>3</w:t>
      </w:r>
      <w:r>
        <w:rPr>
          <w:rFonts w:hint="eastAsia"/>
          <w:b/>
          <w:bCs/>
          <w:color w:val="auto"/>
          <w:u w:val="single"/>
        </w:rPr>
        <w:t>）蓄水箱溢流水位设置报警装置，防止进水管阀门故障时，蓄水箱长时间溢流排水，加强用水管理，配置流量计、水表等计量工具，对各用水装置实行定额管理，消除跑冒漏滴。</w:t>
      </w:r>
    </w:p>
    <w:p>
      <w:pPr>
        <w:bidi w:val="0"/>
        <w:rPr>
          <w:rFonts w:hint="eastAsia"/>
          <w:b/>
          <w:bCs/>
          <w:color w:val="auto"/>
          <w:u w:val="single"/>
        </w:rPr>
      </w:pPr>
      <w:r>
        <w:rPr>
          <w:rFonts w:hint="eastAsia"/>
          <w:b/>
          <w:bCs/>
          <w:color w:val="auto"/>
          <w:u w:val="single"/>
        </w:rPr>
        <w:t>（</w:t>
      </w:r>
      <w:r>
        <w:rPr>
          <w:rFonts w:hint="eastAsia"/>
          <w:b/>
          <w:bCs/>
          <w:color w:val="auto"/>
          <w:u w:val="single"/>
          <w:lang w:val="en-US" w:eastAsia="zh-CN"/>
        </w:rPr>
        <w:t>4</w:t>
      </w:r>
      <w:r>
        <w:rPr>
          <w:rFonts w:hint="eastAsia"/>
          <w:b/>
          <w:bCs/>
          <w:color w:val="auto"/>
          <w:u w:val="single"/>
        </w:rPr>
        <w:t>）各种能源消耗实行三级计量，同时加强能源管理和能源消耗部门的节能意识。</w:t>
      </w:r>
    </w:p>
    <w:p>
      <w:pPr>
        <w:bidi w:val="0"/>
        <w:rPr>
          <w:rFonts w:hint="eastAsia"/>
          <w:b/>
          <w:bCs/>
          <w:color w:val="auto"/>
          <w:u w:val="single"/>
        </w:rPr>
      </w:pPr>
      <w:r>
        <w:rPr>
          <w:rFonts w:hint="eastAsia"/>
          <w:b/>
          <w:bCs/>
          <w:color w:val="auto"/>
          <w:u w:val="single"/>
        </w:rPr>
        <w:t>（</w:t>
      </w:r>
      <w:r>
        <w:rPr>
          <w:rFonts w:hint="eastAsia"/>
          <w:b/>
          <w:bCs/>
          <w:color w:val="auto"/>
          <w:u w:val="single"/>
          <w:lang w:val="en-US" w:eastAsia="zh-CN"/>
        </w:rPr>
        <w:t>5</w:t>
      </w:r>
      <w:r>
        <w:rPr>
          <w:rFonts w:hint="eastAsia"/>
          <w:b/>
          <w:bCs/>
          <w:color w:val="auto"/>
          <w:u w:val="single"/>
        </w:rPr>
        <w:t>）项目用水量依据不同用途分类核算，设备选型与水量相适应，负荷率高。</w:t>
      </w:r>
    </w:p>
    <w:p>
      <w:pPr>
        <w:bidi w:val="0"/>
        <w:rPr>
          <w:rFonts w:hint="eastAsia"/>
          <w:b/>
          <w:bCs/>
          <w:color w:val="auto"/>
          <w:u w:val="single"/>
        </w:rPr>
      </w:pPr>
      <w:r>
        <w:rPr>
          <w:rFonts w:hint="eastAsia"/>
          <w:b/>
          <w:bCs/>
          <w:color w:val="auto"/>
          <w:u w:val="single"/>
        </w:rPr>
        <w:t>（</w:t>
      </w:r>
      <w:r>
        <w:rPr>
          <w:rFonts w:hint="eastAsia"/>
          <w:b/>
          <w:bCs/>
          <w:color w:val="auto"/>
          <w:u w:val="single"/>
          <w:lang w:val="en-US" w:eastAsia="zh-CN"/>
        </w:rPr>
        <w:t>6</w:t>
      </w:r>
      <w:r>
        <w:rPr>
          <w:rFonts w:hint="eastAsia"/>
          <w:b/>
          <w:bCs/>
          <w:color w:val="auto"/>
          <w:u w:val="single"/>
        </w:rPr>
        <w:t>）通过优化工艺流程，提高水的循环利用率，进而节约用水。</w:t>
      </w:r>
    </w:p>
    <w:p>
      <w:pPr>
        <w:bidi w:val="0"/>
        <w:rPr>
          <w:rFonts w:hint="eastAsia"/>
          <w:b/>
          <w:bCs/>
          <w:color w:val="auto"/>
          <w:u w:val="single"/>
        </w:rPr>
      </w:pPr>
      <w:r>
        <w:rPr>
          <w:rFonts w:hint="eastAsia"/>
          <w:b/>
          <w:bCs/>
          <w:color w:val="auto"/>
          <w:u w:val="single"/>
        </w:rPr>
        <w:t>（</w:t>
      </w:r>
      <w:r>
        <w:rPr>
          <w:rFonts w:hint="eastAsia"/>
          <w:b/>
          <w:bCs/>
          <w:color w:val="auto"/>
          <w:u w:val="single"/>
          <w:lang w:val="en-US" w:eastAsia="zh-CN"/>
        </w:rPr>
        <w:t>7</w:t>
      </w:r>
      <w:r>
        <w:rPr>
          <w:rFonts w:hint="eastAsia"/>
          <w:b/>
          <w:bCs/>
          <w:color w:val="auto"/>
          <w:u w:val="single"/>
        </w:rPr>
        <w:t>）中试过程中积极分析项目用水、排水情况，及时调整用水、排水工序，节约水资源。</w:t>
      </w:r>
    </w:p>
    <w:p>
      <w:pPr>
        <w:pStyle w:val="10"/>
        <w:bidi w:val="0"/>
        <w:rPr>
          <w:rFonts w:hint="eastAsia"/>
          <w:b/>
          <w:bCs/>
          <w:color w:val="auto"/>
          <w:u w:val="single"/>
          <w:lang w:val="en-US"/>
        </w:rPr>
      </w:pPr>
      <w:r>
        <w:rPr>
          <w:rFonts w:hint="eastAsia"/>
          <w:b/>
          <w:bCs/>
          <w:color w:val="auto"/>
          <w:u w:val="single"/>
          <w:lang w:val="en-US"/>
        </w:rPr>
        <w:t>3.</w:t>
      </w:r>
      <w:r>
        <w:rPr>
          <w:rFonts w:hint="eastAsia"/>
          <w:b/>
          <w:bCs/>
          <w:color w:val="auto"/>
          <w:u w:val="single"/>
          <w:lang w:val="en-US" w:eastAsia="zh-CN"/>
        </w:rPr>
        <w:t>9</w:t>
      </w:r>
      <w:r>
        <w:rPr>
          <w:rFonts w:hint="eastAsia"/>
          <w:b/>
          <w:bCs/>
          <w:color w:val="auto"/>
          <w:u w:val="single"/>
          <w:lang w:val="en-US"/>
        </w:rPr>
        <w:t>.4.</w:t>
      </w:r>
      <w:r>
        <w:rPr>
          <w:rFonts w:hint="eastAsia"/>
          <w:b/>
          <w:bCs/>
          <w:color w:val="auto"/>
          <w:u w:val="single"/>
          <w:lang w:val="en-US" w:eastAsia="zh-CN"/>
        </w:rPr>
        <w:t>3</w:t>
      </w:r>
      <w:r>
        <w:rPr>
          <w:rFonts w:hint="eastAsia"/>
          <w:b/>
          <w:bCs/>
          <w:color w:val="auto"/>
          <w:u w:val="single"/>
          <w:lang w:val="en-US"/>
        </w:rPr>
        <w:t xml:space="preserve"> 通风节能</w:t>
      </w:r>
    </w:p>
    <w:p>
      <w:pPr>
        <w:bidi w:val="0"/>
        <w:rPr>
          <w:rFonts w:hint="eastAsia"/>
          <w:b/>
          <w:bCs/>
          <w:color w:val="auto"/>
          <w:u w:val="single"/>
        </w:rPr>
      </w:pPr>
      <w:r>
        <w:rPr>
          <w:rFonts w:hint="eastAsia"/>
          <w:b/>
          <w:bCs/>
          <w:color w:val="auto"/>
          <w:u w:val="single"/>
        </w:rPr>
        <w:t>（1）本项目主体建筑物采用自然通风与机械通风相结合的全面通风形式。可以利用自然通风保证室内空气质量，减少通风设备的使用量，降低能耗；采取机械通风的空间，风机均选择了高效节能型设备，有利于降低运行消耗。</w:t>
      </w:r>
    </w:p>
    <w:p>
      <w:pPr>
        <w:bidi w:val="0"/>
        <w:rPr>
          <w:rFonts w:hint="eastAsia"/>
          <w:b/>
          <w:bCs/>
          <w:color w:val="auto"/>
          <w:u w:val="single"/>
        </w:rPr>
      </w:pPr>
      <w:r>
        <w:rPr>
          <w:rFonts w:hint="eastAsia"/>
          <w:b/>
          <w:bCs/>
          <w:color w:val="auto"/>
          <w:u w:val="single"/>
        </w:rPr>
        <w:t>（2）优先采用自然通风，在自然通风不能满足要求时，开启排风风机，有利于节能。</w:t>
      </w:r>
    </w:p>
    <w:p>
      <w:pPr>
        <w:bidi w:val="0"/>
        <w:rPr>
          <w:rFonts w:hint="eastAsia"/>
          <w:b/>
          <w:bCs/>
          <w:color w:val="auto"/>
          <w:u w:val="single"/>
        </w:rPr>
      </w:pPr>
      <w:r>
        <w:rPr>
          <w:rFonts w:hint="eastAsia"/>
          <w:b/>
          <w:bCs/>
          <w:color w:val="auto"/>
          <w:u w:val="single"/>
        </w:rPr>
        <w:t>（3）对通风设备等运行工况实行监视、控制、测量，及时调整，保证在节能工况下运行。</w:t>
      </w:r>
    </w:p>
    <w:p>
      <w:pPr>
        <w:pStyle w:val="10"/>
        <w:bidi w:val="0"/>
        <w:rPr>
          <w:rFonts w:hint="eastAsia"/>
          <w:b/>
          <w:bCs/>
          <w:color w:val="auto"/>
          <w:u w:val="single"/>
          <w:lang w:val="en-US"/>
        </w:rPr>
      </w:pPr>
      <w:r>
        <w:rPr>
          <w:rFonts w:hint="eastAsia"/>
          <w:b/>
          <w:bCs/>
          <w:color w:val="auto"/>
          <w:u w:val="single"/>
          <w:lang w:val="en-US"/>
        </w:rPr>
        <w:t>3.</w:t>
      </w:r>
      <w:r>
        <w:rPr>
          <w:rFonts w:hint="eastAsia"/>
          <w:b/>
          <w:bCs/>
          <w:color w:val="auto"/>
          <w:u w:val="single"/>
          <w:lang w:val="en-US" w:eastAsia="zh-CN"/>
        </w:rPr>
        <w:t>9</w:t>
      </w:r>
      <w:r>
        <w:rPr>
          <w:rFonts w:hint="eastAsia"/>
          <w:b/>
          <w:bCs/>
          <w:color w:val="auto"/>
          <w:u w:val="single"/>
          <w:lang w:val="en-US"/>
        </w:rPr>
        <w:t>.4.</w:t>
      </w:r>
      <w:r>
        <w:rPr>
          <w:rFonts w:hint="eastAsia"/>
          <w:b/>
          <w:bCs/>
          <w:color w:val="auto"/>
          <w:u w:val="single"/>
          <w:lang w:val="en-US" w:eastAsia="zh-CN"/>
        </w:rPr>
        <w:t>4</w:t>
      </w:r>
      <w:r>
        <w:rPr>
          <w:rFonts w:hint="eastAsia"/>
          <w:b/>
          <w:bCs/>
          <w:color w:val="auto"/>
          <w:u w:val="single"/>
          <w:lang w:val="en-US"/>
        </w:rPr>
        <w:t xml:space="preserve"> 电气节能</w:t>
      </w:r>
    </w:p>
    <w:p>
      <w:pPr>
        <w:bidi w:val="0"/>
        <w:rPr>
          <w:rFonts w:hint="eastAsia"/>
          <w:b/>
          <w:bCs/>
          <w:color w:val="auto"/>
          <w:u w:val="single"/>
        </w:rPr>
      </w:pPr>
      <w:r>
        <w:rPr>
          <w:rFonts w:hint="eastAsia"/>
          <w:b/>
          <w:bCs/>
          <w:color w:val="auto"/>
          <w:u w:val="single"/>
        </w:rPr>
        <w:t>（1）合理选择供电方案</w:t>
      </w:r>
    </w:p>
    <w:p>
      <w:pPr>
        <w:bidi w:val="0"/>
        <w:rPr>
          <w:rFonts w:hint="eastAsia"/>
          <w:b/>
          <w:bCs/>
          <w:color w:val="auto"/>
          <w:u w:val="single"/>
        </w:rPr>
      </w:pPr>
      <w:r>
        <w:rPr>
          <w:rFonts w:hint="eastAsia"/>
          <w:b/>
          <w:bCs/>
          <w:color w:val="auto"/>
          <w:u w:val="single"/>
        </w:rPr>
        <w:t>将变压器（变配电所）设置在负荷中心，可以减少低压线路长度，降低线路损耗。项目根据负荷容量和分布，将变配电站紧邻用电负荷布置。配电系统采用放射式与树干式相结合的方式。即：容量较大的设备采用放射式供电方式。容量较小的一般负荷采用树干式供电方式。重要负荷采用双路供电并在末端设置互投。</w:t>
      </w:r>
    </w:p>
    <w:p>
      <w:pPr>
        <w:bidi w:val="0"/>
        <w:rPr>
          <w:rFonts w:hint="eastAsia"/>
          <w:b/>
          <w:bCs/>
          <w:color w:val="auto"/>
          <w:u w:val="single"/>
        </w:rPr>
      </w:pPr>
      <w:r>
        <w:rPr>
          <w:rFonts w:hint="eastAsia"/>
          <w:b/>
          <w:bCs/>
          <w:color w:val="auto"/>
          <w:u w:val="single"/>
        </w:rPr>
        <w:t>（2）选用SCB18系列节能型干式变压器</w:t>
      </w:r>
    </w:p>
    <w:p>
      <w:pPr>
        <w:bidi w:val="0"/>
        <w:rPr>
          <w:rFonts w:hint="eastAsia"/>
          <w:b/>
          <w:bCs/>
          <w:color w:val="auto"/>
          <w:u w:val="single"/>
        </w:rPr>
      </w:pPr>
      <w:r>
        <w:rPr>
          <w:rFonts w:hint="eastAsia"/>
          <w:b/>
          <w:bCs/>
          <w:color w:val="auto"/>
          <w:u w:val="single"/>
        </w:rPr>
        <w:t>本项目变压器采用的SCB环氧树脂真空浇注节能型干式电力变压器，具有结构合理，损耗低，体积小，重量轻，噪声低，温升低，过载能力强和局部放电小，运行可靠，免维护等特点，与同容量SCB15型系列相比空载损耗下降30%，空载电流下降70%，</w:t>
      </w:r>
      <w:r>
        <w:rPr>
          <w:rFonts w:hint="eastAsia"/>
          <w:b/>
          <w:bCs/>
          <w:color w:val="auto"/>
          <w:u w:val="single"/>
          <w:lang w:eastAsia="zh-CN"/>
        </w:rPr>
        <w:t>噪声</w:t>
      </w:r>
      <w:r>
        <w:rPr>
          <w:rFonts w:hint="eastAsia"/>
          <w:b/>
          <w:bCs/>
          <w:color w:val="auto"/>
          <w:u w:val="single"/>
        </w:rPr>
        <w:t>下降8dB(A</w:t>
      </w:r>
      <w:r>
        <w:rPr>
          <w:rFonts w:hint="eastAsia"/>
          <w:b/>
          <w:bCs/>
          <w:color w:val="auto"/>
          <w:u w:val="single"/>
          <w:lang w:eastAsia="zh-CN"/>
        </w:rPr>
        <w:t>)</w:t>
      </w:r>
      <w:r>
        <w:rPr>
          <w:rFonts w:hint="eastAsia"/>
          <w:b/>
          <w:bCs/>
          <w:color w:val="auto"/>
          <w:u w:val="single"/>
        </w:rPr>
        <w:t>左右，提高了电网运行的安全性和可靠性，是新一代节能环保型产品。</w:t>
      </w:r>
    </w:p>
    <w:p>
      <w:pPr>
        <w:bidi w:val="0"/>
        <w:rPr>
          <w:rFonts w:hint="eastAsia"/>
          <w:b/>
          <w:bCs/>
          <w:color w:val="auto"/>
          <w:u w:val="single"/>
        </w:rPr>
      </w:pPr>
      <w:r>
        <w:rPr>
          <w:rFonts w:hint="eastAsia"/>
          <w:b/>
          <w:bCs/>
          <w:color w:val="auto"/>
          <w:u w:val="single"/>
        </w:rPr>
        <w:t>（3）无功补偿及谐波治理</w:t>
      </w:r>
    </w:p>
    <w:p>
      <w:pPr>
        <w:bidi w:val="0"/>
        <w:rPr>
          <w:rFonts w:hint="eastAsia"/>
          <w:b/>
          <w:bCs/>
          <w:color w:val="auto"/>
          <w:u w:val="single"/>
        </w:rPr>
      </w:pPr>
      <w:r>
        <w:rPr>
          <w:rFonts w:hint="eastAsia"/>
          <w:b/>
          <w:bCs/>
          <w:color w:val="auto"/>
          <w:u w:val="single"/>
        </w:rPr>
        <w:t>为保证负荷正常运行和可靠供电，减少高次谐波对电网的污染，改善设备的运行条件，根据负荷的运行特性，要求谐波治理及无功补偿装置必须具有快速调节功能，采用TSF-SY型低压动态滤波及无功补偿方式，滤波及无功补偿装置投入电网后，变压器高压入口处平均功率因数达到0.95以上。在配电变压器重载或超负载处，由于功率因数的提高，可提高配电变压器的负载效率。在有较大波动性和冲击性负荷处，可减少电压波动和抑制电压闪变，提高电压稳定性，改善电压质量，降低配电网的线损，消除电网谐波。</w:t>
      </w:r>
    </w:p>
    <w:p>
      <w:pPr>
        <w:bidi w:val="0"/>
        <w:rPr>
          <w:rFonts w:hint="eastAsia"/>
          <w:b/>
          <w:bCs/>
          <w:color w:val="auto"/>
          <w:u w:val="single"/>
        </w:rPr>
      </w:pPr>
      <w:r>
        <w:rPr>
          <w:rFonts w:hint="eastAsia"/>
          <w:b/>
          <w:bCs/>
          <w:color w:val="auto"/>
          <w:u w:val="single"/>
        </w:rPr>
        <w:t>（4）电气传动及控制</w:t>
      </w:r>
    </w:p>
    <w:p>
      <w:pPr>
        <w:bidi w:val="0"/>
        <w:rPr>
          <w:rFonts w:hint="eastAsia"/>
          <w:b/>
          <w:bCs/>
          <w:color w:val="auto"/>
          <w:u w:val="single"/>
        </w:rPr>
      </w:pPr>
      <w:r>
        <w:rPr>
          <w:rFonts w:hint="eastAsia"/>
          <w:b/>
          <w:bCs/>
          <w:color w:val="auto"/>
          <w:u w:val="single"/>
        </w:rPr>
        <w:t>电动机选型时，优先选用符合国家标准的YE3（三级）系列或以上等级系列的高效率电动机，电动机在正常运转时，其负载率不低于40%；对经常处于轻载运行的电动机，采用变极或安装三角、星形切换等节能电装置。大功率设备根据设备容量和运行工况，分别采用软启动、降压启动和变频调速；小型设备电机采用就近动力配电箱单机控制。需要调速的设备，调速方式与负载特性相适应，流量或压力需要经常调节的风机、水泵类用电设备，采用电动机变频调速代替阀门调节。</w:t>
      </w:r>
    </w:p>
    <w:p>
      <w:pPr>
        <w:bidi w:val="0"/>
        <w:rPr>
          <w:rFonts w:hint="eastAsia"/>
          <w:b/>
          <w:bCs/>
          <w:color w:val="auto"/>
          <w:u w:val="single"/>
        </w:rPr>
      </w:pPr>
      <w:r>
        <w:rPr>
          <w:rFonts w:hint="eastAsia"/>
          <w:b/>
          <w:bCs/>
          <w:color w:val="auto"/>
          <w:u w:val="single"/>
        </w:rPr>
        <w:t>（5）电缆的选型与敷设</w:t>
      </w:r>
    </w:p>
    <w:p>
      <w:pPr>
        <w:bidi w:val="0"/>
        <w:rPr>
          <w:rFonts w:hint="eastAsia"/>
          <w:b/>
          <w:bCs/>
          <w:color w:val="auto"/>
          <w:u w:val="single"/>
        </w:rPr>
      </w:pPr>
      <w:r>
        <w:rPr>
          <w:rFonts w:hint="eastAsia"/>
          <w:b/>
          <w:bCs/>
          <w:color w:val="auto"/>
          <w:u w:val="single"/>
        </w:rPr>
        <w:t>电缆的选型与敷设应符合要求，使用电缆经济电流密度法选择电缆截面，同时应尽量减少电缆中间接头的数量；加强电缆运行中检查，防止电缆运行中过热，增加电力损耗；合理设计配电线路的导线截面。</w:t>
      </w:r>
    </w:p>
    <w:p>
      <w:pPr>
        <w:bidi w:val="0"/>
        <w:rPr>
          <w:rFonts w:hint="eastAsia"/>
          <w:b/>
          <w:bCs/>
          <w:color w:val="auto"/>
          <w:u w:val="single"/>
        </w:rPr>
      </w:pPr>
      <w:r>
        <w:rPr>
          <w:rFonts w:hint="eastAsia"/>
          <w:b/>
          <w:bCs/>
          <w:color w:val="auto"/>
          <w:u w:val="single"/>
        </w:rPr>
        <w:t>（6）选用高效光源</w:t>
      </w:r>
    </w:p>
    <w:p>
      <w:pPr>
        <w:bidi w:val="0"/>
        <w:rPr>
          <w:rFonts w:hint="eastAsia"/>
          <w:b/>
          <w:bCs/>
          <w:color w:val="auto"/>
          <w:u w:val="single"/>
        </w:rPr>
      </w:pPr>
      <w:r>
        <w:rPr>
          <w:rFonts w:hint="eastAsia"/>
          <w:b/>
          <w:bCs/>
          <w:color w:val="auto"/>
          <w:u w:val="single"/>
        </w:rPr>
        <w:t>选用反射罩具有较高反射比的高效率灯具，优先选用开启式直接照明灯具。厂房照明根据工作不同时段、工艺不同要求将照度分档控制。</w:t>
      </w:r>
    </w:p>
    <w:p>
      <w:pPr>
        <w:bidi w:val="0"/>
        <w:rPr>
          <w:rFonts w:hint="eastAsia"/>
          <w:b/>
          <w:bCs/>
          <w:color w:val="auto"/>
          <w:u w:val="single"/>
        </w:rPr>
      </w:pPr>
      <w:r>
        <w:rPr>
          <w:rFonts w:hint="eastAsia"/>
          <w:b/>
          <w:bCs/>
          <w:color w:val="auto"/>
          <w:u w:val="single"/>
        </w:rPr>
        <w:t>（7）灯光的自动控制</w:t>
      </w:r>
    </w:p>
    <w:p>
      <w:pPr>
        <w:bidi w:val="0"/>
        <w:rPr>
          <w:rFonts w:hint="eastAsia"/>
          <w:b/>
          <w:bCs/>
          <w:color w:val="auto"/>
          <w:u w:val="single"/>
        </w:rPr>
      </w:pPr>
      <w:r>
        <w:rPr>
          <w:rFonts w:hint="eastAsia"/>
          <w:b/>
          <w:bCs/>
          <w:color w:val="auto"/>
          <w:u w:val="single"/>
        </w:rPr>
        <w:t>照明电源线路，采用三相四线制供电，并使三相照明负荷平衡。集中控制的车间照明系统和厂区道路照明等，按不同区域分区设置，采用集中控制和分区控制相结合方式，增加控制的灵活性，有利于节约电能。</w:t>
      </w:r>
    </w:p>
    <w:p>
      <w:pPr>
        <w:bidi w:val="0"/>
        <w:rPr>
          <w:rFonts w:hint="eastAsia"/>
          <w:b/>
          <w:bCs/>
          <w:color w:val="auto"/>
          <w:u w:val="single"/>
        </w:rPr>
      </w:pPr>
      <w:r>
        <w:rPr>
          <w:rFonts w:hint="eastAsia"/>
          <w:b/>
          <w:bCs/>
          <w:color w:val="auto"/>
          <w:u w:val="single"/>
        </w:rPr>
        <w:t>办公楼、生产辅房楼梯间采用声光</w:t>
      </w:r>
      <w:r>
        <w:rPr>
          <w:rFonts w:hint="eastAsia"/>
          <w:b/>
          <w:bCs/>
          <w:color w:val="auto"/>
          <w:u w:val="single"/>
          <w:lang w:eastAsia="zh-CN"/>
        </w:rPr>
        <w:t>控自</w:t>
      </w:r>
      <w:r>
        <w:rPr>
          <w:rFonts w:hint="eastAsia"/>
          <w:b/>
          <w:bCs/>
          <w:color w:val="auto"/>
          <w:u w:val="single"/>
        </w:rPr>
        <w:t>熄灯具；厂区道路照明采用微机控制，灯具可人工点亮和受时间和光线强弱自动点亮，在满足需求的同时节约电能。</w:t>
      </w:r>
    </w:p>
    <w:p>
      <w:pPr>
        <w:numPr>
          <w:ilvl w:val="0"/>
          <w:numId w:val="4"/>
        </w:numPr>
        <w:bidi w:val="0"/>
        <w:ind w:left="0" w:leftChars="0" w:firstLine="482" w:firstLineChars="200"/>
        <w:rPr>
          <w:rFonts w:hint="eastAsia"/>
          <w:b/>
          <w:bCs/>
          <w:color w:val="auto"/>
          <w:u w:val="single"/>
        </w:rPr>
      </w:pPr>
      <w:r>
        <w:rPr>
          <w:rFonts w:hint="eastAsia"/>
          <w:b/>
          <w:bCs/>
          <w:color w:val="auto"/>
          <w:u w:val="single"/>
        </w:rPr>
        <w:t>本项目建成后选择节能型全自动电开水器设备，制定电开水器节能管理制度，加强管理。</w:t>
      </w:r>
    </w:p>
    <w:p>
      <w:pPr>
        <w:pStyle w:val="10"/>
        <w:bidi w:val="0"/>
        <w:rPr>
          <w:rFonts w:hint="eastAsia"/>
          <w:b/>
          <w:bCs/>
          <w:color w:val="auto"/>
          <w:u w:val="single"/>
          <w:lang w:val="en-US"/>
        </w:rPr>
      </w:pPr>
      <w:r>
        <w:rPr>
          <w:rFonts w:hint="eastAsia"/>
          <w:b/>
          <w:bCs/>
          <w:color w:val="auto"/>
          <w:u w:val="single"/>
          <w:lang w:val="en-US"/>
        </w:rPr>
        <w:t>3.</w:t>
      </w:r>
      <w:r>
        <w:rPr>
          <w:rFonts w:hint="eastAsia"/>
          <w:b/>
          <w:bCs/>
          <w:color w:val="auto"/>
          <w:u w:val="single"/>
          <w:lang w:val="en-US" w:eastAsia="zh-CN"/>
        </w:rPr>
        <w:t>9</w:t>
      </w:r>
      <w:r>
        <w:rPr>
          <w:rFonts w:hint="eastAsia"/>
          <w:b/>
          <w:bCs/>
          <w:color w:val="auto"/>
          <w:u w:val="single"/>
          <w:lang w:val="en-US"/>
        </w:rPr>
        <w:t>.4.</w:t>
      </w:r>
      <w:r>
        <w:rPr>
          <w:rFonts w:hint="eastAsia"/>
          <w:b/>
          <w:bCs/>
          <w:color w:val="auto"/>
          <w:u w:val="single"/>
          <w:lang w:val="en-US" w:eastAsia="zh-CN"/>
        </w:rPr>
        <w:t>5</w:t>
      </w:r>
      <w:r>
        <w:rPr>
          <w:rFonts w:hint="eastAsia"/>
          <w:b/>
          <w:bCs/>
          <w:color w:val="auto"/>
          <w:u w:val="single"/>
          <w:lang w:val="en-US"/>
        </w:rPr>
        <w:t xml:space="preserve"> 照明节能</w:t>
      </w:r>
    </w:p>
    <w:p>
      <w:pPr>
        <w:bidi w:val="0"/>
        <w:rPr>
          <w:rFonts w:hint="eastAsia"/>
          <w:b/>
          <w:bCs/>
          <w:color w:val="auto"/>
          <w:u w:val="single"/>
          <w:lang w:val="en-US"/>
        </w:rPr>
      </w:pPr>
      <w:r>
        <w:rPr>
          <w:rFonts w:hint="eastAsia"/>
          <w:b/>
          <w:bCs/>
          <w:color w:val="auto"/>
          <w:u w:val="single"/>
          <w:lang w:val="en-US"/>
        </w:rPr>
        <w:t>（1）选用具有较高反射比反射罩的高效率灯具，优先选用开启式直接照明灯具。照明灯具功率密度值满足国家《建筑照明设计标准》要求。本工程照明均采用LED灯具，功率因数≥0.90，减少输电无功功率损耗。主照明电源线路尽可能采用三相供电，以减少电压损失，并尽量保持三相照明负荷平衡。</w:t>
      </w:r>
    </w:p>
    <w:p>
      <w:pPr>
        <w:bidi w:val="0"/>
        <w:rPr>
          <w:rFonts w:hint="eastAsia"/>
          <w:b/>
          <w:bCs/>
          <w:color w:val="auto"/>
          <w:u w:val="single"/>
          <w:lang w:val="en-US"/>
        </w:rPr>
      </w:pPr>
      <w:r>
        <w:rPr>
          <w:rFonts w:hint="eastAsia"/>
          <w:b/>
          <w:bCs/>
          <w:color w:val="auto"/>
          <w:u w:val="single"/>
          <w:lang w:val="en-US"/>
        </w:rPr>
        <w:t>（2）走道、楼梯间、卫生间等无人长期逗留的场所，选用LED灯；疏散指示灯、出口标志灯、室内指向性装饰照明灯宜用LED灯。</w:t>
      </w:r>
    </w:p>
    <w:p>
      <w:pPr>
        <w:bidi w:val="0"/>
        <w:rPr>
          <w:rFonts w:hint="eastAsia"/>
          <w:b/>
          <w:bCs/>
          <w:color w:val="auto"/>
          <w:u w:val="single"/>
          <w:lang w:val="en-US"/>
        </w:rPr>
      </w:pPr>
      <w:r>
        <w:rPr>
          <w:rFonts w:hint="eastAsia"/>
          <w:b/>
          <w:bCs/>
          <w:color w:val="auto"/>
          <w:u w:val="single"/>
          <w:lang w:val="en-US"/>
        </w:rPr>
        <w:t>（3）公共区域、走道等处的照明采用分区、感应等节能控制。</w:t>
      </w:r>
    </w:p>
    <w:p>
      <w:pPr>
        <w:bidi w:val="0"/>
        <w:rPr>
          <w:rFonts w:hint="eastAsia"/>
          <w:b/>
          <w:bCs/>
          <w:color w:val="auto"/>
          <w:u w:val="single"/>
          <w:lang w:val="en-US"/>
        </w:rPr>
      </w:pPr>
      <w:r>
        <w:rPr>
          <w:rFonts w:hint="eastAsia"/>
          <w:b/>
          <w:bCs/>
          <w:color w:val="auto"/>
          <w:u w:val="single"/>
          <w:lang w:val="en-US"/>
        </w:rPr>
        <w:t>（4）各场所照度值、统一眩光值、照度均匀值、一般显色指数均满足规范要求。</w:t>
      </w:r>
    </w:p>
    <w:p>
      <w:pPr>
        <w:bidi w:val="0"/>
        <w:rPr>
          <w:rFonts w:hint="eastAsia"/>
          <w:b/>
          <w:bCs/>
          <w:color w:val="auto"/>
          <w:u w:val="single"/>
          <w:lang w:val="en-US"/>
        </w:rPr>
      </w:pPr>
      <w:r>
        <w:rPr>
          <w:rFonts w:hint="eastAsia"/>
          <w:b/>
          <w:bCs/>
          <w:color w:val="auto"/>
          <w:u w:val="single"/>
          <w:lang w:val="en-US"/>
        </w:rPr>
        <w:t>（5）人员长期停留的场所采用符合现行国家标准《灯和灯系统的光生物安全性》GB/T20145规定的无危险类照明产品。</w:t>
      </w:r>
    </w:p>
    <w:p>
      <w:pPr>
        <w:bidi w:val="0"/>
        <w:rPr>
          <w:rFonts w:hint="eastAsia"/>
          <w:b/>
          <w:bCs/>
          <w:color w:val="auto"/>
          <w:u w:val="single"/>
          <w:lang w:val="en-US"/>
        </w:rPr>
      </w:pPr>
      <w:r>
        <w:rPr>
          <w:rFonts w:hint="eastAsia"/>
          <w:b/>
          <w:bCs/>
          <w:color w:val="auto"/>
          <w:u w:val="single"/>
          <w:lang w:val="en-US"/>
        </w:rPr>
        <w:t>（6）本项目选用LED照明产品的光输出波形的波动深度满足现行国家标准《LED室内照明应用技术要求》GB/T31831的规定。</w:t>
      </w:r>
    </w:p>
    <w:p>
      <w:pPr>
        <w:pStyle w:val="10"/>
        <w:bidi w:val="0"/>
        <w:rPr>
          <w:rFonts w:hint="eastAsia"/>
          <w:b/>
          <w:bCs/>
          <w:color w:val="auto"/>
          <w:u w:val="single"/>
          <w:lang w:val="en-US"/>
        </w:rPr>
      </w:pPr>
      <w:r>
        <w:rPr>
          <w:rFonts w:hint="eastAsia"/>
          <w:b/>
          <w:bCs/>
          <w:color w:val="auto"/>
          <w:u w:val="single"/>
          <w:lang w:val="en-US"/>
        </w:rPr>
        <w:t>3.</w:t>
      </w:r>
      <w:r>
        <w:rPr>
          <w:rFonts w:hint="eastAsia"/>
          <w:b/>
          <w:bCs/>
          <w:color w:val="auto"/>
          <w:u w:val="single"/>
          <w:lang w:val="en-US" w:eastAsia="zh-CN"/>
        </w:rPr>
        <w:t>9</w:t>
      </w:r>
      <w:r>
        <w:rPr>
          <w:rFonts w:hint="eastAsia"/>
          <w:b/>
          <w:bCs/>
          <w:color w:val="auto"/>
          <w:u w:val="single"/>
          <w:lang w:val="en-US"/>
        </w:rPr>
        <w:t>.4.</w:t>
      </w:r>
      <w:r>
        <w:rPr>
          <w:rFonts w:hint="eastAsia"/>
          <w:b/>
          <w:bCs/>
          <w:color w:val="auto"/>
          <w:u w:val="single"/>
          <w:lang w:val="en-US" w:eastAsia="zh-CN"/>
        </w:rPr>
        <w:t>6</w:t>
      </w:r>
      <w:r>
        <w:rPr>
          <w:rFonts w:hint="eastAsia"/>
          <w:b/>
          <w:bCs/>
          <w:color w:val="auto"/>
          <w:u w:val="single"/>
          <w:lang w:val="en-US"/>
        </w:rPr>
        <w:t xml:space="preserve"> </w:t>
      </w:r>
      <w:r>
        <w:rPr>
          <w:rFonts w:hint="default" w:ascii="Times New Roman" w:hAnsi="Times New Roman" w:cs="Times New Roman"/>
          <w:b/>
          <w:bCs/>
          <w:color w:val="auto"/>
          <w:u w:val="single"/>
        </w:rPr>
        <w:t>节能管理</w:t>
      </w:r>
    </w:p>
    <w:p>
      <w:pPr>
        <w:bidi w:val="0"/>
        <w:rPr>
          <w:rFonts w:hint="eastAsia"/>
          <w:b/>
          <w:bCs/>
          <w:color w:val="auto"/>
          <w:u w:val="single"/>
        </w:rPr>
      </w:pPr>
      <w:r>
        <w:rPr>
          <w:rFonts w:hint="eastAsia"/>
          <w:b/>
          <w:bCs/>
          <w:color w:val="auto"/>
          <w:u w:val="single"/>
        </w:rPr>
        <w:t>（1）建立节能组织，完善节能制度，明确目标责任，落实考核方法。设立能源管理组织，负责制定及落实公司节能工作规划；建立一系列能源管理体系和考核制度，并将能耗指标分解到班组、个人，</w:t>
      </w:r>
      <w:r>
        <w:rPr>
          <w:rFonts w:hint="eastAsia"/>
          <w:b/>
          <w:bCs/>
          <w:color w:val="auto"/>
          <w:u w:val="single"/>
          <w:lang w:eastAsia="zh-CN"/>
        </w:rPr>
        <w:t>使</w:t>
      </w:r>
      <w:r>
        <w:rPr>
          <w:rFonts w:hint="eastAsia"/>
          <w:b/>
          <w:bCs/>
          <w:color w:val="auto"/>
          <w:u w:val="single"/>
        </w:rPr>
        <w:t>整个企业形成自上而下的能源管理网络。</w:t>
      </w:r>
    </w:p>
    <w:p>
      <w:pPr>
        <w:bidi w:val="0"/>
        <w:rPr>
          <w:rFonts w:hint="eastAsia"/>
          <w:b/>
          <w:bCs/>
          <w:color w:val="auto"/>
          <w:u w:val="single"/>
        </w:rPr>
      </w:pPr>
      <w:r>
        <w:rPr>
          <w:rFonts w:hint="eastAsia"/>
          <w:b/>
          <w:bCs/>
          <w:color w:val="auto"/>
          <w:u w:val="single"/>
        </w:rPr>
        <w:t>（2）推广先进的工艺技术，积极开展节能技术创新活动。鼓励单位或个人进行节能技改，并对成绩突出者进行奖励，增强公司技术创新能力，达到节能减排的目的。</w:t>
      </w:r>
    </w:p>
    <w:p>
      <w:pPr>
        <w:bidi w:val="0"/>
        <w:rPr>
          <w:rFonts w:hint="eastAsia"/>
          <w:b/>
          <w:bCs/>
          <w:color w:val="auto"/>
          <w:u w:val="single"/>
        </w:rPr>
      </w:pPr>
      <w:r>
        <w:rPr>
          <w:rFonts w:hint="eastAsia"/>
          <w:b/>
          <w:bCs/>
          <w:color w:val="auto"/>
          <w:u w:val="single"/>
        </w:rPr>
        <w:t>（3）根据能源与生产任务的实际情况，协调供能和用能环节，平衡各工序生产能力，确保生产系统节能、高效的负载率。</w:t>
      </w:r>
    </w:p>
    <w:p>
      <w:pPr>
        <w:bidi w:val="0"/>
        <w:rPr>
          <w:rFonts w:hint="eastAsia"/>
          <w:b/>
          <w:bCs/>
          <w:color w:val="auto"/>
          <w:u w:val="single"/>
        </w:rPr>
      </w:pPr>
      <w:r>
        <w:rPr>
          <w:rFonts w:hint="eastAsia"/>
          <w:b/>
          <w:bCs/>
          <w:color w:val="auto"/>
          <w:u w:val="single"/>
        </w:rPr>
        <w:t>（4）开展节能减排技术、装备、相关政策、法律法规的培训，并通过能源管理体系建立和运行以使企业能源管理得到持续改进。</w:t>
      </w:r>
    </w:p>
    <w:p>
      <w:pPr>
        <w:bidi w:val="0"/>
        <w:rPr>
          <w:rFonts w:hint="eastAsia"/>
          <w:b/>
          <w:bCs/>
          <w:color w:val="auto"/>
          <w:u w:val="single"/>
        </w:rPr>
      </w:pPr>
      <w:r>
        <w:rPr>
          <w:rFonts w:hint="eastAsia"/>
          <w:b/>
          <w:bCs/>
          <w:color w:val="auto"/>
          <w:u w:val="single"/>
        </w:rPr>
        <w:t>（5）能源计量管理</w:t>
      </w:r>
    </w:p>
    <w:p>
      <w:pPr>
        <w:bidi w:val="0"/>
        <w:rPr>
          <w:rFonts w:hint="eastAsia"/>
          <w:b/>
          <w:bCs/>
          <w:color w:val="auto"/>
          <w:u w:val="single"/>
        </w:rPr>
      </w:pPr>
      <w:r>
        <w:rPr>
          <w:rFonts w:hint="eastAsia"/>
          <w:b/>
          <w:bCs/>
          <w:color w:val="auto"/>
          <w:u w:val="single"/>
        </w:rPr>
        <w:t>①建立能源计量制度、能源计量器具管理制度</w:t>
      </w:r>
    </w:p>
    <w:p>
      <w:pPr>
        <w:bidi w:val="0"/>
        <w:rPr>
          <w:rFonts w:hint="eastAsia"/>
          <w:b/>
          <w:bCs/>
          <w:color w:val="auto"/>
          <w:u w:val="single"/>
        </w:rPr>
      </w:pPr>
      <w:r>
        <w:rPr>
          <w:rFonts w:hint="eastAsia"/>
          <w:b/>
          <w:bCs/>
          <w:color w:val="auto"/>
          <w:u w:val="single"/>
        </w:rPr>
        <w:t>②设置能源计量管理人员</w:t>
      </w:r>
    </w:p>
    <w:p>
      <w:pPr>
        <w:bidi w:val="0"/>
        <w:rPr>
          <w:rFonts w:hint="eastAsia"/>
          <w:b/>
          <w:bCs/>
          <w:color w:val="auto"/>
          <w:u w:val="single"/>
        </w:rPr>
      </w:pPr>
      <w:r>
        <w:rPr>
          <w:rFonts w:hint="eastAsia"/>
          <w:b/>
          <w:bCs/>
          <w:color w:val="auto"/>
          <w:u w:val="single"/>
        </w:rPr>
        <w:t>③建立能耗在线监控系统</w:t>
      </w:r>
    </w:p>
    <w:p>
      <w:pPr>
        <w:bidi w:val="0"/>
        <w:rPr>
          <w:rFonts w:hint="eastAsia"/>
          <w:b/>
          <w:bCs/>
          <w:color w:val="auto"/>
          <w:u w:val="single"/>
        </w:rPr>
      </w:pPr>
      <w:r>
        <w:rPr>
          <w:rFonts w:hint="eastAsia"/>
          <w:b/>
          <w:bCs/>
          <w:color w:val="auto"/>
          <w:u w:val="single"/>
        </w:rPr>
        <w:t>④能源计量器具的管理</w:t>
      </w:r>
    </w:p>
    <w:p>
      <w:pPr>
        <w:pStyle w:val="9"/>
        <w:bidi w:val="0"/>
        <w:rPr>
          <w:rStyle w:val="170"/>
          <w:rFonts w:eastAsia="楷体"/>
          <w:b/>
          <w:bCs/>
          <w:color w:val="auto"/>
          <w:u w:val="single"/>
        </w:rPr>
      </w:pPr>
      <w:r>
        <w:rPr>
          <w:rStyle w:val="170"/>
          <w:rFonts w:hint="eastAsia" w:eastAsia="楷体"/>
          <w:b/>
          <w:bCs/>
          <w:color w:val="auto"/>
          <w:u w:val="single"/>
        </w:rPr>
        <w:t>3</w:t>
      </w:r>
      <w:r>
        <w:rPr>
          <w:rStyle w:val="170"/>
          <w:rFonts w:eastAsia="楷体"/>
          <w:b/>
          <w:bCs/>
          <w:color w:val="auto"/>
          <w:u w:val="single"/>
        </w:rPr>
        <w:t>.</w:t>
      </w:r>
      <w:r>
        <w:rPr>
          <w:rStyle w:val="170"/>
          <w:rFonts w:hint="eastAsia" w:eastAsia="楷体"/>
          <w:b/>
          <w:bCs/>
          <w:color w:val="auto"/>
          <w:u w:val="single"/>
          <w:lang w:val="en-US"/>
        </w:rPr>
        <w:t>9</w:t>
      </w:r>
      <w:r>
        <w:rPr>
          <w:rStyle w:val="170"/>
          <w:rFonts w:eastAsia="楷体"/>
          <w:b/>
          <w:bCs/>
          <w:color w:val="auto"/>
          <w:u w:val="single"/>
        </w:rPr>
        <w:t>.</w:t>
      </w:r>
      <w:r>
        <w:rPr>
          <w:rStyle w:val="170"/>
          <w:rFonts w:hint="eastAsia" w:eastAsia="楷体"/>
          <w:b/>
          <w:bCs/>
          <w:color w:val="auto"/>
          <w:u w:val="single"/>
          <w:lang w:val="en-US"/>
        </w:rPr>
        <w:t>5</w:t>
      </w:r>
      <w:r>
        <w:rPr>
          <w:rStyle w:val="170"/>
          <w:rFonts w:hint="eastAsia" w:eastAsia="楷体"/>
          <w:b/>
          <w:bCs/>
          <w:color w:val="auto"/>
          <w:u w:val="single"/>
        </w:rPr>
        <w:t>清洁生产分析</w:t>
      </w:r>
      <w:bookmarkEnd w:id="204"/>
      <w:bookmarkEnd w:id="205"/>
      <w:r>
        <w:rPr>
          <w:rStyle w:val="170"/>
          <w:rFonts w:hint="eastAsia" w:eastAsia="楷体"/>
          <w:b/>
          <w:bCs/>
          <w:color w:val="auto"/>
          <w:u w:val="single"/>
        </w:rPr>
        <w:t>小结</w:t>
      </w:r>
    </w:p>
    <w:p>
      <w:pPr>
        <w:bidi w:val="0"/>
        <w:rPr>
          <w:b/>
          <w:bCs/>
          <w:color w:val="auto"/>
          <w:u w:val="single"/>
        </w:rPr>
      </w:pPr>
      <w:r>
        <w:rPr>
          <w:rFonts w:hint="eastAsia"/>
          <w:b/>
          <w:bCs/>
          <w:color w:val="auto"/>
          <w:u w:val="single"/>
        </w:rPr>
        <w:t>综合以上分析，项目在生产过程中拟实施的清洁生产方案见表3</w:t>
      </w:r>
      <w:r>
        <w:rPr>
          <w:rFonts w:hint="eastAsia"/>
          <w:b/>
          <w:bCs/>
          <w:color w:val="auto"/>
          <w:u w:val="single"/>
          <w:lang w:val="en-US" w:eastAsia="zh-CN"/>
        </w:rPr>
        <w:t>.8-2</w:t>
      </w:r>
      <w:r>
        <w:rPr>
          <w:rFonts w:hint="eastAsia"/>
          <w:b/>
          <w:bCs/>
          <w:color w:val="auto"/>
          <w:u w:val="single"/>
        </w:rPr>
        <w:t>。</w:t>
      </w:r>
    </w:p>
    <w:p>
      <w:pPr>
        <w:pStyle w:val="181"/>
        <w:bidi w:val="0"/>
        <w:rPr>
          <w:b/>
          <w:bCs/>
          <w:color w:val="auto"/>
          <w:u w:val="single"/>
        </w:rPr>
      </w:pPr>
      <w:r>
        <w:rPr>
          <w:rFonts w:hint="eastAsia"/>
          <w:b/>
          <w:bCs/>
          <w:color w:val="auto"/>
          <w:u w:val="single"/>
        </w:rPr>
        <w:t>表3</w:t>
      </w:r>
      <w:r>
        <w:rPr>
          <w:rFonts w:hint="eastAsia"/>
          <w:b/>
          <w:bCs/>
          <w:color w:val="auto"/>
          <w:u w:val="single"/>
          <w:lang w:val="en-US" w:eastAsia="zh-CN"/>
        </w:rPr>
        <w:t>.9-2</w:t>
      </w:r>
      <w:r>
        <w:rPr>
          <w:rFonts w:hint="eastAsia"/>
          <w:b/>
          <w:bCs/>
          <w:color w:val="auto"/>
          <w:u w:val="single"/>
        </w:rPr>
        <w:t xml:space="preserve">          </w:t>
      </w:r>
      <w:r>
        <w:rPr>
          <w:b/>
          <w:bCs/>
          <w:color w:val="auto"/>
          <w:u w:val="single"/>
        </w:rPr>
        <w:t xml:space="preserve">  </w:t>
      </w:r>
      <w:r>
        <w:rPr>
          <w:rFonts w:hint="eastAsia"/>
          <w:b/>
          <w:bCs/>
          <w:color w:val="auto"/>
          <w:u w:val="single"/>
        </w:rPr>
        <w:t>本项目清洁生产方案汇总</w:t>
      </w:r>
    </w:p>
    <w:tbl>
      <w:tblPr>
        <w:tblStyle w:val="32"/>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83"/>
        <w:gridCol w:w="1621"/>
        <w:gridCol w:w="601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518" w:type="pct"/>
            <w:tcBorders>
              <w:tl2br w:val="nil"/>
              <w:tr2bl w:val="nil"/>
            </w:tcBorders>
            <w:vAlign w:val="center"/>
          </w:tcPr>
          <w:p>
            <w:pPr>
              <w:pStyle w:val="182"/>
              <w:bidi w:val="0"/>
              <w:rPr>
                <w:b/>
                <w:bCs/>
                <w:color w:val="auto"/>
                <w:u w:val="single"/>
              </w:rPr>
            </w:pPr>
            <w:r>
              <w:rPr>
                <w:rFonts w:hint="eastAsia"/>
                <w:b/>
                <w:bCs/>
                <w:color w:val="auto"/>
                <w:u w:val="single"/>
              </w:rPr>
              <w:t>分类</w:t>
            </w: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方案名称</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方案简介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restart"/>
            <w:tcBorders>
              <w:tl2br w:val="nil"/>
              <w:tr2bl w:val="nil"/>
            </w:tcBorders>
            <w:vAlign w:val="center"/>
          </w:tcPr>
          <w:p>
            <w:pPr>
              <w:pStyle w:val="182"/>
              <w:bidi w:val="0"/>
              <w:rPr>
                <w:b/>
                <w:bCs/>
                <w:color w:val="auto"/>
                <w:u w:val="single"/>
              </w:rPr>
            </w:pPr>
            <w:r>
              <w:rPr>
                <w:rFonts w:hint="eastAsia"/>
                <w:b/>
                <w:bCs/>
                <w:color w:val="auto"/>
                <w:u w:val="single"/>
              </w:rPr>
              <w:t>生产工艺和装备</w:t>
            </w: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原料选用</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选用优质</w:t>
            </w:r>
            <w:r>
              <w:rPr>
                <w:rFonts w:hint="eastAsia"/>
                <w:b/>
                <w:bCs/>
                <w:color w:val="auto"/>
                <w:u w:val="single"/>
                <w:lang w:val="en-US" w:eastAsia="zh-CN"/>
              </w:rPr>
              <w:t>的</w:t>
            </w:r>
            <w:r>
              <w:rPr>
                <w:rFonts w:hint="eastAsia"/>
                <w:b/>
                <w:bCs/>
                <w:color w:val="auto"/>
                <w:u w:val="single"/>
              </w:rPr>
              <w:t>原料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优用先进工艺</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采用先进</w:t>
            </w:r>
            <w:r>
              <w:rPr>
                <w:rFonts w:hint="eastAsia"/>
                <w:b/>
                <w:bCs/>
                <w:color w:val="auto"/>
                <w:u w:val="single"/>
                <w:lang w:eastAsia="zh-CN"/>
              </w:rPr>
              <w:t>、</w:t>
            </w:r>
            <w:r>
              <w:rPr>
                <w:rFonts w:hint="eastAsia"/>
                <w:b/>
                <w:bCs/>
                <w:color w:val="auto"/>
                <w:u w:val="single"/>
                <w:lang w:val="en-US" w:eastAsia="zh-CN"/>
              </w:rPr>
              <w:t>成熟的</w:t>
            </w:r>
            <w:r>
              <w:rPr>
                <w:rFonts w:hint="eastAsia"/>
                <w:b/>
                <w:bCs/>
                <w:color w:val="auto"/>
                <w:u w:val="single"/>
              </w:rPr>
              <w:t>生产工艺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采用先进设备</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采用先进成熟的主机设备，自动化程度高、工艺参数稳定、产品档次高、投资省、能耗低、污染物排放少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优化工艺布置</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优化厂区平面布置，</w:t>
            </w:r>
            <w:r>
              <w:rPr>
                <w:rFonts w:hint="eastAsia"/>
                <w:b/>
                <w:bCs/>
                <w:color w:val="auto"/>
                <w:u w:val="single"/>
                <w:lang w:eastAsia="zh-CN"/>
              </w:rPr>
              <w:t>尽可能地采用</w:t>
            </w:r>
            <w:r>
              <w:rPr>
                <w:rFonts w:hint="eastAsia"/>
                <w:b/>
                <w:bCs/>
                <w:color w:val="auto"/>
                <w:u w:val="single"/>
              </w:rPr>
              <w:t>管道输送物料、落差输送物料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restart"/>
            <w:tcBorders>
              <w:tl2br w:val="nil"/>
              <w:tr2bl w:val="nil"/>
            </w:tcBorders>
            <w:vAlign w:val="center"/>
          </w:tcPr>
          <w:p>
            <w:pPr>
              <w:pStyle w:val="182"/>
              <w:bidi w:val="0"/>
              <w:rPr>
                <w:b/>
                <w:bCs/>
                <w:color w:val="auto"/>
                <w:u w:val="single"/>
              </w:rPr>
            </w:pPr>
            <w:r>
              <w:rPr>
                <w:rFonts w:hint="eastAsia"/>
                <w:b/>
                <w:bCs/>
                <w:color w:val="auto"/>
                <w:u w:val="single"/>
              </w:rPr>
              <w:t>过程控制</w:t>
            </w: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安装自动计量装置</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安装自动计量装置，严格控制物料的使用，减少废物的产生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设备检修维护</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定期对设备、管线的接头、阀门进行检修维护，严防跑冒滴漏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b/>
                <w:bCs/>
                <w:color w:val="auto"/>
                <w:u w:val="single"/>
              </w:rPr>
              <w:t>DCS</w:t>
            </w:r>
            <w:r>
              <w:rPr>
                <w:rFonts w:hint="eastAsia"/>
                <w:b/>
                <w:bCs/>
                <w:color w:val="auto"/>
                <w:u w:val="single"/>
              </w:rPr>
              <w:t>自动控制系统</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采用DCS（集散型计算机控制系统）控制方式，车间各控制参数均能在计算机上得到有效控制、显示、记录。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选用先进仪器仪表</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选用先进的仪器、仪表，保证生产过程的顺利进行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restart"/>
            <w:tcBorders>
              <w:tl2br w:val="nil"/>
              <w:tr2bl w:val="nil"/>
            </w:tcBorders>
            <w:vAlign w:val="center"/>
          </w:tcPr>
          <w:p>
            <w:pPr>
              <w:pStyle w:val="182"/>
              <w:bidi w:val="0"/>
              <w:rPr>
                <w:b/>
                <w:bCs/>
                <w:color w:val="auto"/>
                <w:u w:val="single"/>
              </w:rPr>
            </w:pPr>
            <w:r>
              <w:rPr>
                <w:rFonts w:hint="eastAsia"/>
                <w:b/>
                <w:bCs/>
                <w:color w:val="auto"/>
                <w:u w:val="single"/>
              </w:rPr>
              <w:t>废物治理及资源能源综合利用</w:t>
            </w:r>
          </w:p>
        </w:tc>
        <w:tc>
          <w:tcPr>
            <w:tcW w:w="951" w:type="pct"/>
            <w:vMerge w:val="restart"/>
            <w:tcBorders>
              <w:tl2br w:val="nil"/>
              <w:tr2bl w:val="nil"/>
            </w:tcBorders>
            <w:vAlign w:val="center"/>
          </w:tcPr>
          <w:p>
            <w:pPr>
              <w:pStyle w:val="182"/>
              <w:bidi w:val="0"/>
              <w:rPr>
                <w:b/>
                <w:bCs/>
                <w:color w:val="auto"/>
                <w:u w:val="single"/>
              </w:rPr>
            </w:pPr>
            <w:r>
              <w:rPr>
                <w:rFonts w:hint="eastAsia"/>
                <w:b/>
                <w:bCs/>
                <w:color w:val="auto"/>
                <w:u w:val="single"/>
              </w:rPr>
              <w:t>废水治理与循环利用</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废水经调节池调节后进入化纤厂新厂区</w:t>
            </w:r>
            <w:r>
              <w:rPr>
                <w:rFonts w:hint="eastAsia"/>
                <w:b/>
                <w:bCs/>
                <w:color w:val="auto"/>
                <w:u w:val="single"/>
                <w:lang w:val="en-US" w:eastAsia="zh-CN"/>
              </w:rPr>
              <w:t>3.8</w:t>
            </w:r>
            <w:r>
              <w:rPr>
                <w:rFonts w:hint="eastAsia"/>
                <w:b/>
                <w:bCs/>
                <w:color w:val="auto"/>
                <w:u w:val="single"/>
              </w:rPr>
              <w:t>万</w:t>
            </w:r>
            <w:r>
              <w:rPr>
                <w:b/>
                <w:bCs/>
                <w:color w:val="auto"/>
                <w:u w:val="single"/>
              </w:rPr>
              <w:t>t/d</w:t>
            </w:r>
            <w:r>
              <w:rPr>
                <w:rFonts w:hint="eastAsia"/>
                <w:b/>
                <w:bCs/>
                <w:color w:val="auto"/>
                <w:u w:val="single"/>
              </w:rPr>
              <w:t>污水处理单元进行处理，排入小店污水处理厂进一步处理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vMerge w:val="continue"/>
            <w:tcBorders>
              <w:tl2br w:val="nil"/>
              <w:tr2bl w:val="nil"/>
            </w:tcBorders>
            <w:vAlign w:val="center"/>
          </w:tcPr>
          <w:p>
            <w:pPr>
              <w:pStyle w:val="182"/>
              <w:bidi w:val="0"/>
              <w:rPr>
                <w:b/>
                <w:bCs/>
                <w:color w:val="auto"/>
                <w:u w:val="single"/>
              </w:rPr>
            </w:pPr>
          </w:p>
        </w:tc>
        <w:tc>
          <w:tcPr>
            <w:tcW w:w="3531" w:type="pct"/>
            <w:tcBorders>
              <w:tl2br w:val="nil"/>
              <w:tr2bl w:val="nil"/>
            </w:tcBorders>
            <w:vAlign w:val="center"/>
          </w:tcPr>
          <w:p>
            <w:pPr>
              <w:pStyle w:val="182"/>
              <w:bidi w:val="0"/>
              <w:rPr>
                <w:rFonts w:hint="default" w:eastAsia="宋体"/>
                <w:b/>
                <w:bCs/>
                <w:color w:val="auto"/>
                <w:u w:val="single"/>
                <w:lang w:val="en-US" w:eastAsia="zh-CN"/>
              </w:rPr>
            </w:pPr>
            <w:r>
              <w:rPr>
                <w:rFonts w:hint="eastAsia"/>
                <w:b/>
                <w:bCs/>
                <w:color w:val="auto"/>
                <w:u w:val="single"/>
              </w:rPr>
              <w:t>蒸汽凝结水</w:t>
            </w:r>
            <w:r>
              <w:rPr>
                <w:rFonts w:hint="eastAsia"/>
                <w:b/>
                <w:bCs/>
                <w:color w:val="auto"/>
                <w:u w:val="single"/>
                <w:lang w:val="en-US" w:eastAsia="zh-CN"/>
              </w:rPr>
              <w:t>回</w:t>
            </w:r>
            <w:r>
              <w:rPr>
                <w:rFonts w:hint="eastAsia"/>
                <w:b/>
                <w:bCs/>
                <w:color w:val="auto"/>
                <w:u w:val="single"/>
              </w:rPr>
              <w:t>用于</w:t>
            </w:r>
            <w:r>
              <w:rPr>
                <w:rFonts w:hint="eastAsia"/>
                <w:b/>
                <w:bCs/>
                <w:color w:val="auto"/>
                <w:u w:val="single"/>
                <w:lang w:val="en-US" w:eastAsia="zh-CN"/>
              </w:rPr>
              <w:t>生产工序、重复利用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废气治理与回收利用</w:t>
            </w:r>
          </w:p>
        </w:tc>
        <w:tc>
          <w:tcPr>
            <w:tcW w:w="3531" w:type="pct"/>
            <w:tcBorders>
              <w:tl2br w:val="nil"/>
              <w:tr2bl w:val="nil"/>
            </w:tcBorders>
            <w:vAlign w:val="center"/>
          </w:tcPr>
          <w:p>
            <w:pPr>
              <w:pStyle w:val="182"/>
              <w:bidi w:val="0"/>
              <w:rPr>
                <w:rFonts w:hint="eastAsia" w:eastAsia="宋体"/>
                <w:b/>
                <w:bCs/>
                <w:color w:val="auto"/>
                <w:u w:val="single"/>
                <w:lang w:eastAsia="zh-CN"/>
              </w:rPr>
            </w:pPr>
            <w:r>
              <w:rPr>
                <w:rFonts w:hint="eastAsia"/>
                <w:b/>
                <w:bCs/>
                <w:color w:val="auto"/>
                <w:u w:val="single"/>
              </w:rPr>
              <w:t>本项目不新建蒸汽锅炉，原料预处理及上料过程均采用湿法，不产生粉尘，</w:t>
            </w:r>
            <w:r>
              <w:rPr>
                <w:rFonts w:hint="eastAsia"/>
                <w:b/>
                <w:bCs/>
                <w:color w:val="auto"/>
                <w:u w:val="single"/>
                <w:lang w:val="en-US" w:eastAsia="zh-CN"/>
              </w:rPr>
              <w:t>项目采用</w:t>
            </w:r>
            <w:r>
              <w:rPr>
                <w:rFonts w:hint="eastAsia"/>
                <w:b/>
                <w:bCs/>
                <w:color w:val="auto"/>
                <w:u w:val="single"/>
              </w:rPr>
              <w:t>全封闭式原料库，设置雾化喷淋装置，地面硬化</w:t>
            </w:r>
            <w:r>
              <w:rPr>
                <w:rFonts w:hint="eastAsia"/>
                <w:b/>
                <w:bCs/>
                <w:color w:val="auto"/>
                <w:u w:val="single"/>
                <w:lang w:eastAsia="zh-CN"/>
              </w:rPr>
              <w:t>；</w:t>
            </w:r>
            <w:r>
              <w:rPr>
                <w:rFonts w:hint="eastAsia"/>
                <w:b/>
                <w:bCs/>
                <w:color w:val="auto"/>
                <w:u w:val="single"/>
                <w:lang w:val="en-US" w:eastAsia="zh-CN"/>
              </w:rPr>
              <w:t>硫酸雾</w:t>
            </w:r>
            <w:r>
              <w:rPr>
                <w:rFonts w:hint="eastAsia"/>
                <w:b/>
                <w:bCs/>
                <w:color w:val="auto"/>
                <w:u w:val="single"/>
                <w:lang w:eastAsia="zh-CN"/>
              </w:rPr>
              <w:t>依托酸站处理设施（NaCO</w:t>
            </w:r>
            <w:r>
              <w:rPr>
                <w:rFonts w:hint="eastAsia"/>
                <w:b/>
                <w:bCs/>
                <w:color w:val="auto"/>
                <w:u w:val="single"/>
                <w:vertAlign w:val="subscript"/>
                <w:lang w:eastAsia="zh-CN"/>
              </w:rPr>
              <w:t>3</w:t>
            </w:r>
            <w:r>
              <w:rPr>
                <w:rFonts w:hint="eastAsia"/>
                <w:b/>
                <w:bCs/>
                <w:color w:val="auto"/>
                <w:u w:val="single"/>
                <w:lang w:eastAsia="zh-CN"/>
              </w:rPr>
              <w:t>喷淋装置+活性炭吸附处理）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噪声治理</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选用低噪声设备、厂房隔音、距离衰减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固废治理与综合利用</w:t>
            </w:r>
          </w:p>
        </w:tc>
        <w:tc>
          <w:tcPr>
            <w:tcW w:w="3531" w:type="pct"/>
            <w:tcBorders>
              <w:tl2br w:val="nil"/>
              <w:tr2bl w:val="nil"/>
            </w:tcBorders>
            <w:vAlign w:val="center"/>
          </w:tcPr>
          <w:p>
            <w:pPr>
              <w:pStyle w:val="182"/>
              <w:bidi w:val="0"/>
              <w:rPr>
                <w:b/>
                <w:bCs/>
                <w:color w:val="auto"/>
                <w:u w:val="single"/>
              </w:rPr>
            </w:pPr>
            <w:r>
              <w:rPr>
                <w:rFonts w:hint="eastAsia"/>
                <w:b/>
                <w:bCs/>
                <w:color w:val="auto"/>
                <w:u w:val="single"/>
                <w:lang w:val="en-US" w:eastAsia="zh-CN"/>
              </w:rPr>
              <w:t>一般固废</w:t>
            </w:r>
            <w:r>
              <w:rPr>
                <w:rFonts w:hint="eastAsia"/>
                <w:b/>
                <w:bCs/>
                <w:color w:val="auto"/>
                <w:u w:val="single"/>
              </w:rPr>
              <w:t>依托现有一般固废暂存间（36m</w:t>
            </w:r>
            <w:r>
              <w:rPr>
                <w:rFonts w:hint="eastAsia"/>
                <w:b/>
                <w:bCs/>
                <w:color w:val="auto"/>
                <w:u w:val="single"/>
                <w:vertAlign w:val="superscript"/>
              </w:rPr>
              <w:t>2</w:t>
            </w:r>
            <w:r>
              <w:rPr>
                <w:rFonts w:hint="eastAsia"/>
                <w:b/>
                <w:bCs/>
                <w:color w:val="auto"/>
                <w:u w:val="single"/>
              </w:rPr>
              <w:t>）暂存后，送厂区锅炉燃烧</w:t>
            </w:r>
            <w:r>
              <w:rPr>
                <w:rFonts w:hint="eastAsia"/>
                <w:b/>
                <w:bCs/>
                <w:color w:val="auto"/>
                <w:u w:val="single"/>
                <w:lang w:eastAsia="zh-CN"/>
              </w:rPr>
              <w:t>；</w:t>
            </w:r>
            <w:r>
              <w:rPr>
                <w:rFonts w:hint="eastAsia"/>
                <w:b/>
                <w:bCs/>
                <w:color w:val="auto"/>
                <w:u w:val="single"/>
                <w:lang w:val="en-US" w:eastAsia="zh-CN"/>
              </w:rPr>
              <w:t>危险废物依托厂区</w:t>
            </w:r>
            <w:r>
              <w:rPr>
                <w:rFonts w:hint="eastAsia"/>
                <w:b/>
                <w:bCs/>
                <w:color w:val="auto"/>
                <w:u w:val="single"/>
              </w:rPr>
              <w:t>危废间暂存，定期交由有资质的单位进行处置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restart"/>
            <w:tcBorders>
              <w:tl2br w:val="nil"/>
              <w:tr2bl w:val="nil"/>
            </w:tcBorders>
            <w:vAlign w:val="center"/>
          </w:tcPr>
          <w:p>
            <w:pPr>
              <w:pStyle w:val="182"/>
              <w:bidi w:val="0"/>
              <w:rPr>
                <w:b/>
                <w:bCs/>
                <w:color w:val="auto"/>
                <w:u w:val="single"/>
              </w:rPr>
            </w:pPr>
            <w:r>
              <w:rPr>
                <w:rFonts w:hint="eastAsia"/>
                <w:b/>
                <w:bCs/>
                <w:color w:val="auto"/>
                <w:u w:val="single"/>
              </w:rPr>
              <w:t>环境管理</w:t>
            </w:r>
          </w:p>
        </w:tc>
        <w:tc>
          <w:tcPr>
            <w:tcW w:w="951" w:type="pct"/>
            <w:vMerge w:val="restart"/>
            <w:tcBorders>
              <w:tl2br w:val="nil"/>
              <w:tr2bl w:val="nil"/>
            </w:tcBorders>
            <w:vAlign w:val="center"/>
          </w:tcPr>
          <w:p>
            <w:pPr>
              <w:pStyle w:val="182"/>
              <w:bidi w:val="0"/>
              <w:rPr>
                <w:b/>
                <w:bCs/>
                <w:color w:val="auto"/>
                <w:u w:val="single"/>
              </w:rPr>
            </w:pPr>
            <w:r>
              <w:rPr>
                <w:rFonts w:hint="eastAsia"/>
                <w:b/>
                <w:bCs/>
                <w:color w:val="auto"/>
                <w:u w:val="single"/>
              </w:rPr>
              <w:t>环境管理体系</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制定有利于清洁生产的条例及规程，开展清洁生产审核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vMerge w:val="continue"/>
            <w:tcBorders>
              <w:tl2br w:val="nil"/>
              <w:tr2bl w:val="nil"/>
            </w:tcBorders>
            <w:vAlign w:val="center"/>
          </w:tcPr>
          <w:p>
            <w:pPr>
              <w:pStyle w:val="182"/>
              <w:bidi w:val="0"/>
              <w:rPr>
                <w:b/>
                <w:bCs/>
                <w:color w:val="auto"/>
                <w:u w:val="single"/>
              </w:rPr>
            </w:pP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制定安全生产管理体系，推行</w:t>
            </w:r>
            <w:r>
              <w:rPr>
                <w:b/>
                <w:bCs/>
                <w:color w:val="auto"/>
                <w:u w:val="single"/>
              </w:rPr>
              <w:t>ISO14001</w:t>
            </w:r>
            <w:r>
              <w:rPr>
                <w:rFonts w:hint="eastAsia"/>
                <w:b/>
                <w:bCs/>
                <w:color w:val="auto"/>
                <w:u w:val="single"/>
              </w:rPr>
              <w:t>环境管理体系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18" w:type="pct"/>
            <w:vMerge w:val="continue"/>
            <w:tcBorders>
              <w:tl2br w:val="nil"/>
              <w:tr2bl w:val="nil"/>
            </w:tcBorders>
            <w:vAlign w:val="center"/>
          </w:tcPr>
          <w:p>
            <w:pPr>
              <w:pStyle w:val="182"/>
              <w:bidi w:val="0"/>
              <w:rPr>
                <w:b/>
                <w:bCs/>
                <w:color w:val="auto"/>
                <w:u w:val="single"/>
              </w:rPr>
            </w:pPr>
          </w:p>
        </w:tc>
        <w:tc>
          <w:tcPr>
            <w:tcW w:w="951" w:type="pct"/>
            <w:tcBorders>
              <w:tl2br w:val="nil"/>
              <w:tr2bl w:val="nil"/>
            </w:tcBorders>
            <w:vAlign w:val="center"/>
          </w:tcPr>
          <w:p>
            <w:pPr>
              <w:pStyle w:val="182"/>
              <w:bidi w:val="0"/>
              <w:rPr>
                <w:b/>
                <w:bCs/>
                <w:color w:val="auto"/>
                <w:u w:val="single"/>
              </w:rPr>
            </w:pPr>
            <w:r>
              <w:rPr>
                <w:rFonts w:hint="eastAsia"/>
                <w:b/>
                <w:bCs/>
                <w:color w:val="auto"/>
                <w:u w:val="single"/>
              </w:rPr>
              <w:t>员工培训</w:t>
            </w:r>
          </w:p>
        </w:tc>
        <w:tc>
          <w:tcPr>
            <w:tcW w:w="3531" w:type="pct"/>
            <w:tcBorders>
              <w:tl2br w:val="nil"/>
              <w:tr2bl w:val="nil"/>
            </w:tcBorders>
            <w:vAlign w:val="center"/>
          </w:tcPr>
          <w:p>
            <w:pPr>
              <w:pStyle w:val="182"/>
              <w:bidi w:val="0"/>
              <w:rPr>
                <w:b/>
                <w:bCs/>
                <w:color w:val="auto"/>
                <w:u w:val="single"/>
              </w:rPr>
            </w:pPr>
            <w:r>
              <w:rPr>
                <w:rFonts w:hint="eastAsia"/>
                <w:b/>
                <w:bCs/>
                <w:color w:val="auto"/>
                <w:u w:val="single"/>
              </w:rPr>
              <w:t>在员工上岗前，进行严格的培训，培训合格后方可上岗，加强员工的清洁生产意识教育，制定相应的奖励措施提高员工参与清洁生产的积极性</w:t>
            </w:r>
          </w:p>
        </w:tc>
      </w:tr>
    </w:tbl>
    <w:p>
      <w:pPr>
        <w:pStyle w:val="9"/>
        <w:tabs>
          <w:tab w:val="left" w:pos="540"/>
        </w:tabs>
        <w:spacing w:before="240" w:after="0" w:line="360" w:lineRule="auto"/>
        <w:rPr>
          <w:rStyle w:val="170"/>
          <w:rFonts w:eastAsia="楷体"/>
          <w:b/>
          <w:bCs/>
          <w:color w:val="auto"/>
          <w:u w:val="single"/>
        </w:rPr>
      </w:pPr>
      <w:r>
        <w:rPr>
          <w:rStyle w:val="170"/>
          <w:rFonts w:hint="eastAsia" w:eastAsia="楷体"/>
          <w:b/>
          <w:bCs/>
          <w:color w:val="auto"/>
          <w:u w:val="single"/>
        </w:rPr>
        <w:t>3</w:t>
      </w:r>
      <w:r>
        <w:rPr>
          <w:rStyle w:val="170"/>
          <w:rFonts w:eastAsia="楷体"/>
          <w:b/>
          <w:bCs/>
          <w:color w:val="auto"/>
          <w:u w:val="single"/>
        </w:rPr>
        <w:t>.</w:t>
      </w:r>
      <w:r>
        <w:rPr>
          <w:rStyle w:val="170"/>
          <w:rFonts w:hint="eastAsia" w:eastAsia="楷体"/>
          <w:b/>
          <w:bCs/>
          <w:color w:val="auto"/>
          <w:u w:val="single"/>
          <w:lang w:val="en-US"/>
        </w:rPr>
        <w:t>9</w:t>
      </w:r>
      <w:r>
        <w:rPr>
          <w:rStyle w:val="170"/>
          <w:rFonts w:eastAsia="楷体"/>
          <w:b/>
          <w:bCs/>
          <w:color w:val="auto"/>
          <w:u w:val="single"/>
        </w:rPr>
        <w:t>.</w:t>
      </w:r>
      <w:r>
        <w:rPr>
          <w:rStyle w:val="170"/>
          <w:rFonts w:hint="eastAsia" w:eastAsia="楷体"/>
          <w:b/>
          <w:bCs/>
          <w:color w:val="auto"/>
          <w:u w:val="single"/>
          <w:lang w:val="en-US"/>
        </w:rPr>
        <w:t>6</w:t>
      </w:r>
      <w:r>
        <w:rPr>
          <w:rStyle w:val="170"/>
          <w:rFonts w:hint="eastAsia" w:eastAsia="楷体"/>
          <w:b/>
          <w:bCs/>
          <w:color w:val="auto"/>
          <w:u w:val="single"/>
        </w:rPr>
        <w:t>本项目清洁生产水平</w:t>
      </w:r>
    </w:p>
    <w:p>
      <w:pPr>
        <w:snapToGrid w:val="0"/>
        <w:spacing w:line="520" w:lineRule="exact"/>
        <w:ind w:firstLine="482" w:firstLineChars="200"/>
        <w:rPr>
          <w:rFonts w:hint="eastAsia"/>
          <w:b/>
          <w:bCs/>
          <w:color w:val="auto"/>
          <w:sz w:val="24"/>
          <w:u w:val="single"/>
        </w:rPr>
      </w:pPr>
      <w:r>
        <w:rPr>
          <w:rFonts w:hint="eastAsia"/>
          <w:b/>
          <w:bCs/>
          <w:color w:val="auto"/>
          <w:sz w:val="24"/>
          <w:u w:val="single"/>
        </w:rPr>
        <w:t>本项目产品为</w:t>
      </w:r>
      <w:r>
        <w:rPr>
          <w:rFonts w:hint="eastAsia"/>
          <w:b/>
          <w:bCs/>
          <w:color w:val="auto"/>
          <w:sz w:val="24"/>
          <w:u w:val="single"/>
          <w:lang w:val="en-US" w:eastAsia="zh-CN"/>
        </w:rPr>
        <w:t>菌草生物质纤维</w:t>
      </w:r>
      <w:r>
        <w:rPr>
          <w:rFonts w:hint="eastAsia"/>
          <w:b/>
          <w:bCs/>
          <w:color w:val="auto"/>
          <w:sz w:val="24"/>
          <w:u w:val="single"/>
        </w:rPr>
        <w:t>，属于生物基化学纤维制造</w:t>
      </w:r>
      <w:r>
        <w:rPr>
          <w:rFonts w:hint="eastAsia"/>
          <w:b/>
          <w:bCs/>
          <w:color w:val="auto"/>
          <w:sz w:val="24"/>
          <w:u w:val="single"/>
          <w:lang w:eastAsia="zh-CN"/>
        </w:rPr>
        <w:t>。</w:t>
      </w:r>
      <w:r>
        <w:rPr>
          <w:rFonts w:hint="eastAsia"/>
          <w:b/>
          <w:bCs/>
          <w:color w:val="auto"/>
          <w:sz w:val="24"/>
          <w:u w:val="single"/>
          <w:lang w:val="en-US" w:eastAsia="zh-CN"/>
        </w:rPr>
        <w:t>本项目为菌草生物质纤维工程化的中试项目，技术生产工艺流程尚不成熟，</w:t>
      </w:r>
      <w:r>
        <w:rPr>
          <w:rFonts w:hint="eastAsia"/>
          <w:b/>
          <w:bCs/>
          <w:color w:val="auto"/>
          <w:sz w:val="24"/>
          <w:u w:val="single"/>
        </w:rPr>
        <w:t>尚无清洁生产技术要求的相关评价指标。</w:t>
      </w:r>
      <w:r>
        <w:rPr>
          <w:rFonts w:hint="eastAsia"/>
          <w:b/>
          <w:bCs/>
          <w:color w:val="auto"/>
          <w:sz w:val="24"/>
          <w:u w:val="single"/>
          <w:lang w:val="en-US" w:eastAsia="zh-CN"/>
        </w:rPr>
        <w:t>本项目的目的：</w:t>
      </w:r>
      <w:r>
        <w:rPr>
          <w:rFonts w:hint="eastAsia"/>
          <w:b/>
          <w:bCs/>
          <w:color w:val="auto"/>
          <w:sz w:val="24"/>
          <w:u w:val="single"/>
        </w:rPr>
        <w:t>①在中等规模化生产中，进一步优化生产环节和工艺参数，实现从草到纤维素纤维的连续化生产，验证工艺生产稳定性；②为大规模化生产做准备，包括设备、电仪、公用工程等；③进一步确定从草到纤维素的原辅材料的消耗量；④生产菌草木质素</w:t>
      </w:r>
      <w:r>
        <w:rPr>
          <w:rFonts w:hint="eastAsia"/>
          <w:b/>
          <w:bCs/>
          <w:color w:val="auto"/>
          <w:u w:val="single"/>
          <w:lang w:val="en-US" w:eastAsia="zh-CN"/>
        </w:rPr>
        <w:t>混合物</w:t>
      </w:r>
      <w:r>
        <w:rPr>
          <w:rFonts w:hint="eastAsia"/>
          <w:b/>
          <w:bCs/>
          <w:color w:val="auto"/>
          <w:sz w:val="24"/>
          <w:u w:val="single"/>
        </w:rPr>
        <w:t>，用于开发氨纶生产用原材料DMI（中文名二苯基甲烷-4,4'-二异氰酸酯）产品，为生产生物质氨纶纤维打基础。</w:t>
      </w:r>
    </w:p>
    <w:p>
      <w:pPr>
        <w:adjustRightInd w:val="0"/>
        <w:snapToGrid w:val="0"/>
        <w:spacing w:after="80" w:line="520" w:lineRule="exact"/>
        <w:ind w:firstLine="482" w:firstLineChars="200"/>
        <w:textAlignment w:val="baseline"/>
        <w:rPr>
          <w:b/>
          <w:bCs/>
          <w:color w:val="auto"/>
          <w:kern w:val="0"/>
          <w:sz w:val="24"/>
          <w:szCs w:val="20"/>
          <w:u w:val="single"/>
        </w:rPr>
      </w:pPr>
      <w:r>
        <w:rPr>
          <w:b/>
          <w:bCs/>
          <w:color w:val="auto"/>
          <w:kern w:val="0"/>
          <w:sz w:val="24"/>
          <w:szCs w:val="20"/>
          <w:u w:val="single"/>
        </w:rPr>
        <w:t>通过以上清洁生产分析，</w:t>
      </w:r>
      <w:bookmarkEnd w:id="206"/>
      <w:bookmarkEnd w:id="207"/>
      <w:r>
        <w:rPr>
          <w:b/>
          <w:bCs/>
          <w:color w:val="auto"/>
          <w:kern w:val="0"/>
          <w:sz w:val="24"/>
          <w:szCs w:val="20"/>
          <w:u w:val="single"/>
        </w:rPr>
        <w:t>本项目符合国家产业政策，生产工艺装备先进，</w:t>
      </w:r>
      <w:r>
        <w:rPr>
          <w:rFonts w:hint="eastAsia"/>
          <w:b/>
          <w:bCs/>
          <w:color w:val="auto"/>
          <w:kern w:val="0"/>
          <w:sz w:val="24"/>
          <w:szCs w:val="20"/>
          <w:u w:val="single"/>
          <w:lang w:val="en-US" w:eastAsia="zh-CN"/>
        </w:rPr>
        <w:t>根据项目节能评估，项目</w:t>
      </w:r>
      <w:r>
        <w:rPr>
          <w:b/>
          <w:bCs/>
          <w:color w:val="auto"/>
          <w:kern w:val="0"/>
          <w:sz w:val="24"/>
          <w:szCs w:val="20"/>
          <w:u w:val="single"/>
        </w:rPr>
        <w:t>物耗和能耗低，在采取全过程治理及综合利用并加强生产管理后，符合清洁生产的要求，达到</w:t>
      </w:r>
      <w:r>
        <w:rPr>
          <w:rFonts w:hint="eastAsia"/>
          <w:b/>
          <w:bCs/>
          <w:color w:val="auto"/>
          <w:kern w:val="0"/>
          <w:sz w:val="24"/>
          <w:szCs w:val="20"/>
          <w:u w:val="single"/>
        </w:rPr>
        <w:t>国内同类行业清洁生产领先水平</w:t>
      </w:r>
      <w:r>
        <w:rPr>
          <w:b/>
          <w:bCs/>
          <w:color w:val="auto"/>
          <w:kern w:val="0"/>
          <w:sz w:val="24"/>
          <w:szCs w:val="20"/>
          <w:u w:val="single"/>
        </w:rPr>
        <w:t>。</w:t>
      </w:r>
    </w:p>
    <w:bookmarkEnd w:id="179"/>
    <w:p>
      <w:pPr>
        <w:pStyle w:val="92"/>
        <w:spacing w:before="120" w:after="120"/>
        <w:ind w:firstLine="482"/>
        <w:rPr>
          <w:color w:val="auto"/>
        </w:rPr>
      </w:pPr>
    </w:p>
    <w:p>
      <w:pPr>
        <w:ind w:firstLine="480"/>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6"/>
        <w:bidi w:val="0"/>
        <w:rPr>
          <w:color w:val="auto"/>
        </w:rPr>
      </w:pPr>
      <w:bookmarkStart w:id="217" w:name="_Toc7351"/>
      <w:bookmarkStart w:id="218" w:name="_Toc22125"/>
      <w:bookmarkStart w:id="219" w:name="_Toc3877"/>
      <w:bookmarkStart w:id="220" w:name="_Toc11690"/>
      <w:bookmarkStart w:id="221" w:name="_Toc28250"/>
      <w:bookmarkStart w:id="222" w:name="_Toc2251"/>
      <w:bookmarkStart w:id="223" w:name="_Toc14106"/>
      <w:bookmarkStart w:id="224" w:name="_Toc11030"/>
      <w:r>
        <w:rPr>
          <w:color w:val="auto"/>
        </w:rPr>
        <w:t>第</w:t>
      </w:r>
      <w:r>
        <w:rPr>
          <w:rFonts w:hint="eastAsia"/>
          <w:color w:val="auto"/>
        </w:rPr>
        <w:t>四</w:t>
      </w:r>
      <w:r>
        <w:rPr>
          <w:color w:val="auto"/>
        </w:rPr>
        <w:t>章  环境现状调查与评价</w:t>
      </w:r>
      <w:bookmarkEnd w:id="217"/>
      <w:bookmarkEnd w:id="218"/>
      <w:bookmarkEnd w:id="219"/>
      <w:bookmarkEnd w:id="220"/>
      <w:bookmarkEnd w:id="221"/>
      <w:bookmarkEnd w:id="222"/>
      <w:bookmarkEnd w:id="223"/>
      <w:bookmarkEnd w:id="224"/>
    </w:p>
    <w:p>
      <w:pPr>
        <w:pStyle w:val="7"/>
        <w:bidi w:val="0"/>
        <w:rPr>
          <w:color w:val="auto"/>
        </w:rPr>
      </w:pPr>
      <w:bookmarkStart w:id="225" w:name="_Toc13693"/>
      <w:bookmarkStart w:id="226" w:name="_Toc497461375"/>
      <w:bookmarkStart w:id="227" w:name="_Toc17000"/>
      <w:bookmarkStart w:id="228" w:name="_Toc121"/>
      <w:bookmarkStart w:id="229" w:name="_Toc678"/>
      <w:bookmarkStart w:id="230" w:name="_Toc3205"/>
      <w:bookmarkStart w:id="231" w:name="_Toc26714"/>
      <w:bookmarkStart w:id="232" w:name="_Toc1743"/>
      <w:bookmarkStart w:id="233" w:name="_Toc10103"/>
      <w:bookmarkStart w:id="234" w:name="_Toc25734"/>
      <w:bookmarkStart w:id="235" w:name="_Toc7747"/>
      <w:bookmarkStart w:id="236" w:name="_Toc21868"/>
      <w:bookmarkStart w:id="237" w:name="_Toc383"/>
      <w:bookmarkStart w:id="238" w:name="_Toc20212"/>
      <w:bookmarkStart w:id="239" w:name="_Toc5731"/>
      <w:bookmarkStart w:id="240" w:name="_Toc20457"/>
      <w:r>
        <w:rPr>
          <w:rFonts w:hint="eastAsia"/>
          <w:color w:val="auto"/>
        </w:rPr>
        <w:t>4</w:t>
      </w:r>
      <w:r>
        <w:rPr>
          <w:color w:val="auto"/>
        </w:rPr>
        <w:t>.1</w:t>
      </w:r>
      <w:r>
        <w:rPr>
          <w:rFonts w:hint="eastAsia"/>
          <w:color w:val="auto"/>
        </w:rPr>
        <w:t>自然</w:t>
      </w:r>
      <w:r>
        <w:rPr>
          <w:color w:val="auto"/>
        </w:rPr>
        <w:t>环境概况</w:t>
      </w:r>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p>
    <w:p>
      <w:pPr>
        <w:pStyle w:val="9"/>
        <w:bidi w:val="0"/>
        <w:rPr>
          <w:color w:val="auto"/>
        </w:rPr>
      </w:pPr>
      <w:r>
        <w:rPr>
          <w:rFonts w:hint="eastAsia"/>
          <w:color w:val="auto"/>
        </w:rPr>
        <w:t>4.1.1地理位置</w:t>
      </w:r>
    </w:p>
    <w:p>
      <w:pPr>
        <w:bidi w:val="0"/>
        <w:rPr>
          <w:color w:val="auto"/>
        </w:rPr>
      </w:pPr>
      <w:r>
        <w:rPr>
          <w:rFonts w:hint="eastAsia"/>
          <w:color w:val="auto"/>
        </w:rPr>
        <w:t>新乡市地处河南省北部、南临黄河，与郑州市、开封市隔河相望；北依太行，与鹤壁市、安阳市毗邻；西连焦作市，与晋东南接壤；东接油城濮阳市与鲁西相连，总面积8249平方公里。新乡市属于华北板块，地处黄河、海河两大流域，地势北高南低，北部主要是太行山山地和丘陵岗地，南部为黄河冲积扇平原，平原占全市土地总面积的78%，属暖温带大陆性气候。新乡市辖6县、4区，代管2个县级市。</w:t>
      </w:r>
    </w:p>
    <w:p>
      <w:pPr>
        <w:bidi w:val="0"/>
        <w:rPr>
          <w:color w:val="auto"/>
        </w:rPr>
      </w:pPr>
      <w:r>
        <w:rPr>
          <w:rFonts w:hint="eastAsia"/>
          <w:color w:val="auto"/>
        </w:rPr>
        <w:t>新乡经济技术开发区位于新乡市东部、红旗区小店镇境内，北纬35°06′，东经114°01′，北</w:t>
      </w:r>
      <w:r>
        <w:rPr>
          <w:rFonts w:hint="eastAsia"/>
          <w:color w:val="auto"/>
          <w:lang w:eastAsia="zh-CN"/>
        </w:rPr>
        <w:t>邻</w:t>
      </w:r>
      <w:r>
        <w:rPr>
          <w:rFonts w:hint="eastAsia"/>
          <w:color w:val="auto"/>
        </w:rPr>
        <w:t>延津县东屯镇，东、南为延津县榆林镇，西与新乡市新东区为邻。开发区南距省会郑州市70公里，距新郑国际机场45分钟车程；西距新乡市行政文化中心8公里，距107国道、京港澳高速公路5公里，距建设中的高铁站4公里。新乡经济技术开发区西临107国道、京港澳高速公路和石武客运高速铁路，北依济东高速公路，南与新荷铁路相连，新长北线（省道S308线）横贯东西，S307、S226环绕产业经开区。经开区通过平原路、新长大道两</w:t>
      </w:r>
      <w:r>
        <w:rPr>
          <w:rFonts w:hint="eastAsia"/>
          <w:color w:val="auto"/>
          <w:lang w:eastAsia="zh-CN"/>
        </w:rPr>
        <w:t>条</w:t>
      </w:r>
      <w:r>
        <w:rPr>
          <w:rFonts w:hint="eastAsia"/>
          <w:color w:val="auto"/>
        </w:rPr>
        <w:t>城市主干道和新乡市区紧密联系。</w:t>
      </w:r>
    </w:p>
    <w:p>
      <w:pPr>
        <w:bidi w:val="0"/>
        <w:rPr>
          <w:color w:val="auto"/>
        </w:rPr>
      </w:pPr>
      <w:r>
        <w:rPr>
          <w:rFonts w:hint="eastAsia"/>
          <w:color w:val="auto"/>
        </w:rPr>
        <w:t>项目选址位于新乡化纤股份有限公司新厂区现有场地，新乡化纤股份有限公司厂区四周环境为：东隔路为中纺院绿色纤维股份公司和新乡双鹭生物技术有限公司；南临空地和铁路，铁路南侧为中铁物流园；西邻新乡润洋化纤有限公司和华源电力设备有限公司；北邻新长北线（S308）。距离项目最近的敏感点为西南</w:t>
      </w:r>
      <w:r>
        <w:rPr>
          <w:rFonts w:hint="eastAsia"/>
          <w:color w:val="auto"/>
          <w:lang w:val="en-US" w:eastAsia="zh-CN"/>
        </w:rPr>
        <w:t>600</w:t>
      </w:r>
      <w:r>
        <w:rPr>
          <w:rFonts w:hint="eastAsia"/>
          <w:color w:val="auto"/>
        </w:rPr>
        <w:t>m处的夏庄村，项目周围环境图见图4.1-1。</w:t>
      </w:r>
    </w:p>
    <w:p>
      <w:pPr>
        <w:rPr>
          <w:color w:val="auto"/>
        </w:rPr>
      </w:pPr>
    </w:p>
    <w:p>
      <w:pPr>
        <w:pStyle w:val="102"/>
        <w:ind w:left="0" w:leftChars="0" w:firstLine="0" w:firstLineChars="0"/>
        <w:jc w:val="both"/>
        <w:rPr>
          <w:color w:val="auto"/>
        </w:rPr>
        <w:sectPr>
          <w:headerReference r:id="rId19" w:type="first"/>
          <w:footerReference r:id="rId21" w:type="first"/>
          <w:headerReference r:id="rId18" w:type="even"/>
          <w:footerReference r:id="rId20" w:type="even"/>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102"/>
        <w:ind w:left="0" w:leftChars="0" w:firstLine="0" w:firstLineChars="0"/>
        <w:jc w:val="center"/>
        <w:rPr>
          <w:color w:val="auto"/>
        </w:rPr>
      </w:pPr>
      <w:r>
        <w:rPr>
          <w:color w:val="auto"/>
        </w:rPr>
        <w:drawing>
          <wp:inline distT="0" distB="0" distL="114300" distR="114300">
            <wp:extent cx="8618855" cy="5073650"/>
            <wp:effectExtent l="0" t="0" r="6985" b="1270"/>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49"/>
                    <a:stretch>
                      <a:fillRect/>
                    </a:stretch>
                  </pic:blipFill>
                  <pic:spPr>
                    <a:xfrm>
                      <a:off x="0" y="0"/>
                      <a:ext cx="8618855" cy="5073650"/>
                    </a:xfrm>
                    <a:prstGeom prst="rect">
                      <a:avLst/>
                    </a:prstGeom>
                    <a:noFill/>
                    <a:ln>
                      <a:noFill/>
                    </a:ln>
                  </pic:spPr>
                </pic:pic>
              </a:graphicData>
            </a:graphic>
          </wp:inline>
        </w:drawing>
      </w:r>
    </w:p>
    <w:p>
      <w:pPr>
        <w:pStyle w:val="181"/>
        <w:bidi w:val="0"/>
        <w:ind w:left="0" w:leftChars="0" w:firstLine="0" w:firstLineChars="0"/>
        <w:jc w:val="center"/>
        <w:rPr>
          <w:color w:val="auto"/>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r>
        <w:rPr>
          <w:color w:val="auto"/>
        </w:rPr>
        <w:t>图4.1-1项目周围环境示意图</w:t>
      </w:r>
    </w:p>
    <w:p>
      <w:pPr>
        <w:pStyle w:val="9"/>
        <w:bidi w:val="0"/>
        <w:rPr>
          <w:color w:val="auto"/>
        </w:rPr>
      </w:pPr>
      <w:bookmarkStart w:id="241" w:name="_Toc249411650"/>
      <w:bookmarkStart w:id="242" w:name="_Toc245634107"/>
      <w:bookmarkStart w:id="243" w:name="_Toc245630714"/>
      <w:bookmarkStart w:id="244" w:name="_Toc428286789"/>
      <w:bookmarkStart w:id="245" w:name="_Toc251338304"/>
      <w:bookmarkStart w:id="246" w:name="_Toc242350681"/>
      <w:bookmarkStart w:id="247" w:name="_Toc428287535"/>
      <w:bookmarkStart w:id="248" w:name="_Toc428287183"/>
      <w:r>
        <w:rPr>
          <w:rFonts w:hint="eastAsia"/>
          <w:color w:val="auto"/>
        </w:rPr>
        <w:t>4.1.2地形地貌</w:t>
      </w:r>
    </w:p>
    <w:p>
      <w:pPr>
        <w:bidi w:val="0"/>
        <w:rPr>
          <w:color w:val="auto"/>
        </w:rPr>
      </w:pPr>
      <w:r>
        <w:rPr>
          <w:rFonts w:hint="eastAsia"/>
          <w:color w:val="auto"/>
        </w:rPr>
        <w:t>新乡市属于华北板块，地处黄河、海河两大流域，地势北高南低，北部主要是太行山山地和丘陵岗地，南部为黄河冲积扇平原，平原占全市土地总面积的78%。新乡市除西北隅太行山区至山前倾斜平原一带地势从晋豫边界向东南呈台阶式下降外，广大黄河冲积扇平原地势西南高而东北低，总体自辖区西南隅向东北倾斜，有中山、低山、丘陵、山间盆地和平原等多种地貌类型，土壤的分布与之密切相关。各类地貌的展布格局和延伸方向，除南部临黄河一带受秦岭系东西向活动构造的控制外，其余地区大多受新华夏系北北东—北东向构造格局的控制。以北北东—北东向太行山前活动断裂为界，新生代以来，除西北隅地壳持续抬升隆起成山之外，其余地区持续下降成为黄河冲积扇平原。</w:t>
      </w:r>
    </w:p>
    <w:p>
      <w:pPr>
        <w:bidi w:val="0"/>
        <w:rPr>
          <w:color w:val="auto"/>
        </w:rPr>
      </w:pPr>
      <w:r>
        <w:rPr>
          <w:rFonts w:hint="eastAsia"/>
          <w:color w:val="auto"/>
        </w:rPr>
        <w:t>拟建工程所在的新乡经济技术开发区地处黄河故道的中心部位，属黄河冲积平原地貌类型，地形较平坦，总趋势西南高东北低，地面平均坡度1/3000左右。地面海拔高程，中部及南部一般为72m左右，</w:t>
      </w:r>
      <w:r>
        <w:rPr>
          <w:rFonts w:hint="eastAsia"/>
          <w:color w:val="auto"/>
          <w:lang w:eastAsia="zh-CN"/>
        </w:rPr>
        <w:t>沙丘</w:t>
      </w:r>
      <w:r>
        <w:rPr>
          <w:rFonts w:hint="eastAsia"/>
          <w:color w:val="auto"/>
        </w:rPr>
        <w:t>最高点为86.2m，西部及北部沿大沙河两岸最低点高程也在68m以上。</w:t>
      </w:r>
    </w:p>
    <w:p>
      <w:pPr>
        <w:bidi w:val="0"/>
        <w:rPr>
          <w:color w:val="auto"/>
        </w:rPr>
      </w:pPr>
      <w:r>
        <w:rPr>
          <w:rFonts w:hint="eastAsia"/>
          <w:color w:val="auto"/>
        </w:rPr>
        <w:t>拟建工程厂址内地形局部稍有起伏，场地土质类型为中软土，海拔68</w:t>
      </w:r>
      <w:r>
        <w:rPr>
          <w:rFonts w:hint="eastAsia"/>
          <w:color w:val="auto"/>
          <w:lang w:eastAsia="zh-CN"/>
        </w:rPr>
        <w:t>～</w:t>
      </w:r>
      <w:r>
        <w:rPr>
          <w:rFonts w:hint="eastAsia"/>
          <w:color w:val="auto"/>
        </w:rPr>
        <w:t>71m。</w:t>
      </w:r>
    </w:p>
    <w:p>
      <w:pPr>
        <w:pStyle w:val="9"/>
        <w:bidi w:val="0"/>
        <w:rPr>
          <w:color w:val="auto"/>
        </w:rPr>
      </w:pPr>
      <w:r>
        <w:rPr>
          <w:color w:val="auto"/>
        </w:rPr>
        <w:t>4</w:t>
      </w:r>
      <w:r>
        <w:rPr>
          <w:rFonts w:hint="eastAsia"/>
          <w:color w:val="auto"/>
        </w:rPr>
        <w:t>.1.3水文水资源</w:t>
      </w:r>
    </w:p>
    <w:p>
      <w:pPr>
        <w:pStyle w:val="10"/>
        <w:bidi w:val="0"/>
        <w:rPr>
          <w:color w:val="auto"/>
        </w:rPr>
      </w:pPr>
      <w:r>
        <w:rPr>
          <w:color w:val="auto"/>
        </w:rPr>
        <w:t>4</w:t>
      </w:r>
      <w:r>
        <w:rPr>
          <w:rFonts w:hint="eastAsia"/>
          <w:color w:val="auto"/>
        </w:rPr>
        <w:t>.1.3.1地表水</w:t>
      </w:r>
    </w:p>
    <w:p>
      <w:pPr>
        <w:bidi w:val="0"/>
        <w:rPr>
          <w:color w:val="auto"/>
        </w:rPr>
      </w:pPr>
      <w:r>
        <w:rPr>
          <w:rFonts w:hint="eastAsia"/>
          <w:color w:val="auto"/>
        </w:rPr>
        <w:t>新乡经济技术开发区主要有河流有东三干渠、南分干渠和东大沙河，均属于黄河水系。</w:t>
      </w:r>
    </w:p>
    <w:p>
      <w:pPr>
        <w:bidi w:val="0"/>
        <w:rPr>
          <w:color w:val="auto"/>
        </w:rPr>
      </w:pPr>
      <w:r>
        <w:rPr>
          <w:rFonts w:hint="eastAsia"/>
          <w:color w:val="auto"/>
        </w:rPr>
        <w:t>东大沙河：属黄河水系金堤河流域柳青河的上游，发源于新乡县古固寨镇庄岩附近</w:t>
      </w:r>
      <w:r>
        <w:rPr>
          <w:rFonts w:hint="eastAsia"/>
          <w:color w:val="auto"/>
          <w:lang w:eastAsia="zh-CN"/>
        </w:rPr>
        <w:t>沙丘</w:t>
      </w:r>
      <w:r>
        <w:rPr>
          <w:rFonts w:hint="eastAsia"/>
          <w:color w:val="auto"/>
        </w:rPr>
        <w:t>间，呈南西—北东向展布，流经新乡县、延津县、卫辉市，又进入延津县经丰庄镇河道闸入柳青河。区内流经长度27.0公里，在古固寨乡南进入开发区，于东屯镇汲津铺北流出开发区，流域面积179.6平方公里。东大沙河原是黄河故道留下的一片自然洼地，是历史上残存的自然排水河道，也是经开区主要的排涝河道，承泄新乡、延津、卫辉3县（市）部分涝水以及引黄灌溉东三干渠和南分干渠的退水。</w:t>
      </w:r>
    </w:p>
    <w:p>
      <w:pPr>
        <w:bidi w:val="0"/>
        <w:rPr>
          <w:color w:val="auto"/>
        </w:rPr>
      </w:pPr>
      <w:r>
        <w:rPr>
          <w:rFonts w:hint="eastAsia"/>
          <w:color w:val="auto"/>
        </w:rPr>
        <w:t>区内人工渠道主要为农灌渠，引黄河水作水源。有人民胜利渠东三干渠、南分干渠及与之配套的支渠，各干渠引水方式均为时控引水。除退水渠低于地面1.5米左右外，各引黄渠渠底均与地面相平或稍低于地面，在行水期间对地下水有明显的补给作用。</w:t>
      </w:r>
    </w:p>
    <w:p>
      <w:pPr>
        <w:bidi w:val="0"/>
        <w:rPr>
          <w:color w:val="auto"/>
        </w:rPr>
      </w:pPr>
      <w:r>
        <w:rPr>
          <w:rFonts w:hint="eastAsia"/>
          <w:color w:val="auto"/>
        </w:rPr>
        <w:t>东三干渠为农灌渠，引黄河水作水源，于1958年建成引水渠，全长37.8km，顶宽20m左右，底宽8</w:t>
      </w:r>
      <w:r>
        <w:rPr>
          <w:rFonts w:hint="eastAsia"/>
          <w:color w:val="auto"/>
          <w:lang w:eastAsia="zh-CN"/>
        </w:rPr>
        <w:t>—</w:t>
      </w:r>
      <w:r>
        <w:rPr>
          <w:rFonts w:hint="eastAsia"/>
          <w:color w:val="auto"/>
        </w:rPr>
        <w:t>11m，深2.7</w:t>
      </w:r>
      <w:r>
        <w:rPr>
          <w:rFonts w:hint="eastAsia"/>
          <w:color w:val="auto"/>
          <w:lang w:eastAsia="zh-CN"/>
        </w:rPr>
        <w:t>—</w:t>
      </w:r>
      <w:r>
        <w:rPr>
          <w:rFonts w:hint="eastAsia"/>
          <w:color w:val="auto"/>
        </w:rPr>
        <w:t>3.3m，引水流量15-31m</w:t>
      </w:r>
      <w:r>
        <w:rPr>
          <w:rFonts w:hint="eastAsia"/>
          <w:color w:val="auto"/>
          <w:vertAlign w:val="superscript"/>
        </w:rPr>
        <w:t>3</w:t>
      </w:r>
      <w:r>
        <w:rPr>
          <w:rFonts w:hint="eastAsia"/>
          <w:color w:val="auto"/>
        </w:rPr>
        <w:t>/s，两岸水泥</w:t>
      </w:r>
      <w:r>
        <w:rPr>
          <w:rFonts w:hint="eastAsia"/>
          <w:color w:val="auto"/>
          <w:lang w:eastAsia="zh-CN"/>
        </w:rPr>
        <w:t>衬砌</w:t>
      </w:r>
      <w:r>
        <w:rPr>
          <w:rFonts w:hint="eastAsia"/>
          <w:color w:val="auto"/>
        </w:rPr>
        <w:t>，边坡1：2，年引水8</w:t>
      </w:r>
      <w:r>
        <w:rPr>
          <w:rFonts w:hint="eastAsia"/>
          <w:color w:val="auto"/>
          <w:lang w:eastAsia="zh-CN"/>
        </w:rPr>
        <w:t>—</w:t>
      </w:r>
      <w:r>
        <w:rPr>
          <w:rFonts w:hint="eastAsia"/>
          <w:color w:val="auto"/>
        </w:rPr>
        <w:t>12次，平均引水天数144天，引水量13662.5万m</w:t>
      </w:r>
      <w:r>
        <w:rPr>
          <w:color w:val="auto"/>
          <w:vertAlign w:val="superscript"/>
        </w:rPr>
        <w:t>3</w:t>
      </w:r>
      <w:r>
        <w:rPr>
          <w:rFonts w:hint="eastAsia"/>
          <w:color w:val="auto"/>
        </w:rPr>
        <w:t>；区内支渠有二、三、六支渠及退水渠。</w:t>
      </w:r>
    </w:p>
    <w:p>
      <w:pPr>
        <w:bidi w:val="0"/>
        <w:rPr>
          <w:color w:val="auto"/>
        </w:rPr>
      </w:pPr>
      <w:r>
        <w:rPr>
          <w:rFonts w:hint="eastAsia"/>
          <w:color w:val="auto"/>
        </w:rPr>
        <w:t>南分干渠1979年建成引水，自第五疃西南东三干渠王堤节制闸引水，向东沿获小庄至张河东。区内长度10公里，宽14米左右，年引水6～9次，平均引水天数87天，引水量4868.89万m</w:t>
      </w:r>
      <w:r>
        <w:rPr>
          <w:color w:val="auto"/>
          <w:vertAlign w:val="superscript"/>
        </w:rPr>
        <w:t>3</w:t>
      </w:r>
      <w:r>
        <w:rPr>
          <w:rFonts w:hint="eastAsia"/>
          <w:color w:val="auto"/>
        </w:rPr>
        <w:t>。</w:t>
      </w:r>
    </w:p>
    <w:p>
      <w:pPr>
        <w:pStyle w:val="10"/>
        <w:bidi w:val="0"/>
        <w:rPr>
          <w:b/>
          <w:bCs w:val="0"/>
          <w:color w:val="auto"/>
          <w:u w:val="single"/>
        </w:rPr>
      </w:pPr>
      <w:r>
        <w:rPr>
          <w:b/>
          <w:bCs w:val="0"/>
          <w:color w:val="auto"/>
          <w:u w:val="single"/>
        </w:rPr>
        <w:t>4</w:t>
      </w:r>
      <w:r>
        <w:rPr>
          <w:rFonts w:hint="eastAsia"/>
          <w:b/>
          <w:bCs w:val="0"/>
          <w:color w:val="auto"/>
          <w:u w:val="single"/>
        </w:rPr>
        <w:t>.1.3.2地下水</w:t>
      </w:r>
    </w:p>
    <w:p>
      <w:pPr>
        <w:bidi w:val="0"/>
        <w:rPr>
          <w:b/>
          <w:bCs w:val="0"/>
          <w:color w:val="auto"/>
          <w:u w:val="single"/>
        </w:rPr>
      </w:pPr>
      <w:r>
        <w:rPr>
          <w:rFonts w:hint="eastAsia"/>
          <w:b/>
          <w:bCs w:val="0"/>
          <w:color w:val="auto"/>
          <w:u w:val="single"/>
        </w:rPr>
        <w:t>区内地下水总量为富水区，水量富足，地下水埋深一般在1～4米，属浅表层地下水，单位涌水量11.3立方米/小时，水质较好，PH值在7.7～8.3之间，属碱性水。矿化度0.9～1.5克/升之间，属极弱化矿化水，适宜于农田灌溉和人畜饮用，是理想的生产、生活水源。含水层多层，其中有一层分布稳定、厚度大的粉质粘土层，将地下水分为两个含水层组：第一含水组为潜水及微承压水，由上更新统上段及全新统冲积砂层组成，含水介质为松散的粗、中砂和细砂，总厚度40</w:t>
      </w:r>
      <w:r>
        <w:rPr>
          <w:rFonts w:hint="eastAsia"/>
          <w:b/>
          <w:bCs w:val="0"/>
          <w:color w:val="auto"/>
          <w:u w:val="single"/>
          <w:lang w:eastAsia="zh-CN"/>
        </w:rPr>
        <w:t>—</w:t>
      </w:r>
      <w:r>
        <w:rPr>
          <w:rFonts w:hint="eastAsia"/>
          <w:b/>
          <w:bCs w:val="0"/>
          <w:color w:val="auto"/>
          <w:u w:val="single"/>
        </w:rPr>
        <w:t>60米，局部大于70米，降深10米时，单井涌水量大于2800立方米/日；第二含水组为承压水，由上更新统下段砂层组成，含水介质为细砂、粉砂，总厚度20</w:t>
      </w:r>
      <w:r>
        <w:rPr>
          <w:rFonts w:hint="eastAsia"/>
          <w:b/>
          <w:bCs w:val="0"/>
          <w:color w:val="auto"/>
          <w:u w:val="single"/>
          <w:lang w:eastAsia="zh-CN"/>
        </w:rPr>
        <w:t>—</w:t>
      </w:r>
      <w:r>
        <w:rPr>
          <w:rFonts w:hint="eastAsia"/>
          <w:b/>
          <w:bCs w:val="0"/>
          <w:color w:val="auto"/>
          <w:u w:val="single"/>
        </w:rPr>
        <w:t>52米，单井涌水量1400-2400立方米/日。地下水流向从西南至东北。</w:t>
      </w:r>
    </w:p>
    <w:p>
      <w:pPr>
        <w:bidi w:val="0"/>
        <w:rPr>
          <w:b/>
          <w:bCs w:val="0"/>
          <w:color w:val="auto"/>
          <w:u w:val="single"/>
        </w:rPr>
      </w:pPr>
      <w:r>
        <w:rPr>
          <w:rFonts w:hint="eastAsia"/>
          <w:b/>
          <w:bCs w:val="0"/>
          <w:color w:val="auto"/>
          <w:u w:val="single"/>
        </w:rPr>
        <w:t>（1）浅层孔隙水含水层及其富水性特征</w:t>
      </w:r>
    </w:p>
    <w:p>
      <w:pPr>
        <w:bidi w:val="0"/>
        <w:rPr>
          <w:b/>
          <w:bCs w:val="0"/>
          <w:color w:val="auto"/>
          <w:u w:val="single"/>
        </w:rPr>
      </w:pPr>
      <w:r>
        <w:rPr>
          <w:rFonts w:hint="eastAsia"/>
          <w:b/>
          <w:bCs w:val="0"/>
          <w:color w:val="auto"/>
          <w:u w:val="single"/>
        </w:rPr>
        <w:t>浅层地下水为潜水及微承压水，由上更新统上段及全新统冲积砂层组成，含水介质为松散的粗、中砂和细砂，一般可见2～4层，单层厚度8～25m，总厚度40～60m，局部大于70m。单位涌水量l0～20m</w:t>
      </w:r>
      <w:r>
        <w:rPr>
          <w:rFonts w:hint="eastAsia"/>
          <w:b/>
          <w:bCs w:val="0"/>
          <w:color w:val="auto"/>
          <w:u w:val="single"/>
          <w:vertAlign w:val="superscript"/>
        </w:rPr>
        <w:t>3</w:t>
      </w:r>
      <w:r>
        <w:rPr>
          <w:rFonts w:hint="eastAsia"/>
          <w:b/>
          <w:bCs w:val="0"/>
          <w:color w:val="auto"/>
          <w:u w:val="single"/>
        </w:rPr>
        <w:t>/（h</w:t>
      </w:r>
      <w:r>
        <w:rPr>
          <w:b/>
          <w:bCs w:val="0"/>
          <w:color w:val="auto"/>
          <w:u w:val="single"/>
        </w:rPr>
        <w:t>·</w:t>
      </w:r>
      <w:r>
        <w:rPr>
          <w:rFonts w:hint="eastAsia"/>
          <w:b/>
          <w:bCs w:val="0"/>
          <w:color w:val="auto"/>
          <w:u w:val="single"/>
        </w:rPr>
        <w:t>m）。由古河床向两侧古漫滩，含水层颗粒由粗到细，含水层厚度由大到小，地下水由潜水过渡到微承压水，单位涌水量由大变小。</w:t>
      </w:r>
    </w:p>
    <w:p>
      <w:pPr>
        <w:bidi w:val="0"/>
        <w:rPr>
          <w:b/>
          <w:bCs w:val="0"/>
          <w:color w:val="auto"/>
          <w:u w:val="single"/>
        </w:rPr>
      </w:pPr>
      <w:r>
        <w:rPr>
          <w:rFonts w:hint="eastAsia"/>
          <w:b/>
          <w:bCs w:val="0"/>
          <w:color w:val="auto"/>
          <w:u w:val="single"/>
        </w:rPr>
        <w:t>在古河床区，浅层地下水底界埋深75</w:t>
      </w:r>
      <w:r>
        <w:rPr>
          <w:rFonts w:hint="eastAsia"/>
          <w:b/>
          <w:bCs w:val="0"/>
          <w:color w:val="auto"/>
          <w:u w:val="single"/>
          <w:lang w:eastAsia="zh-CN"/>
        </w:rPr>
        <w:t>—</w:t>
      </w:r>
      <w:r>
        <w:rPr>
          <w:rFonts w:hint="eastAsia"/>
          <w:b/>
          <w:bCs w:val="0"/>
          <w:color w:val="auto"/>
          <w:u w:val="single"/>
        </w:rPr>
        <w:t>85m，含水层为粗砂、中砂、细砂单层厚20m左右，最厚达40m，累计厚50</w:t>
      </w:r>
      <w:r>
        <w:rPr>
          <w:rFonts w:hint="eastAsia"/>
          <w:b/>
          <w:bCs w:val="0"/>
          <w:color w:val="auto"/>
          <w:u w:val="single"/>
          <w:lang w:eastAsia="zh-CN"/>
        </w:rPr>
        <w:t>—</w:t>
      </w:r>
      <w:r>
        <w:rPr>
          <w:rFonts w:hint="eastAsia"/>
          <w:b/>
          <w:bCs w:val="0"/>
          <w:color w:val="auto"/>
          <w:u w:val="single"/>
        </w:rPr>
        <w:t>70m，渗透系数1.4</w:t>
      </w:r>
      <w:r>
        <w:rPr>
          <w:rFonts w:hint="eastAsia"/>
          <w:b/>
          <w:bCs w:val="0"/>
          <w:color w:val="auto"/>
          <w:u w:val="single"/>
          <w:lang w:eastAsia="zh-CN"/>
        </w:rPr>
        <w:t>—</w:t>
      </w:r>
      <w:r>
        <w:rPr>
          <w:rFonts w:hint="eastAsia"/>
          <w:b/>
          <w:bCs w:val="0"/>
          <w:color w:val="auto"/>
          <w:u w:val="single"/>
        </w:rPr>
        <w:t>1.9m/d，导水系数400-1000m</w:t>
      </w:r>
      <w:r>
        <w:rPr>
          <w:rFonts w:hint="eastAsia"/>
          <w:b/>
          <w:bCs w:val="0"/>
          <w:color w:val="auto"/>
          <w:u w:val="single"/>
          <w:vertAlign w:val="superscript"/>
        </w:rPr>
        <w:t>2</w:t>
      </w:r>
      <w:r>
        <w:rPr>
          <w:rFonts w:hint="eastAsia"/>
          <w:b/>
          <w:bCs w:val="0"/>
          <w:color w:val="auto"/>
          <w:u w:val="single"/>
        </w:rPr>
        <w:t>/d，单位涌水量大于15m</w:t>
      </w:r>
      <w:r>
        <w:rPr>
          <w:rFonts w:hint="eastAsia"/>
          <w:b/>
          <w:bCs w:val="0"/>
          <w:color w:val="auto"/>
          <w:u w:val="single"/>
          <w:vertAlign w:val="superscript"/>
        </w:rPr>
        <w:t>3</w:t>
      </w:r>
      <w:r>
        <w:rPr>
          <w:rFonts w:hint="eastAsia"/>
          <w:b/>
          <w:bCs w:val="0"/>
          <w:color w:val="auto"/>
          <w:u w:val="single"/>
        </w:rPr>
        <w:t>/（h</w:t>
      </w:r>
      <w:r>
        <w:rPr>
          <w:b/>
          <w:bCs w:val="0"/>
          <w:color w:val="auto"/>
          <w:u w:val="single"/>
        </w:rPr>
        <w:t>·</w:t>
      </w:r>
      <w:r>
        <w:rPr>
          <w:rFonts w:hint="eastAsia"/>
          <w:b/>
          <w:bCs w:val="0"/>
          <w:color w:val="auto"/>
          <w:u w:val="single"/>
        </w:rPr>
        <w:t>m），降深10m时</w:t>
      </w:r>
      <w:r>
        <w:rPr>
          <w:rFonts w:hint="eastAsia"/>
          <w:b/>
          <w:bCs w:val="0"/>
          <w:color w:val="auto"/>
          <w:u w:val="single"/>
          <w:lang w:eastAsia="zh-CN"/>
        </w:rPr>
        <w:t>，</w:t>
      </w:r>
      <w:r>
        <w:rPr>
          <w:rFonts w:hint="eastAsia"/>
          <w:b/>
          <w:bCs w:val="0"/>
          <w:color w:val="auto"/>
          <w:u w:val="single"/>
        </w:rPr>
        <w:t>单井涌水量大于2800m</w:t>
      </w:r>
      <w:r>
        <w:rPr>
          <w:rFonts w:hint="eastAsia"/>
          <w:b/>
          <w:bCs w:val="0"/>
          <w:color w:val="auto"/>
          <w:u w:val="single"/>
          <w:vertAlign w:val="superscript"/>
        </w:rPr>
        <w:t>3</w:t>
      </w:r>
      <w:r>
        <w:rPr>
          <w:rFonts w:hint="eastAsia"/>
          <w:b/>
          <w:bCs w:val="0"/>
          <w:color w:val="auto"/>
          <w:u w:val="single"/>
        </w:rPr>
        <w:t>/d，姚庄、沙门一带达6000m</w:t>
      </w:r>
      <w:r>
        <w:rPr>
          <w:rFonts w:hint="eastAsia"/>
          <w:b/>
          <w:bCs w:val="0"/>
          <w:color w:val="auto"/>
          <w:u w:val="single"/>
          <w:vertAlign w:val="superscript"/>
        </w:rPr>
        <w:t>2</w:t>
      </w:r>
      <w:r>
        <w:rPr>
          <w:rFonts w:hint="eastAsia"/>
          <w:b/>
          <w:bCs w:val="0"/>
          <w:color w:val="auto"/>
          <w:u w:val="single"/>
        </w:rPr>
        <w:t>/d。</w:t>
      </w:r>
    </w:p>
    <w:p>
      <w:pPr>
        <w:bidi w:val="0"/>
        <w:rPr>
          <w:b/>
          <w:bCs w:val="0"/>
          <w:color w:val="auto"/>
          <w:u w:val="single"/>
        </w:rPr>
      </w:pPr>
      <w:r>
        <w:rPr>
          <w:rFonts w:hint="eastAsia"/>
          <w:b/>
          <w:bCs w:val="0"/>
          <w:color w:val="auto"/>
          <w:u w:val="single"/>
        </w:rPr>
        <w:t>在古漫滩区，浅层地下水底界埋深57～70m，含水层岩性为细砂，单层厚度10～15m，累计厚度45～60m，渗透系数0.9～1.6m/d，导水系数300～700m</w:t>
      </w:r>
      <w:r>
        <w:rPr>
          <w:rFonts w:hint="eastAsia"/>
          <w:b/>
          <w:bCs w:val="0"/>
          <w:color w:val="auto"/>
          <w:u w:val="single"/>
          <w:vertAlign w:val="superscript"/>
        </w:rPr>
        <w:t>2</w:t>
      </w:r>
      <w:r>
        <w:rPr>
          <w:rFonts w:hint="eastAsia"/>
          <w:b/>
          <w:bCs w:val="0"/>
          <w:color w:val="auto"/>
          <w:u w:val="single"/>
        </w:rPr>
        <w:t>/d，单位涌水量10～20m</w:t>
      </w:r>
      <w:r>
        <w:rPr>
          <w:rFonts w:hint="eastAsia"/>
          <w:b/>
          <w:bCs w:val="0"/>
          <w:color w:val="auto"/>
          <w:u w:val="single"/>
          <w:vertAlign w:val="superscript"/>
        </w:rPr>
        <w:t>3</w:t>
      </w:r>
      <w:r>
        <w:rPr>
          <w:rFonts w:hint="eastAsia"/>
          <w:b/>
          <w:bCs w:val="0"/>
          <w:color w:val="auto"/>
          <w:u w:val="single"/>
        </w:rPr>
        <w:t>/（h</w:t>
      </w:r>
      <w:r>
        <w:rPr>
          <w:b/>
          <w:bCs w:val="0"/>
          <w:color w:val="auto"/>
          <w:u w:val="single"/>
        </w:rPr>
        <w:t>·</w:t>
      </w:r>
      <w:r>
        <w:rPr>
          <w:rFonts w:hint="eastAsia"/>
          <w:b/>
          <w:bCs w:val="0"/>
          <w:color w:val="auto"/>
          <w:u w:val="single"/>
        </w:rPr>
        <w:t>m），单井涌水量2280～4800m</w:t>
      </w:r>
      <w:r>
        <w:rPr>
          <w:rFonts w:hint="eastAsia"/>
          <w:b/>
          <w:bCs w:val="0"/>
          <w:color w:val="auto"/>
          <w:u w:val="single"/>
          <w:vertAlign w:val="superscript"/>
        </w:rPr>
        <w:t>3</w:t>
      </w:r>
      <w:r>
        <w:rPr>
          <w:rFonts w:hint="eastAsia"/>
          <w:b/>
          <w:bCs w:val="0"/>
          <w:color w:val="auto"/>
          <w:u w:val="single"/>
        </w:rPr>
        <w:t>/d。</w:t>
      </w:r>
    </w:p>
    <w:p>
      <w:pPr>
        <w:bidi w:val="0"/>
        <w:rPr>
          <w:b/>
          <w:bCs w:val="0"/>
          <w:color w:val="auto"/>
          <w:u w:val="single"/>
        </w:rPr>
      </w:pPr>
      <w:r>
        <w:rPr>
          <w:rFonts w:hint="eastAsia"/>
          <w:b/>
          <w:bCs w:val="0"/>
          <w:color w:val="auto"/>
          <w:u w:val="single"/>
        </w:rPr>
        <w:t>浅层地下水底板为厚7.5</w:t>
      </w:r>
      <w:r>
        <w:rPr>
          <w:rFonts w:hint="eastAsia"/>
          <w:b/>
          <w:bCs w:val="0"/>
          <w:color w:val="auto"/>
          <w:u w:val="single"/>
          <w:lang w:eastAsia="zh-CN"/>
        </w:rPr>
        <w:t>—</w:t>
      </w:r>
      <w:r>
        <w:rPr>
          <w:rFonts w:hint="eastAsia"/>
          <w:b/>
          <w:bCs w:val="0"/>
          <w:color w:val="auto"/>
          <w:u w:val="single"/>
        </w:rPr>
        <w:t>16.0m的粉质粘土，分布连续稳定。</w:t>
      </w:r>
    </w:p>
    <w:p>
      <w:pPr>
        <w:bidi w:val="0"/>
        <w:rPr>
          <w:b/>
          <w:bCs w:val="0"/>
          <w:color w:val="auto"/>
          <w:u w:val="single"/>
        </w:rPr>
      </w:pPr>
      <w:r>
        <w:rPr>
          <w:rFonts w:hint="eastAsia"/>
          <w:b/>
          <w:bCs w:val="0"/>
          <w:color w:val="auto"/>
          <w:u w:val="single"/>
        </w:rPr>
        <w:t>现状条件下，第II含水组通过弱透水层越流补给I含水组，但由于弱透水层厚度大，分布连续稳定，且渗透系数小，越流量小，可忽略不计。</w:t>
      </w:r>
    </w:p>
    <w:p>
      <w:pPr>
        <w:bidi w:val="0"/>
        <w:rPr>
          <w:b/>
          <w:bCs w:val="0"/>
          <w:color w:val="auto"/>
          <w:u w:val="single"/>
        </w:rPr>
      </w:pPr>
      <w:r>
        <w:rPr>
          <w:rFonts w:hint="eastAsia"/>
          <w:b/>
          <w:bCs w:val="0"/>
          <w:color w:val="auto"/>
          <w:u w:val="single"/>
        </w:rPr>
        <w:t>浅层地下水水质较差，但水量大，易于开采，为调查区内供水开采目的层。</w:t>
      </w:r>
    </w:p>
    <w:p>
      <w:pPr>
        <w:bidi w:val="0"/>
        <w:rPr>
          <w:b/>
          <w:bCs w:val="0"/>
          <w:color w:val="auto"/>
          <w:u w:val="single"/>
        </w:rPr>
      </w:pPr>
      <w:r>
        <w:rPr>
          <w:rFonts w:hint="eastAsia"/>
          <w:b/>
          <w:bCs w:val="0"/>
          <w:color w:val="auto"/>
          <w:u w:val="single"/>
        </w:rPr>
        <w:t>（2）中层孔隙水含水层及其富水性特征</w:t>
      </w:r>
    </w:p>
    <w:p>
      <w:pPr>
        <w:bidi w:val="0"/>
        <w:rPr>
          <w:b/>
          <w:bCs w:val="0"/>
          <w:color w:val="auto"/>
          <w:u w:val="single"/>
        </w:rPr>
      </w:pPr>
      <w:r>
        <w:rPr>
          <w:rFonts w:hint="eastAsia"/>
          <w:b/>
          <w:bCs w:val="0"/>
          <w:color w:val="auto"/>
          <w:u w:val="single"/>
        </w:rPr>
        <w:t>中深层地下水为承压水，由上更新统下段砂层组成，含水介质为细砂、粉砂，一般可见7-9层，单层厚度5</w:t>
      </w:r>
      <w:r>
        <w:rPr>
          <w:rFonts w:hint="eastAsia"/>
          <w:b/>
          <w:bCs w:val="0"/>
          <w:color w:val="auto"/>
          <w:u w:val="single"/>
          <w:lang w:eastAsia="zh-CN"/>
        </w:rPr>
        <w:t>—</w:t>
      </w:r>
      <w:r>
        <w:rPr>
          <w:rFonts w:hint="eastAsia"/>
          <w:b/>
          <w:bCs w:val="0"/>
          <w:color w:val="auto"/>
          <w:u w:val="single"/>
        </w:rPr>
        <w:t>10m，最厚达3lm，累计厚度20.7</w:t>
      </w:r>
      <w:r>
        <w:rPr>
          <w:rFonts w:hint="eastAsia"/>
          <w:b/>
          <w:bCs w:val="0"/>
          <w:color w:val="auto"/>
          <w:u w:val="single"/>
          <w:lang w:eastAsia="zh-CN"/>
        </w:rPr>
        <w:t>—</w:t>
      </w:r>
      <w:r>
        <w:rPr>
          <w:rFonts w:hint="eastAsia"/>
          <w:b/>
          <w:bCs w:val="0"/>
          <w:color w:val="auto"/>
          <w:u w:val="single"/>
        </w:rPr>
        <w:t>52.5m，单位涌水量4-6m</w:t>
      </w:r>
      <w:r>
        <w:rPr>
          <w:rFonts w:hint="eastAsia"/>
          <w:b/>
          <w:bCs w:val="0"/>
          <w:color w:val="auto"/>
          <w:u w:val="single"/>
          <w:vertAlign w:val="superscript"/>
        </w:rPr>
        <w:t>3</w:t>
      </w:r>
      <w:r>
        <w:rPr>
          <w:rFonts w:hint="eastAsia"/>
          <w:b/>
          <w:bCs w:val="0"/>
          <w:color w:val="auto"/>
          <w:u w:val="single"/>
        </w:rPr>
        <w:t>/h·m，单井涌水量1400-2400m</w:t>
      </w:r>
      <w:r>
        <w:rPr>
          <w:rFonts w:hint="eastAsia"/>
          <w:b/>
          <w:bCs w:val="0"/>
          <w:color w:val="auto"/>
          <w:u w:val="single"/>
          <w:vertAlign w:val="superscript"/>
        </w:rPr>
        <w:t>3</w:t>
      </w:r>
      <w:r>
        <w:rPr>
          <w:rFonts w:hint="eastAsia"/>
          <w:b/>
          <w:bCs w:val="0"/>
          <w:color w:val="auto"/>
          <w:u w:val="single"/>
        </w:rPr>
        <w:t>/d，渗透系数6</w:t>
      </w:r>
      <w:r>
        <w:rPr>
          <w:rFonts w:hint="eastAsia"/>
          <w:b/>
          <w:bCs w:val="0"/>
          <w:color w:val="auto"/>
          <w:u w:val="single"/>
          <w:lang w:eastAsia="zh-CN"/>
        </w:rPr>
        <w:t>—</w:t>
      </w:r>
      <w:r>
        <w:rPr>
          <w:rFonts w:hint="eastAsia"/>
          <w:b/>
          <w:bCs w:val="0"/>
          <w:color w:val="auto"/>
          <w:u w:val="single"/>
        </w:rPr>
        <w:t>10m/d，导水系数200～260m/d。中深层地下水底界埋深140</w:t>
      </w:r>
      <w:r>
        <w:rPr>
          <w:rFonts w:hint="eastAsia"/>
          <w:b/>
          <w:bCs w:val="0"/>
          <w:color w:val="auto"/>
          <w:u w:val="single"/>
          <w:lang w:eastAsia="zh-CN"/>
        </w:rPr>
        <w:t>—</w:t>
      </w:r>
      <w:r>
        <w:rPr>
          <w:rFonts w:hint="eastAsia"/>
          <w:b/>
          <w:bCs w:val="0"/>
          <w:color w:val="auto"/>
          <w:u w:val="single"/>
        </w:rPr>
        <w:t>155m，底板为厚8.0m左右分布稳定的粉质粘土层。</w:t>
      </w:r>
    </w:p>
    <w:p>
      <w:pPr>
        <w:bidi w:val="0"/>
        <w:rPr>
          <w:b/>
          <w:bCs w:val="0"/>
          <w:color w:val="auto"/>
          <w:u w:val="single"/>
        </w:rPr>
      </w:pPr>
      <w:r>
        <w:rPr>
          <w:rFonts w:hint="eastAsia"/>
          <w:b/>
          <w:bCs w:val="0"/>
          <w:color w:val="auto"/>
          <w:u w:val="single"/>
        </w:rPr>
        <w:t>中深层地下水矿化度高，不适宜作为饮用水和工业用水，未开采。</w:t>
      </w:r>
    </w:p>
    <w:p>
      <w:pPr>
        <w:bidi w:val="0"/>
        <w:rPr>
          <w:b/>
          <w:bCs w:val="0"/>
          <w:color w:val="auto"/>
          <w:u w:val="single"/>
        </w:rPr>
      </w:pPr>
      <w:r>
        <w:rPr>
          <w:rFonts w:hint="eastAsia"/>
          <w:b/>
          <w:bCs w:val="0"/>
          <w:color w:val="auto"/>
          <w:u w:val="single"/>
        </w:rPr>
        <w:t>根据对经开区地下水长期观测点进行连续三年水文年的水文数据的收集，评价区域浅层地下水动态类型属“气象</w:t>
      </w:r>
      <w:r>
        <w:rPr>
          <w:rFonts w:hint="eastAsia"/>
          <w:b/>
          <w:bCs w:val="0"/>
          <w:color w:val="auto"/>
          <w:u w:val="single"/>
          <w:lang w:eastAsia="zh-CN"/>
        </w:rPr>
        <w:t>－</w:t>
      </w:r>
      <w:r>
        <w:rPr>
          <w:rFonts w:hint="eastAsia"/>
          <w:b/>
          <w:bCs w:val="0"/>
          <w:color w:val="auto"/>
          <w:u w:val="single"/>
        </w:rPr>
        <w:t>开采型”，地下水动态主要受降水、开采控制。年内3-5月为枯水期同时又处于农作物春灌期，开采量增大，地下水位降低；7-9月为丰水期，降水量增大，水位上升。年水位变幅1.2～2.5m。</w:t>
      </w:r>
    </w:p>
    <w:p>
      <w:pPr>
        <w:pStyle w:val="9"/>
        <w:bidi w:val="0"/>
        <w:rPr>
          <w:color w:val="auto"/>
        </w:rPr>
      </w:pPr>
      <w:r>
        <w:rPr>
          <w:color w:val="auto"/>
        </w:rPr>
        <w:t>4</w:t>
      </w:r>
      <w:r>
        <w:rPr>
          <w:rFonts w:hint="eastAsia"/>
          <w:color w:val="auto"/>
        </w:rPr>
        <w:t>.1.4地质</w:t>
      </w:r>
    </w:p>
    <w:p>
      <w:pPr>
        <w:bidi w:val="0"/>
        <w:rPr>
          <w:color w:val="auto"/>
        </w:rPr>
      </w:pPr>
      <w:r>
        <w:rPr>
          <w:rFonts w:hint="eastAsia"/>
          <w:color w:val="auto"/>
        </w:rPr>
        <w:t>规划区位于新乡市区东部，在大地构造上属华北陆台太行隆起的东南缘，地层出露为第四纪坡积、冲积、洪积形成的平原地区，由素填土、粉砂、</w:t>
      </w:r>
      <w:r>
        <w:rPr>
          <w:rFonts w:hint="eastAsia"/>
          <w:color w:val="auto"/>
          <w:lang w:eastAsia="zh-CN"/>
        </w:rPr>
        <w:t>细砂</w:t>
      </w:r>
      <w:r>
        <w:rPr>
          <w:rFonts w:hint="eastAsia"/>
          <w:color w:val="auto"/>
        </w:rPr>
        <w:t>、中砂组成，岩土承载力一般为1.2～2.0kg/cm</w:t>
      </w:r>
      <w:r>
        <w:rPr>
          <w:rFonts w:hint="eastAsia"/>
          <w:color w:val="auto"/>
          <w:vertAlign w:val="superscript"/>
        </w:rPr>
        <w:t>2</w:t>
      </w:r>
      <w:r>
        <w:rPr>
          <w:rFonts w:hint="eastAsia"/>
          <w:color w:val="auto"/>
        </w:rPr>
        <w:t>。本区抗震烈度为8度第一组，设计基本地震加速度为0.2g，特征周期为0.45s。根据新乡化纤股份有限公司年产十万吨高品质超细旦氨纶纤维项目岩土工程勘察报告，项目所在地场地形式较为平坦，地面最大相对高差0.83m。场地在揭露深度范围内均为第四系全新统，按地层的成因类型、岩性特征将地基土划分为9个工程地质单元层</w:t>
      </w:r>
      <w:r>
        <w:rPr>
          <w:rFonts w:hint="eastAsia"/>
          <w:color w:val="auto"/>
          <w:lang w:eastAsia="zh-CN"/>
        </w:rPr>
        <w:t>（</w:t>
      </w:r>
      <w:r>
        <w:rPr>
          <w:rFonts w:hint="eastAsia"/>
          <w:color w:val="auto"/>
        </w:rPr>
        <w:t>含2个亚层</w:t>
      </w:r>
      <w:r>
        <w:rPr>
          <w:rFonts w:hint="eastAsia"/>
          <w:color w:val="auto"/>
          <w:lang w:eastAsia="zh-CN"/>
        </w:rPr>
        <w:t>）</w:t>
      </w:r>
      <w:r>
        <w:rPr>
          <w:rFonts w:hint="eastAsia"/>
          <w:color w:val="auto"/>
        </w:rPr>
        <w:t>。各单元层的工程地质特征分述如下：</w:t>
      </w:r>
    </w:p>
    <w:p>
      <w:pPr>
        <w:bidi w:val="0"/>
        <w:rPr>
          <w:color w:val="auto"/>
        </w:rPr>
      </w:pPr>
      <w:r>
        <w:rPr>
          <w:rFonts w:hint="eastAsia"/>
          <w:color w:val="auto"/>
        </w:rPr>
        <w:t>第①单元层：粉土（Q4al）</w:t>
      </w:r>
    </w:p>
    <w:p>
      <w:pPr>
        <w:bidi w:val="0"/>
        <w:rPr>
          <w:color w:val="auto"/>
        </w:rPr>
      </w:pPr>
      <w:r>
        <w:rPr>
          <w:rFonts w:hint="eastAsia"/>
          <w:color w:val="auto"/>
        </w:rPr>
        <w:t>灰黄色、稍湿，稍密～中密，无光泽反应，摇震反应中等，</w:t>
      </w:r>
      <w:r>
        <w:rPr>
          <w:rFonts w:hint="eastAsia"/>
          <w:color w:val="auto"/>
          <w:lang w:eastAsia="zh-CN"/>
        </w:rPr>
        <w:t>低于</w:t>
      </w:r>
      <w:r>
        <w:rPr>
          <w:rFonts w:hint="eastAsia"/>
          <w:color w:val="auto"/>
        </w:rPr>
        <w:t>强度，低韧性。</w:t>
      </w:r>
    </w:p>
    <w:p>
      <w:pPr>
        <w:bidi w:val="0"/>
        <w:rPr>
          <w:color w:val="auto"/>
        </w:rPr>
      </w:pPr>
      <w:r>
        <w:rPr>
          <w:rFonts w:hint="eastAsia"/>
          <w:color w:val="auto"/>
        </w:rPr>
        <w:t>该层场区普遍分布，层底埋深0.60</w:t>
      </w:r>
      <w:r>
        <w:rPr>
          <w:rFonts w:hint="eastAsia"/>
          <w:color w:val="auto"/>
          <w:lang w:eastAsia="zh-CN"/>
        </w:rPr>
        <w:t>～</w:t>
      </w:r>
      <w:r>
        <w:rPr>
          <w:rFonts w:hint="eastAsia"/>
          <w:color w:val="auto"/>
        </w:rPr>
        <w:t>3.60m，层底标高66.38</w:t>
      </w:r>
      <w:r>
        <w:rPr>
          <w:rFonts w:hint="eastAsia"/>
          <w:color w:val="auto"/>
          <w:lang w:eastAsia="zh-CN"/>
        </w:rPr>
        <w:t>～</w:t>
      </w:r>
      <w:r>
        <w:rPr>
          <w:rFonts w:hint="eastAsia"/>
          <w:color w:val="auto"/>
        </w:rPr>
        <w:t>69.27m，层厚0.60</w:t>
      </w:r>
      <w:r>
        <w:rPr>
          <w:rFonts w:hint="eastAsia"/>
          <w:color w:val="auto"/>
          <w:lang w:eastAsia="zh-CN"/>
        </w:rPr>
        <w:t>～</w:t>
      </w:r>
      <w:r>
        <w:rPr>
          <w:rFonts w:hint="eastAsia"/>
          <w:color w:val="auto"/>
        </w:rPr>
        <w:t>3.60m，平均层厚1.77m。</w:t>
      </w:r>
    </w:p>
    <w:p>
      <w:pPr>
        <w:bidi w:val="0"/>
        <w:rPr>
          <w:color w:val="auto"/>
        </w:rPr>
      </w:pPr>
      <w:r>
        <w:rPr>
          <w:rFonts w:hint="eastAsia"/>
          <w:color w:val="auto"/>
        </w:rPr>
        <w:t>第②单元层：粉砂（Q4al）</w:t>
      </w:r>
    </w:p>
    <w:p>
      <w:pPr>
        <w:bidi w:val="0"/>
        <w:rPr>
          <w:color w:val="auto"/>
        </w:rPr>
      </w:pPr>
      <w:r>
        <w:rPr>
          <w:rFonts w:hint="eastAsia"/>
          <w:color w:val="auto"/>
        </w:rPr>
        <w:t>灰黄色、稍湿，稍密，其主要矿物</w:t>
      </w:r>
      <w:r>
        <w:rPr>
          <w:rFonts w:hint="eastAsia"/>
          <w:color w:val="auto"/>
          <w:lang w:eastAsia="zh-CN"/>
        </w:rPr>
        <w:t>成分</w:t>
      </w:r>
      <w:r>
        <w:rPr>
          <w:rFonts w:hint="eastAsia"/>
          <w:color w:val="auto"/>
        </w:rPr>
        <w:t>为石英、长石、云母等，局部夹薄层粉土、细砂。</w:t>
      </w:r>
    </w:p>
    <w:p>
      <w:pPr>
        <w:bidi w:val="0"/>
        <w:rPr>
          <w:color w:val="auto"/>
        </w:rPr>
      </w:pPr>
      <w:r>
        <w:rPr>
          <w:rFonts w:hint="eastAsia"/>
          <w:color w:val="auto"/>
        </w:rPr>
        <w:t>该层场区普遍分布，层底埋深3.00</w:t>
      </w:r>
      <w:r>
        <w:rPr>
          <w:rFonts w:hint="eastAsia"/>
          <w:color w:val="auto"/>
          <w:lang w:eastAsia="zh-CN"/>
        </w:rPr>
        <w:t>～</w:t>
      </w:r>
      <w:r>
        <w:rPr>
          <w:rFonts w:hint="eastAsia"/>
          <w:color w:val="auto"/>
        </w:rPr>
        <w:t>7.60m，层底标高62.35</w:t>
      </w:r>
      <w:r>
        <w:rPr>
          <w:rFonts w:hint="eastAsia"/>
          <w:color w:val="auto"/>
          <w:lang w:eastAsia="zh-CN"/>
        </w:rPr>
        <w:t>～</w:t>
      </w:r>
      <w:r>
        <w:rPr>
          <w:rFonts w:hint="eastAsia"/>
          <w:color w:val="auto"/>
        </w:rPr>
        <w:t>66.95m，层厚0.90</w:t>
      </w:r>
      <w:r>
        <w:rPr>
          <w:rFonts w:hint="eastAsia"/>
          <w:color w:val="auto"/>
          <w:lang w:eastAsia="zh-CN"/>
        </w:rPr>
        <w:t>～</w:t>
      </w:r>
      <w:r>
        <w:rPr>
          <w:rFonts w:hint="eastAsia"/>
          <w:color w:val="auto"/>
        </w:rPr>
        <w:t>5.70m，平均层厚3.21m。</w:t>
      </w:r>
    </w:p>
    <w:p>
      <w:pPr>
        <w:bidi w:val="0"/>
        <w:rPr>
          <w:color w:val="auto"/>
        </w:rPr>
      </w:pPr>
      <w:r>
        <w:rPr>
          <w:rFonts w:hint="eastAsia"/>
          <w:color w:val="auto"/>
        </w:rPr>
        <w:t>第②-1单元层：粉土（Q4al）</w:t>
      </w:r>
    </w:p>
    <w:p>
      <w:pPr>
        <w:bidi w:val="0"/>
        <w:rPr>
          <w:color w:val="auto"/>
        </w:rPr>
      </w:pPr>
      <w:r>
        <w:rPr>
          <w:rFonts w:hint="eastAsia"/>
          <w:color w:val="auto"/>
        </w:rPr>
        <w:t>灰黄色、稍湿，稍密～中密，无光泽反应，摇震反应中等，</w:t>
      </w:r>
      <w:r>
        <w:rPr>
          <w:rFonts w:hint="eastAsia"/>
          <w:color w:val="auto"/>
          <w:lang w:eastAsia="zh-CN"/>
        </w:rPr>
        <w:t>低于</w:t>
      </w:r>
      <w:r>
        <w:rPr>
          <w:rFonts w:hint="eastAsia"/>
          <w:color w:val="auto"/>
        </w:rPr>
        <w:t>强度，低韧性。</w:t>
      </w:r>
    </w:p>
    <w:p>
      <w:pPr>
        <w:bidi w:val="0"/>
        <w:rPr>
          <w:color w:val="auto"/>
        </w:rPr>
      </w:pPr>
      <w:r>
        <w:rPr>
          <w:rFonts w:hint="eastAsia"/>
          <w:color w:val="auto"/>
        </w:rPr>
        <w:t>该层局部分布，层底埋深4.30</w:t>
      </w:r>
      <w:r>
        <w:rPr>
          <w:rFonts w:hint="eastAsia"/>
          <w:color w:val="auto"/>
          <w:lang w:eastAsia="zh-CN"/>
        </w:rPr>
        <w:t>～</w:t>
      </w:r>
      <w:r>
        <w:rPr>
          <w:rFonts w:hint="eastAsia"/>
          <w:color w:val="auto"/>
        </w:rPr>
        <w:t>6.00m，层底标高63.85</w:t>
      </w:r>
      <w:r>
        <w:rPr>
          <w:rFonts w:hint="eastAsia"/>
          <w:color w:val="auto"/>
          <w:lang w:eastAsia="zh-CN"/>
        </w:rPr>
        <w:t>～</w:t>
      </w:r>
      <w:r>
        <w:rPr>
          <w:rFonts w:hint="eastAsia"/>
          <w:color w:val="auto"/>
        </w:rPr>
        <w:t>65.58m，层厚0.70</w:t>
      </w:r>
      <w:r>
        <w:rPr>
          <w:rFonts w:hint="eastAsia"/>
          <w:color w:val="auto"/>
          <w:lang w:eastAsia="zh-CN"/>
        </w:rPr>
        <w:t>～</w:t>
      </w:r>
      <w:r>
        <w:rPr>
          <w:rFonts w:hint="eastAsia"/>
          <w:color w:val="auto"/>
        </w:rPr>
        <w:t>3.00m，平均层厚2.05m。</w:t>
      </w:r>
    </w:p>
    <w:p>
      <w:pPr>
        <w:bidi w:val="0"/>
        <w:rPr>
          <w:color w:val="auto"/>
        </w:rPr>
      </w:pPr>
      <w:r>
        <w:rPr>
          <w:rFonts w:hint="eastAsia"/>
          <w:color w:val="auto"/>
        </w:rPr>
        <w:t>第③单元层：细砂（Q4al）</w:t>
      </w:r>
    </w:p>
    <w:p>
      <w:pPr>
        <w:bidi w:val="0"/>
        <w:rPr>
          <w:color w:val="auto"/>
        </w:rPr>
      </w:pPr>
      <w:r>
        <w:rPr>
          <w:rFonts w:hint="eastAsia"/>
          <w:color w:val="auto"/>
        </w:rPr>
        <w:t>灰黄色、湿，中密～密实，其主要矿物</w:t>
      </w:r>
      <w:r>
        <w:rPr>
          <w:rFonts w:hint="eastAsia"/>
          <w:color w:val="auto"/>
          <w:lang w:eastAsia="zh-CN"/>
        </w:rPr>
        <w:t>成分</w:t>
      </w:r>
      <w:r>
        <w:rPr>
          <w:rFonts w:hint="eastAsia"/>
          <w:color w:val="auto"/>
        </w:rPr>
        <w:t>为石英、长石、云母等，局部夹薄层粉土及中砂。</w:t>
      </w:r>
    </w:p>
    <w:p>
      <w:pPr>
        <w:bidi w:val="0"/>
        <w:rPr>
          <w:color w:val="auto"/>
        </w:rPr>
      </w:pPr>
      <w:r>
        <w:rPr>
          <w:rFonts w:hint="eastAsia"/>
          <w:color w:val="auto"/>
        </w:rPr>
        <w:t>该层场区普遍分布，层底埋深8.70</w:t>
      </w:r>
      <w:r>
        <w:rPr>
          <w:rFonts w:hint="eastAsia"/>
          <w:color w:val="auto"/>
          <w:lang w:eastAsia="zh-CN"/>
        </w:rPr>
        <w:t>～</w:t>
      </w:r>
      <w:r>
        <w:rPr>
          <w:rFonts w:hint="eastAsia"/>
          <w:color w:val="auto"/>
        </w:rPr>
        <w:t>14.20m，层底标高55.80</w:t>
      </w:r>
      <w:r>
        <w:rPr>
          <w:rFonts w:hint="eastAsia"/>
          <w:color w:val="auto"/>
          <w:lang w:eastAsia="zh-CN"/>
        </w:rPr>
        <w:t>～</w:t>
      </w:r>
      <w:r>
        <w:rPr>
          <w:rFonts w:hint="eastAsia"/>
          <w:color w:val="auto"/>
        </w:rPr>
        <w:t>61.20m，层厚2.30</w:t>
      </w:r>
      <w:r>
        <w:rPr>
          <w:rFonts w:hint="eastAsia"/>
          <w:color w:val="auto"/>
          <w:lang w:eastAsia="zh-CN"/>
        </w:rPr>
        <w:t>～</w:t>
      </w:r>
      <w:r>
        <w:rPr>
          <w:rFonts w:hint="eastAsia"/>
          <w:color w:val="auto"/>
        </w:rPr>
        <w:t>8.70m，平均层厚5.38m。</w:t>
      </w:r>
    </w:p>
    <w:p>
      <w:pPr>
        <w:bidi w:val="0"/>
        <w:rPr>
          <w:color w:val="auto"/>
        </w:rPr>
      </w:pPr>
      <w:r>
        <w:rPr>
          <w:rFonts w:hint="eastAsia"/>
          <w:color w:val="auto"/>
        </w:rPr>
        <w:t>第③-1单元层：粉质粘土（Q4al）</w:t>
      </w:r>
    </w:p>
    <w:p>
      <w:pPr>
        <w:bidi w:val="0"/>
        <w:rPr>
          <w:color w:val="auto"/>
        </w:rPr>
      </w:pPr>
      <w:r>
        <w:rPr>
          <w:rFonts w:hint="eastAsia"/>
          <w:color w:val="auto"/>
        </w:rPr>
        <w:t>灰褐色、可塑，稍有光滑，摇振反应无，干强度中等，韧性中等。</w:t>
      </w:r>
    </w:p>
    <w:p>
      <w:pPr>
        <w:bidi w:val="0"/>
        <w:rPr>
          <w:color w:val="auto"/>
        </w:rPr>
      </w:pPr>
      <w:r>
        <w:rPr>
          <w:rFonts w:hint="eastAsia"/>
          <w:color w:val="auto"/>
        </w:rPr>
        <w:t>该层局部分布，层底埋深7.50</w:t>
      </w:r>
      <w:r>
        <w:rPr>
          <w:rFonts w:hint="eastAsia"/>
          <w:color w:val="auto"/>
          <w:lang w:eastAsia="zh-CN"/>
        </w:rPr>
        <w:t>～</w:t>
      </w:r>
      <w:r>
        <w:rPr>
          <w:rFonts w:hint="eastAsia"/>
          <w:color w:val="auto"/>
        </w:rPr>
        <w:t>9.50m，层底标高60.45</w:t>
      </w:r>
      <w:r>
        <w:rPr>
          <w:rFonts w:hint="eastAsia"/>
          <w:color w:val="auto"/>
          <w:lang w:eastAsia="zh-CN"/>
        </w:rPr>
        <w:t>～</w:t>
      </w:r>
      <w:r>
        <w:rPr>
          <w:rFonts w:hint="eastAsia"/>
          <w:color w:val="auto"/>
        </w:rPr>
        <w:t>62.45m，层厚0.50</w:t>
      </w:r>
      <w:r>
        <w:rPr>
          <w:rFonts w:hint="eastAsia"/>
          <w:color w:val="auto"/>
          <w:lang w:eastAsia="zh-CN"/>
        </w:rPr>
        <w:t>～</w:t>
      </w:r>
      <w:r>
        <w:rPr>
          <w:rFonts w:hint="eastAsia"/>
          <w:color w:val="auto"/>
        </w:rPr>
        <w:t>2.60m，平均层厚1.31m。</w:t>
      </w:r>
    </w:p>
    <w:p>
      <w:pPr>
        <w:bidi w:val="0"/>
        <w:rPr>
          <w:color w:val="auto"/>
        </w:rPr>
      </w:pPr>
      <w:r>
        <w:rPr>
          <w:rFonts w:hint="eastAsia"/>
          <w:color w:val="auto"/>
        </w:rPr>
        <w:t>第④单元层：细砂（Q4al）</w:t>
      </w:r>
    </w:p>
    <w:p>
      <w:pPr>
        <w:bidi w:val="0"/>
        <w:rPr>
          <w:color w:val="auto"/>
        </w:rPr>
      </w:pPr>
      <w:r>
        <w:rPr>
          <w:rFonts w:hint="eastAsia"/>
          <w:color w:val="auto"/>
        </w:rPr>
        <w:t>浅灰色、湿～饱和，中密～密实，其主要矿物</w:t>
      </w:r>
      <w:r>
        <w:rPr>
          <w:rFonts w:hint="eastAsia"/>
          <w:color w:val="auto"/>
          <w:lang w:eastAsia="zh-CN"/>
        </w:rPr>
        <w:t>成分</w:t>
      </w:r>
      <w:r>
        <w:rPr>
          <w:rFonts w:hint="eastAsia"/>
          <w:color w:val="auto"/>
        </w:rPr>
        <w:t>为石英、长石、云母等，局部夹薄层粉土及中砂。</w:t>
      </w:r>
    </w:p>
    <w:p>
      <w:pPr>
        <w:bidi w:val="0"/>
        <w:rPr>
          <w:color w:val="auto"/>
        </w:rPr>
      </w:pPr>
      <w:r>
        <w:rPr>
          <w:rFonts w:hint="eastAsia"/>
          <w:color w:val="auto"/>
        </w:rPr>
        <w:t>该层场区普遍分布，层底埋深20.40</w:t>
      </w:r>
      <w:r>
        <w:rPr>
          <w:rFonts w:hint="eastAsia"/>
          <w:color w:val="auto"/>
          <w:lang w:eastAsia="zh-CN"/>
        </w:rPr>
        <w:t>～</w:t>
      </w:r>
      <w:r>
        <w:rPr>
          <w:rFonts w:hint="eastAsia"/>
          <w:color w:val="auto"/>
        </w:rPr>
        <w:t>23.60m，层底标高46.35</w:t>
      </w:r>
      <w:r>
        <w:rPr>
          <w:rFonts w:hint="eastAsia"/>
          <w:color w:val="auto"/>
          <w:lang w:eastAsia="zh-CN"/>
        </w:rPr>
        <w:t>～</w:t>
      </w:r>
      <w:r>
        <w:rPr>
          <w:rFonts w:hint="eastAsia"/>
          <w:color w:val="auto"/>
        </w:rPr>
        <w:t>49.50m，层厚7.90</w:t>
      </w:r>
      <w:r>
        <w:rPr>
          <w:rFonts w:hint="eastAsia"/>
          <w:color w:val="auto"/>
          <w:lang w:eastAsia="zh-CN"/>
        </w:rPr>
        <w:t>～</w:t>
      </w:r>
      <w:r>
        <w:rPr>
          <w:rFonts w:hint="eastAsia"/>
          <w:color w:val="auto"/>
        </w:rPr>
        <w:t>12.90m，平均层厚10.57m。</w:t>
      </w:r>
    </w:p>
    <w:p>
      <w:pPr>
        <w:bidi w:val="0"/>
        <w:rPr>
          <w:color w:val="auto"/>
        </w:rPr>
      </w:pPr>
      <w:r>
        <w:rPr>
          <w:rFonts w:hint="eastAsia"/>
          <w:color w:val="auto"/>
        </w:rPr>
        <w:t>第⑤单元层：粉质粘土（Q4al）</w:t>
      </w:r>
    </w:p>
    <w:p>
      <w:pPr>
        <w:bidi w:val="0"/>
        <w:rPr>
          <w:color w:val="auto"/>
        </w:rPr>
      </w:pPr>
      <w:r>
        <w:rPr>
          <w:rFonts w:hint="eastAsia"/>
          <w:color w:val="auto"/>
        </w:rPr>
        <w:t>灰褐色、可塑，稍有光滑，摇振反应无，干强度中等，韧性中等。</w:t>
      </w:r>
    </w:p>
    <w:p>
      <w:pPr>
        <w:bidi w:val="0"/>
        <w:rPr>
          <w:color w:val="auto"/>
        </w:rPr>
      </w:pPr>
      <w:r>
        <w:rPr>
          <w:rFonts w:hint="eastAsia"/>
          <w:color w:val="auto"/>
        </w:rPr>
        <w:t>该层场区普遍分布，层底埋深22.00</w:t>
      </w:r>
      <w:r>
        <w:rPr>
          <w:rFonts w:hint="eastAsia"/>
          <w:color w:val="auto"/>
          <w:lang w:eastAsia="zh-CN"/>
        </w:rPr>
        <w:t>～</w:t>
      </w:r>
      <w:r>
        <w:rPr>
          <w:rFonts w:hint="eastAsia"/>
          <w:color w:val="auto"/>
        </w:rPr>
        <w:t>26.90m，层底标高43.05</w:t>
      </w:r>
      <w:r>
        <w:rPr>
          <w:rFonts w:hint="eastAsia"/>
          <w:color w:val="auto"/>
          <w:lang w:eastAsia="zh-CN"/>
        </w:rPr>
        <w:t>～</w:t>
      </w:r>
      <w:r>
        <w:rPr>
          <w:rFonts w:hint="eastAsia"/>
          <w:color w:val="auto"/>
        </w:rPr>
        <w:t>47.91m，层厚0.40</w:t>
      </w:r>
      <w:r>
        <w:rPr>
          <w:rFonts w:hint="eastAsia"/>
          <w:color w:val="auto"/>
          <w:lang w:eastAsia="zh-CN"/>
        </w:rPr>
        <w:t>～</w:t>
      </w:r>
      <w:r>
        <w:rPr>
          <w:rFonts w:hint="eastAsia"/>
          <w:color w:val="auto"/>
        </w:rPr>
        <w:t>5.40m，平均层厚2.27m。</w:t>
      </w:r>
    </w:p>
    <w:p>
      <w:pPr>
        <w:bidi w:val="0"/>
        <w:rPr>
          <w:color w:val="auto"/>
        </w:rPr>
      </w:pPr>
      <w:r>
        <w:rPr>
          <w:rFonts w:hint="eastAsia"/>
          <w:color w:val="auto"/>
        </w:rPr>
        <w:t>第⑥单元层：细砂（Q4al）</w:t>
      </w:r>
    </w:p>
    <w:p>
      <w:pPr>
        <w:bidi w:val="0"/>
        <w:rPr>
          <w:color w:val="auto"/>
        </w:rPr>
      </w:pPr>
      <w:r>
        <w:rPr>
          <w:rFonts w:hint="eastAsia"/>
          <w:color w:val="auto"/>
        </w:rPr>
        <w:t>灰黄色、饱和，密实，其主要矿物</w:t>
      </w:r>
      <w:r>
        <w:rPr>
          <w:rFonts w:hint="eastAsia"/>
          <w:color w:val="auto"/>
          <w:lang w:eastAsia="zh-CN"/>
        </w:rPr>
        <w:t>成分</w:t>
      </w:r>
      <w:r>
        <w:rPr>
          <w:rFonts w:hint="eastAsia"/>
          <w:color w:val="auto"/>
        </w:rPr>
        <w:t>为石英、长石、云母等，局部夹薄层粉土、粉质粘土及中砂。</w:t>
      </w:r>
    </w:p>
    <w:p>
      <w:pPr>
        <w:bidi w:val="0"/>
        <w:rPr>
          <w:color w:val="auto"/>
        </w:rPr>
      </w:pPr>
      <w:r>
        <w:rPr>
          <w:rFonts w:hint="eastAsia"/>
          <w:color w:val="auto"/>
        </w:rPr>
        <w:t>该层场区普遍分布，层底埋深26.50</w:t>
      </w:r>
      <w:r>
        <w:rPr>
          <w:rFonts w:hint="eastAsia"/>
          <w:color w:val="auto"/>
          <w:lang w:eastAsia="zh-CN"/>
        </w:rPr>
        <w:t>～</w:t>
      </w:r>
      <w:r>
        <w:rPr>
          <w:rFonts w:hint="eastAsia"/>
          <w:color w:val="auto"/>
        </w:rPr>
        <w:t>27.90m，层底标高41.98</w:t>
      </w:r>
      <w:r>
        <w:rPr>
          <w:rFonts w:hint="eastAsia"/>
          <w:color w:val="auto"/>
          <w:lang w:eastAsia="zh-CN"/>
        </w:rPr>
        <w:t>～</w:t>
      </w:r>
      <w:r>
        <w:rPr>
          <w:rFonts w:hint="eastAsia"/>
          <w:color w:val="auto"/>
        </w:rPr>
        <w:t>43.47m，层厚2.50</w:t>
      </w:r>
      <w:r>
        <w:rPr>
          <w:rFonts w:hint="eastAsia"/>
          <w:color w:val="auto"/>
          <w:lang w:eastAsia="zh-CN"/>
        </w:rPr>
        <w:t>～</w:t>
      </w:r>
      <w:r>
        <w:rPr>
          <w:rFonts w:hint="eastAsia"/>
          <w:color w:val="auto"/>
        </w:rPr>
        <w:t>3.60m，平均层厚2.87m。</w:t>
      </w:r>
    </w:p>
    <w:p>
      <w:pPr>
        <w:bidi w:val="0"/>
        <w:rPr>
          <w:color w:val="auto"/>
        </w:rPr>
      </w:pPr>
      <w:r>
        <w:rPr>
          <w:rFonts w:hint="eastAsia"/>
          <w:color w:val="auto"/>
        </w:rPr>
        <w:t>第⑦单元层：粉土（Q4al）</w:t>
      </w:r>
    </w:p>
    <w:p>
      <w:pPr>
        <w:bidi w:val="0"/>
        <w:rPr>
          <w:color w:val="auto"/>
        </w:rPr>
      </w:pPr>
      <w:r>
        <w:rPr>
          <w:rFonts w:hint="eastAsia"/>
          <w:color w:val="auto"/>
        </w:rPr>
        <w:t>褐黄色、很湿，中密～密实，无光泽反应，摇震反应中等，</w:t>
      </w:r>
      <w:r>
        <w:rPr>
          <w:rFonts w:hint="eastAsia"/>
          <w:color w:val="auto"/>
          <w:lang w:eastAsia="zh-CN"/>
        </w:rPr>
        <w:t>低干</w:t>
      </w:r>
      <w:r>
        <w:rPr>
          <w:rFonts w:hint="eastAsia"/>
          <w:color w:val="auto"/>
        </w:rPr>
        <w:t>强度，低韧性，局部夹薄层粉质粘土。</w:t>
      </w:r>
    </w:p>
    <w:p>
      <w:pPr>
        <w:bidi w:val="0"/>
        <w:rPr>
          <w:color w:val="auto"/>
        </w:rPr>
      </w:pPr>
      <w:r>
        <w:rPr>
          <w:rFonts w:hint="eastAsia"/>
          <w:color w:val="auto"/>
        </w:rPr>
        <w:t>该层未见底，揭露最大厚度3.50m。</w:t>
      </w:r>
    </w:p>
    <w:p>
      <w:pPr>
        <w:bidi w:val="0"/>
        <w:rPr>
          <w:color w:val="auto"/>
        </w:rPr>
      </w:pPr>
      <w:r>
        <w:rPr>
          <w:rFonts w:hint="eastAsia"/>
          <w:color w:val="auto"/>
        </w:rPr>
        <w:t>根据勘查，场地第3、4层为主要含水层，地下水类型为孔隙潜水类型，其补给来源为大气降水和侧向径流，排泄方式为蒸发、开采和侧向径流，水位年变化幅度2.0m左右，近3</w:t>
      </w:r>
      <w:r>
        <w:rPr>
          <w:rFonts w:hint="eastAsia"/>
          <w:color w:val="auto"/>
          <w:lang w:eastAsia="zh-CN"/>
        </w:rPr>
        <w:t>—</w:t>
      </w:r>
      <w:r>
        <w:rPr>
          <w:rFonts w:hint="eastAsia"/>
          <w:color w:val="auto"/>
        </w:rPr>
        <w:t>5年</w:t>
      </w:r>
      <w:r>
        <w:rPr>
          <w:rFonts w:hint="eastAsia"/>
          <w:color w:val="auto"/>
          <w:lang w:eastAsia="zh-CN"/>
        </w:rPr>
        <w:t>厂区内</w:t>
      </w:r>
      <w:r>
        <w:rPr>
          <w:rFonts w:hint="eastAsia"/>
          <w:color w:val="auto"/>
        </w:rPr>
        <w:t>最高水位埋深为自然地坪下9.0m左右，历史最高水位1.0m左右（近20年），区域地下水流向为西南向东北。</w:t>
      </w:r>
    </w:p>
    <w:p>
      <w:pPr>
        <w:pStyle w:val="9"/>
        <w:bidi w:val="0"/>
        <w:rPr>
          <w:color w:val="auto"/>
        </w:rPr>
      </w:pPr>
      <w:r>
        <w:rPr>
          <w:color w:val="auto"/>
        </w:rPr>
        <w:t>4</w:t>
      </w:r>
      <w:r>
        <w:rPr>
          <w:rFonts w:hint="eastAsia"/>
          <w:color w:val="auto"/>
        </w:rPr>
        <w:t>.1.5气候气象</w:t>
      </w:r>
    </w:p>
    <w:p>
      <w:pPr>
        <w:rPr>
          <w:color w:val="auto"/>
        </w:rPr>
      </w:pPr>
      <w:r>
        <w:rPr>
          <w:rFonts w:hint="eastAsia"/>
          <w:color w:val="auto"/>
        </w:rPr>
        <w:t>新乡经济技术开发区区域气候类型属暖温带大陆性季风气候，春季干旱多风沙，夏季炎热雨量大，秋季凉爽时令短，冬季寒冷少雨雪，气温的四季变化具有典型的大陆性气候特征，即冬冷夏热。年平均气温为</w:t>
      </w:r>
      <w:r>
        <w:rPr>
          <w:color w:val="auto"/>
        </w:rPr>
        <w:t>15.3</w:t>
      </w:r>
      <w:r>
        <w:rPr>
          <w:rFonts w:hint="eastAsia"/>
          <w:color w:val="auto"/>
        </w:rPr>
        <w:t>℃，</w:t>
      </w:r>
      <w:r>
        <w:rPr>
          <w:rFonts w:hint="eastAsia"/>
          <w:color w:val="auto"/>
          <w:lang w:val="en-US" w:eastAsia="zh-CN"/>
        </w:rPr>
        <w:t>根据</w:t>
      </w:r>
      <w:r>
        <w:rPr>
          <w:rFonts w:hint="eastAsia"/>
          <w:color w:val="auto"/>
          <w:lang w:val="en-US"/>
        </w:rPr>
        <w:t>新乡市连续</w:t>
      </w:r>
      <w:r>
        <w:rPr>
          <w:color w:val="auto"/>
          <w:lang w:val="en-US"/>
        </w:rPr>
        <w:t>20</w:t>
      </w:r>
      <w:r>
        <w:rPr>
          <w:rFonts w:hint="eastAsia"/>
          <w:color w:val="auto"/>
          <w:lang w:val="en-US"/>
        </w:rPr>
        <w:t>年（</w:t>
      </w:r>
      <w:r>
        <w:rPr>
          <w:color w:val="auto"/>
          <w:lang w:val="en-US"/>
        </w:rPr>
        <w:t>1998</w:t>
      </w:r>
      <w:r>
        <w:rPr>
          <w:rFonts w:hint="eastAsia"/>
          <w:color w:val="auto"/>
          <w:lang w:val="en-US" w:eastAsia="zh-CN"/>
        </w:rPr>
        <w:t>—</w:t>
      </w:r>
      <w:r>
        <w:rPr>
          <w:color w:val="auto"/>
          <w:lang w:val="en-US"/>
        </w:rPr>
        <w:t>2017</w:t>
      </w:r>
      <w:r>
        <w:rPr>
          <w:rFonts w:hint="eastAsia"/>
          <w:color w:val="auto"/>
          <w:lang w:val="en-US"/>
        </w:rPr>
        <w:t>年）的气象统计资料</w:t>
      </w:r>
      <w:r>
        <w:rPr>
          <w:rFonts w:hint="eastAsia"/>
          <w:color w:val="auto"/>
          <w:lang w:val="en-US" w:eastAsia="zh-CN"/>
        </w:rPr>
        <w:t>，</w:t>
      </w:r>
      <w:r>
        <w:rPr>
          <w:rFonts w:hint="eastAsia"/>
          <w:color w:val="auto"/>
        </w:rPr>
        <w:t>历年最高气温</w:t>
      </w:r>
      <w:r>
        <w:rPr>
          <w:rFonts w:hint="eastAsia"/>
          <w:color w:val="auto"/>
          <w:lang w:val="en-US" w:eastAsia="zh-CN"/>
        </w:rPr>
        <w:t>40.9</w:t>
      </w:r>
      <w:r>
        <w:rPr>
          <w:rFonts w:hint="eastAsia"/>
          <w:color w:val="auto"/>
        </w:rPr>
        <w:t>℃（1992年），最低气温-</w:t>
      </w:r>
      <w:r>
        <w:rPr>
          <w:rFonts w:hint="eastAsia"/>
          <w:color w:val="auto"/>
          <w:lang w:val="en-US" w:eastAsia="zh-CN"/>
        </w:rPr>
        <w:t>13.1</w:t>
      </w:r>
      <w:r>
        <w:rPr>
          <w:rFonts w:hint="eastAsia"/>
          <w:color w:val="auto"/>
        </w:rPr>
        <w:t>℃（1971年）。年均日照时数为2504小时，年均日照率57%。多年平均降雨量为</w:t>
      </w:r>
      <w:r>
        <w:rPr>
          <w:color w:val="auto"/>
        </w:rPr>
        <w:t>555.5</w:t>
      </w:r>
      <w:r>
        <w:rPr>
          <w:rFonts w:hint="eastAsia"/>
          <w:color w:val="auto"/>
        </w:rPr>
        <w:t>毫米，且年降水量季节分布很不均匀，大雨高度集中于夏季，多年平均降水日为74天。多年平均相对湿度为</w:t>
      </w:r>
      <w:r>
        <w:rPr>
          <w:color w:val="auto"/>
        </w:rPr>
        <w:t>63.0</w:t>
      </w:r>
      <w:r>
        <w:rPr>
          <w:rFonts w:hint="eastAsia"/>
          <w:color w:val="auto"/>
        </w:rPr>
        <w:t>%，平均冻结期为30天，无霜期为216天，多年主导风向为东北风，年平均风速2.08m/s。</w:t>
      </w:r>
    </w:p>
    <w:p>
      <w:pPr>
        <w:pStyle w:val="9"/>
        <w:bidi w:val="0"/>
        <w:rPr>
          <w:b/>
          <w:bCs/>
          <w:color w:val="auto"/>
          <w:u w:val="single"/>
        </w:rPr>
      </w:pPr>
      <w:r>
        <w:rPr>
          <w:b/>
          <w:bCs/>
          <w:color w:val="auto"/>
          <w:u w:val="single"/>
        </w:rPr>
        <w:t>4</w:t>
      </w:r>
      <w:r>
        <w:rPr>
          <w:rFonts w:hint="eastAsia"/>
          <w:b/>
          <w:bCs/>
          <w:color w:val="auto"/>
          <w:u w:val="single"/>
        </w:rPr>
        <w:t>.1.6土壤状况</w:t>
      </w:r>
    </w:p>
    <w:p>
      <w:pPr>
        <w:bidi w:val="0"/>
        <w:rPr>
          <w:rFonts w:hint="eastAsia"/>
          <w:b/>
          <w:bCs/>
          <w:color w:val="auto"/>
          <w:u w:val="single"/>
        </w:rPr>
      </w:pPr>
      <w:r>
        <w:rPr>
          <w:rFonts w:hint="eastAsia"/>
          <w:b/>
          <w:bCs/>
          <w:color w:val="auto"/>
          <w:u w:val="single"/>
        </w:rPr>
        <w:t>土壤母质系新生界第四系，为太行山前冲洪积物与黄河、沁河冲积物沉积而成。形成县境内砂质、壤质、粘质三级土壤，组成6个母质机械类型。境内黄河故道为沉砂组成，系砂土和砂壤土。黄河故道以北系黄河滩地，土质为褐土化小两合、褐土化两合土，并兼有不同的其他类型。古阳堤以北地势低洼，地下水渗入形成潮化，土壤为小两合、两合土，兼有不同的其他类型。共产主义渠以南、卫河两岸，多为潮化土壤。项目所在地土壤属潮土向褐土过渡的湿潮土、砂土。</w:t>
      </w:r>
    </w:p>
    <w:p>
      <w:pPr>
        <w:pStyle w:val="9"/>
        <w:bidi w:val="0"/>
        <w:rPr>
          <w:color w:val="auto"/>
        </w:rPr>
      </w:pPr>
      <w:r>
        <w:rPr>
          <w:color w:val="auto"/>
        </w:rPr>
        <w:t>4</w:t>
      </w:r>
      <w:r>
        <w:rPr>
          <w:rFonts w:hint="eastAsia"/>
          <w:color w:val="auto"/>
        </w:rPr>
        <w:t>.1.7动植物状况</w:t>
      </w:r>
    </w:p>
    <w:p>
      <w:pPr>
        <w:bidi w:val="0"/>
        <w:rPr>
          <w:color w:val="auto"/>
        </w:rPr>
      </w:pPr>
      <w:r>
        <w:rPr>
          <w:rFonts w:hint="eastAsia"/>
          <w:color w:val="auto"/>
        </w:rPr>
        <w:t>新乡经济技术开发区土壤属于潮土向褐土过渡的湿潮土、沙土。地表植被主要是林草及农作物，主要树种有国槐、刺槐、泡桐、柳树等，主要灌木有</w:t>
      </w:r>
      <w:r>
        <w:rPr>
          <w:rFonts w:hint="eastAsia"/>
          <w:color w:val="auto"/>
          <w:lang w:eastAsia="zh-CN"/>
        </w:rPr>
        <w:t>白蜡条</w:t>
      </w:r>
      <w:r>
        <w:rPr>
          <w:rFonts w:hint="eastAsia"/>
          <w:color w:val="auto"/>
        </w:rPr>
        <w:t>、胡枝子等。区域可见到小型野生动物青蛙、田鼠等，鸟类有麻雀、喜鹊、灰喜鹊等。新乡市不是一个资源型城市，不存在资源型城市大多具有的自然生态遭到破坏、环境污染和退化的问题，区域生态现状良好。</w:t>
      </w:r>
    </w:p>
    <w:bookmarkEnd w:id="241"/>
    <w:bookmarkEnd w:id="242"/>
    <w:bookmarkEnd w:id="243"/>
    <w:bookmarkEnd w:id="244"/>
    <w:bookmarkEnd w:id="245"/>
    <w:bookmarkEnd w:id="246"/>
    <w:bookmarkEnd w:id="247"/>
    <w:bookmarkEnd w:id="248"/>
    <w:p>
      <w:pPr>
        <w:pStyle w:val="7"/>
        <w:bidi w:val="0"/>
        <w:rPr>
          <w:color w:val="auto"/>
        </w:rPr>
      </w:pPr>
      <w:bookmarkStart w:id="249" w:name="_Toc12721"/>
      <w:bookmarkStart w:id="250" w:name="_Toc18851"/>
      <w:bookmarkStart w:id="251" w:name="_Toc6180"/>
      <w:r>
        <w:rPr>
          <w:rFonts w:hint="eastAsia"/>
          <w:color w:val="auto"/>
        </w:rPr>
        <w:t>4</w:t>
      </w:r>
      <w:r>
        <w:rPr>
          <w:color w:val="auto"/>
        </w:rPr>
        <w:t>.</w:t>
      </w:r>
      <w:r>
        <w:rPr>
          <w:rFonts w:hint="eastAsia"/>
          <w:color w:val="auto"/>
        </w:rPr>
        <w:t>2</w:t>
      </w:r>
      <w:bookmarkStart w:id="252" w:name="_Toc51319866"/>
      <w:r>
        <w:rPr>
          <w:rFonts w:hint="eastAsia"/>
          <w:color w:val="auto"/>
        </w:rPr>
        <w:t>环境质量现状监测与评价</w:t>
      </w:r>
      <w:bookmarkEnd w:id="249"/>
      <w:bookmarkEnd w:id="250"/>
      <w:bookmarkEnd w:id="251"/>
      <w:bookmarkEnd w:id="252"/>
    </w:p>
    <w:p>
      <w:pPr>
        <w:pStyle w:val="9"/>
        <w:bidi w:val="0"/>
        <w:rPr>
          <w:color w:val="auto"/>
        </w:rPr>
      </w:pPr>
      <w:bookmarkStart w:id="253" w:name="_Toc26804"/>
      <w:bookmarkStart w:id="254" w:name="_Toc25610"/>
      <w:bookmarkStart w:id="255" w:name="_Toc11156"/>
      <w:bookmarkStart w:id="256" w:name="_Toc24765"/>
      <w:bookmarkStart w:id="257" w:name="_Toc29956"/>
      <w:bookmarkStart w:id="258" w:name="_Toc30129"/>
      <w:bookmarkStart w:id="259" w:name="_Toc22122"/>
      <w:r>
        <w:rPr>
          <w:color w:val="auto"/>
        </w:rPr>
        <w:t>4.</w:t>
      </w:r>
      <w:r>
        <w:rPr>
          <w:rFonts w:hint="eastAsia"/>
          <w:color w:val="auto"/>
        </w:rPr>
        <w:t>2.1现状监测数据来源</w:t>
      </w:r>
      <w:bookmarkEnd w:id="253"/>
      <w:bookmarkEnd w:id="254"/>
      <w:bookmarkEnd w:id="255"/>
      <w:bookmarkEnd w:id="256"/>
      <w:bookmarkEnd w:id="257"/>
      <w:bookmarkEnd w:id="258"/>
      <w:bookmarkEnd w:id="259"/>
    </w:p>
    <w:p>
      <w:pPr>
        <w:spacing w:line="520" w:lineRule="exact"/>
        <w:ind w:firstLine="480" w:firstLineChars="200"/>
        <w:rPr>
          <w:color w:val="auto"/>
        </w:rPr>
      </w:pPr>
      <w:bookmarkStart w:id="260" w:name="_Toc199566844"/>
      <w:bookmarkStart w:id="261" w:name="_Toc199565748"/>
      <w:bookmarkStart w:id="262" w:name="_Toc324839303"/>
      <w:bookmarkStart w:id="263" w:name="_Toc311812644"/>
      <w:bookmarkStart w:id="264" w:name="_Toc502244697"/>
      <w:bookmarkStart w:id="265" w:name="_Toc324839600"/>
      <w:bookmarkStart w:id="266" w:name="_Toc429318407"/>
      <w:bookmarkStart w:id="267" w:name="_Toc428287224"/>
      <w:bookmarkStart w:id="268" w:name="_Toc310408270"/>
      <w:bookmarkStart w:id="269" w:name="_Toc428286863"/>
      <w:r>
        <w:rPr>
          <w:rFonts w:hint="eastAsia"/>
          <w:color w:val="auto"/>
        </w:rPr>
        <w:t>为了掌握评价区域环境空气、地表水、声环境、地下水、土壤环境质量状况，评价单位收集了区域近期的环境数据，并补充了缺少的监测。区域环境资料收集和监测情况详见表4</w:t>
      </w:r>
      <w:r>
        <w:rPr>
          <w:rFonts w:hint="eastAsia"/>
          <w:color w:val="auto"/>
          <w:lang w:val="en-US" w:eastAsia="zh-CN"/>
        </w:rPr>
        <w:t>.2</w:t>
      </w:r>
      <w:r>
        <w:rPr>
          <w:rFonts w:hint="eastAsia"/>
          <w:color w:val="auto"/>
        </w:rPr>
        <w:t>-1。</w:t>
      </w:r>
    </w:p>
    <w:p>
      <w:pPr>
        <w:pStyle w:val="181"/>
        <w:bidi w:val="0"/>
        <w:rPr>
          <w:color w:val="auto"/>
        </w:rPr>
      </w:pPr>
      <w:r>
        <w:rPr>
          <w:rFonts w:hint="eastAsia"/>
          <w:color w:val="auto"/>
        </w:rPr>
        <w:t>表4</w:t>
      </w:r>
      <w:r>
        <w:rPr>
          <w:rFonts w:hint="eastAsia"/>
          <w:color w:val="auto"/>
          <w:lang w:val="en-US" w:eastAsia="zh-CN"/>
        </w:rPr>
        <w:t>.2</w:t>
      </w:r>
      <w:r>
        <w:rPr>
          <w:rFonts w:hint="eastAsia"/>
          <w:color w:val="auto"/>
        </w:rPr>
        <w:t xml:space="preserve">-1 </w:t>
      </w:r>
      <w:r>
        <w:rPr>
          <w:color w:val="auto"/>
        </w:rPr>
        <w:t xml:space="preserve"> </w:t>
      </w:r>
      <w:r>
        <w:rPr>
          <w:rFonts w:hint="eastAsia"/>
          <w:color w:val="auto"/>
          <w:lang w:val="en-US" w:eastAsia="zh-CN"/>
        </w:rPr>
        <w:t xml:space="preserve">   </w:t>
      </w:r>
      <w:r>
        <w:rPr>
          <w:rFonts w:hint="eastAsia"/>
          <w:color w:val="auto"/>
        </w:rPr>
        <w:t>区域环境资料收集及监测情况汇总表</w:t>
      </w:r>
    </w:p>
    <w:tbl>
      <w:tblPr>
        <w:tblStyle w:val="33"/>
        <w:tblW w:w="88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1"/>
        <w:gridCol w:w="1183"/>
        <w:gridCol w:w="2145"/>
        <w:gridCol w:w="2585"/>
        <w:gridCol w:w="2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61" w:type="dxa"/>
            <w:vAlign w:val="center"/>
          </w:tcPr>
          <w:p>
            <w:pPr>
              <w:pStyle w:val="182"/>
              <w:bidi w:val="0"/>
              <w:rPr>
                <w:b/>
                <w:bCs/>
                <w:color w:val="auto"/>
              </w:rPr>
            </w:pPr>
            <w:r>
              <w:rPr>
                <w:rFonts w:hint="eastAsia"/>
                <w:b/>
                <w:bCs/>
                <w:color w:val="auto"/>
              </w:rPr>
              <w:t>类别</w:t>
            </w:r>
          </w:p>
        </w:tc>
        <w:tc>
          <w:tcPr>
            <w:tcW w:w="1183" w:type="dxa"/>
            <w:vAlign w:val="center"/>
          </w:tcPr>
          <w:p>
            <w:pPr>
              <w:pStyle w:val="182"/>
              <w:bidi w:val="0"/>
              <w:rPr>
                <w:b/>
                <w:bCs/>
                <w:color w:val="auto"/>
              </w:rPr>
            </w:pPr>
            <w:r>
              <w:rPr>
                <w:rFonts w:hint="eastAsia"/>
                <w:b/>
                <w:bCs/>
                <w:color w:val="auto"/>
              </w:rPr>
              <w:t>调查（监测）点位</w:t>
            </w:r>
          </w:p>
        </w:tc>
        <w:tc>
          <w:tcPr>
            <w:tcW w:w="2145" w:type="dxa"/>
            <w:vAlign w:val="center"/>
          </w:tcPr>
          <w:p>
            <w:pPr>
              <w:pStyle w:val="182"/>
              <w:bidi w:val="0"/>
              <w:rPr>
                <w:b/>
                <w:bCs/>
                <w:color w:val="auto"/>
              </w:rPr>
            </w:pPr>
            <w:r>
              <w:rPr>
                <w:rFonts w:hint="eastAsia"/>
                <w:b/>
                <w:bCs/>
                <w:color w:val="auto"/>
              </w:rPr>
              <w:t>调查（监测）因子</w:t>
            </w:r>
          </w:p>
        </w:tc>
        <w:tc>
          <w:tcPr>
            <w:tcW w:w="2585" w:type="dxa"/>
            <w:vAlign w:val="center"/>
          </w:tcPr>
          <w:p>
            <w:pPr>
              <w:pStyle w:val="182"/>
              <w:bidi w:val="0"/>
              <w:rPr>
                <w:b/>
                <w:bCs/>
                <w:color w:val="auto"/>
              </w:rPr>
            </w:pPr>
            <w:r>
              <w:rPr>
                <w:rFonts w:hint="eastAsia"/>
                <w:b/>
                <w:bCs/>
                <w:color w:val="auto"/>
              </w:rPr>
              <w:t>数据来源</w:t>
            </w:r>
          </w:p>
        </w:tc>
        <w:tc>
          <w:tcPr>
            <w:tcW w:w="2416" w:type="dxa"/>
            <w:vAlign w:val="center"/>
          </w:tcPr>
          <w:p>
            <w:pPr>
              <w:pStyle w:val="182"/>
              <w:bidi w:val="0"/>
              <w:rPr>
                <w:b/>
                <w:bCs/>
                <w:color w:val="auto"/>
              </w:rPr>
            </w:pPr>
            <w:r>
              <w:rPr>
                <w:rFonts w:hint="eastAsia"/>
                <w:b/>
                <w:bCs/>
                <w:color w:val="auto"/>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561" w:type="dxa"/>
            <w:vMerge w:val="restart"/>
            <w:vAlign w:val="center"/>
          </w:tcPr>
          <w:p>
            <w:pPr>
              <w:pStyle w:val="182"/>
              <w:bidi w:val="0"/>
              <w:rPr>
                <w:color w:val="auto"/>
              </w:rPr>
            </w:pPr>
            <w:r>
              <w:rPr>
                <w:rFonts w:hint="eastAsia"/>
                <w:color w:val="auto"/>
              </w:rPr>
              <w:t>环境空气</w:t>
            </w:r>
          </w:p>
        </w:tc>
        <w:tc>
          <w:tcPr>
            <w:tcW w:w="1183" w:type="dxa"/>
            <w:vAlign w:val="center"/>
          </w:tcPr>
          <w:p>
            <w:pPr>
              <w:pStyle w:val="182"/>
              <w:bidi w:val="0"/>
              <w:rPr>
                <w:color w:val="auto"/>
              </w:rPr>
            </w:pPr>
            <w:r>
              <w:rPr>
                <w:rFonts w:hint="eastAsia"/>
                <w:color w:val="auto"/>
              </w:rPr>
              <w:t>张兴庄</w:t>
            </w:r>
          </w:p>
        </w:tc>
        <w:tc>
          <w:tcPr>
            <w:tcW w:w="2145" w:type="dxa"/>
            <w:vMerge w:val="restart"/>
            <w:vAlign w:val="center"/>
          </w:tcPr>
          <w:p>
            <w:pPr>
              <w:pStyle w:val="182"/>
              <w:bidi w:val="0"/>
              <w:rPr>
                <w:rFonts w:hint="eastAsia"/>
                <w:color w:val="auto"/>
              </w:rPr>
            </w:pPr>
            <w:r>
              <w:rPr>
                <w:rFonts w:hint="eastAsia"/>
                <w:color w:val="auto"/>
              </w:rPr>
              <w:t>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w:t>
            </w:r>
            <w:r>
              <w:rPr>
                <w:rFonts w:hint="eastAsia"/>
                <w:color w:val="auto"/>
                <w:lang w:val="en-US" w:eastAsia="zh-CN"/>
              </w:rPr>
              <w:t>臭氧</w:t>
            </w:r>
            <w:r>
              <w:rPr>
                <w:rFonts w:hint="eastAsia"/>
                <w:color w:val="auto"/>
              </w:rPr>
              <w:t>、PM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、硫酸雾</w:t>
            </w:r>
            <w:r>
              <w:rPr>
                <w:rFonts w:hint="eastAsia"/>
                <w:color w:val="auto"/>
                <w:lang w:eastAsia="zh-CN"/>
              </w:rPr>
              <w:t>、</w:t>
            </w:r>
            <w:r>
              <w:rPr>
                <w:rFonts w:hint="eastAsia"/>
                <w:b/>
                <w:bCs/>
                <w:color w:val="auto"/>
                <w:u w:val="single"/>
              </w:rPr>
              <w:t>硫化氢、二硫化碳、氨</w:t>
            </w:r>
          </w:p>
        </w:tc>
        <w:tc>
          <w:tcPr>
            <w:tcW w:w="2585" w:type="dxa"/>
            <w:vMerge w:val="restart"/>
            <w:vAlign w:val="center"/>
          </w:tcPr>
          <w:p>
            <w:pPr>
              <w:pStyle w:val="182"/>
              <w:bidi w:val="0"/>
              <w:rPr>
                <w:color w:val="auto"/>
              </w:rPr>
            </w:pPr>
            <w:r>
              <w:rPr>
                <w:rFonts w:hint="eastAsia"/>
                <w:color w:val="auto"/>
              </w:rPr>
              <w:t>《新乡经济技术开发区区域环境现状评价报告》2</w:t>
            </w:r>
            <w:r>
              <w:rPr>
                <w:color w:val="auto"/>
              </w:rPr>
              <w:t>022.6</w:t>
            </w:r>
          </w:p>
        </w:tc>
        <w:tc>
          <w:tcPr>
            <w:tcW w:w="2416" w:type="dxa"/>
            <w:vMerge w:val="restart"/>
            <w:vAlign w:val="center"/>
          </w:tcPr>
          <w:p>
            <w:pPr>
              <w:pStyle w:val="182"/>
              <w:bidi w:val="0"/>
              <w:rPr>
                <w:color w:val="auto"/>
              </w:rPr>
            </w:pPr>
            <w:r>
              <w:rPr>
                <w:rFonts w:hint="eastAsia"/>
                <w:color w:val="auto"/>
              </w:rPr>
              <w:t>2021.11.02~2021.11.05，2021.11.08~2021.11.10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561" w:type="dxa"/>
            <w:vMerge w:val="continue"/>
            <w:vAlign w:val="center"/>
          </w:tcPr>
          <w:p>
            <w:pPr>
              <w:pStyle w:val="182"/>
              <w:bidi w:val="0"/>
              <w:rPr>
                <w:color w:val="auto"/>
              </w:rPr>
            </w:pPr>
          </w:p>
        </w:tc>
        <w:tc>
          <w:tcPr>
            <w:tcW w:w="1183" w:type="dxa"/>
            <w:vAlign w:val="center"/>
          </w:tcPr>
          <w:p>
            <w:pPr>
              <w:pStyle w:val="182"/>
              <w:bidi w:val="0"/>
              <w:rPr>
                <w:color w:val="auto"/>
              </w:rPr>
            </w:pPr>
            <w:r>
              <w:rPr>
                <w:rFonts w:hint="eastAsia"/>
                <w:color w:val="auto"/>
              </w:rPr>
              <w:t>大杨庄</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Align w:val="center"/>
          </w:tcPr>
          <w:p>
            <w:pPr>
              <w:pStyle w:val="182"/>
              <w:bidi w:val="0"/>
              <w:rPr>
                <w:color w:val="auto"/>
              </w:rPr>
            </w:pPr>
            <w:r>
              <w:rPr>
                <w:rFonts w:hint="eastAsia"/>
                <w:color w:val="auto"/>
              </w:rPr>
              <w:t>地表水</w:t>
            </w:r>
          </w:p>
        </w:tc>
        <w:tc>
          <w:tcPr>
            <w:tcW w:w="1183" w:type="dxa"/>
            <w:vAlign w:val="center"/>
          </w:tcPr>
          <w:p>
            <w:pPr>
              <w:pStyle w:val="182"/>
              <w:bidi w:val="0"/>
              <w:rPr>
                <w:color w:val="auto"/>
              </w:rPr>
            </w:pPr>
            <w:r>
              <w:rPr>
                <w:rFonts w:hint="eastAsia"/>
                <w:color w:val="auto"/>
              </w:rPr>
              <w:t>大沙河水花堡桥断面</w:t>
            </w:r>
          </w:p>
        </w:tc>
        <w:tc>
          <w:tcPr>
            <w:tcW w:w="2145" w:type="dxa"/>
            <w:vAlign w:val="center"/>
          </w:tcPr>
          <w:p>
            <w:pPr>
              <w:pStyle w:val="182"/>
              <w:bidi w:val="0"/>
              <w:rPr>
                <w:color w:val="auto"/>
              </w:rPr>
            </w:pPr>
            <w:r>
              <w:rPr>
                <w:rFonts w:hint="eastAsia"/>
                <w:color w:val="auto"/>
              </w:rPr>
              <w:t>化学需氧量、NH</w:t>
            </w:r>
            <w:r>
              <w:rPr>
                <w:rFonts w:hint="eastAsia"/>
                <w:color w:val="auto"/>
                <w:vertAlign w:val="subscript"/>
              </w:rPr>
              <w:t>3</w:t>
            </w:r>
            <w:r>
              <w:rPr>
                <w:rFonts w:hint="eastAsia"/>
                <w:color w:val="auto"/>
              </w:rPr>
              <w:t>-N、TN、TP</w:t>
            </w:r>
          </w:p>
        </w:tc>
        <w:tc>
          <w:tcPr>
            <w:tcW w:w="2585" w:type="dxa"/>
            <w:vAlign w:val="center"/>
          </w:tcPr>
          <w:p>
            <w:pPr>
              <w:pStyle w:val="182"/>
              <w:bidi w:val="0"/>
              <w:rPr>
                <w:color w:val="auto"/>
              </w:rPr>
            </w:pPr>
            <w:r>
              <w:rPr>
                <w:rFonts w:hint="eastAsia"/>
                <w:color w:val="auto"/>
              </w:rPr>
              <w:t>《新乡经济技术开发区区域环境现状评价报告》2</w:t>
            </w:r>
            <w:r>
              <w:rPr>
                <w:color w:val="auto"/>
              </w:rPr>
              <w:t>022.6</w:t>
            </w:r>
          </w:p>
        </w:tc>
        <w:tc>
          <w:tcPr>
            <w:tcW w:w="2416" w:type="dxa"/>
            <w:vAlign w:val="center"/>
          </w:tcPr>
          <w:p>
            <w:pPr>
              <w:pStyle w:val="182"/>
              <w:bidi w:val="0"/>
              <w:rPr>
                <w:color w:val="auto"/>
              </w:rPr>
            </w:pPr>
            <w:r>
              <w:rPr>
                <w:rFonts w:hint="eastAsia"/>
                <w:color w:val="auto"/>
              </w:rPr>
              <w:t>2021.1</w:t>
            </w:r>
            <w:r>
              <w:rPr>
                <w:color w:val="auto"/>
              </w:rPr>
              <w:t>2</w:t>
            </w:r>
            <w:r>
              <w:rPr>
                <w:rFonts w:hint="eastAsia"/>
                <w:color w:val="auto"/>
              </w:rPr>
              <w:t>.0</w:t>
            </w:r>
            <w:r>
              <w:rPr>
                <w:color w:val="auto"/>
              </w:rPr>
              <w:t xml:space="preserve">9 </w:t>
            </w:r>
            <w:r>
              <w:rPr>
                <w:rFonts w:hint="eastAsia"/>
                <w:color w:val="auto"/>
              </w:rPr>
              <w:t>~2021.1</w:t>
            </w:r>
            <w:r>
              <w:rPr>
                <w:color w:val="auto"/>
              </w:rPr>
              <w:t>2</w:t>
            </w:r>
            <w:r>
              <w:rPr>
                <w:rFonts w:hint="eastAsia"/>
                <w:color w:val="auto"/>
              </w:rPr>
              <w:t>.</w:t>
            </w:r>
            <w:r>
              <w:rPr>
                <w:color w:val="auto"/>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561" w:type="dxa"/>
            <w:vMerge w:val="restart"/>
            <w:vAlign w:val="center"/>
          </w:tcPr>
          <w:p>
            <w:pPr>
              <w:pStyle w:val="182"/>
              <w:bidi w:val="0"/>
              <w:rPr>
                <w:color w:val="auto"/>
              </w:rPr>
            </w:pPr>
            <w:r>
              <w:rPr>
                <w:rFonts w:hint="eastAsia"/>
                <w:color w:val="auto"/>
              </w:rPr>
              <w:t>地下水</w:t>
            </w:r>
          </w:p>
        </w:tc>
        <w:tc>
          <w:tcPr>
            <w:tcW w:w="1183" w:type="dxa"/>
            <w:vAlign w:val="center"/>
          </w:tcPr>
          <w:p>
            <w:pPr>
              <w:pStyle w:val="182"/>
              <w:rPr>
                <w:color w:val="auto"/>
                <w:lang w:val="en-US" w:eastAsia="zh-CN"/>
              </w:rPr>
            </w:pPr>
            <w:r>
              <w:rPr>
                <w:rFonts w:hint="eastAsia"/>
                <w:color w:val="auto"/>
                <w:lang w:val="en-US" w:eastAsia="zh-CN"/>
              </w:rPr>
              <w:t>化纤厂新厂区水井</w:t>
            </w:r>
          </w:p>
          <w:p>
            <w:pPr>
              <w:pStyle w:val="182"/>
              <w:rPr>
                <w:color w:val="auto"/>
              </w:rPr>
            </w:pPr>
            <w:r>
              <w:rPr>
                <w:rFonts w:hint="eastAsia"/>
                <w:color w:val="auto"/>
                <w:lang w:val="en-US" w:eastAsia="zh-CN"/>
              </w:rPr>
              <w:t>（工业用）</w:t>
            </w:r>
          </w:p>
        </w:tc>
        <w:tc>
          <w:tcPr>
            <w:tcW w:w="2145" w:type="dxa"/>
            <w:vMerge w:val="restart"/>
            <w:vAlign w:val="center"/>
          </w:tcPr>
          <w:p>
            <w:pPr>
              <w:pStyle w:val="182"/>
              <w:bidi w:val="0"/>
              <w:rPr>
                <w:color w:val="auto"/>
              </w:rPr>
            </w:pPr>
            <w:r>
              <w:rPr>
                <w:color w:val="auto"/>
                <w:sz w:val="24"/>
              </w:rPr>
              <w:t>pH</w:t>
            </w:r>
            <w:r>
              <w:rPr>
                <w:rFonts w:hint="eastAsia"/>
                <w:color w:val="auto"/>
                <w:sz w:val="24"/>
              </w:rPr>
              <w:t>、氨氮、总硬度、溶解性总固体、耗氧量、</w:t>
            </w:r>
            <w:r>
              <w:rPr>
                <w:color w:val="auto"/>
                <w:sz w:val="24"/>
              </w:rPr>
              <w:t>K</w:t>
            </w:r>
            <w:r>
              <w:rPr>
                <w:color w:val="auto"/>
                <w:sz w:val="24"/>
                <w:vertAlign w:val="superscript"/>
              </w:rPr>
              <w:t>+</w:t>
            </w:r>
            <w:r>
              <w:rPr>
                <w:rFonts w:hint="eastAsia"/>
                <w:color w:val="auto"/>
                <w:sz w:val="24"/>
              </w:rPr>
              <w:t>、</w:t>
            </w:r>
            <w:r>
              <w:rPr>
                <w:color w:val="auto"/>
                <w:sz w:val="24"/>
              </w:rPr>
              <w:t>Na</w:t>
            </w:r>
            <w:r>
              <w:rPr>
                <w:color w:val="auto"/>
                <w:sz w:val="24"/>
                <w:vertAlign w:val="superscript"/>
              </w:rPr>
              <w:t>+</w:t>
            </w:r>
            <w:r>
              <w:rPr>
                <w:rFonts w:hint="eastAsia"/>
                <w:color w:val="auto"/>
                <w:sz w:val="24"/>
              </w:rPr>
              <w:t>、</w:t>
            </w:r>
            <w:r>
              <w:rPr>
                <w:color w:val="auto"/>
                <w:sz w:val="24"/>
              </w:rPr>
              <w:t>Ca</w:t>
            </w:r>
            <w:r>
              <w:rPr>
                <w:color w:val="auto"/>
                <w:sz w:val="24"/>
                <w:vertAlign w:val="superscript"/>
              </w:rPr>
              <w:t>2+</w:t>
            </w:r>
            <w:r>
              <w:rPr>
                <w:rFonts w:hint="eastAsia"/>
                <w:color w:val="auto"/>
                <w:sz w:val="24"/>
              </w:rPr>
              <w:t>、</w:t>
            </w:r>
            <w:r>
              <w:rPr>
                <w:color w:val="auto"/>
                <w:sz w:val="24"/>
              </w:rPr>
              <w:t>Mg</w:t>
            </w:r>
            <w:r>
              <w:rPr>
                <w:color w:val="auto"/>
                <w:sz w:val="24"/>
                <w:vertAlign w:val="superscript"/>
              </w:rPr>
              <w:t>2+</w:t>
            </w:r>
            <w:r>
              <w:rPr>
                <w:rFonts w:hint="eastAsia"/>
                <w:color w:val="auto"/>
                <w:sz w:val="24"/>
              </w:rPr>
              <w:t>、</w:t>
            </w:r>
            <w:r>
              <w:rPr>
                <w:color w:val="auto"/>
                <w:sz w:val="24"/>
              </w:rPr>
              <w:t>CO</w:t>
            </w:r>
            <w:r>
              <w:rPr>
                <w:color w:val="auto"/>
                <w:sz w:val="24"/>
                <w:vertAlign w:val="subscript"/>
              </w:rPr>
              <w:t>3</w:t>
            </w:r>
            <w:r>
              <w:rPr>
                <w:color w:val="auto"/>
                <w:sz w:val="24"/>
                <w:vertAlign w:val="superscript"/>
              </w:rPr>
              <w:t>2-</w:t>
            </w:r>
            <w:r>
              <w:rPr>
                <w:rFonts w:hint="eastAsia"/>
                <w:color w:val="auto"/>
                <w:sz w:val="24"/>
              </w:rPr>
              <w:t>、</w:t>
            </w:r>
            <w:r>
              <w:rPr>
                <w:color w:val="auto"/>
                <w:sz w:val="24"/>
              </w:rPr>
              <w:t>HCO</w:t>
            </w:r>
            <w:r>
              <w:rPr>
                <w:color w:val="auto"/>
                <w:sz w:val="24"/>
                <w:vertAlign w:val="subscript"/>
              </w:rPr>
              <w:t>3</w:t>
            </w:r>
            <w:r>
              <w:rPr>
                <w:color w:val="auto"/>
                <w:sz w:val="24"/>
                <w:vertAlign w:val="superscript"/>
              </w:rPr>
              <w:t>-</w:t>
            </w:r>
            <w:r>
              <w:rPr>
                <w:rFonts w:hint="eastAsia"/>
                <w:color w:val="auto"/>
                <w:sz w:val="24"/>
              </w:rPr>
              <w:t>、</w:t>
            </w:r>
            <w:r>
              <w:rPr>
                <w:color w:val="auto"/>
                <w:sz w:val="24"/>
              </w:rPr>
              <w:t>Cl</w:t>
            </w:r>
            <w:r>
              <w:rPr>
                <w:color w:val="auto"/>
                <w:sz w:val="24"/>
                <w:vertAlign w:val="superscript"/>
              </w:rPr>
              <w:t>-</w:t>
            </w:r>
            <w:r>
              <w:rPr>
                <w:rFonts w:hint="eastAsia"/>
                <w:color w:val="auto"/>
                <w:sz w:val="24"/>
              </w:rPr>
              <w:t>、</w:t>
            </w:r>
            <w:r>
              <w:rPr>
                <w:color w:val="auto"/>
                <w:sz w:val="24"/>
              </w:rPr>
              <w:t>SO</w:t>
            </w:r>
            <w:r>
              <w:rPr>
                <w:color w:val="auto"/>
                <w:sz w:val="24"/>
                <w:vertAlign w:val="subscript"/>
              </w:rPr>
              <w:t>4</w:t>
            </w:r>
            <w:r>
              <w:rPr>
                <w:color w:val="auto"/>
                <w:sz w:val="24"/>
                <w:vertAlign w:val="superscript"/>
              </w:rPr>
              <w:t>2-</w:t>
            </w:r>
          </w:p>
        </w:tc>
        <w:tc>
          <w:tcPr>
            <w:tcW w:w="2585" w:type="dxa"/>
            <w:vMerge w:val="restart"/>
            <w:vAlign w:val="center"/>
          </w:tcPr>
          <w:p>
            <w:pPr>
              <w:pStyle w:val="182"/>
              <w:bidi w:val="0"/>
              <w:rPr>
                <w:color w:val="auto"/>
              </w:rPr>
            </w:pPr>
            <w:r>
              <w:rPr>
                <w:rFonts w:hint="eastAsia"/>
                <w:color w:val="auto"/>
              </w:rPr>
              <w:t>《新乡化纤股份有限公司环境质量现状检测（YFJC-WT21F09025）》</w:t>
            </w:r>
          </w:p>
        </w:tc>
        <w:tc>
          <w:tcPr>
            <w:tcW w:w="2416" w:type="dxa"/>
            <w:vMerge w:val="restart"/>
            <w:vAlign w:val="center"/>
          </w:tcPr>
          <w:p>
            <w:pPr>
              <w:pStyle w:val="182"/>
              <w:bidi w:val="0"/>
              <w:rPr>
                <w:color w:val="auto"/>
              </w:rPr>
            </w:pPr>
            <w:r>
              <w:rPr>
                <w:rFonts w:hint="eastAsia"/>
                <w:color w:val="auto"/>
              </w:rPr>
              <w:t>2021</w:t>
            </w:r>
            <w:r>
              <w:rPr>
                <w:rFonts w:hint="eastAsia"/>
                <w:color w:val="auto"/>
                <w:lang w:eastAsia="zh-CN"/>
              </w:rPr>
              <w:t>.</w:t>
            </w:r>
            <w:r>
              <w:rPr>
                <w:rFonts w:hint="eastAsia"/>
                <w:color w:val="auto"/>
              </w:rPr>
              <w:t>10</w:t>
            </w:r>
            <w:r>
              <w:rPr>
                <w:rFonts w:hint="eastAsia"/>
                <w:color w:val="auto"/>
                <w:lang w:val="en-US" w:eastAsia="zh-CN"/>
              </w:rPr>
              <w:t>.</w:t>
            </w: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61" w:type="dxa"/>
            <w:vMerge w:val="continue"/>
            <w:vAlign w:val="center"/>
          </w:tcPr>
          <w:p>
            <w:pPr>
              <w:pStyle w:val="182"/>
              <w:bidi w:val="0"/>
              <w:rPr>
                <w:color w:val="auto"/>
              </w:rPr>
            </w:pPr>
          </w:p>
        </w:tc>
        <w:tc>
          <w:tcPr>
            <w:tcW w:w="1183" w:type="dxa"/>
            <w:vAlign w:val="center"/>
          </w:tcPr>
          <w:p>
            <w:pPr>
              <w:pStyle w:val="182"/>
              <w:rPr>
                <w:color w:val="auto"/>
              </w:rPr>
            </w:pPr>
            <w:r>
              <w:rPr>
                <w:rFonts w:hint="eastAsia"/>
                <w:color w:val="auto"/>
                <w:lang w:val="en-US" w:eastAsia="zh-CN"/>
              </w:rPr>
              <w:t>夏庄村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color w:val="auto"/>
              </w:rPr>
            </w:pPr>
            <w:r>
              <w:rPr>
                <w:rFonts w:hint="eastAsia"/>
                <w:color w:val="auto"/>
                <w:lang w:val="en-US" w:eastAsia="zh-CN"/>
              </w:rPr>
              <w:t>水花堡村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color w:val="auto"/>
              </w:rPr>
            </w:pPr>
            <w:r>
              <w:rPr>
                <w:rFonts w:hint="eastAsia"/>
                <w:color w:val="auto"/>
                <w:lang w:val="en-US" w:eastAsia="zh-CN"/>
              </w:rPr>
              <w:t>大杨庄村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color w:val="auto"/>
                <w:lang w:val="en-US" w:eastAsia="zh-CN"/>
              </w:rPr>
            </w:pPr>
            <w:r>
              <w:rPr>
                <w:rFonts w:hint="eastAsia"/>
                <w:color w:val="auto"/>
                <w:lang w:val="en-US" w:eastAsia="zh-CN"/>
              </w:rPr>
              <w:t>化纤厂新厂区水井</w:t>
            </w:r>
          </w:p>
          <w:p>
            <w:pPr>
              <w:pStyle w:val="182"/>
              <w:rPr>
                <w:color w:val="auto"/>
              </w:rPr>
            </w:pPr>
            <w:r>
              <w:rPr>
                <w:rFonts w:hint="eastAsia"/>
                <w:color w:val="auto"/>
                <w:lang w:val="en-US" w:eastAsia="zh-CN"/>
              </w:rPr>
              <w:t>（工业用）</w:t>
            </w:r>
          </w:p>
        </w:tc>
        <w:tc>
          <w:tcPr>
            <w:tcW w:w="2145" w:type="dxa"/>
            <w:vMerge w:val="restart"/>
            <w:vAlign w:val="center"/>
          </w:tcPr>
          <w:p>
            <w:pPr>
              <w:pStyle w:val="182"/>
              <w:bidi w:val="0"/>
              <w:rPr>
                <w:rFonts w:hint="eastAsia" w:eastAsia="宋体"/>
                <w:color w:val="auto"/>
                <w:lang w:val="en-US" w:eastAsia="zh-CN"/>
              </w:rPr>
            </w:pPr>
            <w:r>
              <w:rPr>
                <w:rFonts w:hint="eastAsia"/>
                <w:color w:val="auto"/>
                <w:lang w:val="en-US" w:eastAsia="zh-CN"/>
              </w:rPr>
              <w:t>水位</w:t>
            </w: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rFonts w:hint="eastAsia"/>
                <w:color w:val="auto"/>
              </w:rPr>
            </w:pPr>
            <w:r>
              <w:rPr>
                <w:rFonts w:hint="eastAsia"/>
                <w:color w:val="auto"/>
                <w:lang w:val="en-US" w:eastAsia="zh-CN"/>
              </w:rPr>
              <w:t>大杨庄村</w:t>
            </w:r>
          </w:p>
        </w:tc>
        <w:tc>
          <w:tcPr>
            <w:tcW w:w="2145" w:type="dxa"/>
            <w:vMerge w:val="continue"/>
            <w:vAlign w:val="center"/>
          </w:tcPr>
          <w:p>
            <w:pPr>
              <w:pStyle w:val="182"/>
              <w:bidi w:val="0"/>
              <w:rPr>
                <w:rFonts w:hint="eastAsia" w:eastAsia="宋体"/>
                <w:color w:val="auto"/>
                <w:lang w:val="en-US" w:eastAsia="zh-CN"/>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rFonts w:hint="eastAsia"/>
                <w:color w:val="auto"/>
              </w:rPr>
            </w:pPr>
            <w:r>
              <w:rPr>
                <w:rFonts w:hint="eastAsia"/>
                <w:color w:val="auto"/>
                <w:lang w:val="en-US" w:eastAsia="zh-CN"/>
              </w:rPr>
              <w:t>小杨庄村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rFonts w:hint="eastAsia"/>
                <w:color w:val="auto"/>
              </w:rPr>
            </w:pPr>
            <w:r>
              <w:rPr>
                <w:rFonts w:hint="eastAsia"/>
                <w:color w:val="auto"/>
                <w:lang w:val="en-US" w:eastAsia="zh-CN"/>
              </w:rPr>
              <w:t>姚庄村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rFonts w:hint="eastAsia"/>
                <w:color w:val="auto"/>
              </w:rPr>
            </w:pPr>
            <w:r>
              <w:rPr>
                <w:rFonts w:hint="eastAsia"/>
                <w:color w:val="auto"/>
                <w:lang w:val="en-US" w:eastAsia="zh-CN"/>
              </w:rPr>
              <w:t>汲津铺村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rFonts w:hint="eastAsia"/>
                <w:color w:val="auto"/>
              </w:rPr>
            </w:pPr>
            <w:r>
              <w:rPr>
                <w:rFonts w:hint="eastAsia"/>
                <w:color w:val="auto"/>
                <w:lang w:val="en-US" w:eastAsia="zh-CN"/>
              </w:rPr>
              <w:t>郑庄村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rFonts w:hint="eastAsia"/>
                <w:color w:val="auto"/>
              </w:rPr>
            </w:pPr>
            <w:r>
              <w:rPr>
                <w:rFonts w:hint="eastAsia"/>
                <w:color w:val="auto"/>
                <w:lang w:val="en-US" w:eastAsia="zh-CN"/>
              </w:rPr>
              <w:t>张河村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rPr>
                <w:rFonts w:hint="eastAsia"/>
                <w:color w:val="auto"/>
              </w:rPr>
            </w:pPr>
            <w:r>
              <w:rPr>
                <w:rFonts w:hint="eastAsia"/>
                <w:color w:val="auto"/>
                <w:lang w:val="en-US" w:eastAsia="zh-CN"/>
              </w:rPr>
              <w:t>十八里村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Align w:val="center"/>
          </w:tcPr>
          <w:p>
            <w:pPr>
              <w:pStyle w:val="182"/>
              <w:bidi w:val="0"/>
              <w:rPr>
                <w:color w:val="auto"/>
              </w:rPr>
            </w:pPr>
            <w:r>
              <w:rPr>
                <w:rFonts w:hint="eastAsia"/>
                <w:color w:val="auto"/>
              </w:rPr>
              <w:t>噪声</w:t>
            </w:r>
          </w:p>
        </w:tc>
        <w:tc>
          <w:tcPr>
            <w:tcW w:w="1183" w:type="dxa"/>
            <w:vAlign w:val="center"/>
          </w:tcPr>
          <w:p>
            <w:pPr>
              <w:pStyle w:val="182"/>
              <w:bidi w:val="0"/>
              <w:rPr>
                <w:color w:val="auto"/>
              </w:rPr>
            </w:pPr>
            <w:r>
              <w:rPr>
                <w:rFonts w:hint="eastAsia"/>
                <w:color w:val="auto"/>
              </w:rPr>
              <w:t>厂界四周及周围敏感点</w:t>
            </w:r>
          </w:p>
        </w:tc>
        <w:tc>
          <w:tcPr>
            <w:tcW w:w="2145" w:type="dxa"/>
            <w:vAlign w:val="center"/>
          </w:tcPr>
          <w:p>
            <w:pPr>
              <w:pStyle w:val="182"/>
              <w:bidi w:val="0"/>
              <w:rPr>
                <w:color w:val="auto"/>
              </w:rPr>
            </w:pPr>
            <w:r>
              <w:rPr>
                <w:rFonts w:hint="eastAsia"/>
                <w:color w:val="auto"/>
              </w:rPr>
              <w:t>等效A声级</w:t>
            </w:r>
          </w:p>
        </w:tc>
        <w:tc>
          <w:tcPr>
            <w:tcW w:w="2585" w:type="dxa"/>
            <w:vAlign w:val="center"/>
          </w:tcPr>
          <w:p>
            <w:pPr>
              <w:pStyle w:val="182"/>
              <w:bidi w:val="0"/>
              <w:rPr>
                <w:color w:val="auto"/>
              </w:rPr>
            </w:pPr>
            <w:r>
              <w:rPr>
                <w:rFonts w:hint="eastAsia"/>
                <w:color w:val="auto"/>
              </w:rPr>
              <w:t>本次环评监测</w:t>
            </w:r>
          </w:p>
        </w:tc>
        <w:tc>
          <w:tcPr>
            <w:tcW w:w="2416" w:type="dxa"/>
            <w:vAlign w:val="center"/>
          </w:tcPr>
          <w:p>
            <w:pPr>
              <w:pStyle w:val="182"/>
              <w:bidi w:val="0"/>
              <w:rPr>
                <w:color w:val="auto"/>
              </w:rPr>
            </w:pPr>
            <w:r>
              <w:rPr>
                <w:rFonts w:hint="eastAsia"/>
                <w:color w:val="auto"/>
              </w:rPr>
              <w:t>202</w:t>
            </w:r>
            <w:r>
              <w:rPr>
                <w:color w:val="auto"/>
              </w:rPr>
              <w:t>2</w:t>
            </w:r>
            <w:r>
              <w:rPr>
                <w:rFonts w:hint="eastAsia"/>
                <w:color w:val="auto"/>
              </w:rPr>
              <w:t>.</w:t>
            </w:r>
            <w:r>
              <w:rPr>
                <w:color w:val="auto"/>
              </w:rPr>
              <w:t xml:space="preserve">11.28 </w:t>
            </w:r>
            <w:r>
              <w:rPr>
                <w:rFonts w:hint="eastAsia"/>
                <w:color w:val="auto"/>
              </w:rPr>
              <w:t>~202</w:t>
            </w:r>
            <w:r>
              <w:rPr>
                <w:color w:val="auto"/>
              </w:rPr>
              <w:t>2.11.29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restart"/>
            <w:vAlign w:val="center"/>
          </w:tcPr>
          <w:p>
            <w:pPr>
              <w:pStyle w:val="182"/>
              <w:bidi w:val="0"/>
              <w:rPr>
                <w:color w:val="auto"/>
              </w:rPr>
            </w:pPr>
            <w:r>
              <w:rPr>
                <w:rFonts w:hint="eastAsia"/>
                <w:color w:val="auto"/>
              </w:rPr>
              <w:t>土壤</w:t>
            </w:r>
          </w:p>
        </w:tc>
        <w:tc>
          <w:tcPr>
            <w:tcW w:w="1183" w:type="dxa"/>
            <w:vAlign w:val="center"/>
          </w:tcPr>
          <w:p>
            <w:pPr>
              <w:pStyle w:val="182"/>
              <w:bidi w:val="0"/>
              <w:rPr>
                <w:color w:val="auto"/>
              </w:rPr>
            </w:pPr>
            <w:r>
              <w:rPr>
                <w:rFonts w:hint="eastAsia"/>
                <w:color w:val="auto"/>
              </w:rPr>
              <w:t>拟建菌草堆料库附近</w:t>
            </w:r>
          </w:p>
        </w:tc>
        <w:tc>
          <w:tcPr>
            <w:tcW w:w="2145" w:type="dxa"/>
            <w:vMerge w:val="restart"/>
            <w:vAlign w:val="center"/>
          </w:tcPr>
          <w:p>
            <w:pPr>
              <w:pStyle w:val="182"/>
              <w:bidi w:val="0"/>
              <w:rPr>
                <w:color w:val="auto"/>
              </w:rPr>
            </w:pPr>
            <w:r>
              <w:rPr>
                <w:rFonts w:hint="eastAsia"/>
                <w:color w:val="auto"/>
              </w:rPr>
              <w:t>砷、镉、铬</w:t>
            </w:r>
            <w:r>
              <w:rPr>
                <w:rFonts w:hint="eastAsia"/>
                <w:color w:val="auto"/>
                <w:lang w:eastAsia="zh-CN"/>
              </w:rPr>
              <w:t>（</w:t>
            </w:r>
            <w:r>
              <w:rPr>
                <w:rFonts w:hint="eastAsia"/>
                <w:color w:val="auto"/>
              </w:rPr>
              <w:t>六价</w:t>
            </w:r>
            <w:r>
              <w:rPr>
                <w:rFonts w:hint="eastAsia"/>
                <w:color w:val="auto"/>
                <w:lang w:eastAsia="zh-CN"/>
              </w:rPr>
              <w:t>）</w:t>
            </w:r>
            <w:r>
              <w:rPr>
                <w:rFonts w:hint="eastAsia"/>
                <w:color w:val="auto"/>
              </w:rPr>
              <w:t>、铜、铅、汞、镍、四氯化碳、氯仿、氯甲烷、</w:t>
            </w:r>
            <w:r>
              <w:rPr>
                <w:color w:val="auto"/>
              </w:rPr>
              <w:t>1,1</w:t>
            </w:r>
            <w:r>
              <w:rPr>
                <w:rFonts w:hint="eastAsia"/>
                <w:color w:val="auto"/>
                <w:lang w:eastAsia="zh-CN"/>
              </w:rPr>
              <w:t>－</w:t>
            </w:r>
            <w:r>
              <w:rPr>
                <w:rFonts w:hint="eastAsia"/>
                <w:color w:val="auto"/>
              </w:rPr>
              <w:t>二氯乙烷、</w:t>
            </w:r>
            <w:r>
              <w:rPr>
                <w:color w:val="auto"/>
              </w:rPr>
              <w:t>1,2</w:t>
            </w:r>
            <w:r>
              <w:rPr>
                <w:rFonts w:hint="eastAsia"/>
                <w:color w:val="auto"/>
                <w:lang w:eastAsia="zh-CN"/>
              </w:rPr>
              <w:t>－</w:t>
            </w:r>
            <w:r>
              <w:rPr>
                <w:rFonts w:hint="eastAsia"/>
                <w:color w:val="auto"/>
              </w:rPr>
              <w:t>二氯乙烷、</w:t>
            </w:r>
            <w:r>
              <w:rPr>
                <w:color w:val="auto"/>
              </w:rPr>
              <w:t>1,1</w:t>
            </w:r>
            <w:r>
              <w:rPr>
                <w:rFonts w:hint="eastAsia"/>
                <w:color w:val="auto"/>
                <w:lang w:eastAsia="zh-CN"/>
              </w:rPr>
              <w:t>－</w:t>
            </w:r>
            <w:r>
              <w:rPr>
                <w:rFonts w:hint="eastAsia"/>
                <w:color w:val="auto"/>
              </w:rPr>
              <w:t>二氯乙烯、顺</w:t>
            </w:r>
            <w:r>
              <w:rPr>
                <w:color w:val="auto"/>
              </w:rPr>
              <w:t>-1,2-</w:t>
            </w:r>
            <w:r>
              <w:rPr>
                <w:rFonts w:hint="eastAsia"/>
                <w:color w:val="auto"/>
              </w:rPr>
              <w:t>二氯乙烯、反</w:t>
            </w:r>
            <w:r>
              <w:rPr>
                <w:color w:val="auto"/>
              </w:rPr>
              <w:t>-1,2-</w:t>
            </w:r>
            <w:r>
              <w:rPr>
                <w:rFonts w:hint="eastAsia"/>
                <w:color w:val="auto"/>
              </w:rPr>
              <w:t>二氯乙烯、二氯甲烷、</w:t>
            </w:r>
            <w:r>
              <w:rPr>
                <w:color w:val="auto"/>
              </w:rPr>
              <w:t>1,2-</w:t>
            </w:r>
            <w:r>
              <w:rPr>
                <w:rFonts w:hint="eastAsia"/>
                <w:color w:val="auto"/>
              </w:rPr>
              <w:t>二氯丙烷、</w:t>
            </w:r>
            <w:r>
              <w:rPr>
                <w:color w:val="auto"/>
              </w:rPr>
              <w:t>1,1,1,2-</w:t>
            </w:r>
            <w:r>
              <w:rPr>
                <w:rFonts w:hint="eastAsia"/>
                <w:color w:val="auto"/>
              </w:rPr>
              <w:t>四氯乙烷、</w:t>
            </w:r>
            <w:r>
              <w:rPr>
                <w:color w:val="auto"/>
              </w:rPr>
              <w:t>1,1,2,2-</w:t>
            </w:r>
            <w:r>
              <w:rPr>
                <w:rFonts w:hint="eastAsia"/>
                <w:color w:val="auto"/>
              </w:rPr>
              <w:t>四氯乙烷、四氯乙烯、</w:t>
            </w:r>
            <w:r>
              <w:rPr>
                <w:color w:val="auto"/>
              </w:rPr>
              <w:t>1,1,1,-</w:t>
            </w:r>
            <w:r>
              <w:rPr>
                <w:rFonts w:hint="eastAsia"/>
                <w:color w:val="auto"/>
              </w:rPr>
              <w:t>三氯乙烷、</w:t>
            </w:r>
            <w:r>
              <w:rPr>
                <w:color w:val="auto"/>
              </w:rPr>
              <w:t>1,1,2-</w:t>
            </w:r>
            <w:r>
              <w:rPr>
                <w:rFonts w:hint="eastAsia"/>
                <w:color w:val="auto"/>
              </w:rPr>
              <w:t>三氯乙烷、三氯乙烯、</w:t>
            </w:r>
            <w:r>
              <w:rPr>
                <w:color w:val="auto"/>
              </w:rPr>
              <w:t>1,2,3-</w:t>
            </w:r>
            <w:r>
              <w:rPr>
                <w:rFonts w:hint="eastAsia"/>
                <w:color w:val="auto"/>
              </w:rPr>
              <w:t>三氯丙烷、氯乙烯、苯、氯苯、</w:t>
            </w:r>
            <w:r>
              <w:rPr>
                <w:color w:val="auto"/>
              </w:rPr>
              <w:t>1,2-</w:t>
            </w:r>
            <w:r>
              <w:rPr>
                <w:rFonts w:hint="eastAsia"/>
                <w:color w:val="auto"/>
              </w:rPr>
              <w:t>二氯苯、</w:t>
            </w:r>
            <w:r>
              <w:rPr>
                <w:color w:val="auto"/>
              </w:rPr>
              <w:t>1,4-</w:t>
            </w:r>
            <w:r>
              <w:rPr>
                <w:rFonts w:hint="eastAsia"/>
                <w:color w:val="auto"/>
              </w:rPr>
              <w:t>二氯苯、乙苯、苯乙烯、甲苯、间二甲苯</w:t>
            </w:r>
            <w:r>
              <w:rPr>
                <w:color w:val="auto"/>
              </w:rPr>
              <w:t>+</w:t>
            </w:r>
            <w:r>
              <w:rPr>
                <w:rFonts w:hint="eastAsia"/>
                <w:color w:val="auto"/>
              </w:rPr>
              <w:t>对二甲苯、邻二甲苯、硝基苯、苯胺、</w:t>
            </w:r>
            <w:r>
              <w:rPr>
                <w:color w:val="auto"/>
              </w:rPr>
              <w:t>2-</w:t>
            </w:r>
            <w:r>
              <w:rPr>
                <w:rFonts w:hint="eastAsia"/>
                <w:color w:val="auto"/>
              </w:rPr>
              <w:t>氯酚、苯并</w:t>
            </w:r>
            <w:r>
              <w:rPr>
                <w:color w:val="auto"/>
              </w:rPr>
              <w:t>(a)</w:t>
            </w:r>
            <w:r>
              <w:rPr>
                <w:rFonts w:hint="eastAsia"/>
                <w:color w:val="auto"/>
              </w:rPr>
              <w:t>蒽、苯并</w:t>
            </w:r>
            <w:r>
              <w:rPr>
                <w:color w:val="auto"/>
              </w:rPr>
              <w:t>(a)</w:t>
            </w:r>
            <w:r>
              <w:rPr>
                <w:rFonts w:hint="eastAsia"/>
                <w:color w:val="auto"/>
              </w:rPr>
              <w:t>芘、苯并</w:t>
            </w:r>
            <w:r>
              <w:rPr>
                <w:color w:val="auto"/>
              </w:rPr>
              <w:t>(b)</w:t>
            </w:r>
            <w:r>
              <w:rPr>
                <w:rFonts w:hint="eastAsia"/>
                <w:color w:val="auto"/>
              </w:rPr>
              <w:t>荧蒽、苯并</w:t>
            </w:r>
            <w:r>
              <w:rPr>
                <w:color w:val="auto"/>
              </w:rPr>
              <w:t>(k)</w:t>
            </w:r>
            <w:r>
              <w:rPr>
                <w:rFonts w:hint="eastAsia"/>
                <w:color w:val="auto"/>
              </w:rPr>
              <w:t>荧蒽、䓛、二苯并(a,h)蒽、茚并(1,2,3-cd)芘、萘</w:t>
            </w:r>
          </w:p>
        </w:tc>
        <w:tc>
          <w:tcPr>
            <w:tcW w:w="2585" w:type="dxa"/>
            <w:vMerge w:val="restart"/>
            <w:vAlign w:val="center"/>
          </w:tcPr>
          <w:p>
            <w:pPr>
              <w:pStyle w:val="182"/>
              <w:bidi w:val="0"/>
              <w:rPr>
                <w:color w:val="auto"/>
              </w:rPr>
            </w:pPr>
            <w:r>
              <w:rPr>
                <w:rFonts w:hint="eastAsia"/>
                <w:color w:val="auto"/>
              </w:rPr>
              <w:t>本次环评监测</w:t>
            </w:r>
          </w:p>
        </w:tc>
        <w:tc>
          <w:tcPr>
            <w:tcW w:w="2416" w:type="dxa"/>
            <w:vMerge w:val="restart"/>
            <w:vAlign w:val="center"/>
          </w:tcPr>
          <w:p>
            <w:pPr>
              <w:pStyle w:val="182"/>
              <w:bidi w:val="0"/>
              <w:rPr>
                <w:color w:val="auto"/>
              </w:rPr>
            </w:pPr>
            <w:r>
              <w:rPr>
                <w:rFonts w:hint="eastAsia"/>
                <w:color w:val="auto"/>
              </w:rPr>
              <w:t>202</w:t>
            </w:r>
            <w:r>
              <w:rPr>
                <w:color w:val="auto"/>
              </w:rPr>
              <w:t>2</w:t>
            </w:r>
            <w:r>
              <w:rPr>
                <w:rFonts w:hint="eastAsia"/>
                <w:color w:val="auto"/>
              </w:rPr>
              <w:t>.</w:t>
            </w:r>
            <w:r>
              <w:rPr>
                <w:color w:val="auto"/>
              </w:rPr>
              <w:t>11.28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bidi w:val="0"/>
              <w:rPr>
                <w:color w:val="auto"/>
              </w:rPr>
            </w:pPr>
            <w:r>
              <w:rPr>
                <w:rFonts w:hint="eastAsia"/>
                <w:color w:val="auto"/>
              </w:rPr>
              <w:t>拟建蒸煮车间附近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1" w:type="dxa"/>
            <w:vMerge w:val="continue"/>
            <w:vAlign w:val="center"/>
          </w:tcPr>
          <w:p>
            <w:pPr>
              <w:pStyle w:val="182"/>
              <w:bidi w:val="0"/>
              <w:rPr>
                <w:color w:val="auto"/>
              </w:rPr>
            </w:pPr>
          </w:p>
        </w:tc>
        <w:tc>
          <w:tcPr>
            <w:tcW w:w="1183" w:type="dxa"/>
            <w:vAlign w:val="center"/>
          </w:tcPr>
          <w:p>
            <w:pPr>
              <w:pStyle w:val="182"/>
              <w:bidi w:val="0"/>
              <w:rPr>
                <w:color w:val="auto"/>
              </w:rPr>
            </w:pPr>
            <w:r>
              <w:rPr>
                <w:rFonts w:hint="eastAsia"/>
                <w:color w:val="auto"/>
              </w:rPr>
              <w:t>拟建漂白车间附近</w:t>
            </w:r>
          </w:p>
        </w:tc>
        <w:tc>
          <w:tcPr>
            <w:tcW w:w="2145" w:type="dxa"/>
            <w:vMerge w:val="continue"/>
            <w:vAlign w:val="center"/>
          </w:tcPr>
          <w:p>
            <w:pPr>
              <w:pStyle w:val="182"/>
              <w:bidi w:val="0"/>
              <w:rPr>
                <w:color w:val="auto"/>
              </w:rPr>
            </w:pPr>
          </w:p>
        </w:tc>
        <w:tc>
          <w:tcPr>
            <w:tcW w:w="2585" w:type="dxa"/>
            <w:vMerge w:val="continue"/>
            <w:vAlign w:val="center"/>
          </w:tcPr>
          <w:p>
            <w:pPr>
              <w:pStyle w:val="182"/>
              <w:bidi w:val="0"/>
              <w:rPr>
                <w:color w:val="auto"/>
              </w:rPr>
            </w:pPr>
          </w:p>
        </w:tc>
        <w:tc>
          <w:tcPr>
            <w:tcW w:w="2416" w:type="dxa"/>
            <w:vMerge w:val="continue"/>
            <w:vAlign w:val="center"/>
          </w:tcPr>
          <w:p>
            <w:pPr>
              <w:pStyle w:val="182"/>
              <w:bidi w:val="0"/>
              <w:rPr>
                <w:color w:val="auto"/>
              </w:rPr>
            </w:pPr>
          </w:p>
        </w:tc>
      </w:tr>
    </w:tbl>
    <w:p>
      <w:pPr>
        <w:pStyle w:val="9"/>
        <w:bidi w:val="0"/>
        <w:rPr>
          <w:color w:val="auto"/>
        </w:rPr>
      </w:pPr>
      <w:r>
        <w:rPr>
          <w:color w:val="auto"/>
        </w:rPr>
        <w:t>4.2.2环境空气质量现状</w:t>
      </w:r>
      <w:bookmarkEnd w:id="260"/>
      <w:bookmarkEnd w:id="261"/>
      <w:r>
        <w:rPr>
          <w:color w:val="auto"/>
        </w:rPr>
        <w:t>评价</w:t>
      </w:r>
      <w:bookmarkEnd w:id="262"/>
      <w:bookmarkEnd w:id="263"/>
      <w:bookmarkEnd w:id="264"/>
      <w:bookmarkEnd w:id="265"/>
    </w:p>
    <w:p>
      <w:pPr>
        <w:pStyle w:val="10"/>
        <w:bidi w:val="0"/>
        <w:rPr>
          <w:color w:val="auto"/>
        </w:rPr>
      </w:pPr>
      <w:bookmarkStart w:id="270" w:name="_Toc324839601"/>
      <w:bookmarkStart w:id="271" w:name="_Toc324839304"/>
      <w:r>
        <w:rPr>
          <w:color w:val="auto"/>
        </w:rPr>
        <w:t>4.2.2.1基本污染物环境质量现状评价</w:t>
      </w:r>
    </w:p>
    <w:p>
      <w:pPr>
        <w:bidi w:val="0"/>
        <w:rPr>
          <w:rFonts w:hint="default"/>
          <w:color w:val="auto"/>
          <w:lang w:val="en-US" w:eastAsia="zh-CN"/>
        </w:rPr>
      </w:pPr>
      <w:r>
        <w:rPr>
          <w:rFonts w:hint="eastAsia"/>
          <w:color w:val="auto"/>
        </w:rPr>
        <w:t>本次评价根据以上监测数据对本项目所在区域环境质量进行评价。</w:t>
      </w:r>
      <w:r>
        <w:rPr>
          <w:rFonts w:hint="eastAsia"/>
          <w:color w:val="auto"/>
          <w:lang w:val="en-US" w:eastAsia="zh-CN"/>
        </w:rPr>
        <w:t>其中，</w:t>
      </w:r>
      <w:r>
        <w:rPr>
          <w:rFonts w:hint="eastAsia"/>
          <w:color w:val="auto"/>
        </w:rPr>
        <w:t>《新乡经济技术开发区区域环境现状评价报告》</w:t>
      </w:r>
      <w:r>
        <w:rPr>
          <w:rFonts w:hint="eastAsia"/>
          <w:color w:val="auto"/>
          <w:lang w:eastAsia="zh-CN"/>
        </w:rPr>
        <w:t>（</w:t>
      </w:r>
      <w:r>
        <w:rPr>
          <w:rFonts w:hint="eastAsia"/>
          <w:color w:val="auto"/>
          <w:lang w:val="en-US" w:eastAsia="zh-CN"/>
        </w:rPr>
        <w:t>2021年</w:t>
      </w:r>
      <w:r>
        <w:rPr>
          <w:rFonts w:hint="eastAsia"/>
          <w:color w:val="auto"/>
          <w:lang w:eastAsia="zh-CN"/>
        </w:rPr>
        <w:t>）</w:t>
      </w:r>
      <w:r>
        <w:rPr>
          <w:rFonts w:hint="eastAsia"/>
          <w:color w:val="auto"/>
          <w:lang w:val="en-US" w:eastAsia="zh-CN"/>
        </w:rPr>
        <w:t>中</w:t>
      </w:r>
      <w:r>
        <w:rPr>
          <w:rFonts w:hint="eastAsia"/>
          <w:color w:val="auto"/>
        </w:rPr>
        <w:t>环境空气监测点位</w:t>
      </w:r>
      <w:r>
        <w:rPr>
          <w:rFonts w:hint="eastAsia"/>
          <w:color w:val="auto"/>
          <w:lang w:val="en-US" w:eastAsia="zh-CN"/>
        </w:rPr>
        <w:t>与本项目位置关系见下图，本项目位于评价范围内。</w:t>
      </w:r>
    </w:p>
    <w:p>
      <w:pPr>
        <w:bidi w:val="0"/>
        <w:ind w:left="0" w:leftChars="0" w:firstLine="0" w:firstLineChars="0"/>
        <w:jc w:val="center"/>
        <w:rPr>
          <w:color w:val="auto"/>
        </w:rPr>
      </w:pPr>
      <w:r>
        <w:rPr>
          <w:color w:val="auto"/>
        </w:rPr>
        <w:drawing>
          <wp:inline distT="0" distB="0" distL="114300" distR="114300">
            <wp:extent cx="5573395" cy="3959225"/>
            <wp:effectExtent l="0" t="0" r="4445" b="317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50"/>
                    <a:stretch>
                      <a:fillRect/>
                    </a:stretch>
                  </pic:blipFill>
                  <pic:spPr>
                    <a:xfrm>
                      <a:off x="0" y="0"/>
                      <a:ext cx="5573395" cy="3959225"/>
                    </a:xfrm>
                    <a:prstGeom prst="rect">
                      <a:avLst/>
                    </a:prstGeom>
                    <a:noFill/>
                    <a:ln>
                      <a:noFill/>
                    </a:ln>
                  </pic:spPr>
                </pic:pic>
              </a:graphicData>
            </a:graphic>
          </wp:inline>
        </w:drawing>
      </w:r>
    </w:p>
    <w:p>
      <w:pPr>
        <w:pStyle w:val="181"/>
        <w:bidi w:val="0"/>
        <w:ind w:left="0" w:leftChars="0" w:firstLine="0" w:firstLineChars="0"/>
        <w:jc w:val="center"/>
        <w:rPr>
          <w:rFonts w:hint="eastAsia"/>
          <w:color w:val="auto"/>
        </w:rPr>
      </w:pPr>
      <w:r>
        <w:rPr>
          <w:rFonts w:hint="eastAsia"/>
          <w:color w:val="auto"/>
          <w:lang w:val="en-US" w:eastAsia="zh-CN"/>
        </w:rPr>
        <w:t xml:space="preserve">图4.2-1  </w:t>
      </w:r>
      <w:r>
        <w:rPr>
          <w:rFonts w:hint="eastAsia"/>
          <w:color w:val="auto"/>
        </w:rPr>
        <w:t>环境空气监测点位</w:t>
      </w:r>
      <w:r>
        <w:rPr>
          <w:rFonts w:hint="eastAsia"/>
          <w:color w:val="auto"/>
          <w:lang w:val="en-US" w:eastAsia="zh-CN"/>
        </w:rPr>
        <w:t>与本项目位置关系</w:t>
      </w:r>
    </w:p>
    <w:p>
      <w:pPr>
        <w:bidi w:val="0"/>
        <w:rPr>
          <w:color w:val="auto"/>
        </w:rPr>
      </w:pPr>
      <w:r>
        <w:rPr>
          <w:color w:val="auto"/>
        </w:rPr>
        <w:t>根据大气功能区划分原则，项目所在区域为二类功能区，环境空气质量应执行《环境空气质量标准》（GB3095-2012）二级标准。根据新乡市生态环境局发布的《新乡市202</w:t>
      </w:r>
      <w:r>
        <w:rPr>
          <w:rFonts w:hint="eastAsia"/>
          <w:color w:val="auto"/>
        </w:rPr>
        <w:t>1</w:t>
      </w:r>
      <w:r>
        <w:rPr>
          <w:color w:val="auto"/>
        </w:rPr>
        <w:t>年</w:t>
      </w:r>
      <w:r>
        <w:rPr>
          <w:rFonts w:hint="eastAsia"/>
          <w:color w:val="auto"/>
        </w:rPr>
        <w:t>度</w:t>
      </w:r>
      <w:r>
        <w:rPr>
          <w:color w:val="auto"/>
        </w:rPr>
        <w:t>环境质量</w:t>
      </w:r>
      <w:r>
        <w:rPr>
          <w:rFonts w:hint="eastAsia"/>
          <w:color w:val="auto"/>
        </w:rPr>
        <w:t>概要</w:t>
      </w:r>
      <w:r>
        <w:rPr>
          <w:color w:val="auto"/>
        </w:rPr>
        <w:t>》，区域空气质量现状数据如下表所示。</w:t>
      </w:r>
    </w:p>
    <w:p>
      <w:pPr>
        <w:pStyle w:val="181"/>
        <w:bidi w:val="0"/>
        <w:rPr>
          <w:color w:val="auto"/>
        </w:rPr>
      </w:pPr>
      <w:r>
        <w:rPr>
          <w:color w:val="auto"/>
        </w:rPr>
        <w:t>表4</w:t>
      </w:r>
      <w:r>
        <w:rPr>
          <w:rFonts w:hint="eastAsia"/>
          <w:color w:val="auto"/>
        </w:rPr>
        <w:t>.2</w:t>
      </w:r>
      <w:r>
        <w:rPr>
          <w:color w:val="auto"/>
        </w:rPr>
        <w:t>-</w:t>
      </w:r>
      <w:r>
        <w:rPr>
          <w:rFonts w:hint="eastAsia"/>
          <w:color w:val="auto"/>
          <w:lang w:val="en-US" w:eastAsia="zh-CN"/>
        </w:rPr>
        <w:t>2</w:t>
      </w:r>
      <w:r>
        <w:rPr>
          <w:color w:val="auto"/>
        </w:rPr>
        <w:t xml:space="preserve"> </w:t>
      </w:r>
      <w:r>
        <w:rPr>
          <w:rFonts w:hint="eastAsia"/>
          <w:color w:val="auto"/>
          <w:lang w:val="en-US" w:eastAsia="zh-CN"/>
        </w:rPr>
        <w:t xml:space="preserve">          </w:t>
      </w:r>
      <w:r>
        <w:rPr>
          <w:color w:val="auto"/>
        </w:rPr>
        <w:t xml:space="preserve"> 区域空气质量现状评价表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57" w:type="dxa"/>
          <w:left w:w="108" w:type="dxa"/>
          <w:bottom w:w="57" w:type="dxa"/>
          <w:right w:w="108" w:type="dxa"/>
        </w:tblCellMar>
      </w:tblPr>
      <w:tblGrid>
        <w:gridCol w:w="1303"/>
        <w:gridCol w:w="1757"/>
        <w:gridCol w:w="1455"/>
        <w:gridCol w:w="1583"/>
        <w:gridCol w:w="1189"/>
        <w:gridCol w:w="11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pPr>
              <w:pStyle w:val="182"/>
              <w:bidi w:val="0"/>
              <w:rPr>
                <w:b/>
                <w:bCs/>
                <w:color w:val="auto"/>
              </w:rPr>
            </w:pPr>
            <w:r>
              <w:rPr>
                <w:b/>
                <w:bCs/>
                <w:color w:val="auto"/>
              </w:rPr>
              <w:t>污染物</w:t>
            </w:r>
          </w:p>
        </w:tc>
        <w:tc>
          <w:tcPr>
            <w:tcW w:w="1036" w:type="pct"/>
            <w:tcMar>
              <w:top w:w="57" w:type="dxa"/>
              <w:left w:w="85" w:type="dxa"/>
              <w:bottom w:w="57" w:type="dxa"/>
              <w:right w:w="85" w:type="dxa"/>
            </w:tcMar>
            <w:vAlign w:val="center"/>
          </w:tcPr>
          <w:p>
            <w:pPr>
              <w:pStyle w:val="182"/>
              <w:bidi w:val="0"/>
              <w:rPr>
                <w:b/>
                <w:bCs/>
                <w:color w:val="auto"/>
              </w:rPr>
            </w:pPr>
            <w:r>
              <w:rPr>
                <w:b/>
                <w:bCs/>
                <w:color w:val="auto"/>
              </w:rPr>
              <w:t>评价指标</w:t>
            </w:r>
          </w:p>
        </w:tc>
        <w:tc>
          <w:tcPr>
            <w:tcW w:w="858" w:type="pct"/>
            <w:tcMar>
              <w:top w:w="57" w:type="dxa"/>
              <w:left w:w="85" w:type="dxa"/>
              <w:bottom w:w="57" w:type="dxa"/>
              <w:right w:w="85" w:type="dxa"/>
            </w:tcMar>
            <w:vAlign w:val="center"/>
          </w:tcPr>
          <w:p>
            <w:pPr>
              <w:pStyle w:val="182"/>
              <w:bidi w:val="0"/>
              <w:rPr>
                <w:b/>
                <w:bCs/>
                <w:color w:val="auto"/>
              </w:rPr>
            </w:pPr>
            <w:r>
              <w:rPr>
                <w:b/>
                <w:bCs/>
                <w:color w:val="auto"/>
              </w:rPr>
              <w:t>现状浓度/（μg/m</w:t>
            </w:r>
            <w:r>
              <w:rPr>
                <w:b/>
                <w:bCs/>
                <w:color w:val="auto"/>
                <w:vertAlign w:val="superscript"/>
              </w:rPr>
              <w:t>3</w:t>
            </w:r>
            <w:r>
              <w:rPr>
                <w:b/>
                <w:bCs/>
                <w:color w:val="auto"/>
              </w:rPr>
              <w:t>）</w:t>
            </w:r>
          </w:p>
        </w:tc>
        <w:tc>
          <w:tcPr>
            <w:tcW w:w="933" w:type="pct"/>
            <w:tcMar>
              <w:top w:w="57" w:type="dxa"/>
              <w:left w:w="85" w:type="dxa"/>
              <w:bottom w:w="57" w:type="dxa"/>
              <w:right w:w="85" w:type="dxa"/>
            </w:tcMar>
            <w:vAlign w:val="center"/>
          </w:tcPr>
          <w:p>
            <w:pPr>
              <w:pStyle w:val="182"/>
              <w:bidi w:val="0"/>
              <w:rPr>
                <w:b/>
                <w:bCs/>
                <w:color w:val="auto"/>
              </w:rPr>
            </w:pPr>
            <w:r>
              <w:rPr>
                <w:b/>
                <w:bCs/>
                <w:color w:val="auto"/>
              </w:rPr>
              <w:t>标准值/（μg/m</w:t>
            </w:r>
            <w:r>
              <w:rPr>
                <w:b/>
                <w:bCs/>
                <w:color w:val="auto"/>
                <w:vertAlign w:val="superscript"/>
              </w:rPr>
              <w:t>3</w:t>
            </w:r>
            <w:r>
              <w:rPr>
                <w:b/>
                <w:bCs/>
                <w:color w:val="auto"/>
              </w:rPr>
              <w:t>）</w:t>
            </w:r>
          </w:p>
        </w:tc>
        <w:tc>
          <w:tcPr>
            <w:tcW w:w="701" w:type="pct"/>
            <w:tcMar>
              <w:top w:w="57" w:type="dxa"/>
              <w:left w:w="85" w:type="dxa"/>
              <w:bottom w:w="57" w:type="dxa"/>
              <w:right w:w="85" w:type="dxa"/>
            </w:tcMar>
            <w:vAlign w:val="center"/>
          </w:tcPr>
          <w:p>
            <w:pPr>
              <w:pStyle w:val="182"/>
              <w:bidi w:val="0"/>
              <w:rPr>
                <w:b/>
                <w:bCs/>
                <w:color w:val="auto"/>
              </w:rPr>
            </w:pPr>
            <w:r>
              <w:rPr>
                <w:b/>
                <w:bCs/>
                <w:color w:val="auto"/>
              </w:rPr>
              <w:t>占标率/</w:t>
            </w:r>
          </w:p>
          <w:p>
            <w:pPr>
              <w:pStyle w:val="182"/>
              <w:bidi w:val="0"/>
              <w:rPr>
                <w:b/>
                <w:bCs/>
                <w:color w:val="auto"/>
              </w:rPr>
            </w:pPr>
            <w:r>
              <w:rPr>
                <w:b/>
                <w:bCs/>
                <w:color w:val="auto"/>
              </w:rPr>
              <w:t>%</w:t>
            </w:r>
          </w:p>
        </w:tc>
        <w:tc>
          <w:tcPr>
            <w:tcW w:w="701" w:type="pct"/>
            <w:tcMar>
              <w:top w:w="57" w:type="dxa"/>
              <w:left w:w="85" w:type="dxa"/>
              <w:bottom w:w="57" w:type="dxa"/>
              <w:right w:w="85" w:type="dxa"/>
            </w:tcMar>
            <w:vAlign w:val="center"/>
          </w:tcPr>
          <w:p>
            <w:pPr>
              <w:pStyle w:val="182"/>
              <w:bidi w:val="0"/>
              <w:rPr>
                <w:b/>
                <w:bCs/>
                <w:color w:val="auto"/>
              </w:rPr>
            </w:pPr>
            <w:r>
              <w:rPr>
                <w:b/>
                <w:bCs/>
                <w:color w:val="auto"/>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pPr>
              <w:pStyle w:val="182"/>
              <w:bidi w:val="0"/>
              <w:rPr>
                <w:color w:val="auto"/>
              </w:rPr>
            </w:pPr>
            <w:r>
              <w:rPr>
                <w:color w:val="auto"/>
              </w:rPr>
              <w:t>PM</w:t>
            </w:r>
            <w:r>
              <w:rPr>
                <w:color w:val="auto"/>
                <w:vertAlign w:val="subscript"/>
              </w:rPr>
              <w:t>10</w:t>
            </w:r>
          </w:p>
        </w:tc>
        <w:tc>
          <w:tcPr>
            <w:tcW w:w="1036" w:type="pct"/>
            <w:tcMar>
              <w:top w:w="57" w:type="dxa"/>
              <w:left w:w="85" w:type="dxa"/>
              <w:bottom w:w="57" w:type="dxa"/>
              <w:right w:w="85" w:type="dxa"/>
            </w:tcMar>
            <w:vAlign w:val="center"/>
          </w:tcPr>
          <w:p>
            <w:pPr>
              <w:pStyle w:val="182"/>
              <w:bidi w:val="0"/>
              <w:rPr>
                <w:color w:val="auto"/>
              </w:rPr>
            </w:pPr>
            <w:r>
              <w:rPr>
                <w:color w:val="auto"/>
              </w:rPr>
              <w:t>年平均质量浓度</w:t>
            </w:r>
          </w:p>
        </w:tc>
        <w:tc>
          <w:tcPr>
            <w:tcW w:w="858" w:type="pct"/>
            <w:tcMar>
              <w:top w:w="57" w:type="dxa"/>
              <w:left w:w="85" w:type="dxa"/>
              <w:bottom w:w="57" w:type="dxa"/>
              <w:right w:w="85" w:type="dxa"/>
            </w:tcMar>
            <w:vAlign w:val="center"/>
          </w:tcPr>
          <w:p>
            <w:pPr>
              <w:pStyle w:val="182"/>
              <w:bidi w:val="0"/>
              <w:rPr>
                <w:color w:val="auto"/>
              </w:rPr>
            </w:pPr>
            <w:r>
              <w:rPr>
                <w:rFonts w:hint="eastAsia"/>
                <w:color w:val="auto"/>
              </w:rPr>
              <w:t>93</w:t>
            </w:r>
          </w:p>
        </w:tc>
        <w:tc>
          <w:tcPr>
            <w:tcW w:w="933" w:type="pct"/>
            <w:tcMar>
              <w:top w:w="57" w:type="dxa"/>
              <w:left w:w="85" w:type="dxa"/>
              <w:bottom w:w="57" w:type="dxa"/>
              <w:right w:w="85" w:type="dxa"/>
            </w:tcMar>
            <w:vAlign w:val="center"/>
          </w:tcPr>
          <w:p>
            <w:pPr>
              <w:pStyle w:val="182"/>
              <w:bidi w:val="0"/>
              <w:rPr>
                <w:color w:val="auto"/>
              </w:rPr>
            </w:pPr>
            <w:r>
              <w:rPr>
                <w:color w:val="auto"/>
              </w:rPr>
              <w:t>70</w:t>
            </w:r>
          </w:p>
        </w:tc>
        <w:tc>
          <w:tcPr>
            <w:tcW w:w="701" w:type="pct"/>
            <w:tcMar>
              <w:top w:w="57" w:type="dxa"/>
              <w:left w:w="85" w:type="dxa"/>
              <w:bottom w:w="57" w:type="dxa"/>
              <w:right w:w="85" w:type="dxa"/>
            </w:tcMar>
            <w:vAlign w:val="center"/>
          </w:tcPr>
          <w:p>
            <w:pPr>
              <w:pStyle w:val="182"/>
              <w:bidi w:val="0"/>
              <w:rPr>
                <w:color w:val="auto"/>
              </w:rPr>
            </w:pPr>
            <w:r>
              <w:rPr>
                <w:rFonts w:hint="eastAsia"/>
                <w:color w:val="auto"/>
              </w:rPr>
              <w:t>132.9</w:t>
            </w:r>
          </w:p>
        </w:tc>
        <w:tc>
          <w:tcPr>
            <w:tcW w:w="701" w:type="pct"/>
            <w:tcMar>
              <w:top w:w="57" w:type="dxa"/>
              <w:left w:w="85" w:type="dxa"/>
              <w:bottom w:w="57" w:type="dxa"/>
              <w:right w:w="85" w:type="dxa"/>
            </w:tcMar>
            <w:vAlign w:val="center"/>
          </w:tcPr>
          <w:p>
            <w:pPr>
              <w:pStyle w:val="182"/>
              <w:bidi w:val="0"/>
              <w:rPr>
                <w:color w:val="auto"/>
              </w:rPr>
            </w:pPr>
            <w:r>
              <w:rPr>
                <w:color w:val="auto"/>
              </w:rPr>
              <w:t>超标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pPr>
              <w:pStyle w:val="182"/>
              <w:bidi w:val="0"/>
              <w:rPr>
                <w:color w:val="auto"/>
              </w:rPr>
            </w:pPr>
            <w:r>
              <w:rPr>
                <w:color w:val="auto"/>
              </w:rPr>
              <w:t>PM</w:t>
            </w:r>
            <w:r>
              <w:rPr>
                <w:color w:val="auto"/>
                <w:vertAlign w:val="subscript"/>
              </w:rPr>
              <w:t>2.5</w:t>
            </w:r>
          </w:p>
        </w:tc>
        <w:tc>
          <w:tcPr>
            <w:tcW w:w="1036" w:type="pct"/>
            <w:tcMar>
              <w:top w:w="57" w:type="dxa"/>
              <w:left w:w="85" w:type="dxa"/>
              <w:bottom w:w="57" w:type="dxa"/>
              <w:right w:w="85" w:type="dxa"/>
            </w:tcMar>
            <w:vAlign w:val="center"/>
          </w:tcPr>
          <w:p>
            <w:pPr>
              <w:pStyle w:val="182"/>
              <w:bidi w:val="0"/>
              <w:rPr>
                <w:color w:val="auto"/>
              </w:rPr>
            </w:pPr>
            <w:r>
              <w:rPr>
                <w:color w:val="auto"/>
              </w:rPr>
              <w:t>年平均质量浓度</w:t>
            </w:r>
          </w:p>
        </w:tc>
        <w:tc>
          <w:tcPr>
            <w:tcW w:w="858" w:type="pct"/>
            <w:tcMar>
              <w:top w:w="57" w:type="dxa"/>
              <w:left w:w="85" w:type="dxa"/>
              <w:bottom w:w="57" w:type="dxa"/>
              <w:right w:w="85" w:type="dxa"/>
            </w:tcMar>
            <w:vAlign w:val="center"/>
          </w:tcPr>
          <w:p>
            <w:pPr>
              <w:pStyle w:val="182"/>
              <w:bidi w:val="0"/>
              <w:rPr>
                <w:color w:val="auto"/>
              </w:rPr>
            </w:pPr>
            <w:r>
              <w:rPr>
                <w:rFonts w:hint="eastAsia"/>
                <w:color w:val="auto"/>
              </w:rPr>
              <w:t>47</w:t>
            </w:r>
          </w:p>
        </w:tc>
        <w:tc>
          <w:tcPr>
            <w:tcW w:w="933" w:type="pct"/>
            <w:tcMar>
              <w:top w:w="57" w:type="dxa"/>
              <w:left w:w="85" w:type="dxa"/>
              <w:bottom w:w="57" w:type="dxa"/>
              <w:right w:w="85" w:type="dxa"/>
            </w:tcMar>
            <w:vAlign w:val="center"/>
          </w:tcPr>
          <w:p>
            <w:pPr>
              <w:pStyle w:val="182"/>
              <w:bidi w:val="0"/>
              <w:rPr>
                <w:color w:val="auto"/>
              </w:rPr>
            </w:pPr>
            <w:r>
              <w:rPr>
                <w:color w:val="auto"/>
              </w:rPr>
              <w:t>35</w:t>
            </w:r>
          </w:p>
        </w:tc>
        <w:tc>
          <w:tcPr>
            <w:tcW w:w="701" w:type="pct"/>
            <w:tcMar>
              <w:top w:w="57" w:type="dxa"/>
              <w:left w:w="85" w:type="dxa"/>
              <w:bottom w:w="57" w:type="dxa"/>
              <w:right w:w="85" w:type="dxa"/>
            </w:tcMar>
            <w:vAlign w:val="center"/>
          </w:tcPr>
          <w:p>
            <w:pPr>
              <w:pStyle w:val="182"/>
              <w:bidi w:val="0"/>
              <w:rPr>
                <w:color w:val="auto"/>
              </w:rPr>
            </w:pPr>
            <w:r>
              <w:rPr>
                <w:rFonts w:hint="eastAsia"/>
                <w:color w:val="auto"/>
              </w:rPr>
              <w:t>134.3</w:t>
            </w:r>
          </w:p>
        </w:tc>
        <w:tc>
          <w:tcPr>
            <w:tcW w:w="701" w:type="pct"/>
            <w:tcMar>
              <w:top w:w="57" w:type="dxa"/>
              <w:left w:w="85" w:type="dxa"/>
              <w:bottom w:w="57" w:type="dxa"/>
              <w:right w:w="85" w:type="dxa"/>
            </w:tcMar>
            <w:vAlign w:val="center"/>
          </w:tcPr>
          <w:p>
            <w:pPr>
              <w:pStyle w:val="182"/>
              <w:bidi w:val="0"/>
              <w:rPr>
                <w:color w:val="auto"/>
              </w:rPr>
            </w:pPr>
            <w:r>
              <w:rPr>
                <w:color w:val="auto"/>
              </w:rPr>
              <w:t>超标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pPr>
              <w:pStyle w:val="182"/>
              <w:bidi w:val="0"/>
              <w:rPr>
                <w:color w:val="auto"/>
              </w:rPr>
            </w:pPr>
            <w:r>
              <w:rPr>
                <w:color w:val="auto"/>
              </w:rPr>
              <w:t>SO</w:t>
            </w:r>
            <w:r>
              <w:rPr>
                <w:color w:val="auto"/>
                <w:vertAlign w:val="subscript"/>
              </w:rPr>
              <w:t>2</w:t>
            </w:r>
          </w:p>
        </w:tc>
        <w:tc>
          <w:tcPr>
            <w:tcW w:w="1036" w:type="pct"/>
            <w:tcMar>
              <w:top w:w="57" w:type="dxa"/>
              <w:left w:w="85" w:type="dxa"/>
              <w:bottom w:w="57" w:type="dxa"/>
              <w:right w:w="85" w:type="dxa"/>
            </w:tcMar>
            <w:vAlign w:val="center"/>
          </w:tcPr>
          <w:p>
            <w:pPr>
              <w:pStyle w:val="182"/>
              <w:bidi w:val="0"/>
              <w:rPr>
                <w:color w:val="auto"/>
              </w:rPr>
            </w:pPr>
            <w:r>
              <w:rPr>
                <w:color w:val="auto"/>
              </w:rPr>
              <w:t>年平均质量浓度</w:t>
            </w:r>
          </w:p>
        </w:tc>
        <w:tc>
          <w:tcPr>
            <w:tcW w:w="858" w:type="pct"/>
            <w:tcMar>
              <w:top w:w="57" w:type="dxa"/>
              <w:left w:w="85" w:type="dxa"/>
              <w:bottom w:w="57" w:type="dxa"/>
              <w:right w:w="85" w:type="dxa"/>
            </w:tcMar>
            <w:vAlign w:val="center"/>
          </w:tcPr>
          <w:p>
            <w:pPr>
              <w:pStyle w:val="182"/>
              <w:bidi w:val="0"/>
              <w:rPr>
                <w:color w:val="auto"/>
              </w:rPr>
            </w:pPr>
            <w:r>
              <w:rPr>
                <w:rFonts w:hint="eastAsia"/>
                <w:color w:val="auto"/>
              </w:rPr>
              <w:t>11</w:t>
            </w:r>
          </w:p>
        </w:tc>
        <w:tc>
          <w:tcPr>
            <w:tcW w:w="933" w:type="pct"/>
            <w:tcMar>
              <w:top w:w="57" w:type="dxa"/>
              <w:left w:w="85" w:type="dxa"/>
              <w:bottom w:w="57" w:type="dxa"/>
              <w:right w:w="85" w:type="dxa"/>
            </w:tcMar>
            <w:vAlign w:val="center"/>
          </w:tcPr>
          <w:p>
            <w:pPr>
              <w:pStyle w:val="182"/>
              <w:bidi w:val="0"/>
              <w:rPr>
                <w:color w:val="auto"/>
              </w:rPr>
            </w:pPr>
            <w:r>
              <w:rPr>
                <w:color w:val="auto"/>
              </w:rPr>
              <w:t>60</w:t>
            </w:r>
          </w:p>
        </w:tc>
        <w:tc>
          <w:tcPr>
            <w:tcW w:w="701" w:type="pct"/>
            <w:tcMar>
              <w:top w:w="57" w:type="dxa"/>
              <w:left w:w="85" w:type="dxa"/>
              <w:bottom w:w="57" w:type="dxa"/>
              <w:right w:w="85" w:type="dxa"/>
            </w:tcMar>
            <w:vAlign w:val="center"/>
          </w:tcPr>
          <w:p>
            <w:pPr>
              <w:pStyle w:val="182"/>
              <w:bidi w:val="0"/>
              <w:rPr>
                <w:color w:val="auto"/>
              </w:rPr>
            </w:pPr>
            <w:r>
              <w:rPr>
                <w:rFonts w:hint="eastAsia"/>
                <w:color w:val="auto"/>
              </w:rPr>
              <w:t>18.3</w:t>
            </w:r>
          </w:p>
        </w:tc>
        <w:tc>
          <w:tcPr>
            <w:tcW w:w="701" w:type="pct"/>
            <w:tcMar>
              <w:top w:w="57" w:type="dxa"/>
              <w:left w:w="85" w:type="dxa"/>
              <w:bottom w:w="57" w:type="dxa"/>
              <w:right w:w="85" w:type="dxa"/>
            </w:tcMar>
            <w:vAlign w:val="center"/>
          </w:tcPr>
          <w:p>
            <w:pPr>
              <w:pStyle w:val="182"/>
              <w:bidi w:val="0"/>
              <w:rPr>
                <w:color w:val="auto"/>
              </w:rPr>
            </w:pPr>
            <w:r>
              <w:rPr>
                <w:color w:val="auto"/>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pPr>
              <w:pStyle w:val="182"/>
              <w:bidi w:val="0"/>
              <w:rPr>
                <w:color w:val="auto"/>
              </w:rPr>
            </w:pPr>
            <w:r>
              <w:rPr>
                <w:color w:val="auto"/>
              </w:rPr>
              <w:t>NO</w:t>
            </w:r>
            <w:r>
              <w:rPr>
                <w:color w:val="auto"/>
                <w:vertAlign w:val="subscript"/>
              </w:rPr>
              <w:t>2</w:t>
            </w:r>
          </w:p>
        </w:tc>
        <w:tc>
          <w:tcPr>
            <w:tcW w:w="1036" w:type="pct"/>
            <w:tcMar>
              <w:top w:w="57" w:type="dxa"/>
              <w:left w:w="85" w:type="dxa"/>
              <w:bottom w:w="57" w:type="dxa"/>
              <w:right w:w="85" w:type="dxa"/>
            </w:tcMar>
            <w:vAlign w:val="center"/>
          </w:tcPr>
          <w:p>
            <w:pPr>
              <w:pStyle w:val="182"/>
              <w:bidi w:val="0"/>
              <w:rPr>
                <w:color w:val="auto"/>
              </w:rPr>
            </w:pPr>
            <w:r>
              <w:rPr>
                <w:color w:val="auto"/>
              </w:rPr>
              <w:t>年平均质量浓度</w:t>
            </w:r>
          </w:p>
        </w:tc>
        <w:tc>
          <w:tcPr>
            <w:tcW w:w="858" w:type="pct"/>
            <w:tcMar>
              <w:top w:w="57" w:type="dxa"/>
              <w:left w:w="85" w:type="dxa"/>
              <w:bottom w:w="57" w:type="dxa"/>
              <w:right w:w="85" w:type="dxa"/>
            </w:tcMar>
            <w:vAlign w:val="center"/>
          </w:tcPr>
          <w:p>
            <w:pPr>
              <w:pStyle w:val="182"/>
              <w:bidi w:val="0"/>
              <w:rPr>
                <w:color w:val="auto"/>
              </w:rPr>
            </w:pPr>
            <w:r>
              <w:rPr>
                <w:rFonts w:hint="eastAsia"/>
                <w:color w:val="auto"/>
              </w:rPr>
              <w:t>32</w:t>
            </w:r>
          </w:p>
        </w:tc>
        <w:tc>
          <w:tcPr>
            <w:tcW w:w="933" w:type="pct"/>
            <w:tcMar>
              <w:top w:w="57" w:type="dxa"/>
              <w:left w:w="85" w:type="dxa"/>
              <w:bottom w:w="57" w:type="dxa"/>
              <w:right w:w="85" w:type="dxa"/>
            </w:tcMar>
            <w:vAlign w:val="center"/>
          </w:tcPr>
          <w:p>
            <w:pPr>
              <w:pStyle w:val="182"/>
              <w:bidi w:val="0"/>
              <w:rPr>
                <w:color w:val="auto"/>
              </w:rPr>
            </w:pPr>
            <w:r>
              <w:rPr>
                <w:color w:val="auto"/>
              </w:rPr>
              <w:t>40</w:t>
            </w:r>
          </w:p>
        </w:tc>
        <w:tc>
          <w:tcPr>
            <w:tcW w:w="701" w:type="pct"/>
            <w:tcMar>
              <w:top w:w="57" w:type="dxa"/>
              <w:left w:w="85" w:type="dxa"/>
              <w:bottom w:w="57" w:type="dxa"/>
              <w:right w:w="85" w:type="dxa"/>
            </w:tcMar>
            <w:vAlign w:val="center"/>
          </w:tcPr>
          <w:p>
            <w:pPr>
              <w:pStyle w:val="182"/>
              <w:bidi w:val="0"/>
              <w:rPr>
                <w:color w:val="auto"/>
              </w:rPr>
            </w:pPr>
            <w:r>
              <w:rPr>
                <w:rFonts w:hint="eastAsia"/>
                <w:color w:val="auto"/>
              </w:rPr>
              <w:t>80</w:t>
            </w:r>
          </w:p>
        </w:tc>
        <w:tc>
          <w:tcPr>
            <w:tcW w:w="701" w:type="pct"/>
            <w:tcMar>
              <w:top w:w="57" w:type="dxa"/>
              <w:left w:w="85" w:type="dxa"/>
              <w:bottom w:w="57" w:type="dxa"/>
              <w:right w:w="85" w:type="dxa"/>
            </w:tcMar>
            <w:vAlign w:val="center"/>
          </w:tcPr>
          <w:p>
            <w:pPr>
              <w:pStyle w:val="182"/>
              <w:bidi w:val="0"/>
              <w:rPr>
                <w:color w:val="auto"/>
              </w:rPr>
            </w:pPr>
            <w:r>
              <w:rPr>
                <w:color w:val="auto"/>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pPr>
              <w:pStyle w:val="182"/>
              <w:bidi w:val="0"/>
              <w:rPr>
                <w:color w:val="auto"/>
              </w:rPr>
            </w:pPr>
            <w:r>
              <w:rPr>
                <w:color w:val="auto"/>
              </w:rPr>
              <w:t>CO</w:t>
            </w:r>
          </w:p>
        </w:tc>
        <w:tc>
          <w:tcPr>
            <w:tcW w:w="1036" w:type="pct"/>
            <w:tcMar>
              <w:top w:w="57" w:type="dxa"/>
              <w:left w:w="85" w:type="dxa"/>
              <w:bottom w:w="57" w:type="dxa"/>
              <w:right w:w="85" w:type="dxa"/>
            </w:tcMar>
            <w:vAlign w:val="center"/>
          </w:tcPr>
          <w:p>
            <w:pPr>
              <w:pStyle w:val="182"/>
              <w:bidi w:val="0"/>
              <w:rPr>
                <w:color w:val="auto"/>
              </w:rPr>
            </w:pPr>
            <w:r>
              <w:rPr>
                <w:color w:val="auto"/>
              </w:rPr>
              <w:t>第95百分位浓度</w:t>
            </w:r>
          </w:p>
        </w:tc>
        <w:tc>
          <w:tcPr>
            <w:tcW w:w="858" w:type="pct"/>
            <w:tcMar>
              <w:top w:w="57" w:type="dxa"/>
              <w:left w:w="85" w:type="dxa"/>
              <w:bottom w:w="57" w:type="dxa"/>
              <w:right w:w="85" w:type="dxa"/>
            </w:tcMar>
            <w:vAlign w:val="center"/>
          </w:tcPr>
          <w:p>
            <w:pPr>
              <w:pStyle w:val="182"/>
              <w:bidi w:val="0"/>
              <w:rPr>
                <w:color w:val="auto"/>
              </w:rPr>
            </w:pPr>
            <w:r>
              <w:rPr>
                <w:color w:val="auto"/>
              </w:rPr>
              <w:t>1.6mg/m</w:t>
            </w:r>
            <w:r>
              <w:rPr>
                <w:color w:val="auto"/>
                <w:vertAlign w:val="superscript"/>
              </w:rPr>
              <w:t>3</w:t>
            </w:r>
          </w:p>
        </w:tc>
        <w:tc>
          <w:tcPr>
            <w:tcW w:w="933" w:type="pct"/>
            <w:tcMar>
              <w:top w:w="57" w:type="dxa"/>
              <w:left w:w="85" w:type="dxa"/>
              <w:bottom w:w="57" w:type="dxa"/>
              <w:right w:w="85" w:type="dxa"/>
            </w:tcMar>
            <w:vAlign w:val="center"/>
          </w:tcPr>
          <w:p>
            <w:pPr>
              <w:pStyle w:val="182"/>
              <w:bidi w:val="0"/>
              <w:rPr>
                <w:color w:val="auto"/>
              </w:rPr>
            </w:pPr>
            <w:r>
              <w:rPr>
                <w:color w:val="auto"/>
              </w:rPr>
              <w:t>4mg/m</w:t>
            </w:r>
            <w:r>
              <w:rPr>
                <w:color w:val="auto"/>
                <w:vertAlign w:val="superscript"/>
              </w:rPr>
              <w:t>3</w:t>
            </w:r>
          </w:p>
        </w:tc>
        <w:tc>
          <w:tcPr>
            <w:tcW w:w="701" w:type="pct"/>
            <w:tcMar>
              <w:top w:w="57" w:type="dxa"/>
              <w:left w:w="85" w:type="dxa"/>
              <w:bottom w:w="57" w:type="dxa"/>
              <w:right w:w="85" w:type="dxa"/>
            </w:tcMar>
            <w:vAlign w:val="center"/>
          </w:tcPr>
          <w:p>
            <w:pPr>
              <w:pStyle w:val="182"/>
              <w:bidi w:val="0"/>
              <w:rPr>
                <w:color w:val="auto"/>
              </w:rPr>
            </w:pPr>
            <w:r>
              <w:rPr>
                <w:rFonts w:hint="eastAsia"/>
                <w:color w:val="auto"/>
              </w:rPr>
              <w:t>40</w:t>
            </w:r>
          </w:p>
        </w:tc>
        <w:tc>
          <w:tcPr>
            <w:tcW w:w="701" w:type="pct"/>
            <w:tcMar>
              <w:top w:w="57" w:type="dxa"/>
              <w:left w:w="85" w:type="dxa"/>
              <w:bottom w:w="57" w:type="dxa"/>
              <w:right w:w="85" w:type="dxa"/>
            </w:tcMar>
            <w:vAlign w:val="center"/>
          </w:tcPr>
          <w:p>
            <w:pPr>
              <w:pStyle w:val="182"/>
              <w:bidi w:val="0"/>
              <w:rPr>
                <w:color w:val="auto"/>
              </w:rPr>
            </w:pPr>
            <w:r>
              <w:rPr>
                <w:color w:val="auto"/>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pPr>
              <w:pStyle w:val="182"/>
              <w:bidi w:val="0"/>
              <w:rPr>
                <w:color w:val="auto"/>
              </w:rPr>
            </w:pPr>
            <w:r>
              <w:rPr>
                <w:color w:val="auto"/>
              </w:rPr>
              <w:t>O</w:t>
            </w:r>
            <w:r>
              <w:rPr>
                <w:color w:val="auto"/>
                <w:vertAlign w:val="subscript"/>
              </w:rPr>
              <w:t>3</w:t>
            </w:r>
          </w:p>
        </w:tc>
        <w:tc>
          <w:tcPr>
            <w:tcW w:w="1036" w:type="pct"/>
            <w:tcMar>
              <w:top w:w="57" w:type="dxa"/>
              <w:left w:w="85" w:type="dxa"/>
              <w:bottom w:w="57" w:type="dxa"/>
              <w:right w:w="85" w:type="dxa"/>
            </w:tcMar>
            <w:vAlign w:val="center"/>
          </w:tcPr>
          <w:p>
            <w:pPr>
              <w:pStyle w:val="182"/>
              <w:bidi w:val="0"/>
              <w:rPr>
                <w:color w:val="auto"/>
              </w:rPr>
            </w:pPr>
            <w:r>
              <w:rPr>
                <w:color w:val="auto"/>
              </w:rPr>
              <w:t>第90百分位浓度</w:t>
            </w:r>
          </w:p>
        </w:tc>
        <w:tc>
          <w:tcPr>
            <w:tcW w:w="858" w:type="pct"/>
            <w:tcMar>
              <w:top w:w="57" w:type="dxa"/>
              <w:left w:w="85" w:type="dxa"/>
              <w:bottom w:w="57" w:type="dxa"/>
              <w:right w:w="85" w:type="dxa"/>
            </w:tcMar>
            <w:vAlign w:val="center"/>
          </w:tcPr>
          <w:p>
            <w:pPr>
              <w:pStyle w:val="182"/>
              <w:bidi w:val="0"/>
              <w:rPr>
                <w:color w:val="auto"/>
              </w:rPr>
            </w:pPr>
            <w:r>
              <w:rPr>
                <w:color w:val="auto"/>
              </w:rPr>
              <w:t>173</w:t>
            </w:r>
          </w:p>
        </w:tc>
        <w:tc>
          <w:tcPr>
            <w:tcW w:w="933" w:type="pct"/>
            <w:tcMar>
              <w:top w:w="57" w:type="dxa"/>
              <w:left w:w="85" w:type="dxa"/>
              <w:bottom w:w="57" w:type="dxa"/>
              <w:right w:w="85" w:type="dxa"/>
            </w:tcMar>
            <w:vAlign w:val="center"/>
          </w:tcPr>
          <w:p>
            <w:pPr>
              <w:pStyle w:val="182"/>
              <w:bidi w:val="0"/>
              <w:rPr>
                <w:color w:val="auto"/>
              </w:rPr>
            </w:pPr>
            <w:r>
              <w:rPr>
                <w:color w:val="auto"/>
              </w:rPr>
              <w:t>160</w:t>
            </w:r>
          </w:p>
        </w:tc>
        <w:tc>
          <w:tcPr>
            <w:tcW w:w="701" w:type="pct"/>
            <w:tcMar>
              <w:top w:w="57" w:type="dxa"/>
              <w:left w:w="85" w:type="dxa"/>
              <w:bottom w:w="57" w:type="dxa"/>
              <w:right w:w="85" w:type="dxa"/>
            </w:tcMar>
            <w:vAlign w:val="center"/>
          </w:tcPr>
          <w:p>
            <w:pPr>
              <w:pStyle w:val="182"/>
              <w:bidi w:val="0"/>
              <w:rPr>
                <w:color w:val="auto"/>
              </w:rPr>
            </w:pPr>
            <w:r>
              <w:rPr>
                <w:color w:val="auto"/>
              </w:rPr>
              <w:t>108</w:t>
            </w:r>
            <w:r>
              <w:rPr>
                <w:rFonts w:hint="eastAsia"/>
                <w:color w:val="auto"/>
              </w:rPr>
              <w:t>.1</w:t>
            </w:r>
          </w:p>
        </w:tc>
        <w:tc>
          <w:tcPr>
            <w:tcW w:w="701" w:type="pct"/>
            <w:tcMar>
              <w:top w:w="57" w:type="dxa"/>
              <w:left w:w="85" w:type="dxa"/>
              <w:bottom w:w="57" w:type="dxa"/>
              <w:right w:w="85" w:type="dxa"/>
            </w:tcMar>
            <w:vAlign w:val="center"/>
          </w:tcPr>
          <w:p>
            <w:pPr>
              <w:pStyle w:val="182"/>
              <w:bidi w:val="0"/>
              <w:rPr>
                <w:color w:val="auto"/>
              </w:rPr>
            </w:pPr>
            <w:r>
              <w:rPr>
                <w:color w:val="auto"/>
              </w:rPr>
              <w:t>超标</w:t>
            </w:r>
          </w:p>
        </w:tc>
      </w:tr>
    </w:tbl>
    <w:p>
      <w:pPr>
        <w:bidi w:val="0"/>
        <w:rPr>
          <w:color w:val="auto"/>
        </w:rPr>
      </w:pPr>
      <w:r>
        <w:rPr>
          <w:color w:val="auto"/>
        </w:rPr>
        <w:t>由上表可知，其中PM</w:t>
      </w:r>
      <w:r>
        <w:rPr>
          <w:color w:val="auto"/>
          <w:vertAlign w:val="subscript"/>
        </w:rPr>
        <w:t>10</w:t>
      </w:r>
      <w:r>
        <w:rPr>
          <w:color w:val="auto"/>
        </w:rPr>
        <w:t>、PM</w:t>
      </w:r>
      <w:r>
        <w:rPr>
          <w:color w:val="auto"/>
          <w:vertAlign w:val="subscript"/>
        </w:rPr>
        <w:t>2.5</w:t>
      </w:r>
      <w:r>
        <w:rPr>
          <w:color w:val="auto"/>
        </w:rPr>
        <w:t>和O</w:t>
      </w:r>
      <w:r>
        <w:rPr>
          <w:color w:val="auto"/>
          <w:vertAlign w:val="subscript"/>
        </w:rPr>
        <w:t>3</w:t>
      </w:r>
      <w:r>
        <w:rPr>
          <w:color w:val="auto"/>
        </w:rPr>
        <w:t>均不能够满足《环境空气质量标准》（GB3095-2012）二级标准要求。根据《环境影响评价技术导则大气环境》(HJ2.2-2018)，本项目所在区域属于未达标区。空气质量超标原因主要为：①冬季供暖锅炉以及部分企业燃煤锅炉启动，且冬季大气自净能力下降，污染扩散气象条件差；②区域内汽车等交通</w:t>
      </w:r>
      <w:r>
        <w:rPr>
          <w:rFonts w:hint="eastAsia"/>
          <w:color w:val="auto"/>
          <w:lang w:eastAsia="zh-CN"/>
        </w:rPr>
        <w:t>资源</w:t>
      </w:r>
      <w:r>
        <w:rPr>
          <w:color w:val="auto"/>
        </w:rPr>
        <w:t>增加，污染物排放量增大；③天气干燥，尘土较多。因此超标现象属于区域性污染问题。</w:t>
      </w:r>
    </w:p>
    <w:p>
      <w:pPr>
        <w:bidi w:val="0"/>
        <w:rPr>
          <w:color w:val="auto"/>
        </w:rPr>
      </w:pPr>
      <w:r>
        <w:rPr>
          <w:color w:val="auto"/>
        </w:rPr>
        <w:pict>
          <v:shape id="文本框 1" o:spid="_x0000_s2053" o:spt="202" type="#_x0000_t202" style="position:absolute;left:0pt;margin-left:-179.65pt;margin-top:21pt;height:21.75pt;width:23.25pt;z-index:25166233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">
            <v:path arrowok="t"/>
            <v:fill focussize="0,0"/>
            <v:stroke weight="0.5pt" color="#FFFFFF" joinstyle="miter"/>
            <v:imagedata o:title=""/>
            <o:lock v:ext="edit"/>
            <v:textbox>
              <w:txbxContent>
                <w:p>
                  <w:pPr>
                    <w:rPr>
                      <w:rFonts w:ascii="宋体" w:hAnsi="宋体" w:cs="宋体"/>
                      <w:sz w:val="16"/>
                      <w:szCs w:val="16"/>
                    </w:rPr>
                  </w:pPr>
                </w:p>
              </w:txbxContent>
            </v:textbox>
          </v:shape>
        </w:pict>
      </w:r>
      <w:r>
        <w:rPr>
          <w:color w:val="auto"/>
        </w:rPr>
        <w:t>2021年，新乡市环境空气细颗粒物（PM</w:t>
      </w:r>
      <w:r>
        <w:rPr>
          <w:color w:val="auto"/>
          <w:vertAlign w:val="subscript"/>
        </w:rPr>
        <w:t>2.5</w:t>
      </w:r>
      <w:r>
        <w:rPr>
          <w:color w:val="auto"/>
        </w:rPr>
        <w:t>）年均浓度值47微克/立方米，与上年相比降低4微克/立方米，降幅7.8%；可吸入颗粒物（PM</w:t>
      </w:r>
      <w:r>
        <w:rPr>
          <w:color w:val="auto"/>
          <w:vertAlign w:val="subscript"/>
        </w:rPr>
        <w:t>10</w:t>
      </w:r>
      <w:r>
        <w:rPr>
          <w:color w:val="auto"/>
        </w:rPr>
        <w:t>）年均浓度值93微克/立方米，与上年相比上升4微克/立方米，升幅4.5%；二氧化硫（SO</w:t>
      </w:r>
      <w:r>
        <w:rPr>
          <w:color w:val="auto"/>
          <w:vertAlign w:val="subscript"/>
        </w:rPr>
        <w:t>2</w:t>
      </w:r>
      <w:r>
        <w:rPr>
          <w:color w:val="auto"/>
        </w:rPr>
        <w:t>）年均浓度值11微克/立方米，与上年相比降低2微克/立方米，降幅15.4%；二氧化氮（NO</w:t>
      </w:r>
      <w:r>
        <w:rPr>
          <w:color w:val="auto"/>
          <w:vertAlign w:val="subscript"/>
        </w:rPr>
        <w:t>2</w:t>
      </w:r>
      <w:r>
        <w:rPr>
          <w:color w:val="auto"/>
        </w:rPr>
        <w:t>）年均</w:t>
      </w:r>
      <w:r>
        <w:rPr>
          <w:rFonts w:hint="eastAsia"/>
          <w:color w:val="auto"/>
          <w:lang w:eastAsia="zh-CN"/>
        </w:rPr>
        <w:t>浓度</w:t>
      </w:r>
      <w:r>
        <w:rPr>
          <w:color w:val="auto"/>
        </w:rPr>
        <w:t>值32微克/立方米，与上年相比降低3微克/立方米，降幅8.6%；一氧化碳（CO）年第95百分位数浓度1.6毫克/立方米，与上年相比降低0.1毫克/立方米，降幅5.9%；臭氧（O</w:t>
      </w:r>
      <w:r>
        <w:rPr>
          <w:color w:val="auto"/>
          <w:vertAlign w:val="subscript"/>
        </w:rPr>
        <w:t>3</w:t>
      </w:r>
      <w:r>
        <w:rPr>
          <w:color w:val="auto"/>
        </w:rPr>
        <w:t>）年第90百分位数浓度173微克/立方米，与上年相比持平。2021年，新乡市空气质量共监测365天，优、良天数227天（占比62.2%）；轻度污染99天（占比27.1%）、中度污染27天（占比7.4%）、重度污染及以上天气12天（占比3.3%）。与上年相比，环境空气质量持续改善。</w:t>
      </w:r>
    </w:p>
    <w:p>
      <w:pPr>
        <w:bidi w:val="0"/>
        <w:rPr>
          <w:color w:val="auto"/>
        </w:rPr>
      </w:pPr>
      <w:r>
        <w:rPr>
          <w:color w:val="auto"/>
        </w:rPr>
        <w:t>目前，新乡市正在实施《河南省生态环境保护委员会办公室关于印发河南省2022年大气、水、土壤污染防治攻坚战及农业农村污染治理攻坚战实施方案的通知》（豫环委办</w:t>
      </w:r>
      <w:r>
        <w:rPr>
          <w:rFonts w:hint="eastAsia"/>
          <w:color w:val="auto"/>
          <w:lang w:eastAsia="zh-CN"/>
        </w:rPr>
        <w:t>〔</w:t>
      </w:r>
      <w:r>
        <w:rPr>
          <w:color w:val="auto"/>
        </w:rPr>
        <w:t>2022</w:t>
      </w:r>
      <w:r>
        <w:rPr>
          <w:rFonts w:hint="eastAsia"/>
          <w:color w:val="auto"/>
          <w:lang w:eastAsia="zh-CN"/>
        </w:rPr>
        <w:t>〕</w:t>
      </w:r>
      <w:r>
        <w:rPr>
          <w:color w:val="auto"/>
        </w:rPr>
        <w:t>9号）</w:t>
      </w:r>
      <w:r>
        <w:rPr>
          <w:rFonts w:hint="eastAsia"/>
          <w:color w:val="auto"/>
        </w:rPr>
        <w:t>、</w:t>
      </w:r>
      <w:r>
        <w:rPr>
          <w:color w:val="auto"/>
        </w:rPr>
        <w:t>《新乡市环境污染防治攻坚指挥部办公室关于印发新乡市202</w:t>
      </w:r>
      <w:r>
        <w:rPr>
          <w:rFonts w:hint="eastAsia"/>
          <w:color w:val="auto"/>
        </w:rPr>
        <w:t>2</w:t>
      </w:r>
      <w:r>
        <w:rPr>
          <w:color w:val="auto"/>
        </w:rPr>
        <w:t>年大气、水、土壤污染防治攻坚战及农业农村污染治理攻坚实施方案的通知》（新环攻坚办〔202</w:t>
      </w:r>
      <w:r>
        <w:rPr>
          <w:rFonts w:hint="eastAsia"/>
          <w:color w:val="auto"/>
        </w:rPr>
        <w:t>2</w:t>
      </w:r>
      <w:r>
        <w:rPr>
          <w:color w:val="auto"/>
        </w:rPr>
        <w:t>〕</w:t>
      </w:r>
      <w:r>
        <w:rPr>
          <w:rFonts w:hint="eastAsia"/>
          <w:color w:val="auto"/>
        </w:rPr>
        <w:t>6</w:t>
      </w:r>
      <w:r>
        <w:rPr>
          <w:color w:val="auto"/>
        </w:rPr>
        <w:t>0号）等一系列措施，将不断改善区域大气环境质量。</w:t>
      </w:r>
    </w:p>
    <w:p>
      <w:pPr>
        <w:pStyle w:val="10"/>
        <w:bidi w:val="0"/>
        <w:rPr>
          <w:color w:val="auto"/>
        </w:rPr>
      </w:pPr>
      <w:r>
        <w:rPr>
          <w:color w:val="auto"/>
        </w:rPr>
        <w:t>4.2.2.</w:t>
      </w:r>
      <w:bookmarkEnd w:id="270"/>
      <w:bookmarkEnd w:id="271"/>
      <w:r>
        <w:rPr>
          <w:rFonts w:hint="eastAsia"/>
          <w:color w:val="auto"/>
          <w:lang w:val="en-US" w:eastAsia="zh-CN"/>
        </w:rPr>
        <w:t>2</w:t>
      </w:r>
      <w:r>
        <w:rPr>
          <w:rFonts w:hint="eastAsia"/>
          <w:color w:val="auto"/>
        </w:rPr>
        <w:t>环境空气质量</w:t>
      </w:r>
    </w:p>
    <w:p>
      <w:pPr>
        <w:bidi w:val="0"/>
        <w:rPr>
          <w:color w:val="auto"/>
        </w:rPr>
      </w:pPr>
      <w:bookmarkStart w:id="272" w:name="_Toc324839307"/>
      <w:bookmarkStart w:id="273" w:name="_Toc324839604"/>
      <w:r>
        <w:rPr>
          <w:rFonts w:hint="eastAsia"/>
          <w:color w:val="auto"/>
        </w:rPr>
        <w:t>（1）监测点位和监测因子</w:t>
      </w:r>
    </w:p>
    <w:p>
      <w:pPr>
        <w:bidi w:val="0"/>
        <w:rPr>
          <w:color w:val="auto"/>
        </w:rPr>
      </w:pPr>
      <w:r>
        <w:rPr>
          <w:color w:val="auto"/>
        </w:rPr>
        <w:t>本</w:t>
      </w:r>
      <w:r>
        <w:rPr>
          <w:rFonts w:hint="eastAsia"/>
          <w:color w:val="auto"/>
        </w:rPr>
        <w:t>次评价</w:t>
      </w:r>
      <w:r>
        <w:rPr>
          <w:color w:val="auto"/>
        </w:rPr>
        <w:t>环境空气质量现状</w:t>
      </w:r>
      <w:r>
        <w:rPr>
          <w:rFonts w:hint="eastAsia"/>
          <w:color w:val="auto"/>
        </w:rPr>
        <w:t>引用2</w:t>
      </w:r>
      <w:r>
        <w:rPr>
          <w:color w:val="auto"/>
        </w:rPr>
        <w:t>022</w:t>
      </w:r>
      <w:r>
        <w:rPr>
          <w:rFonts w:hint="eastAsia"/>
          <w:color w:val="auto"/>
        </w:rPr>
        <w:t>年6月发布的《新乡经济技术开发区区域环境现状评价报告》中的监测数据</w:t>
      </w:r>
      <w:r>
        <w:rPr>
          <w:color w:val="auto"/>
        </w:rPr>
        <w:t>，</w:t>
      </w:r>
      <w:r>
        <w:rPr>
          <w:rFonts w:hint="eastAsia"/>
          <w:color w:val="auto"/>
        </w:rPr>
        <w:t>臭气浓度留作背景，不做评价。</w:t>
      </w:r>
      <w:r>
        <w:rPr>
          <w:color w:val="auto"/>
        </w:rPr>
        <w:t>具体监测点位布设及监测因子情况见下表。</w:t>
      </w:r>
    </w:p>
    <w:p>
      <w:pPr>
        <w:pStyle w:val="181"/>
        <w:bidi w:val="0"/>
        <w:rPr>
          <w:color w:val="auto"/>
        </w:rPr>
      </w:pPr>
      <w:r>
        <w:rPr>
          <w:color w:val="auto"/>
        </w:rPr>
        <w:t>表4</w:t>
      </w:r>
      <w:r>
        <w:rPr>
          <w:rFonts w:hint="eastAsia"/>
          <w:color w:val="auto"/>
        </w:rPr>
        <w:t>.2</w:t>
      </w:r>
      <w:r>
        <w:rPr>
          <w:color w:val="auto"/>
        </w:rPr>
        <w:t>-</w:t>
      </w:r>
      <w:r>
        <w:rPr>
          <w:rFonts w:hint="eastAsia"/>
          <w:color w:val="auto"/>
          <w:lang w:val="en-US" w:eastAsia="zh-CN"/>
        </w:rPr>
        <w:t>3</w:t>
      </w:r>
      <w:r>
        <w:rPr>
          <w:color w:val="auto"/>
        </w:rPr>
        <w:t xml:space="preserve">  </w:t>
      </w:r>
      <w:r>
        <w:rPr>
          <w:rFonts w:hint="eastAsia"/>
          <w:color w:val="auto"/>
          <w:lang w:val="en-US" w:eastAsia="zh-CN"/>
        </w:rPr>
        <w:t xml:space="preserve">       </w:t>
      </w:r>
      <w:r>
        <w:rPr>
          <w:color w:val="auto"/>
        </w:rPr>
        <w:t>环境空气监测布点及监测因子一览表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2125"/>
        <w:gridCol w:w="706"/>
        <w:gridCol w:w="1276"/>
        <w:gridCol w:w="2551"/>
        <w:gridCol w:w="1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vAlign w:val="center"/>
          </w:tcPr>
          <w:p>
            <w:pPr>
              <w:pStyle w:val="182"/>
              <w:bidi w:val="0"/>
              <w:rPr>
                <w:color w:val="auto"/>
              </w:rPr>
            </w:pPr>
            <w:r>
              <w:rPr>
                <w:color w:val="auto"/>
              </w:rPr>
              <w:t>编号</w:t>
            </w:r>
          </w:p>
        </w:tc>
        <w:tc>
          <w:tcPr>
            <w:tcW w:w="1246" w:type="pct"/>
            <w:vAlign w:val="center"/>
          </w:tcPr>
          <w:p>
            <w:pPr>
              <w:pStyle w:val="182"/>
              <w:bidi w:val="0"/>
              <w:rPr>
                <w:color w:val="auto"/>
              </w:rPr>
            </w:pPr>
            <w:r>
              <w:rPr>
                <w:color w:val="auto"/>
              </w:rPr>
              <w:t>监测点名称</w:t>
            </w:r>
          </w:p>
        </w:tc>
        <w:tc>
          <w:tcPr>
            <w:tcW w:w="414" w:type="pct"/>
            <w:vAlign w:val="center"/>
          </w:tcPr>
          <w:p>
            <w:pPr>
              <w:pStyle w:val="182"/>
              <w:bidi w:val="0"/>
              <w:rPr>
                <w:color w:val="auto"/>
              </w:rPr>
            </w:pPr>
            <w:r>
              <w:rPr>
                <w:color w:val="auto"/>
              </w:rPr>
              <w:t>方位</w:t>
            </w:r>
          </w:p>
        </w:tc>
        <w:tc>
          <w:tcPr>
            <w:tcW w:w="748" w:type="pct"/>
            <w:vAlign w:val="center"/>
          </w:tcPr>
          <w:p>
            <w:pPr>
              <w:pStyle w:val="182"/>
              <w:bidi w:val="0"/>
              <w:rPr>
                <w:color w:val="auto"/>
              </w:rPr>
            </w:pPr>
            <w:r>
              <w:rPr>
                <w:rFonts w:hint="eastAsia"/>
                <w:color w:val="auto"/>
              </w:rPr>
              <w:t>距厂界距离（m）</w:t>
            </w:r>
          </w:p>
        </w:tc>
        <w:tc>
          <w:tcPr>
            <w:tcW w:w="1496" w:type="pct"/>
            <w:vAlign w:val="center"/>
          </w:tcPr>
          <w:p>
            <w:pPr>
              <w:pStyle w:val="182"/>
              <w:bidi w:val="0"/>
              <w:rPr>
                <w:color w:val="auto"/>
              </w:rPr>
            </w:pPr>
            <w:r>
              <w:rPr>
                <w:rFonts w:hint="eastAsia"/>
                <w:color w:val="auto"/>
              </w:rPr>
              <w:t>监测因子</w:t>
            </w:r>
          </w:p>
        </w:tc>
        <w:tc>
          <w:tcPr>
            <w:tcW w:w="698" w:type="pct"/>
            <w:vAlign w:val="center"/>
          </w:tcPr>
          <w:p>
            <w:pPr>
              <w:pStyle w:val="182"/>
              <w:bidi w:val="0"/>
              <w:rPr>
                <w:color w:val="auto"/>
              </w:rPr>
            </w:pPr>
            <w:r>
              <w:rPr>
                <w:color w:val="auto"/>
              </w:rPr>
              <w:t>功能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1</w:t>
            </w:r>
            <w:r>
              <w:rPr>
                <w:rFonts w:hint="eastAsia"/>
                <w:color w:val="auto"/>
              </w:rPr>
              <w:t>#</w:t>
            </w:r>
          </w:p>
        </w:tc>
        <w:tc>
          <w:tcPr>
            <w:tcW w:w="1246"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rPr>
              <w:t>大杨庄</w:t>
            </w:r>
          </w:p>
        </w:tc>
        <w:tc>
          <w:tcPr>
            <w:tcW w:w="414"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rPr>
              <w:t>E</w:t>
            </w:r>
          </w:p>
        </w:tc>
        <w:tc>
          <w:tcPr>
            <w:tcW w:w="748" w:type="pct"/>
            <w:vAlign w:val="center"/>
          </w:tcPr>
          <w:p>
            <w:pPr>
              <w:pStyle w:val="182"/>
              <w:bidi w:val="0"/>
              <w:ind w:firstLine="0" w:firstLineChars="0"/>
              <w:rPr>
                <w:rFonts w:ascii="Times New Roman" w:hAnsi="Times New Roman" w:eastAsia="宋体" w:cs="Times New Roman"/>
                <w:color w:val="auto"/>
                <w:kern w:val="2"/>
                <w:sz w:val="21"/>
                <w:szCs w:val="21"/>
                <w:lang w:val="en-US" w:eastAsia="zh-CN" w:bidi="ar-SA"/>
              </w:rPr>
            </w:pPr>
            <w:r>
              <w:rPr>
                <w:color w:val="auto"/>
              </w:rPr>
              <w:t>2320</w:t>
            </w:r>
          </w:p>
        </w:tc>
        <w:tc>
          <w:tcPr>
            <w:tcW w:w="1496" w:type="pct"/>
            <w:vMerge w:val="restart"/>
            <w:vAlign w:val="center"/>
          </w:tcPr>
          <w:p>
            <w:pPr>
              <w:pStyle w:val="182"/>
              <w:bidi w:val="0"/>
              <w:rPr>
                <w:rFonts w:hint="eastAsia" w:eastAsia="宋体"/>
                <w:color w:val="auto"/>
                <w:lang w:eastAsia="zh-CN"/>
              </w:rPr>
            </w:pPr>
            <w:r>
              <w:rPr>
                <w:rFonts w:hint="eastAsia"/>
                <w:color w:val="auto"/>
              </w:rPr>
              <w:t>硫酸雾</w:t>
            </w:r>
            <w:r>
              <w:rPr>
                <w:rFonts w:hint="eastAsia"/>
                <w:color w:val="auto"/>
                <w:lang w:eastAsia="zh-CN"/>
              </w:rPr>
              <w:t>、</w:t>
            </w:r>
            <w:r>
              <w:rPr>
                <w:rFonts w:hint="eastAsia"/>
                <w:b/>
                <w:bCs/>
                <w:color w:val="auto"/>
                <w:u w:val="single"/>
                <w:lang w:eastAsia="zh-CN"/>
              </w:rPr>
              <w:t>硫化氢、二硫化碳、氨</w:t>
            </w:r>
          </w:p>
        </w:tc>
        <w:tc>
          <w:tcPr>
            <w:tcW w:w="698"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rPr>
              <w:t>东侧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2</w:t>
            </w:r>
            <w:r>
              <w:rPr>
                <w:rFonts w:hint="eastAsia"/>
                <w:color w:val="auto"/>
              </w:rPr>
              <w:t>#</w:t>
            </w:r>
          </w:p>
        </w:tc>
        <w:tc>
          <w:tcPr>
            <w:tcW w:w="1246"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rPr>
              <w:t>张兴庄</w:t>
            </w:r>
          </w:p>
        </w:tc>
        <w:tc>
          <w:tcPr>
            <w:tcW w:w="414"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rPr>
              <w:t>W</w:t>
            </w:r>
          </w:p>
        </w:tc>
        <w:tc>
          <w:tcPr>
            <w:tcW w:w="748" w:type="pct"/>
            <w:vAlign w:val="center"/>
          </w:tcPr>
          <w:p>
            <w:pPr>
              <w:pStyle w:val="182"/>
              <w:bidi w:val="0"/>
              <w:ind w:firstLine="0" w:firstLineChars="0"/>
              <w:rPr>
                <w:rFonts w:ascii="Times New Roman" w:hAnsi="Times New Roman" w:eastAsia="宋体" w:cs="Times New Roman"/>
                <w:color w:val="auto"/>
                <w:kern w:val="2"/>
                <w:sz w:val="21"/>
                <w:szCs w:val="21"/>
                <w:lang w:val="en-US" w:eastAsia="zh-CN" w:bidi="ar-SA"/>
              </w:rPr>
            </w:pPr>
            <w:r>
              <w:rPr>
                <w:color w:val="auto"/>
              </w:rPr>
              <w:t>1760</w:t>
            </w:r>
          </w:p>
        </w:tc>
        <w:tc>
          <w:tcPr>
            <w:tcW w:w="1496" w:type="pct"/>
            <w:vMerge w:val="continue"/>
            <w:vAlign w:val="center"/>
          </w:tcPr>
          <w:p>
            <w:pPr>
              <w:pStyle w:val="182"/>
              <w:bidi w:val="0"/>
              <w:rPr>
                <w:color w:val="auto"/>
              </w:rPr>
            </w:pPr>
          </w:p>
        </w:tc>
        <w:tc>
          <w:tcPr>
            <w:tcW w:w="698"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rPr>
              <w:t>西侧</w:t>
            </w:r>
          </w:p>
        </w:tc>
      </w:tr>
    </w:tbl>
    <w:p>
      <w:pPr>
        <w:bidi w:val="0"/>
        <w:rPr>
          <w:color w:val="auto"/>
        </w:rPr>
      </w:pPr>
      <w:r>
        <w:rPr>
          <w:rFonts w:hint="eastAsia"/>
          <w:color w:val="auto"/>
        </w:rPr>
        <w:t>（2）监测时间和频次</w:t>
      </w:r>
    </w:p>
    <w:p>
      <w:pPr>
        <w:bidi w:val="0"/>
        <w:rPr>
          <w:color w:val="auto"/>
        </w:rPr>
      </w:pPr>
      <w:r>
        <w:rPr>
          <w:rFonts w:hint="eastAsia"/>
          <w:color w:val="auto"/>
        </w:rPr>
        <w:t>监测时间：2021.11.02~2021.11.05，2021.11.08~2021.11.10；</w:t>
      </w:r>
    </w:p>
    <w:p>
      <w:pPr>
        <w:bidi w:val="0"/>
        <w:rPr>
          <w:color w:val="auto"/>
        </w:rPr>
      </w:pPr>
      <w:r>
        <w:rPr>
          <w:rFonts w:hint="eastAsia"/>
          <w:color w:val="auto"/>
        </w:rPr>
        <w:t>监测频次：详见表</w:t>
      </w:r>
      <w:r>
        <w:rPr>
          <w:color w:val="auto"/>
        </w:rPr>
        <w:t>4.2</w:t>
      </w:r>
      <w:r>
        <w:rPr>
          <w:rFonts w:hint="eastAsia"/>
          <w:color w:val="auto"/>
        </w:rPr>
        <w:t>-</w:t>
      </w:r>
      <w:r>
        <w:rPr>
          <w:rFonts w:hint="eastAsia"/>
          <w:color w:val="auto"/>
          <w:lang w:val="en-US" w:eastAsia="zh-CN"/>
        </w:rPr>
        <w:t>4</w:t>
      </w:r>
      <w:r>
        <w:rPr>
          <w:rFonts w:hint="eastAsia"/>
          <w:color w:val="auto"/>
        </w:rPr>
        <w:t>。</w:t>
      </w:r>
    </w:p>
    <w:p>
      <w:pPr>
        <w:pStyle w:val="181"/>
        <w:bidi w:val="0"/>
        <w:rPr>
          <w:color w:val="auto"/>
        </w:rPr>
      </w:pPr>
      <w:r>
        <w:rPr>
          <w:rFonts w:hint="eastAsia"/>
          <w:color w:val="auto"/>
        </w:rPr>
        <w:t>表</w:t>
      </w:r>
      <w:r>
        <w:rPr>
          <w:color w:val="auto"/>
        </w:rPr>
        <w:t>4</w:t>
      </w:r>
      <w:r>
        <w:rPr>
          <w:rFonts w:hint="eastAsia"/>
          <w:color w:val="auto"/>
        </w:rPr>
        <w:t>.</w:t>
      </w:r>
      <w:r>
        <w:rPr>
          <w:color w:val="auto"/>
        </w:rPr>
        <w:t>2</w:t>
      </w:r>
      <w:r>
        <w:rPr>
          <w:rFonts w:hint="eastAsia"/>
          <w:color w:val="auto"/>
        </w:rPr>
        <w:t>-</w:t>
      </w:r>
      <w:r>
        <w:rPr>
          <w:rFonts w:hint="eastAsia"/>
          <w:color w:val="auto"/>
          <w:lang w:val="en-US" w:eastAsia="zh-CN"/>
        </w:rPr>
        <w:t>4</w:t>
      </w:r>
      <w:r>
        <w:rPr>
          <w:rFonts w:hint="eastAsia"/>
          <w:color w:val="auto"/>
        </w:rPr>
        <w:t xml:space="preserve"> </w:t>
      </w:r>
      <w:r>
        <w:rPr>
          <w:color w:val="auto"/>
        </w:rPr>
        <w:t xml:space="preserve"> </w:t>
      </w:r>
      <w:r>
        <w:rPr>
          <w:rFonts w:hint="eastAsia"/>
          <w:color w:val="auto"/>
          <w:lang w:val="en-US" w:eastAsia="zh-CN"/>
        </w:rPr>
        <w:t xml:space="preserve">       </w:t>
      </w:r>
      <w:r>
        <w:rPr>
          <w:rFonts w:hint="eastAsia"/>
          <w:color w:val="auto"/>
        </w:rPr>
        <w:t>环境空气现状各监测因子监测频次</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7"/>
        <w:gridCol w:w="2887"/>
        <w:gridCol w:w="2197"/>
        <w:gridCol w:w="1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405" w:type="dxa"/>
            <w:vAlign w:val="center"/>
          </w:tcPr>
          <w:p>
            <w:pPr>
              <w:pStyle w:val="182"/>
              <w:bidi w:val="0"/>
              <w:rPr>
                <w:b/>
                <w:bCs/>
                <w:color w:val="auto"/>
                <w:u w:val="single"/>
              </w:rPr>
            </w:pPr>
            <w:r>
              <w:rPr>
                <w:rFonts w:hint="eastAsia"/>
                <w:b/>
                <w:bCs/>
                <w:color w:val="auto"/>
                <w:u w:val="single"/>
              </w:rPr>
              <w:t>监测指标</w:t>
            </w:r>
          </w:p>
        </w:tc>
        <w:tc>
          <w:tcPr>
            <w:tcW w:w="2977" w:type="dxa"/>
            <w:vAlign w:val="center"/>
          </w:tcPr>
          <w:p>
            <w:pPr>
              <w:pStyle w:val="182"/>
              <w:bidi w:val="0"/>
              <w:rPr>
                <w:b/>
                <w:bCs/>
                <w:color w:val="auto"/>
                <w:u w:val="single"/>
              </w:rPr>
            </w:pPr>
            <w:r>
              <w:rPr>
                <w:rFonts w:hint="eastAsia"/>
                <w:b/>
                <w:bCs/>
                <w:color w:val="auto"/>
                <w:u w:val="single"/>
              </w:rPr>
              <w:t>平均1小时浓度</w:t>
            </w:r>
          </w:p>
        </w:tc>
        <w:tc>
          <w:tcPr>
            <w:tcW w:w="2268" w:type="dxa"/>
            <w:vAlign w:val="center"/>
          </w:tcPr>
          <w:p>
            <w:pPr>
              <w:pStyle w:val="182"/>
              <w:bidi w:val="0"/>
              <w:rPr>
                <w:b/>
                <w:bCs/>
                <w:color w:val="auto"/>
                <w:u w:val="single"/>
              </w:rPr>
            </w:pPr>
            <w:r>
              <w:rPr>
                <w:rFonts w:hint="eastAsia"/>
                <w:b/>
                <w:bCs/>
                <w:color w:val="auto"/>
                <w:u w:val="single"/>
              </w:rPr>
              <w:t>日平均浓度</w:t>
            </w:r>
          </w:p>
        </w:tc>
        <w:tc>
          <w:tcPr>
            <w:tcW w:w="1127" w:type="dxa"/>
            <w:vAlign w:val="center"/>
          </w:tcPr>
          <w:p>
            <w:pPr>
              <w:pStyle w:val="182"/>
              <w:bidi w:val="0"/>
              <w:rPr>
                <w:b/>
                <w:bCs/>
                <w:color w:val="auto"/>
                <w:u w:val="single"/>
              </w:rPr>
            </w:pPr>
            <w:r>
              <w:rPr>
                <w:rFonts w:hint="eastAsia"/>
                <w:b/>
                <w:bCs/>
                <w:color w:val="auto"/>
                <w:u w:val="singl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05" w:type="dxa"/>
            <w:vAlign w:val="center"/>
          </w:tcPr>
          <w:p>
            <w:pPr>
              <w:pStyle w:val="182"/>
              <w:bidi w:val="0"/>
              <w:rPr>
                <w:rFonts w:hint="eastAsia"/>
                <w:b/>
                <w:bCs/>
                <w:color w:val="auto"/>
                <w:u w:val="single"/>
              </w:rPr>
            </w:pPr>
            <w:r>
              <w:rPr>
                <w:rFonts w:hint="eastAsia"/>
                <w:b/>
                <w:bCs/>
                <w:color w:val="auto"/>
                <w:u w:val="single"/>
              </w:rPr>
              <w:t>硫酸雾</w:t>
            </w:r>
            <w:r>
              <w:rPr>
                <w:rFonts w:hint="eastAsia"/>
                <w:b/>
                <w:bCs/>
                <w:color w:val="auto"/>
                <w:u w:val="single"/>
                <w:lang w:eastAsia="zh-CN"/>
              </w:rPr>
              <w:t>、</w:t>
            </w:r>
            <w:r>
              <w:rPr>
                <w:rFonts w:hint="eastAsia"/>
                <w:b/>
                <w:bCs/>
                <w:color w:val="auto"/>
                <w:u w:val="single"/>
              </w:rPr>
              <w:t>硫化</w:t>
            </w:r>
          </w:p>
          <w:p>
            <w:pPr>
              <w:pStyle w:val="182"/>
              <w:bidi w:val="0"/>
              <w:rPr>
                <w:b/>
                <w:bCs/>
                <w:color w:val="auto"/>
                <w:u w:val="single"/>
              </w:rPr>
            </w:pPr>
            <w:r>
              <w:rPr>
                <w:rFonts w:hint="eastAsia"/>
                <w:b/>
                <w:bCs/>
                <w:color w:val="auto"/>
                <w:u w:val="single"/>
              </w:rPr>
              <w:t>氢、二硫化碳、氨</w:t>
            </w:r>
          </w:p>
        </w:tc>
        <w:tc>
          <w:tcPr>
            <w:tcW w:w="2977" w:type="dxa"/>
            <w:vAlign w:val="center"/>
          </w:tcPr>
          <w:p>
            <w:pPr>
              <w:pStyle w:val="182"/>
              <w:bidi w:val="0"/>
              <w:rPr>
                <w:b/>
                <w:bCs/>
                <w:color w:val="auto"/>
                <w:u w:val="single"/>
              </w:rPr>
            </w:pPr>
            <w:r>
              <w:rPr>
                <w:rFonts w:hint="eastAsia"/>
                <w:b/>
                <w:bCs/>
                <w:color w:val="auto"/>
                <w:u w:val="single"/>
              </w:rPr>
              <w:t>每天02、08、14、20时的一次值，各小时采一次样，每小时至少45分钟采样时间</w:t>
            </w:r>
          </w:p>
        </w:tc>
        <w:tc>
          <w:tcPr>
            <w:tcW w:w="2268" w:type="dxa"/>
            <w:vAlign w:val="center"/>
          </w:tcPr>
          <w:p>
            <w:pPr>
              <w:pStyle w:val="182"/>
              <w:bidi w:val="0"/>
              <w:rPr>
                <w:b/>
                <w:bCs/>
                <w:color w:val="auto"/>
                <w:u w:val="single"/>
              </w:rPr>
            </w:pPr>
            <w:r>
              <w:rPr>
                <w:rFonts w:hint="eastAsia"/>
                <w:b/>
                <w:bCs/>
                <w:color w:val="auto"/>
                <w:u w:val="single"/>
              </w:rPr>
              <w:t>/</w:t>
            </w:r>
          </w:p>
        </w:tc>
        <w:tc>
          <w:tcPr>
            <w:tcW w:w="1127" w:type="dxa"/>
            <w:vAlign w:val="center"/>
          </w:tcPr>
          <w:p>
            <w:pPr>
              <w:pStyle w:val="182"/>
              <w:bidi w:val="0"/>
              <w:rPr>
                <w:b/>
                <w:bCs/>
                <w:color w:val="auto"/>
                <w:u w:val="single"/>
              </w:rPr>
            </w:pPr>
            <w:r>
              <w:rPr>
                <w:rFonts w:hint="eastAsia"/>
                <w:b/>
                <w:bCs/>
                <w:color w:val="auto"/>
                <w:u w:val="single"/>
              </w:rPr>
              <w:t>监测7天</w:t>
            </w:r>
          </w:p>
        </w:tc>
      </w:tr>
    </w:tbl>
    <w:p>
      <w:pPr>
        <w:bidi w:val="0"/>
        <w:rPr>
          <w:color w:val="auto"/>
        </w:rPr>
      </w:pPr>
      <w:r>
        <w:rPr>
          <w:rFonts w:hint="eastAsia"/>
          <w:color w:val="auto"/>
        </w:rPr>
        <w:t>（3）分析方法</w:t>
      </w:r>
    </w:p>
    <w:p>
      <w:pPr>
        <w:bidi w:val="0"/>
        <w:rPr>
          <w:color w:val="auto"/>
        </w:rPr>
      </w:pPr>
      <w:r>
        <w:rPr>
          <w:color w:val="auto"/>
        </w:rPr>
        <w:t>各项监测因子分析方法见表4</w:t>
      </w:r>
      <w:r>
        <w:rPr>
          <w:rFonts w:hint="eastAsia"/>
          <w:color w:val="auto"/>
        </w:rPr>
        <w:t>.2</w:t>
      </w:r>
      <w:r>
        <w:rPr>
          <w:color w:val="auto"/>
        </w:rPr>
        <w:t>-</w:t>
      </w:r>
      <w:r>
        <w:rPr>
          <w:rFonts w:hint="eastAsia"/>
          <w:color w:val="auto"/>
          <w:lang w:val="en-US" w:eastAsia="zh-CN"/>
        </w:rPr>
        <w:t>5</w:t>
      </w:r>
      <w:r>
        <w:rPr>
          <w:color w:val="auto"/>
        </w:rPr>
        <w:t>。</w:t>
      </w:r>
    </w:p>
    <w:p>
      <w:pPr>
        <w:pStyle w:val="181"/>
        <w:bidi w:val="0"/>
        <w:rPr>
          <w:color w:val="auto"/>
        </w:rPr>
      </w:pPr>
      <w:r>
        <w:rPr>
          <w:color w:val="auto"/>
        </w:rPr>
        <w:t>表4</w:t>
      </w:r>
      <w:r>
        <w:rPr>
          <w:rFonts w:hint="eastAsia"/>
          <w:color w:val="auto"/>
        </w:rPr>
        <w:t>.2</w:t>
      </w:r>
      <w:r>
        <w:rPr>
          <w:color w:val="auto"/>
        </w:rPr>
        <w:t>-</w:t>
      </w:r>
      <w:r>
        <w:rPr>
          <w:rFonts w:hint="eastAsia"/>
          <w:color w:val="auto"/>
          <w:lang w:val="en-US" w:eastAsia="zh-CN"/>
        </w:rPr>
        <w:t>5</w:t>
      </w:r>
      <w:r>
        <w:rPr>
          <w:color w:val="auto"/>
        </w:rPr>
        <w:t xml:space="preserve">  </w:t>
      </w:r>
      <w:r>
        <w:rPr>
          <w:rFonts w:hint="eastAsia"/>
          <w:color w:val="auto"/>
          <w:lang w:val="en-US" w:eastAsia="zh-CN"/>
        </w:rPr>
        <w:t xml:space="preserve">       </w:t>
      </w:r>
      <w:r>
        <w:rPr>
          <w:color w:val="auto"/>
        </w:rPr>
        <w:t>环境空气监测分析方法一览表</w:t>
      </w:r>
    </w:p>
    <w:tbl>
      <w:tblPr>
        <w:tblStyle w:val="32"/>
        <w:tblW w:w="889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257"/>
        <w:gridCol w:w="3808"/>
        <w:gridCol w:w="1700"/>
        <w:gridCol w:w="212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257" w:type="dxa"/>
            <w:tcBorders>
              <w:tl2br w:val="nil"/>
              <w:tr2bl w:val="nil"/>
            </w:tcBorders>
            <w:vAlign w:val="center"/>
          </w:tcPr>
          <w:p>
            <w:pPr>
              <w:pStyle w:val="182"/>
              <w:bidi w:val="0"/>
              <w:rPr>
                <w:b/>
                <w:bCs/>
                <w:color w:val="auto"/>
              </w:rPr>
            </w:pPr>
            <w:r>
              <w:rPr>
                <w:b/>
                <w:bCs/>
                <w:color w:val="auto"/>
              </w:rPr>
              <w:t>检测项目</w:t>
            </w:r>
          </w:p>
        </w:tc>
        <w:tc>
          <w:tcPr>
            <w:tcW w:w="3808" w:type="dxa"/>
            <w:tcBorders>
              <w:tl2br w:val="nil"/>
              <w:tr2bl w:val="nil"/>
            </w:tcBorders>
            <w:vAlign w:val="center"/>
          </w:tcPr>
          <w:p>
            <w:pPr>
              <w:pStyle w:val="182"/>
              <w:bidi w:val="0"/>
              <w:rPr>
                <w:b/>
                <w:bCs/>
                <w:color w:val="auto"/>
              </w:rPr>
            </w:pPr>
            <w:r>
              <w:rPr>
                <w:b/>
                <w:bCs/>
                <w:color w:val="auto"/>
              </w:rPr>
              <w:t>检测标准（方法）</w:t>
            </w:r>
          </w:p>
        </w:tc>
        <w:tc>
          <w:tcPr>
            <w:tcW w:w="1700" w:type="dxa"/>
            <w:tcBorders>
              <w:tl2br w:val="nil"/>
              <w:tr2bl w:val="nil"/>
            </w:tcBorders>
            <w:vAlign w:val="center"/>
          </w:tcPr>
          <w:p>
            <w:pPr>
              <w:pStyle w:val="182"/>
              <w:bidi w:val="0"/>
              <w:rPr>
                <w:b/>
                <w:bCs/>
                <w:color w:val="auto"/>
              </w:rPr>
            </w:pPr>
            <w:r>
              <w:rPr>
                <w:b/>
                <w:bCs/>
                <w:color w:val="auto"/>
              </w:rPr>
              <w:t>检测仪器</w:t>
            </w:r>
          </w:p>
        </w:tc>
        <w:tc>
          <w:tcPr>
            <w:tcW w:w="2127" w:type="dxa"/>
            <w:tcBorders>
              <w:tl2br w:val="nil"/>
              <w:tr2bl w:val="nil"/>
            </w:tcBorders>
            <w:vAlign w:val="center"/>
          </w:tcPr>
          <w:p>
            <w:pPr>
              <w:pStyle w:val="182"/>
              <w:bidi w:val="0"/>
              <w:rPr>
                <w:b/>
                <w:bCs/>
                <w:color w:val="auto"/>
              </w:rPr>
            </w:pPr>
            <w:r>
              <w:rPr>
                <w:b/>
                <w:bCs/>
                <w:color w:val="auto"/>
              </w:rPr>
              <w:t>检出限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257" w:type="dxa"/>
            <w:tcBorders>
              <w:tl2br w:val="nil"/>
              <w:tr2bl w:val="nil"/>
            </w:tcBorders>
            <w:vAlign w:val="center"/>
          </w:tcPr>
          <w:p>
            <w:pPr>
              <w:pStyle w:val="182"/>
              <w:bidi w:val="0"/>
              <w:rPr>
                <w:color w:val="auto"/>
              </w:rPr>
            </w:pPr>
            <w:r>
              <w:rPr>
                <w:color w:val="auto"/>
              </w:rPr>
              <w:t>硫酸雾</w:t>
            </w:r>
          </w:p>
        </w:tc>
        <w:tc>
          <w:tcPr>
            <w:tcW w:w="3808" w:type="dxa"/>
            <w:tcBorders>
              <w:tl2br w:val="nil"/>
              <w:tr2bl w:val="nil"/>
            </w:tcBorders>
            <w:vAlign w:val="center"/>
          </w:tcPr>
          <w:p>
            <w:pPr>
              <w:pStyle w:val="182"/>
              <w:bidi w:val="0"/>
              <w:rPr>
                <w:color w:val="auto"/>
              </w:rPr>
            </w:pPr>
            <w:r>
              <w:rPr>
                <w:color w:val="auto"/>
              </w:rPr>
              <w:t>固定污染源废气 硫酸雾的测定 离子色谱法HJ544-2016</w:t>
            </w:r>
          </w:p>
        </w:tc>
        <w:tc>
          <w:tcPr>
            <w:tcW w:w="1700" w:type="dxa"/>
            <w:tcBorders>
              <w:tl2br w:val="nil"/>
              <w:tr2bl w:val="nil"/>
            </w:tcBorders>
            <w:vAlign w:val="center"/>
          </w:tcPr>
          <w:p>
            <w:pPr>
              <w:pStyle w:val="182"/>
              <w:bidi w:val="0"/>
              <w:rPr>
                <w:color w:val="auto"/>
              </w:rPr>
            </w:pPr>
            <w:r>
              <w:rPr>
                <w:rFonts w:hint="eastAsia"/>
                <w:color w:val="auto"/>
              </w:rPr>
              <w:t>离子色谱仪</w:t>
            </w:r>
          </w:p>
          <w:p>
            <w:pPr>
              <w:pStyle w:val="182"/>
              <w:bidi w:val="0"/>
              <w:rPr>
                <w:color w:val="auto"/>
              </w:rPr>
            </w:pPr>
            <w:r>
              <w:rPr>
                <w:color w:val="auto"/>
              </w:rPr>
              <w:t>CIC-D100</w:t>
            </w:r>
          </w:p>
        </w:tc>
        <w:tc>
          <w:tcPr>
            <w:tcW w:w="2127" w:type="dxa"/>
            <w:tcBorders>
              <w:tl2br w:val="nil"/>
              <w:tr2bl w:val="nil"/>
            </w:tcBorders>
            <w:vAlign w:val="center"/>
          </w:tcPr>
          <w:p>
            <w:pPr>
              <w:pStyle w:val="182"/>
              <w:bidi w:val="0"/>
              <w:rPr>
                <w:color w:val="auto"/>
              </w:rPr>
            </w:pPr>
            <w:r>
              <w:rPr>
                <w:color w:val="auto"/>
              </w:rPr>
              <w:t>0.005mg/m</w:t>
            </w:r>
            <w:r>
              <w:rPr>
                <w:color w:val="auto"/>
                <w:vertAlign w:val="superscript"/>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257" w:type="dxa"/>
            <w:tcBorders>
              <w:tl2br w:val="nil"/>
              <w:tr2bl w:val="nil"/>
            </w:tcBorders>
            <w:vAlign w:val="center"/>
          </w:tcPr>
          <w:p>
            <w:pPr>
              <w:pStyle w:val="182"/>
              <w:bidi w:val="0"/>
              <w:rPr>
                <w:b/>
                <w:bCs/>
                <w:color w:val="auto"/>
                <w:u w:val="single"/>
              </w:rPr>
            </w:pPr>
            <w:r>
              <w:rPr>
                <w:rFonts w:hint="eastAsia"/>
                <w:b/>
                <w:bCs/>
                <w:color w:val="auto"/>
                <w:u w:val="single"/>
              </w:rPr>
              <w:t>硫化氢</w:t>
            </w:r>
          </w:p>
        </w:tc>
        <w:tc>
          <w:tcPr>
            <w:tcW w:w="3808" w:type="dxa"/>
            <w:tcBorders>
              <w:tl2br w:val="nil"/>
              <w:tr2bl w:val="nil"/>
            </w:tcBorders>
            <w:vAlign w:val="center"/>
          </w:tcPr>
          <w:p>
            <w:pPr>
              <w:pStyle w:val="182"/>
              <w:bidi w:val="0"/>
              <w:rPr>
                <w:b/>
                <w:bCs/>
                <w:color w:val="auto"/>
                <w:u w:val="single"/>
              </w:rPr>
            </w:pPr>
            <w:r>
              <w:rPr>
                <w:rFonts w:hint="eastAsia"/>
                <w:b/>
                <w:bCs/>
                <w:color w:val="auto"/>
                <w:u w:val="single"/>
              </w:rPr>
              <w:t>亚甲蓝分光光度法《空气和废气监测分析方法》（第四版增补版）国家环保总局（2003年）</w:t>
            </w:r>
          </w:p>
        </w:tc>
        <w:tc>
          <w:tcPr>
            <w:tcW w:w="1700" w:type="dxa"/>
            <w:tcBorders>
              <w:tl2br w:val="nil"/>
              <w:tr2bl w:val="nil"/>
            </w:tcBorders>
            <w:vAlign w:val="center"/>
          </w:tcPr>
          <w:p>
            <w:pPr>
              <w:pStyle w:val="182"/>
              <w:bidi w:val="0"/>
              <w:rPr>
                <w:b/>
                <w:bCs/>
                <w:color w:val="auto"/>
                <w:u w:val="single"/>
              </w:rPr>
            </w:pPr>
            <w:r>
              <w:rPr>
                <w:rFonts w:hint="eastAsia"/>
                <w:b/>
                <w:bCs/>
                <w:color w:val="auto"/>
                <w:u w:val="single"/>
              </w:rPr>
              <w:t>紫外</w:t>
            </w:r>
            <w:r>
              <w:rPr>
                <w:rFonts w:hint="eastAsia"/>
                <w:b/>
                <w:bCs/>
                <w:color w:val="auto"/>
                <w:u w:val="single"/>
                <w:lang w:eastAsia="zh-CN"/>
              </w:rPr>
              <w:t>－</w:t>
            </w:r>
            <w:r>
              <w:rPr>
                <w:rFonts w:hint="eastAsia"/>
                <w:b/>
                <w:bCs/>
                <w:color w:val="auto"/>
                <w:u w:val="single"/>
              </w:rPr>
              <w:t>可见分光光度计TU1810</w:t>
            </w:r>
          </w:p>
        </w:tc>
        <w:tc>
          <w:tcPr>
            <w:tcW w:w="2127" w:type="dxa"/>
            <w:tcBorders>
              <w:tl2br w:val="nil"/>
              <w:tr2bl w:val="nil"/>
            </w:tcBorders>
            <w:vAlign w:val="center"/>
          </w:tcPr>
          <w:p>
            <w:pPr>
              <w:pStyle w:val="182"/>
              <w:bidi w:val="0"/>
              <w:rPr>
                <w:b/>
                <w:bCs/>
                <w:color w:val="auto"/>
                <w:u w:val="single"/>
              </w:rPr>
            </w:pPr>
            <w:r>
              <w:rPr>
                <w:rFonts w:hint="eastAsia"/>
                <w:b/>
                <w:bCs/>
                <w:color w:val="auto"/>
                <w:u w:val="single"/>
              </w:rPr>
              <w:t>0.001mg/m</w:t>
            </w:r>
            <w:r>
              <w:rPr>
                <w:rFonts w:hint="eastAsia"/>
                <w:b/>
                <w:bCs/>
                <w:color w:val="auto"/>
                <w:u w:val="single"/>
                <w:vertAlign w:val="superscript"/>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257" w:type="dxa"/>
            <w:tcBorders>
              <w:tl2br w:val="nil"/>
              <w:tr2bl w:val="nil"/>
            </w:tcBorders>
            <w:vAlign w:val="center"/>
          </w:tcPr>
          <w:p>
            <w:pPr>
              <w:pStyle w:val="182"/>
              <w:bidi w:val="0"/>
              <w:rPr>
                <w:b/>
                <w:bCs/>
                <w:color w:val="auto"/>
                <w:u w:val="single"/>
              </w:rPr>
            </w:pPr>
            <w:r>
              <w:rPr>
                <w:rFonts w:hint="eastAsia"/>
                <w:b/>
                <w:bCs/>
                <w:color w:val="auto"/>
                <w:u w:val="single"/>
              </w:rPr>
              <w:t>二硫化碳</w:t>
            </w:r>
          </w:p>
        </w:tc>
        <w:tc>
          <w:tcPr>
            <w:tcW w:w="3808" w:type="dxa"/>
            <w:tcBorders>
              <w:tl2br w:val="nil"/>
              <w:tr2bl w:val="nil"/>
            </w:tcBorders>
            <w:vAlign w:val="center"/>
          </w:tcPr>
          <w:p>
            <w:pPr>
              <w:pStyle w:val="182"/>
              <w:bidi w:val="0"/>
              <w:rPr>
                <w:rFonts w:hint="eastAsia"/>
                <w:b/>
                <w:bCs/>
                <w:color w:val="auto"/>
                <w:u w:val="single"/>
              </w:rPr>
            </w:pPr>
            <w:r>
              <w:rPr>
                <w:rFonts w:hint="eastAsia"/>
                <w:b/>
                <w:bCs/>
                <w:color w:val="auto"/>
                <w:u w:val="single"/>
              </w:rPr>
              <w:t>空气质量二硫化碳的测定</w:t>
            </w:r>
          </w:p>
          <w:p>
            <w:pPr>
              <w:pStyle w:val="182"/>
              <w:bidi w:val="0"/>
              <w:jc w:val="both"/>
              <w:rPr>
                <w:b/>
                <w:bCs/>
                <w:color w:val="auto"/>
                <w:u w:val="single"/>
              </w:rPr>
            </w:pPr>
            <w:r>
              <w:rPr>
                <w:rFonts w:hint="eastAsia"/>
                <w:b/>
                <w:bCs/>
                <w:color w:val="auto"/>
                <w:u w:val="single"/>
              </w:rPr>
              <w:t>二乙胺分光光度法GB/T 14680-1993</w:t>
            </w:r>
          </w:p>
        </w:tc>
        <w:tc>
          <w:tcPr>
            <w:tcW w:w="1700" w:type="dxa"/>
            <w:tcBorders>
              <w:tl2br w:val="nil"/>
              <w:tr2bl w:val="nil"/>
            </w:tcBorders>
            <w:vAlign w:val="center"/>
          </w:tcPr>
          <w:p>
            <w:pPr>
              <w:pStyle w:val="182"/>
              <w:bidi w:val="0"/>
              <w:rPr>
                <w:b/>
                <w:bCs/>
                <w:color w:val="auto"/>
                <w:u w:val="single"/>
              </w:rPr>
            </w:pPr>
            <w:r>
              <w:rPr>
                <w:rFonts w:hint="eastAsia"/>
                <w:b/>
                <w:bCs/>
                <w:color w:val="auto"/>
                <w:u w:val="single"/>
              </w:rPr>
              <w:t>紫外</w:t>
            </w:r>
            <w:r>
              <w:rPr>
                <w:rFonts w:hint="eastAsia"/>
                <w:b/>
                <w:bCs/>
                <w:color w:val="auto"/>
                <w:u w:val="single"/>
                <w:lang w:eastAsia="zh-CN"/>
              </w:rPr>
              <w:t>－</w:t>
            </w:r>
            <w:r>
              <w:rPr>
                <w:rFonts w:hint="eastAsia"/>
                <w:b/>
                <w:bCs/>
                <w:color w:val="auto"/>
                <w:u w:val="single"/>
              </w:rPr>
              <w:t>可见分光光度计TU1810</w:t>
            </w:r>
          </w:p>
        </w:tc>
        <w:tc>
          <w:tcPr>
            <w:tcW w:w="2127" w:type="dxa"/>
            <w:tcBorders>
              <w:tl2br w:val="nil"/>
              <w:tr2bl w:val="nil"/>
            </w:tcBorders>
            <w:vAlign w:val="center"/>
          </w:tcPr>
          <w:p>
            <w:pPr>
              <w:pStyle w:val="182"/>
              <w:bidi w:val="0"/>
              <w:rPr>
                <w:b/>
                <w:bCs/>
                <w:color w:val="auto"/>
                <w:u w:val="single"/>
              </w:rPr>
            </w:pPr>
            <w:r>
              <w:rPr>
                <w:rFonts w:hint="eastAsia"/>
                <w:b/>
                <w:bCs/>
                <w:color w:val="auto"/>
                <w:u w:val="single"/>
              </w:rPr>
              <w:t>0.03mg/m</w:t>
            </w:r>
            <w:r>
              <w:rPr>
                <w:rFonts w:hint="eastAsia"/>
                <w:b/>
                <w:bCs/>
                <w:color w:val="auto"/>
                <w:u w:val="single"/>
                <w:vertAlign w:val="superscript"/>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257" w:type="dxa"/>
            <w:tcBorders>
              <w:tl2br w:val="nil"/>
              <w:tr2bl w:val="nil"/>
            </w:tcBorders>
            <w:vAlign w:val="center"/>
          </w:tcPr>
          <w:p>
            <w:pPr>
              <w:pStyle w:val="182"/>
              <w:bidi w:val="0"/>
              <w:rPr>
                <w:b/>
                <w:bCs/>
                <w:color w:val="auto"/>
                <w:u w:val="single"/>
              </w:rPr>
            </w:pPr>
            <w:r>
              <w:rPr>
                <w:rFonts w:hint="eastAsia"/>
                <w:b/>
                <w:bCs/>
                <w:color w:val="auto"/>
                <w:u w:val="single"/>
              </w:rPr>
              <w:t>氨</w:t>
            </w:r>
          </w:p>
        </w:tc>
        <w:tc>
          <w:tcPr>
            <w:tcW w:w="3808" w:type="dxa"/>
            <w:tcBorders>
              <w:tl2br w:val="nil"/>
              <w:tr2bl w:val="nil"/>
            </w:tcBorders>
            <w:vAlign w:val="center"/>
          </w:tcPr>
          <w:p>
            <w:pPr>
              <w:pStyle w:val="182"/>
              <w:bidi w:val="0"/>
              <w:rPr>
                <w:rFonts w:hint="eastAsia"/>
                <w:b/>
                <w:bCs/>
                <w:color w:val="auto"/>
                <w:u w:val="single"/>
              </w:rPr>
            </w:pPr>
            <w:r>
              <w:rPr>
                <w:rFonts w:hint="eastAsia"/>
                <w:b/>
                <w:bCs/>
                <w:color w:val="auto"/>
                <w:u w:val="single"/>
              </w:rPr>
              <w:t>环境空气和废气氨的测定</w:t>
            </w:r>
          </w:p>
          <w:p>
            <w:pPr>
              <w:pStyle w:val="182"/>
              <w:bidi w:val="0"/>
              <w:rPr>
                <w:b/>
                <w:bCs/>
                <w:color w:val="auto"/>
                <w:u w:val="single"/>
              </w:rPr>
            </w:pPr>
            <w:r>
              <w:rPr>
                <w:rFonts w:hint="eastAsia"/>
                <w:b/>
                <w:bCs/>
                <w:color w:val="auto"/>
                <w:u w:val="single"/>
              </w:rPr>
              <w:t>纳氏试剂分光光度法HJ</w:t>
            </w:r>
            <w:r>
              <w:rPr>
                <w:rFonts w:hint="eastAsia"/>
                <w:b/>
                <w:bCs/>
                <w:color w:val="auto"/>
                <w:u w:val="single"/>
                <w:lang w:val="en-US" w:eastAsia="zh-CN"/>
              </w:rPr>
              <w:t xml:space="preserve"> </w:t>
            </w:r>
            <w:r>
              <w:rPr>
                <w:rFonts w:hint="eastAsia"/>
                <w:b/>
                <w:bCs/>
                <w:color w:val="auto"/>
                <w:u w:val="single"/>
              </w:rPr>
              <w:t>533-2009</w:t>
            </w:r>
          </w:p>
        </w:tc>
        <w:tc>
          <w:tcPr>
            <w:tcW w:w="1700" w:type="dxa"/>
            <w:tcBorders>
              <w:tl2br w:val="nil"/>
              <w:tr2bl w:val="nil"/>
            </w:tcBorders>
            <w:vAlign w:val="center"/>
          </w:tcPr>
          <w:p>
            <w:pPr>
              <w:pStyle w:val="182"/>
              <w:bidi w:val="0"/>
              <w:rPr>
                <w:b/>
                <w:bCs/>
                <w:color w:val="auto"/>
                <w:u w:val="single"/>
              </w:rPr>
            </w:pPr>
            <w:r>
              <w:rPr>
                <w:rFonts w:hint="eastAsia"/>
                <w:b/>
                <w:bCs/>
                <w:color w:val="auto"/>
                <w:u w:val="single"/>
              </w:rPr>
              <w:t>紫外</w:t>
            </w:r>
            <w:r>
              <w:rPr>
                <w:rFonts w:hint="eastAsia"/>
                <w:b/>
                <w:bCs/>
                <w:color w:val="auto"/>
                <w:u w:val="single"/>
                <w:lang w:eastAsia="zh-CN"/>
              </w:rPr>
              <w:t>－</w:t>
            </w:r>
            <w:r>
              <w:rPr>
                <w:rFonts w:hint="eastAsia"/>
                <w:b/>
                <w:bCs/>
                <w:color w:val="auto"/>
                <w:u w:val="single"/>
              </w:rPr>
              <w:t>可见分光光度计TU 1810</w:t>
            </w:r>
          </w:p>
        </w:tc>
        <w:tc>
          <w:tcPr>
            <w:tcW w:w="2127" w:type="dxa"/>
            <w:tcBorders>
              <w:tl2br w:val="nil"/>
              <w:tr2bl w:val="nil"/>
            </w:tcBorders>
            <w:vAlign w:val="center"/>
          </w:tcPr>
          <w:p>
            <w:pPr>
              <w:pStyle w:val="182"/>
              <w:bidi w:val="0"/>
              <w:rPr>
                <w:b/>
                <w:bCs/>
                <w:color w:val="auto"/>
                <w:u w:val="single"/>
              </w:rPr>
            </w:pPr>
            <w:r>
              <w:rPr>
                <w:rFonts w:hint="eastAsia"/>
                <w:b/>
                <w:bCs/>
                <w:color w:val="auto"/>
                <w:u w:val="single"/>
              </w:rPr>
              <w:t>0.01mg/m</w:t>
            </w:r>
            <w:r>
              <w:rPr>
                <w:rFonts w:hint="eastAsia"/>
                <w:b/>
                <w:bCs/>
                <w:color w:val="auto"/>
                <w:u w:val="single"/>
                <w:vertAlign w:val="superscript"/>
              </w:rPr>
              <w:t>3</w:t>
            </w:r>
          </w:p>
        </w:tc>
      </w:tr>
    </w:tbl>
    <w:p>
      <w:pPr>
        <w:bidi w:val="0"/>
        <w:rPr>
          <w:color w:val="auto"/>
        </w:rPr>
      </w:pPr>
      <w:r>
        <w:rPr>
          <w:rFonts w:hint="eastAsia"/>
          <w:color w:val="auto"/>
        </w:rPr>
        <w:t>（4）评价标准</w:t>
      </w:r>
    </w:p>
    <w:p>
      <w:pPr>
        <w:bidi w:val="0"/>
        <w:rPr>
          <w:color w:val="auto"/>
        </w:rPr>
      </w:pPr>
      <w:r>
        <w:rPr>
          <w:rFonts w:hint="eastAsia"/>
          <w:b/>
          <w:bCs/>
          <w:color w:val="auto"/>
          <w:u w:val="single"/>
        </w:rPr>
        <w:t>硫酸雾</w:t>
      </w:r>
      <w:r>
        <w:rPr>
          <w:rFonts w:hint="eastAsia"/>
          <w:b/>
          <w:bCs/>
          <w:color w:val="auto"/>
          <w:u w:val="single"/>
          <w:lang w:eastAsia="zh-CN"/>
        </w:rPr>
        <w:t>、</w:t>
      </w:r>
      <w:r>
        <w:rPr>
          <w:rFonts w:hint="eastAsia"/>
          <w:b/>
          <w:bCs/>
          <w:color w:val="auto"/>
          <w:u w:val="single"/>
        </w:rPr>
        <w:t>硫化氢、二硫化碳、氨</w:t>
      </w:r>
      <w:r>
        <w:rPr>
          <w:rFonts w:hint="eastAsia"/>
          <w:b/>
          <w:bCs/>
          <w:color w:val="auto"/>
          <w:u w:val="single"/>
          <w:lang w:eastAsia="zh-CN"/>
        </w:rPr>
        <w:t>、</w:t>
      </w:r>
      <w:r>
        <w:rPr>
          <w:rFonts w:hint="eastAsia"/>
          <w:b/>
          <w:bCs/>
          <w:color w:val="auto"/>
          <w:u w:val="single"/>
        </w:rPr>
        <w:t>执行参照执行《环境影响评价技术导则大气环境》（HJ2.2-2018）附录D污染物浓度限值要求。</w:t>
      </w:r>
    </w:p>
    <w:p>
      <w:pPr>
        <w:pStyle w:val="181"/>
        <w:bidi w:val="0"/>
        <w:rPr>
          <w:color w:val="auto"/>
        </w:rPr>
      </w:pPr>
      <w:r>
        <w:rPr>
          <w:color w:val="auto"/>
        </w:rPr>
        <w:t>表4</w:t>
      </w:r>
      <w:r>
        <w:rPr>
          <w:rFonts w:hint="eastAsia"/>
          <w:color w:val="auto"/>
        </w:rPr>
        <w:t>.2</w:t>
      </w:r>
      <w:r>
        <w:rPr>
          <w:color w:val="auto"/>
        </w:rPr>
        <w:t>-</w:t>
      </w:r>
      <w:r>
        <w:rPr>
          <w:rFonts w:hint="eastAsia"/>
          <w:color w:val="auto"/>
          <w:lang w:val="en-US" w:eastAsia="zh-CN"/>
        </w:rPr>
        <w:t>6</w:t>
      </w:r>
      <w:r>
        <w:rPr>
          <w:color w:val="auto"/>
        </w:rPr>
        <w:t xml:space="preserve">  </w:t>
      </w:r>
      <w:r>
        <w:rPr>
          <w:rFonts w:hint="eastAsia"/>
          <w:color w:val="auto"/>
          <w:lang w:val="en-US" w:eastAsia="zh-CN"/>
        </w:rPr>
        <w:t xml:space="preserve">       </w:t>
      </w:r>
      <w:r>
        <w:rPr>
          <w:color w:val="auto"/>
        </w:rPr>
        <w:t>环境空气质量评价标准</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2464"/>
        <w:gridCol w:w="220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3" w:type="dxa"/>
            <w:tcBorders>
              <w:tl2br w:val="nil"/>
              <w:tr2bl w:val="nil"/>
            </w:tcBorders>
            <w:vAlign w:val="center"/>
          </w:tcPr>
          <w:p>
            <w:pPr>
              <w:pStyle w:val="182"/>
              <w:bidi w:val="0"/>
              <w:rPr>
                <w:b/>
                <w:bCs/>
                <w:color w:val="auto"/>
              </w:rPr>
            </w:pPr>
            <w:r>
              <w:rPr>
                <w:b/>
                <w:bCs/>
                <w:color w:val="auto"/>
              </w:rPr>
              <w:t>污染物名称</w:t>
            </w:r>
          </w:p>
        </w:tc>
        <w:tc>
          <w:tcPr>
            <w:tcW w:w="2603" w:type="dxa"/>
            <w:tcBorders>
              <w:tl2br w:val="nil"/>
              <w:tr2bl w:val="nil"/>
            </w:tcBorders>
            <w:vAlign w:val="center"/>
          </w:tcPr>
          <w:p>
            <w:pPr>
              <w:pStyle w:val="182"/>
              <w:bidi w:val="0"/>
              <w:rPr>
                <w:b/>
                <w:bCs/>
                <w:color w:val="auto"/>
              </w:rPr>
            </w:pPr>
            <w:r>
              <w:rPr>
                <w:b/>
                <w:bCs/>
                <w:color w:val="auto"/>
              </w:rPr>
              <w:t>取值时间</w:t>
            </w:r>
          </w:p>
        </w:tc>
        <w:tc>
          <w:tcPr>
            <w:tcW w:w="2326" w:type="dxa"/>
            <w:tcBorders>
              <w:tl2br w:val="nil"/>
              <w:tr2bl w:val="nil"/>
            </w:tcBorders>
            <w:vAlign w:val="center"/>
          </w:tcPr>
          <w:p>
            <w:pPr>
              <w:pStyle w:val="182"/>
              <w:bidi w:val="0"/>
              <w:rPr>
                <w:b/>
                <w:bCs/>
                <w:color w:val="auto"/>
              </w:rPr>
            </w:pPr>
            <w:r>
              <w:rPr>
                <w:b/>
                <w:bCs/>
                <w:color w:val="auto"/>
              </w:rPr>
              <w:t>浓度限值</w:t>
            </w:r>
            <w:r>
              <w:rPr>
                <w:rFonts w:hint="eastAsia"/>
                <w:b/>
                <w:bCs/>
                <w:color w:val="auto"/>
              </w:rPr>
              <w:t>（</w:t>
            </w:r>
            <w:r>
              <w:rPr>
                <w:b/>
                <w:bCs/>
                <w:color w:val="auto"/>
              </w:rPr>
              <w:t>μg/m</w:t>
            </w:r>
            <w:r>
              <w:rPr>
                <w:b/>
                <w:bCs/>
                <w:color w:val="auto"/>
                <w:vertAlign w:val="superscript"/>
              </w:rPr>
              <w:t>3</w:t>
            </w:r>
            <w:r>
              <w:rPr>
                <w:rFonts w:hint="eastAsia"/>
                <w:b/>
                <w:bCs/>
                <w:color w:val="auto"/>
              </w:rPr>
              <w:t>）</w:t>
            </w:r>
          </w:p>
        </w:tc>
        <w:tc>
          <w:tcPr>
            <w:tcW w:w="2611" w:type="dxa"/>
            <w:tcBorders>
              <w:tl2br w:val="nil"/>
              <w:tr2bl w:val="nil"/>
            </w:tcBorders>
            <w:vAlign w:val="center"/>
          </w:tcPr>
          <w:p>
            <w:pPr>
              <w:pStyle w:val="182"/>
              <w:bidi w:val="0"/>
              <w:rPr>
                <w:b/>
                <w:bCs/>
                <w:color w:val="auto"/>
              </w:rPr>
            </w:pPr>
            <w:r>
              <w:rPr>
                <w:rFonts w:hint="eastAsia"/>
                <w:b/>
                <w:bCs/>
                <w:color w:val="auto"/>
              </w:rPr>
              <w:t>选用</w:t>
            </w:r>
            <w:r>
              <w:rPr>
                <w:b/>
                <w:bCs/>
                <w:color w:val="auto"/>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3" w:type="dxa"/>
            <w:vMerge w:val="restart"/>
            <w:tcBorders>
              <w:tl2br w:val="nil"/>
              <w:tr2bl w:val="nil"/>
            </w:tcBorders>
            <w:vAlign w:val="center"/>
          </w:tcPr>
          <w:p>
            <w:pPr>
              <w:pStyle w:val="182"/>
              <w:bidi w:val="0"/>
              <w:rPr>
                <w:b/>
                <w:bCs/>
                <w:color w:val="auto"/>
                <w:u w:val="single"/>
              </w:rPr>
            </w:pPr>
            <w:r>
              <w:rPr>
                <w:rFonts w:hint="eastAsia"/>
                <w:b/>
                <w:bCs/>
                <w:color w:val="auto"/>
                <w:u w:val="single"/>
              </w:rPr>
              <w:t>硫酸雾</w:t>
            </w:r>
          </w:p>
        </w:tc>
        <w:tc>
          <w:tcPr>
            <w:tcW w:w="2603" w:type="dxa"/>
            <w:tcBorders>
              <w:tl2br w:val="nil"/>
              <w:tr2bl w:val="nil"/>
            </w:tcBorders>
            <w:vAlign w:val="center"/>
          </w:tcPr>
          <w:p>
            <w:pPr>
              <w:pStyle w:val="182"/>
              <w:bidi w:val="0"/>
              <w:rPr>
                <w:b/>
                <w:bCs/>
                <w:color w:val="auto"/>
                <w:u w:val="single"/>
              </w:rPr>
            </w:pPr>
            <w:r>
              <w:rPr>
                <w:rFonts w:hint="eastAsia"/>
                <w:b/>
                <w:bCs/>
                <w:color w:val="auto"/>
                <w:u w:val="single"/>
              </w:rPr>
              <w:t>1小时平均</w:t>
            </w:r>
          </w:p>
        </w:tc>
        <w:tc>
          <w:tcPr>
            <w:tcW w:w="2326" w:type="dxa"/>
            <w:tcBorders>
              <w:tl2br w:val="nil"/>
              <w:tr2bl w:val="nil"/>
            </w:tcBorders>
            <w:vAlign w:val="center"/>
          </w:tcPr>
          <w:p>
            <w:pPr>
              <w:pStyle w:val="182"/>
              <w:bidi w:val="0"/>
              <w:rPr>
                <w:b/>
                <w:bCs/>
                <w:color w:val="auto"/>
                <w:u w:val="single"/>
              </w:rPr>
            </w:pPr>
            <w:r>
              <w:rPr>
                <w:rFonts w:hint="eastAsia"/>
                <w:b/>
                <w:bCs/>
                <w:color w:val="auto"/>
                <w:u w:val="single"/>
              </w:rPr>
              <w:t>3</w:t>
            </w:r>
            <w:r>
              <w:rPr>
                <w:b/>
                <w:bCs/>
                <w:color w:val="auto"/>
                <w:u w:val="single"/>
              </w:rPr>
              <w:t>00</w:t>
            </w:r>
          </w:p>
        </w:tc>
        <w:tc>
          <w:tcPr>
            <w:tcW w:w="2611" w:type="dxa"/>
            <w:vMerge w:val="restart"/>
            <w:tcBorders>
              <w:tl2br w:val="nil"/>
              <w:tr2bl w:val="nil"/>
            </w:tcBorders>
            <w:vAlign w:val="center"/>
          </w:tcPr>
          <w:p>
            <w:pPr>
              <w:pStyle w:val="182"/>
              <w:bidi w:val="0"/>
              <w:rPr>
                <w:b/>
                <w:bCs/>
                <w:color w:val="auto"/>
                <w:u w:val="single"/>
              </w:rPr>
            </w:pPr>
            <w:r>
              <w:rPr>
                <w:rFonts w:hint="eastAsia"/>
                <w:b/>
                <w:bCs/>
                <w:color w:val="auto"/>
                <w:u w:val="single"/>
              </w:rPr>
              <w:t>《环境影响评价技术导则大气环境》（HJ2.2-2018）附录D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3" w:type="dxa"/>
            <w:vMerge w:val="continue"/>
            <w:tcBorders>
              <w:tl2br w:val="nil"/>
              <w:tr2bl w:val="nil"/>
            </w:tcBorders>
            <w:vAlign w:val="center"/>
          </w:tcPr>
          <w:p>
            <w:pPr>
              <w:pStyle w:val="182"/>
              <w:bidi w:val="0"/>
              <w:rPr>
                <w:b/>
                <w:bCs/>
                <w:color w:val="auto"/>
                <w:u w:val="single"/>
              </w:rPr>
            </w:pPr>
          </w:p>
        </w:tc>
        <w:tc>
          <w:tcPr>
            <w:tcW w:w="2603" w:type="dxa"/>
            <w:tcBorders>
              <w:tl2br w:val="nil"/>
              <w:tr2bl w:val="nil"/>
            </w:tcBorders>
            <w:vAlign w:val="center"/>
          </w:tcPr>
          <w:p>
            <w:pPr>
              <w:pStyle w:val="182"/>
              <w:bidi w:val="0"/>
              <w:rPr>
                <w:b/>
                <w:bCs/>
                <w:color w:val="auto"/>
                <w:u w:val="single"/>
              </w:rPr>
            </w:pPr>
            <w:r>
              <w:rPr>
                <w:rFonts w:hint="eastAsia"/>
                <w:b/>
                <w:bCs/>
                <w:color w:val="auto"/>
                <w:u w:val="single"/>
              </w:rPr>
              <w:t>日均值</w:t>
            </w:r>
          </w:p>
        </w:tc>
        <w:tc>
          <w:tcPr>
            <w:tcW w:w="2326" w:type="dxa"/>
            <w:tcBorders>
              <w:tl2br w:val="nil"/>
              <w:tr2bl w:val="nil"/>
            </w:tcBorders>
            <w:vAlign w:val="center"/>
          </w:tcPr>
          <w:p>
            <w:pPr>
              <w:pStyle w:val="182"/>
              <w:bidi w:val="0"/>
              <w:rPr>
                <w:b/>
                <w:bCs/>
                <w:color w:val="auto"/>
                <w:u w:val="single"/>
              </w:rPr>
            </w:pPr>
            <w:r>
              <w:rPr>
                <w:rFonts w:hint="eastAsia"/>
                <w:b/>
                <w:bCs/>
                <w:color w:val="auto"/>
                <w:u w:val="single"/>
              </w:rPr>
              <w:t>1</w:t>
            </w:r>
            <w:r>
              <w:rPr>
                <w:b/>
                <w:bCs/>
                <w:color w:val="auto"/>
                <w:u w:val="single"/>
              </w:rPr>
              <w:t>00</w:t>
            </w:r>
          </w:p>
        </w:tc>
        <w:tc>
          <w:tcPr>
            <w:tcW w:w="2611" w:type="dxa"/>
            <w:vMerge w:val="continue"/>
            <w:tcBorders>
              <w:tl2br w:val="nil"/>
              <w:tr2bl w:val="nil"/>
            </w:tcBorders>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3" w:type="dxa"/>
            <w:tcBorders>
              <w:tl2br w:val="nil"/>
              <w:tr2bl w:val="nil"/>
            </w:tcBorders>
            <w:vAlign w:val="center"/>
          </w:tcPr>
          <w:p>
            <w:pPr>
              <w:pStyle w:val="182"/>
              <w:bidi w:val="0"/>
              <w:rPr>
                <w:b/>
                <w:bCs/>
                <w:color w:val="auto"/>
                <w:u w:val="single"/>
              </w:rPr>
            </w:pPr>
            <w:r>
              <w:rPr>
                <w:rFonts w:hint="eastAsia"/>
                <w:b/>
                <w:bCs/>
                <w:color w:val="auto"/>
                <w:u w:val="single"/>
              </w:rPr>
              <w:t>硫化氢</w:t>
            </w:r>
          </w:p>
        </w:tc>
        <w:tc>
          <w:tcPr>
            <w:tcW w:w="2603" w:type="dxa"/>
            <w:tcBorders>
              <w:tl2br w:val="nil"/>
              <w:tr2bl w:val="nil"/>
            </w:tcBorders>
            <w:vAlign w:val="center"/>
          </w:tcPr>
          <w:p>
            <w:pPr>
              <w:pStyle w:val="182"/>
              <w:bidi w:val="0"/>
              <w:rPr>
                <w:rFonts w:hint="eastAsia"/>
                <w:b/>
                <w:bCs/>
                <w:color w:val="auto"/>
                <w:u w:val="single"/>
              </w:rPr>
            </w:pPr>
            <w:r>
              <w:rPr>
                <w:rFonts w:hint="eastAsia"/>
                <w:b/>
                <w:bCs/>
                <w:color w:val="auto"/>
                <w:u w:val="single"/>
              </w:rPr>
              <w:t>1小时平均</w:t>
            </w:r>
          </w:p>
        </w:tc>
        <w:tc>
          <w:tcPr>
            <w:tcW w:w="2326" w:type="dxa"/>
            <w:tcBorders>
              <w:tl2br w:val="nil"/>
              <w:tr2bl w:val="nil"/>
            </w:tcBorders>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10</w:t>
            </w:r>
          </w:p>
        </w:tc>
        <w:tc>
          <w:tcPr>
            <w:tcW w:w="2611" w:type="dxa"/>
            <w:vMerge w:val="continue"/>
            <w:tcBorders>
              <w:tl2br w:val="nil"/>
              <w:tr2bl w:val="nil"/>
            </w:tcBorders>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3" w:type="dxa"/>
            <w:tcBorders>
              <w:tl2br w:val="nil"/>
              <w:tr2bl w:val="nil"/>
            </w:tcBorders>
            <w:vAlign w:val="center"/>
          </w:tcPr>
          <w:p>
            <w:pPr>
              <w:pStyle w:val="182"/>
              <w:bidi w:val="0"/>
              <w:rPr>
                <w:b/>
                <w:bCs/>
                <w:color w:val="auto"/>
                <w:u w:val="single"/>
              </w:rPr>
            </w:pPr>
            <w:r>
              <w:rPr>
                <w:rFonts w:hint="eastAsia"/>
                <w:b/>
                <w:bCs/>
                <w:color w:val="auto"/>
                <w:u w:val="single"/>
              </w:rPr>
              <w:t>二硫化碳</w:t>
            </w:r>
          </w:p>
        </w:tc>
        <w:tc>
          <w:tcPr>
            <w:tcW w:w="2603" w:type="dxa"/>
            <w:tcBorders>
              <w:tl2br w:val="nil"/>
              <w:tr2bl w:val="nil"/>
            </w:tcBorders>
            <w:vAlign w:val="center"/>
          </w:tcPr>
          <w:p>
            <w:pPr>
              <w:pStyle w:val="182"/>
              <w:bidi w:val="0"/>
              <w:rPr>
                <w:rFonts w:hint="eastAsia"/>
                <w:b/>
                <w:bCs/>
                <w:color w:val="auto"/>
                <w:u w:val="single"/>
              </w:rPr>
            </w:pPr>
            <w:r>
              <w:rPr>
                <w:rFonts w:hint="eastAsia"/>
                <w:b/>
                <w:bCs/>
                <w:color w:val="auto"/>
                <w:u w:val="single"/>
              </w:rPr>
              <w:t>1小时平均</w:t>
            </w:r>
          </w:p>
        </w:tc>
        <w:tc>
          <w:tcPr>
            <w:tcW w:w="2326" w:type="dxa"/>
            <w:tcBorders>
              <w:tl2br w:val="nil"/>
              <w:tr2bl w:val="nil"/>
            </w:tcBorders>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40</w:t>
            </w:r>
          </w:p>
        </w:tc>
        <w:tc>
          <w:tcPr>
            <w:tcW w:w="2611" w:type="dxa"/>
            <w:vMerge w:val="continue"/>
            <w:tcBorders>
              <w:tl2br w:val="nil"/>
              <w:tr2bl w:val="nil"/>
            </w:tcBorders>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3" w:type="dxa"/>
            <w:tcBorders>
              <w:tl2br w:val="nil"/>
              <w:tr2bl w:val="nil"/>
            </w:tcBorders>
            <w:vAlign w:val="center"/>
          </w:tcPr>
          <w:p>
            <w:pPr>
              <w:pStyle w:val="182"/>
              <w:bidi w:val="0"/>
              <w:rPr>
                <w:b/>
                <w:bCs/>
                <w:color w:val="auto"/>
                <w:u w:val="single"/>
              </w:rPr>
            </w:pPr>
            <w:r>
              <w:rPr>
                <w:rFonts w:hint="eastAsia"/>
                <w:b/>
                <w:bCs/>
                <w:color w:val="auto"/>
                <w:u w:val="single"/>
              </w:rPr>
              <w:t>氨</w:t>
            </w:r>
          </w:p>
        </w:tc>
        <w:tc>
          <w:tcPr>
            <w:tcW w:w="2603" w:type="dxa"/>
            <w:tcBorders>
              <w:tl2br w:val="nil"/>
              <w:tr2bl w:val="nil"/>
            </w:tcBorders>
            <w:vAlign w:val="center"/>
          </w:tcPr>
          <w:p>
            <w:pPr>
              <w:pStyle w:val="182"/>
              <w:bidi w:val="0"/>
              <w:rPr>
                <w:rFonts w:hint="eastAsia"/>
                <w:b/>
                <w:bCs/>
                <w:color w:val="auto"/>
                <w:u w:val="single"/>
              </w:rPr>
            </w:pPr>
            <w:r>
              <w:rPr>
                <w:rFonts w:hint="eastAsia"/>
                <w:b/>
                <w:bCs/>
                <w:color w:val="auto"/>
                <w:u w:val="single"/>
              </w:rPr>
              <w:t>1小时平均</w:t>
            </w:r>
          </w:p>
        </w:tc>
        <w:tc>
          <w:tcPr>
            <w:tcW w:w="2326" w:type="dxa"/>
            <w:tcBorders>
              <w:tl2br w:val="nil"/>
              <w:tr2bl w:val="nil"/>
            </w:tcBorders>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200</w:t>
            </w:r>
          </w:p>
        </w:tc>
        <w:tc>
          <w:tcPr>
            <w:tcW w:w="2611" w:type="dxa"/>
            <w:vMerge w:val="continue"/>
            <w:tcBorders>
              <w:tl2br w:val="nil"/>
              <w:tr2bl w:val="nil"/>
            </w:tcBorders>
            <w:vAlign w:val="center"/>
          </w:tcPr>
          <w:p>
            <w:pPr>
              <w:pStyle w:val="182"/>
              <w:bidi w:val="0"/>
              <w:rPr>
                <w:b/>
                <w:bCs/>
                <w:color w:val="auto"/>
                <w:u w:val="single"/>
              </w:rPr>
            </w:pPr>
          </w:p>
        </w:tc>
      </w:tr>
    </w:tbl>
    <w:p>
      <w:pPr>
        <w:bidi w:val="0"/>
        <w:rPr>
          <w:color w:val="auto"/>
        </w:rPr>
      </w:pPr>
      <w:r>
        <w:rPr>
          <w:rFonts w:hint="eastAsia"/>
          <w:color w:val="auto"/>
        </w:rPr>
        <w:t>（5）</w:t>
      </w:r>
      <w:r>
        <w:rPr>
          <w:color w:val="auto"/>
        </w:rPr>
        <w:t>评价方法</w:t>
      </w:r>
    </w:p>
    <w:p>
      <w:pPr>
        <w:bidi w:val="0"/>
        <w:rPr>
          <w:color w:val="auto"/>
        </w:rPr>
      </w:pPr>
      <w:r>
        <w:rPr>
          <w:rFonts w:hint="eastAsia"/>
          <w:color w:val="auto"/>
        </w:rPr>
        <w:t>统计各监测点的小时浓度、日均浓度范围和占标率。其计算公式为：</w:t>
      </w:r>
    </w:p>
    <w:p>
      <w:pPr>
        <w:bidi w:val="0"/>
        <w:rPr>
          <w:color w:val="auto"/>
        </w:rPr>
      </w:pPr>
      <m:oMathPara>
        <m:oMath>
          <m:sSub>
            <m:sSubPr>
              <m:ctrlPr>
                <w:rPr>
                  <w:rFonts w:ascii="Cambria Math" w:hAnsi="Cambria Math"/>
                  <w:color w:val="auto"/>
                </w:rPr>
              </m:ctrlPr>
            </m:sSubPr>
            <m:e>
              <m:r>
                <m:rPr>
                  <m:sty m:val="p"/>
                </m:rPr>
                <w:rPr>
                  <w:rFonts w:ascii="Cambria Math" w:hAnsi="Cambria Math"/>
                  <w:color w:val="auto"/>
                </w:rPr>
                <m:t>P</m:t>
              </m:r>
              <m:ctrlPr>
                <w:rPr>
                  <w:rFonts w:ascii="Cambria Math" w:hAnsi="Cambria Math"/>
                  <w:color w:val="auto"/>
                </w:rPr>
              </m:ctrlPr>
            </m:e>
            <m:sub>
              <m:r>
                <m:rPr>
                  <m:sty m:val="p"/>
                </m:rPr>
                <w:rPr>
                  <w:rFonts w:ascii="Cambria Math" w:hAnsi="Cambria Math"/>
                  <w:color w:val="auto"/>
                </w:rPr>
                <m:t>i</m:t>
              </m:r>
              <m:ctrlPr>
                <w:rPr>
                  <w:rFonts w:ascii="Cambria Math" w:hAnsi="Cambria Math"/>
                  <w:color w:val="auto"/>
                </w:rPr>
              </m:ctrlP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m:rPr>
                      <m:sty m:val="p"/>
                    </m:rPr>
                    <w:rPr>
                      <w:rFonts w:ascii="Cambria Math" w:hAnsi="Cambria Math"/>
                      <w:color w:val="auto"/>
                    </w:rPr>
                    <m:t>C</m:t>
                  </m:r>
                  <m:ctrlPr>
                    <w:rPr>
                      <w:rFonts w:ascii="Cambria Math" w:hAnsi="Cambria Math"/>
                      <w:color w:val="auto"/>
                    </w:rPr>
                  </m:ctrlPr>
                </m:e>
                <m:sub>
                  <m:r>
                    <m:rPr>
                      <m:sty m:val="p"/>
                    </m:rPr>
                    <w:rPr>
                      <w:rFonts w:ascii="Cambria Math" w:hAnsi="Cambria Math"/>
                      <w:color w:val="auto"/>
                    </w:rPr>
                    <m:t>i</m:t>
                  </m:r>
                  <m:ctrlPr>
                    <w:rPr>
                      <w:rFonts w:ascii="Cambria Math" w:hAnsi="Cambria Math"/>
                      <w:color w:val="auto"/>
                    </w:rPr>
                  </m:ctrlPr>
                </m:sub>
              </m:sSub>
              <m:ctrlPr>
                <w:rPr>
                  <w:rFonts w:ascii="Cambria Math" w:hAnsi="Cambria Math"/>
                  <w:color w:val="auto"/>
                </w:rPr>
              </m:ctrlPr>
            </m:num>
            <m:den>
              <m:sSub>
                <m:sSubPr>
                  <m:ctrlPr>
                    <w:rPr>
                      <w:rFonts w:ascii="Cambria Math" w:hAnsi="Cambria Math"/>
                      <w:color w:val="auto"/>
                    </w:rPr>
                  </m:ctrlPr>
                </m:sSubPr>
                <m:e>
                  <m:r>
                    <m:rPr>
                      <m:sty m:val="p"/>
                    </m:rPr>
                    <w:rPr>
                      <w:rFonts w:ascii="Cambria Math" w:hAnsi="Cambria Math"/>
                      <w:color w:val="auto"/>
                    </w:rPr>
                    <m:t>C</m:t>
                  </m:r>
                  <m:ctrlPr>
                    <w:rPr>
                      <w:rFonts w:ascii="Cambria Math" w:hAnsi="Cambria Math"/>
                      <w:color w:val="auto"/>
                    </w:rPr>
                  </m:ctrlPr>
                </m:e>
                <m:sub>
                  <m:r>
                    <m:rPr>
                      <m:sty m:val="p"/>
                    </m:rPr>
                    <w:rPr>
                      <w:rFonts w:ascii="Cambria Math" w:hAnsi="Cambria Math"/>
                      <w:color w:val="auto"/>
                    </w:rPr>
                    <m:t>oi</m:t>
                  </m:r>
                  <m:ctrlPr>
                    <w:rPr>
                      <w:rFonts w:ascii="Cambria Math" w:hAnsi="Cambria Math"/>
                      <w:color w:val="auto"/>
                    </w:rPr>
                  </m:ctrlPr>
                </m:sub>
              </m:sSub>
              <m:ctrlPr>
                <w:rPr>
                  <w:rFonts w:ascii="Cambria Math" w:hAnsi="Cambria Math"/>
                  <w:color w:val="auto"/>
                </w:rPr>
              </m:ctrlPr>
            </m:den>
          </m:f>
          <m:r>
            <m:rPr>
              <m:sty m:val="p"/>
            </m:rPr>
            <w:rPr>
              <w:rFonts w:ascii="Cambria Math" w:hAnsi="Cambria Math"/>
              <w:color w:val="auto"/>
            </w:rPr>
            <m:t>×100%</m:t>
          </m:r>
        </m:oMath>
      </m:oMathPara>
    </w:p>
    <w:p>
      <w:pPr>
        <w:bidi w:val="0"/>
        <w:rPr>
          <w:color w:val="auto"/>
        </w:rPr>
      </w:pPr>
      <w:r>
        <w:rPr>
          <w:rFonts w:hint="eastAsia"/>
          <w:color w:val="auto"/>
        </w:rPr>
        <w:t>式中，Pi——第i项污染物的大气质量指数；</w:t>
      </w:r>
    </w:p>
    <w:p>
      <w:pPr>
        <w:bidi w:val="0"/>
        <w:ind w:firstLine="1200" w:firstLineChars="500"/>
        <w:rPr>
          <w:color w:val="auto"/>
        </w:rPr>
      </w:pPr>
      <w:r>
        <w:rPr>
          <w:rFonts w:hint="eastAsia"/>
          <w:color w:val="auto"/>
        </w:rPr>
        <w:t>Ci——第i项污染物的实测值，mg/m</w:t>
      </w:r>
      <w:r>
        <w:rPr>
          <w:rFonts w:hint="eastAsia"/>
          <w:color w:val="auto"/>
          <w:vertAlign w:val="superscript"/>
        </w:rPr>
        <w:t>3</w:t>
      </w:r>
      <w:r>
        <w:rPr>
          <w:rFonts w:hint="eastAsia"/>
          <w:color w:val="auto"/>
        </w:rPr>
        <w:t>；</w:t>
      </w:r>
    </w:p>
    <w:p>
      <w:pPr>
        <w:bidi w:val="0"/>
        <w:ind w:firstLine="1200" w:firstLineChars="500"/>
        <w:rPr>
          <w:color w:val="auto"/>
        </w:rPr>
      </w:pPr>
      <w:r>
        <w:rPr>
          <w:rFonts w:hint="eastAsia"/>
          <w:color w:val="auto"/>
        </w:rPr>
        <w:t>Coi——第i项污染物的标准值，mg/m</w:t>
      </w:r>
      <w:r>
        <w:rPr>
          <w:rFonts w:hint="eastAsia"/>
          <w:color w:val="auto"/>
          <w:vertAlign w:val="superscript"/>
        </w:rPr>
        <w:t>3</w:t>
      </w:r>
      <w:r>
        <w:rPr>
          <w:rFonts w:hint="eastAsia"/>
          <w:color w:val="auto"/>
        </w:rPr>
        <w:t>。</w:t>
      </w:r>
    </w:p>
    <w:p>
      <w:pPr>
        <w:bidi w:val="0"/>
        <w:rPr>
          <w:color w:val="auto"/>
        </w:rPr>
      </w:pPr>
      <w:r>
        <w:rPr>
          <w:rFonts w:hint="eastAsia"/>
          <w:color w:val="auto"/>
        </w:rPr>
        <w:t>若占标率&gt;100%，表明该大气指标超过了规定的大气环境质量标准限值，占标率越大，说明该大气指标超标越严重。</w:t>
      </w:r>
    </w:p>
    <w:p>
      <w:pPr>
        <w:bidi w:val="0"/>
        <w:rPr>
          <w:color w:val="auto"/>
        </w:rPr>
      </w:pPr>
      <w:r>
        <w:rPr>
          <w:rFonts w:hint="eastAsia"/>
          <w:color w:val="auto"/>
        </w:rPr>
        <w:t>（6）</w:t>
      </w:r>
      <w:r>
        <w:rPr>
          <w:color w:val="auto"/>
        </w:rPr>
        <w:t>监测结果</w:t>
      </w:r>
      <w:r>
        <w:rPr>
          <w:rFonts w:hint="eastAsia"/>
          <w:color w:val="auto"/>
        </w:rPr>
        <w:t>及评价</w:t>
      </w:r>
    </w:p>
    <w:p>
      <w:pPr>
        <w:bidi w:val="0"/>
        <w:rPr>
          <w:color w:val="auto"/>
        </w:rPr>
      </w:pPr>
      <w:r>
        <w:rPr>
          <w:color w:val="auto"/>
        </w:rPr>
        <w:t>各污染物浓度监测数据统计见表4</w:t>
      </w:r>
      <w:r>
        <w:rPr>
          <w:rFonts w:hint="eastAsia"/>
          <w:color w:val="auto"/>
        </w:rPr>
        <w:t>.</w:t>
      </w:r>
      <w:r>
        <w:rPr>
          <w:color w:val="auto"/>
        </w:rPr>
        <w:t>2-</w:t>
      </w:r>
      <w:r>
        <w:rPr>
          <w:rFonts w:hint="eastAsia"/>
          <w:color w:val="auto"/>
          <w:lang w:val="en-US" w:eastAsia="zh-CN"/>
        </w:rPr>
        <w:t>7</w:t>
      </w:r>
      <w:r>
        <w:rPr>
          <w:color w:val="auto"/>
        </w:rPr>
        <w:t>。</w:t>
      </w:r>
    </w:p>
    <w:p>
      <w:pPr>
        <w:pStyle w:val="181"/>
        <w:bidi w:val="0"/>
        <w:rPr>
          <w:color w:val="auto"/>
        </w:rPr>
      </w:pPr>
      <w:r>
        <w:rPr>
          <w:color w:val="auto"/>
        </w:rPr>
        <w:t>表4</w:t>
      </w:r>
      <w:r>
        <w:rPr>
          <w:rFonts w:hint="eastAsia"/>
          <w:color w:val="auto"/>
        </w:rPr>
        <w:t>.</w:t>
      </w:r>
      <w:r>
        <w:rPr>
          <w:color w:val="auto"/>
        </w:rPr>
        <w:t>2-</w:t>
      </w:r>
      <w:r>
        <w:rPr>
          <w:rFonts w:hint="eastAsia"/>
          <w:color w:val="auto"/>
          <w:lang w:val="en-US" w:eastAsia="zh-CN"/>
        </w:rPr>
        <w:t>7</w:t>
      </w:r>
      <w:r>
        <w:rPr>
          <w:color w:val="auto"/>
        </w:rPr>
        <w:t xml:space="preserve">  </w:t>
      </w:r>
      <w:r>
        <w:rPr>
          <w:rFonts w:hint="eastAsia"/>
          <w:color w:val="auto"/>
          <w:lang w:val="en-US" w:eastAsia="zh-CN"/>
        </w:rPr>
        <w:t xml:space="preserve">  </w:t>
      </w:r>
      <w:r>
        <w:rPr>
          <w:rFonts w:hint="eastAsia"/>
          <w:color w:val="auto"/>
        </w:rPr>
        <w:t>环境空气质量监测中各监测因子浓度统计结果</w:t>
      </w:r>
    </w:p>
    <w:tbl>
      <w:tblPr>
        <w:tblStyle w:val="3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255"/>
        <w:gridCol w:w="1321"/>
        <w:gridCol w:w="1449"/>
        <w:gridCol w:w="1181"/>
        <w:gridCol w:w="1169"/>
        <w:gridCol w:w="1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Align w:val="center"/>
          </w:tcPr>
          <w:p>
            <w:pPr>
              <w:pStyle w:val="182"/>
              <w:bidi w:val="0"/>
              <w:rPr>
                <w:b/>
                <w:bCs/>
                <w:color w:val="auto"/>
              </w:rPr>
            </w:pPr>
            <w:r>
              <w:rPr>
                <w:rFonts w:hint="eastAsia"/>
                <w:b/>
                <w:bCs/>
                <w:color w:val="auto"/>
              </w:rPr>
              <w:t>监测点位</w:t>
            </w:r>
          </w:p>
        </w:tc>
        <w:tc>
          <w:tcPr>
            <w:tcW w:w="736" w:type="pct"/>
            <w:vAlign w:val="center"/>
          </w:tcPr>
          <w:p>
            <w:pPr>
              <w:pStyle w:val="182"/>
              <w:bidi w:val="0"/>
              <w:rPr>
                <w:b/>
                <w:bCs/>
                <w:color w:val="auto"/>
              </w:rPr>
            </w:pPr>
            <w:r>
              <w:rPr>
                <w:rFonts w:hint="eastAsia"/>
                <w:b/>
                <w:bCs/>
                <w:color w:val="auto"/>
              </w:rPr>
              <w:t>污染物</w:t>
            </w:r>
          </w:p>
        </w:tc>
        <w:tc>
          <w:tcPr>
            <w:tcW w:w="775" w:type="pct"/>
            <w:vAlign w:val="center"/>
          </w:tcPr>
          <w:p>
            <w:pPr>
              <w:pStyle w:val="182"/>
              <w:bidi w:val="0"/>
              <w:rPr>
                <w:b/>
                <w:bCs/>
                <w:color w:val="auto"/>
              </w:rPr>
            </w:pPr>
            <w:r>
              <w:rPr>
                <w:rFonts w:hint="eastAsia"/>
                <w:b/>
                <w:bCs/>
                <w:color w:val="auto"/>
              </w:rPr>
              <w:t>平均时间</w:t>
            </w:r>
          </w:p>
        </w:tc>
        <w:tc>
          <w:tcPr>
            <w:tcW w:w="850" w:type="pct"/>
            <w:vAlign w:val="center"/>
          </w:tcPr>
          <w:p>
            <w:pPr>
              <w:pStyle w:val="182"/>
              <w:bidi w:val="0"/>
              <w:rPr>
                <w:b/>
                <w:bCs/>
                <w:color w:val="auto"/>
              </w:rPr>
            </w:pPr>
            <w:r>
              <w:rPr>
                <w:rFonts w:hint="eastAsia"/>
                <w:b/>
                <w:bCs/>
                <w:color w:val="auto"/>
              </w:rPr>
              <w:t>浓度范围/</w:t>
            </w:r>
          </w:p>
          <w:p>
            <w:pPr>
              <w:pStyle w:val="182"/>
              <w:bidi w:val="0"/>
              <w:rPr>
                <w:b/>
                <w:bCs/>
                <w:color w:val="auto"/>
              </w:rPr>
            </w:pPr>
            <w:r>
              <w:rPr>
                <w:rFonts w:hint="eastAsia"/>
                <w:b/>
                <w:bCs/>
                <w:color w:val="auto"/>
              </w:rPr>
              <w:t>（</w:t>
            </w:r>
            <w:r>
              <w:rPr>
                <w:b/>
                <w:bCs/>
                <w:color w:val="auto"/>
              </w:rPr>
              <w:t>μ</w:t>
            </w:r>
            <w:r>
              <w:rPr>
                <w:rFonts w:hint="eastAsia"/>
                <w:b/>
                <w:bCs/>
                <w:color w:val="auto"/>
              </w:rPr>
              <w:t>g/m</w:t>
            </w:r>
            <w:r>
              <w:rPr>
                <w:rFonts w:hint="eastAsia"/>
                <w:b/>
                <w:bCs/>
                <w:color w:val="auto"/>
                <w:vertAlign w:val="superscript"/>
              </w:rPr>
              <w:t>3</w:t>
            </w:r>
            <w:r>
              <w:rPr>
                <w:rFonts w:hint="eastAsia"/>
                <w:b/>
                <w:bCs/>
                <w:color w:val="auto"/>
              </w:rPr>
              <w:t>）</w:t>
            </w:r>
          </w:p>
        </w:tc>
        <w:tc>
          <w:tcPr>
            <w:tcW w:w="693" w:type="pct"/>
            <w:vAlign w:val="center"/>
          </w:tcPr>
          <w:p>
            <w:pPr>
              <w:pStyle w:val="182"/>
              <w:bidi w:val="0"/>
              <w:rPr>
                <w:b/>
                <w:bCs/>
                <w:color w:val="auto"/>
              </w:rPr>
            </w:pPr>
            <w:r>
              <w:rPr>
                <w:b/>
                <w:bCs/>
                <w:color w:val="auto"/>
              </w:rPr>
              <w:t>评价标准/</w:t>
            </w:r>
          </w:p>
          <w:p>
            <w:pPr>
              <w:pStyle w:val="182"/>
              <w:bidi w:val="0"/>
              <w:rPr>
                <w:b/>
                <w:bCs/>
                <w:color w:val="auto"/>
              </w:rPr>
            </w:pPr>
            <w:r>
              <w:rPr>
                <w:b/>
                <w:bCs/>
                <w:color w:val="auto"/>
              </w:rPr>
              <w:t>（μg/m</w:t>
            </w:r>
            <w:r>
              <w:rPr>
                <w:b/>
                <w:bCs/>
                <w:color w:val="auto"/>
                <w:vertAlign w:val="superscript"/>
              </w:rPr>
              <w:t>3</w:t>
            </w:r>
            <w:r>
              <w:rPr>
                <w:b/>
                <w:bCs/>
                <w:color w:val="auto"/>
              </w:rPr>
              <w:t>）</w:t>
            </w:r>
          </w:p>
        </w:tc>
        <w:tc>
          <w:tcPr>
            <w:tcW w:w="686" w:type="pct"/>
            <w:vAlign w:val="center"/>
          </w:tcPr>
          <w:p>
            <w:pPr>
              <w:pStyle w:val="182"/>
              <w:bidi w:val="0"/>
              <w:rPr>
                <w:b/>
                <w:bCs/>
                <w:color w:val="auto"/>
              </w:rPr>
            </w:pPr>
            <w:r>
              <w:rPr>
                <w:rFonts w:hint="eastAsia"/>
                <w:b/>
                <w:bCs/>
                <w:color w:val="auto"/>
              </w:rPr>
              <w:t>最大浓度占标率%</w:t>
            </w:r>
          </w:p>
        </w:tc>
        <w:tc>
          <w:tcPr>
            <w:tcW w:w="660" w:type="pct"/>
            <w:vAlign w:val="center"/>
          </w:tcPr>
          <w:p>
            <w:pPr>
              <w:pStyle w:val="182"/>
              <w:bidi w:val="0"/>
              <w:rPr>
                <w:b/>
                <w:bCs/>
                <w:color w:val="auto"/>
              </w:rPr>
            </w:pPr>
            <w:r>
              <w:rPr>
                <w:rFonts w:hint="eastAsia"/>
                <w:b/>
                <w:bCs/>
                <w:color w:val="auto"/>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Merge w:val="restart"/>
            <w:vAlign w:val="center"/>
          </w:tcPr>
          <w:p>
            <w:pPr>
              <w:pStyle w:val="182"/>
              <w:bidi w:val="0"/>
              <w:rPr>
                <w:b/>
                <w:bCs/>
                <w:color w:val="auto"/>
              </w:rPr>
            </w:pPr>
            <w:r>
              <w:rPr>
                <w:rFonts w:hint="eastAsia"/>
                <w:b/>
                <w:bCs/>
                <w:color w:val="auto"/>
              </w:rPr>
              <w:t>大杨庄</w:t>
            </w:r>
          </w:p>
        </w:tc>
        <w:tc>
          <w:tcPr>
            <w:tcW w:w="736" w:type="pct"/>
            <w:vAlign w:val="center"/>
          </w:tcPr>
          <w:p>
            <w:pPr>
              <w:pStyle w:val="182"/>
              <w:bidi w:val="0"/>
              <w:rPr>
                <w:b/>
                <w:bCs/>
                <w:color w:val="auto"/>
              </w:rPr>
            </w:pPr>
            <w:r>
              <w:rPr>
                <w:rFonts w:hint="eastAsia"/>
                <w:b/>
                <w:bCs/>
                <w:color w:val="auto"/>
              </w:rPr>
              <w:t>硫酸雾</w:t>
            </w:r>
          </w:p>
        </w:tc>
        <w:tc>
          <w:tcPr>
            <w:tcW w:w="775" w:type="pct"/>
            <w:vAlign w:val="center"/>
          </w:tcPr>
          <w:p>
            <w:pPr>
              <w:pStyle w:val="182"/>
              <w:bidi w:val="0"/>
              <w:rPr>
                <w:b/>
                <w:bCs/>
                <w:color w:val="auto"/>
              </w:rPr>
            </w:pPr>
            <w:r>
              <w:rPr>
                <w:rFonts w:hint="eastAsia"/>
                <w:b/>
                <w:bCs/>
                <w:color w:val="auto"/>
              </w:rPr>
              <w:t>小时值</w:t>
            </w:r>
          </w:p>
        </w:tc>
        <w:tc>
          <w:tcPr>
            <w:tcW w:w="850" w:type="pct"/>
          </w:tcPr>
          <w:p>
            <w:pPr>
              <w:pStyle w:val="182"/>
              <w:bidi w:val="0"/>
              <w:rPr>
                <w:b/>
                <w:bCs/>
                <w:color w:val="auto"/>
              </w:rPr>
            </w:pPr>
            <w:r>
              <w:rPr>
                <w:b/>
                <w:bCs/>
                <w:color w:val="auto"/>
              </w:rPr>
              <w:t>2.5</w:t>
            </w:r>
          </w:p>
        </w:tc>
        <w:tc>
          <w:tcPr>
            <w:tcW w:w="693" w:type="pct"/>
            <w:vAlign w:val="center"/>
          </w:tcPr>
          <w:p>
            <w:pPr>
              <w:pStyle w:val="182"/>
              <w:bidi w:val="0"/>
              <w:rPr>
                <w:b/>
                <w:bCs/>
                <w:color w:val="auto"/>
              </w:rPr>
            </w:pPr>
            <w:r>
              <w:rPr>
                <w:rFonts w:hint="eastAsia"/>
                <w:b/>
                <w:bCs/>
                <w:color w:val="auto"/>
              </w:rPr>
              <w:t>3</w:t>
            </w:r>
            <w:r>
              <w:rPr>
                <w:b/>
                <w:bCs/>
                <w:color w:val="auto"/>
              </w:rPr>
              <w:t>00</w:t>
            </w:r>
          </w:p>
        </w:tc>
        <w:tc>
          <w:tcPr>
            <w:tcW w:w="686" w:type="pct"/>
          </w:tcPr>
          <w:p>
            <w:pPr>
              <w:pStyle w:val="182"/>
              <w:bidi w:val="0"/>
              <w:rPr>
                <w:b/>
                <w:bCs/>
                <w:color w:val="auto"/>
              </w:rPr>
            </w:pPr>
            <w:r>
              <w:rPr>
                <w:b/>
                <w:bCs/>
                <w:color w:val="auto"/>
              </w:rPr>
              <w:t>0.83%</w:t>
            </w:r>
          </w:p>
        </w:tc>
        <w:tc>
          <w:tcPr>
            <w:tcW w:w="660" w:type="pct"/>
            <w:vAlign w:val="center"/>
          </w:tcPr>
          <w:p>
            <w:pPr>
              <w:pStyle w:val="182"/>
              <w:bidi w:val="0"/>
              <w:rPr>
                <w:b/>
                <w:bCs/>
                <w:color w:val="auto"/>
              </w:rPr>
            </w:pPr>
            <w:r>
              <w:rPr>
                <w:rFonts w:hint="eastAsia"/>
                <w:b/>
                <w:bCs/>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Merge w:val="continue"/>
            <w:vAlign w:val="center"/>
          </w:tcPr>
          <w:p>
            <w:pPr>
              <w:pStyle w:val="182"/>
              <w:bidi w:val="0"/>
              <w:rPr>
                <w:b/>
                <w:bCs/>
                <w:color w:val="auto"/>
              </w:rPr>
            </w:pPr>
          </w:p>
        </w:tc>
        <w:tc>
          <w:tcPr>
            <w:tcW w:w="736" w:type="pct"/>
            <w:vAlign w:val="center"/>
          </w:tcPr>
          <w:p>
            <w:pPr>
              <w:pStyle w:val="182"/>
              <w:bidi w:val="0"/>
              <w:ind w:firstLine="0" w:firstLineChars="0"/>
              <w:rPr>
                <w:rFonts w:hint="eastAsia"/>
                <w:b/>
                <w:bCs/>
                <w:color w:val="auto"/>
                <w:u w:val="single"/>
              </w:rPr>
            </w:pPr>
            <w:r>
              <w:rPr>
                <w:rFonts w:hint="eastAsia"/>
                <w:b/>
                <w:bCs/>
                <w:color w:val="auto"/>
                <w:u w:val="single"/>
              </w:rPr>
              <w:t>硫化氢</w:t>
            </w:r>
          </w:p>
        </w:tc>
        <w:tc>
          <w:tcPr>
            <w:tcW w:w="775" w:type="pct"/>
            <w:vAlign w:val="center"/>
          </w:tcPr>
          <w:p>
            <w:pPr>
              <w:pStyle w:val="182"/>
              <w:bidi w:val="0"/>
              <w:ind w:firstLine="0" w:firstLineChars="0"/>
              <w:rPr>
                <w:rFonts w:hint="eastAsia"/>
                <w:b/>
                <w:bCs/>
                <w:color w:val="auto"/>
                <w:u w:val="single"/>
              </w:rPr>
            </w:pPr>
            <w:r>
              <w:rPr>
                <w:rFonts w:hint="eastAsia"/>
                <w:b/>
                <w:bCs/>
                <w:color w:val="auto"/>
                <w:u w:val="single"/>
              </w:rPr>
              <w:t>小时值</w:t>
            </w:r>
          </w:p>
        </w:tc>
        <w:tc>
          <w:tcPr>
            <w:tcW w:w="850" w:type="pct"/>
          </w:tcPr>
          <w:p>
            <w:pPr>
              <w:pStyle w:val="182"/>
              <w:bidi w:val="0"/>
              <w:rPr>
                <w:rFonts w:hint="default" w:eastAsia="宋体"/>
                <w:b/>
                <w:bCs/>
                <w:color w:val="auto"/>
                <w:u w:val="single"/>
                <w:lang w:val="en-US" w:eastAsia="zh-CN"/>
              </w:rPr>
            </w:pPr>
            <w:r>
              <w:rPr>
                <w:rFonts w:hint="eastAsia"/>
                <w:b/>
                <w:bCs/>
                <w:color w:val="auto"/>
                <w:u w:val="single"/>
                <w:lang w:val="en-US" w:eastAsia="zh-CN"/>
              </w:rPr>
              <w:t>未检出～0.002</w:t>
            </w:r>
          </w:p>
        </w:tc>
        <w:tc>
          <w:tcPr>
            <w:tcW w:w="693" w:type="pct"/>
            <w:vAlign w:val="center"/>
          </w:tcPr>
          <w:p>
            <w:pPr>
              <w:pStyle w:val="182"/>
              <w:bidi w:val="0"/>
              <w:ind w:firstLine="0" w:firstLineChars="0"/>
              <w:rPr>
                <w:rFonts w:hint="eastAsia"/>
                <w:b/>
                <w:bCs/>
                <w:color w:val="auto"/>
                <w:u w:val="single"/>
              </w:rPr>
            </w:pPr>
            <w:r>
              <w:rPr>
                <w:rFonts w:hint="eastAsia"/>
                <w:b/>
                <w:bCs/>
                <w:color w:val="auto"/>
                <w:u w:val="single"/>
                <w:lang w:val="en-US" w:eastAsia="zh-CN"/>
              </w:rPr>
              <w:t>10</w:t>
            </w:r>
          </w:p>
        </w:tc>
        <w:tc>
          <w:tcPr>
            <w:tcW w:w="686" w:type="pct"/>
          </w:tcPr>
          <w:p>
            <w:pPr>
              <w:pStyle w:val="182"/>
              <w:bidi w:val="0"/>
              <w:rPr>
                <w:rFonts w:hint="default" w:eastAsia="宋体"/>
                <w:b/>
                <w:bCs/>
                <w:color w:val="auto"/>
                <w:u w:val="single"/>
                <w:lang w:val="en-US" w:eastAsia="zh-CN"/>
              </w:rPr>
            </w:pPr>
            <w:r>
              <w:rPr>
                <w:rFonts w:hint="eastAsia"/>
                <w:b/>
                <w:bCs/>
                <w:color w:val="auto"/>
                <w:u w:val="single"/>
                <w:lang w:val="en-US" w:eastAsia="zh-CN"/>
              </w:rPr>
              <w:t>0.02%</w:t>
            </w:r>
          </w:p>
        </w:tc>
        <w:tc>
          <w:tcPr>
            <w:tcW w:w="660" w:type="pct"/>
            <w:vAlign w:val="center"/>
          </w:tcPr>
          <w:p>
            <w:pPr>
              <w:pStyle w:val="182"/>
              <w:bidi w:val="0"/>
              <w:rPr>
                <w:rFonts w:hint="eastAsia"/>
                <w:b/>
                <w:bCs/>
                <w:color w:val="auto"/>
                <w:u w:val="single"/>
              </w:rPr>
            </w:pPr>
            <w:r>
              <w:rPr>
                <w:rFonts w:hint="eastAsia"/>
                <w:b/>
                <w:bCs/>
                <w:color w:val="auto"/>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Merge w:val="continue"/>
            <w:vAlign w:val="center"/>
          </w:tcPr>
          <w:p>
            <w:pPr>
              <w:pStyle w:val="182"/>
              <w:bidi w:val="0"/>
              <w:rPr>
                <w:b/>
                <w:bCs/>
                <w:color w:val="auto"/>
              </w:rPr>
            </w:pPr>
          </w:p>
        </w:tc>
        <w:tc>
          <w:tcPr>
            <w:tcW w:w="736" w:type="pct"/>
            <w:vAlign w:val="center"/>
          </w:tcPr>
          <w:p>
            <w:pPr>
              <w:pStyle w:val="182"/>
              <w:bidi w:val="0"/>
              <w:ind w:firstLine="0" w:firstLineChars="0"/>
              <w:rPr>
                <w:rFonts w:hint="eastAsia"/>
                <w:b/>
                <w:bCs/>
                <w:color w:val="auto"/>
                <w:u w:val="single"/>
              </w:rPr>
            </w:pPr>
            <w:r>
              <w:rPr>
                <w:rFonts w:hint="eastAsia"/>
                <w:b/>
                <w:bCs/>
                <w:color w:val="auto"/>
                <w:u w:val="single"/>
              </w:rPr>
              <w:t>二硫化碳</w:t>
            </w:r>
          </w:p>
        </w:tc>
        <w:tc>
          <w:tcPr>
            <w:tcW w:w="775" w:type="pct"/>
            <w:vAlign w:val="center"/>
          </w:tcPr>
          <w:p>
            <w:pPr>
              <w:pStyle w:val="182"/>
              <w:bidi w:val="0"/>
              <w:ind w:firstLine="0" w:firstLineChars="0"/>
              <w:rPr>
                <w:rFonts w:hint="eastAsia"/>
                <w:b/>
                <w:bCs/>
                <w:color w:val="auto"/>
                <w:u w:val="single"/>
              </w:rPr>
            </w:pPr>
            <w:r>
              <w:rPr>
                <w:rFonts w:hint="eastAsia"/>
                <w:b/>
                <w:bCs/>
                <w:color w:val="auto"/>
                <w:u w:val="single"/>
              </w:rPr>
              <w:t>小时值</w:t>
            </w:r>
          </w:p>
        </w:tc>
        <w:tc>
          <w:tcPr>
            <w:tcW w:w="850" w:type="pct"/>
          </w:tcPr>
          <w:p>
            <w:pPr>
              <w:pStyle w:val="182"/>
              <w:bidi w:val="0"/>
              <w:rPr>
                <w:rFonts w:hint="eastAsia" w:eastAsia="宋体"/>
                <w:b/>
                <w:bCs/>
                <w:color w:val="auto"/>
                <w:u w:val="single"/>
                <w:lang w:val="en-US" w:eastAsia="zh-CN"/>
              </w:rPr>
            </w:pPr>
            <w:r>
              <w:rPr>
                <w:rFonts w:hint="eastAsia"/>
                <w:b/>
                <w:bCs/>
                <w:color w:val="auto"/>
                <w:u w:val="single"/>
                <w:lang w:val="en-US" w:eastAsia="zh-CN"/>
              </w:rPr>
              <w:t>未检出</w:t>
            </w:r>
          </w:p>
        </w:tc>
        <w:tc>
          <w:tcPr>
            <w:tcW w:w="693" w:type="pct"/>
            <w:vAlign w:val="center"/>
          </w:tcPr>
          <w:p>
            <w:pPr>
              <w:pStyle w:val="182"/>
              <w:bidi w:val="0"/>
              <w:ind w:firstLine="0" w:firstLineChars="0"/>
              <w:rPr>
                <w:rFonts w:hint="eastAsia"/>
                <w:b/>
                <w:bCs/>
                <w:color w:val="auto"/>
                <w:u w:val="single"/>
              </w:rPr>
            </w:pPr>
            <w:r>
              <w:rPr>
                <w:rFonts w:hint="eastAsia"/>
                <w:b/>
                <w:bCs/>
                <w:color w:val="auto"/>
                <w:u w:val="single"/>
                <w:lang w:val="en-US" w:eastAsia="zh-CN"/>
              </w:rPr>
              <w:t>40</w:t>
            </w:r>
          </w:p>
        </w:tc>
        <w:tc>
          <w:tcPr>
            <w:tcW w:w="686" w:type="pct"/>
          </w:tcPr>
          <w:p>
            <w:pPr>
              <w:pStyle w:val="182"/>
              <w:bidi w:val="0"/>
              <w:rPr>
                <w:rFonts w:hint="eastAsia" w:eastAsia="宋体"/>
                <w:b/>
                <w:bCs/>
                <w:color w:val="auto"/>
                <w:u w:val="single"/>
                <w:lang w:val="en-US" w:eastAsia="zh-CN"/>
              </w:rPr>
            </w:pPr>
            <w:r>
              <w:rPr>
                <w:rFonts w:hint="eastAsia"/>
                <w:b/>
                <w:bCs/>
                <w:color w:val="auto"/>
                <w:u w:val="single"/>
                <w:lang w:val="en-US" w:eastAsia="zh-CN"/>
              </w:rPr>
              <w:t>/</w:t>
            </w:r>
          </w:p>
        </w:tc>
        <w:tc>
          <w:tcPr>
            <w:tcW w:w="660" w:type="pct"/>
            <w:vAlign w:val="center"/>
          </w:tcPr>
          <w:p>
            <w:pPr>
              <w:pStyle w:val="182"/>
              <w:bidi w:val="0"/>
              <w:rPr>
                <w:rFonts w:hint="eastAsia"/>
                <w:b/>
                <w:bCs/>
                <w:color w:val="auto"/>
                <w:u w:val="single"/>
              </w:rPr>
            </w:pPr>
            <w:r>
              <w:rPr>
                <w:rFonts w:hint="eastAsia"/>
                <w:b/>
                <w:bCs/>
                <w:color w:val="auto"/>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Merge w:val="continue"/>
            <w:vAlign w:val="center"/>
          </w:tcPr>
          <w:p>
            <w:pPr>
              <w:pStyle w:val="182"/>
              <w:bidi w:val="0"/>
              <w:rPr>
                <w:b/>
                <w:bCs/>
                <w:color w:val="auto"/>
              </w:rPr>
            </w:pPr>
          </w:p>
        </w:tc>
        <w:tc>
          <w:tcPr>
            <w:tcW w:w="736" w:type="pct"/>
            <w:vAlign w:val="center"/>
          </w:tcPr>
          <w:p>
            <w:pPr>
              <w:pStyle w:val="182"/>
              <w:bidi w:val="0"/>
              <w:ind w:firstLine="0" w:firstLineChars="0"/>
              <w:rPr>
                <w:rFonts w:hint="eastAsia"/>
                <w:b/>
                <w:bCs/>
                <w:color w:val="auto"/>
                <w:u w:val="single"/>
              </w:rPr>
            </w:pPr>
            <w:r>
              <w:rPr>
                <w:rFonts w:hint="eastAsia"/>
                <w:b/>
                <w:bCs/>
                <w:color w:val="auto"/>
                <w:u w:val="single"/>
              </w:rPr>
              <w:t>氨</w:t>
            </w:r>
          </w:p>
        </w:tc>
        <w:tc>
          <w:tcPr>
            <w:tcW w:w="775" w:type="pct"/>
            <w:vAlign w:val="center"/>
          </w:tcPr>
          <w:p>
            <w:pPr>
              <w:pStyle w:val="182"/>
              <w:bidi w:val="0"/>
              <w:ind w:firstLine="0" w:firstLineChars="0"/>
              <w:rPr>
                <w:rFonts w:hint="eastAsia"/>
                <w:b/>
                <w:bCs/>
                <w:color w:val="auto"/>
                <w:u w:val="single"/>
              </w:rPr>
            </w:pPr>
            <w:r>
              <w:rPr>
                <w:rFonts w:hint="eastAsia"/>
                <w:b/>
                <w:bCs/>
                <w:color w:val="auto"/>
                <w:u w:val="single"/>
              </w:rPr>
              <w:t>小时值</w:t>
            </w:r>
          </w:p>
        </w:tc>
        <w:tc>
          <w:tcPr>
            <w:tcW w:w="850" w:type="pct"/>
          </w:tcPr>
          <w:p>
            <w:pPr>
              <w:pStyle w:val="182"/>
              <w:bidi w:val="0"/>
              <w:rPr>
                <w:rFonts w:hint="default" w:eastAsia="宋体"/>
                <w:b/>
                <w:bCs/>
                <w:color w:val="auto"/>
                <w:u w:val="single"/>
                <w:lang w:val="en-US" w:eastAsia="zh-CN"/>
              </w:rPr>
            </w:pPr>
            <w:r>
              <w:rPr>
                <w:rFonts w:hint="eastAsia"/>
                <w:b/>
                <w:bCs/>
                <w:color w:val="auto"/>
                <w:u w:val="single"/>
                <w:lang w:val="en-US" w:eastAsia="zh-CN"/>
              </w:rPr>
              <w:t>0.02~0.06</w:t>
            </w:r>
          </w:p>
        </w:tc>
        <w:tc>
          <w:tcPr>
            <w:tcW w:w="693" w:type="pct"/>
            <w:vAlign w:val="center"/>
          </w:tcPr>
          <w:p>
            <w:pPr>
              <w:pStyle w:val="182"/>
              <w:bidi w:val="0"/>
              <w:ind w:firstLine="0" w:firstLineChars="0"/>
              <w:rPr>
                <w:rFonts w:hint="eastAsia"/>
                <w:b/>
                <w:bCs/>
                <w:color w:val="auto"/>
                <w:u w:val="single"/>
              </w:rPr>
            </w:pPr>
            <w:r>
              <w:rPr>
                <w:rFonts w:hint="eastAsia"/>
                <w:b/>
                <w:bCs/>
                <w:color w:val="auto"/>
                <w:u w:val="single"/>
                <w:lang w:val="en-US" w:eastAsia="zh-CN"/>
              </w:rPr>
              <w:t>200</w:t>
            </w:r>
          </w:p>
        </w:tc>
        <w:tc>
          <w:tcPr>
            <w:tcW w:w="686" w:type="pct"/>
          </w:tcPr>
          <w:p>
            <w:pPr>
              <w:pStyle w:val="182"/>
              <w:bidi w:val="0"/>
              <w:rPr>
                <w:rFonts w:hint="default" w:eastAsia="宋体"/>
                <w:b/>
                <w:bCs/>
                <w:color w:val="auto"/>
                <w:u w:val="single"/>
                <w:lang w:val="en-US" w:eastAsia="zh-CN"/>
              </w:rPr>
            </w:pPr>
            <w:r>
              <w:rPr>
                <w:rFonts w:hint="eastAsia"/>
                <w:b/>
                <w:bCs/>
                <w:color w:val="auto"/>
                <w:u w:val="single"/>
                <w:lang w:val="en-US" w:eastAsia="zh-CN"/>
              </w:rPr>
              <w:t>0.03%</w:t>
            </w:r>
          </w:p>
        </w:tc>
        <w:tc>
          <w:tcPr>
            <w:tcW w:w="660" w:type="pct"/>
            <w:vAlign w:val="center"/>
          </w:tcPr>
          <w:p>
            <w:pPr>
              <w:pStyle w:val="182"/>
              <w:bidi w:val="0"/>
              <w:rPr>
                <w:rFonts w:hint="eastAsia"/>
                <w:b/>
                <w:bCs/>
                <w:color w:val="auto"/>
                <w:u w:val="single"/>
              </w:rPr>
            </w:pPr>
            <w:r>
              <w:rPr>
                <w:rFonts w:hint="eastAsia"/>
                <w:b/>
                <w:bCs/>
                <w:color w:val="auto"/>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Merge w:val="restart"/>
            <w:vAlign w:val="center"/>
          </w:tcPr>
          <w:p>
            <w:pPr>
              <w:pStyle w:val="182"/>
              <w:bidi w:val="0"/>
              <w:rPr>
                <w:b/>
                <w:bCs/>
                <w:color w:val="auto"/>
              </w:rPr>
            </w:pPr>
            <w:r>
              <w:rPr>
                <w:rFonts w:hint="eastAsia"/>
                <w:b/>
                <w:bCs/>
                <w:color w:val="auto"/>
              </w:rPr>
              <w:t>张兴庄</w:t>
            </w:r>
          </w:p>
        </w:tc>
        <w:tc>
          <w:tcPr>
            <w:tcW w:w="736" w:type="pct"/>
            <w:vAlign w:val="center"/>
          </w:tcPr>
          <w:p>
            <w:pPr>
              <w:pStyle w:val="182"/>
              <w:bidi w:val="0"/>
              <w:rPr>
                <w:b/>
                <w:bCs/>
                <w:color w:val="auto"/>
              </w:rPr>
            </w:pPr>
            <w:r>
              <w:rPr>
                <w:rFonts w:hint="eastAsia"/>
                <w:b/>
                <w:bCs/>
                <w:color w:val="auto"/>
              </w:rPr>
              <w:t>硫酸雾</w:t>
            </w:r>
          </w:p>
        </w:tc>
        <w:tc>
          <w:tcPr>
            <w:tcW w:w="775" w:type="pct"/>
            <w:vAlign w:val="center"/>
          </w:tcPr>
          <w:p>
            <w:pPr>
              <w:pStyle w:val="182"/>
              <w:bidi w:val="0"/>
              <w:rPr>
                <w:b/>
                <w:bCs/>
                <w:color w:val="auto"/>
              </w:rPr>
            </w:pPr>
            <w:r>
              <w:rPr>
                <w:rFonts w:hint="eastAsia"/>
                <w:b/>
                <w:bCs/>
                <w:color w:val="auto"/>
              </w:rPr>
              <w:t>小时值</w:t>
            </w:r>
          </w:p>
        </w:tc>
        <w:tc>
          <w:tcPr>
            <w:tcW w:w="850" w:type="pct"/>
          </w:tcPr>
          <w:p>
            <w:pPr>
              <w:pStyle w:val="182"/>
              <w:bidi w:val="0"/>
              <w:rPr>
                <w:b/>
                <w:bCs/>
                <w:color w:val="auto"/>
              </w:rPr>
            </w:pPr>
            <w:r>
              <w:rPr>
                <w:b/>
                <w:bCs/>
                <w:color w:val="auto"/>
              </w:rPr>
              <w:t>2.5</w:t>
            </w:r>
          </w:p>
        </w:tc>
        <w:tc>
          <w:tcPr>
            <w:tcW w:w="693" w:type="pct"/>
            <w:vAlign w:val="center"/>
          </w:tcPr>
          <w:p>
            <w:pPr>
              <w:pStyle w:val="182"/>
              <w:bidi w:val="0"/>
              <w:rPr>
                <w:b/>
                <w:bCs/>
                <w:color w:val="auto"/>
              </w:rPr>
            </w:pPr>
            <w:r>
              <w:rPr>
                <w:rFonts w:hint="eastAsia"/>
                <w:b/>
                <w:bCs/>
                <w:color w:val="auto"/>
              </w:rPr>
              <w:t>3</w:t>
            </w:r>
            <w:r>
              <w:rPr>
                <w:b/>
                <w:bCs/>
                <w:color w:val="auto"/>
              </w:rPr>
              <w:t>00</w:t>
            </w:r>
          </w:p>
        </w:tc>
        <w:tc>
          <w:tcPr>
            <w:tcW w:w="686" w:type="pct"/>
          </w:tcPr>
          <w:p>
            <w:pPr>
              <w:pStyle w:val="182"/>
              <w:bidi w:val="0"/>
              <w:rPr>
                <w:b/>
                <w:bCs/>
                <w:color w:val="auto"/>
              </w:rPr>
            </w:pPr>
            <w:r>
              <w:rPr>
                <w:b/>
                <w:bCs/>
                <w:color w:val="auto"/>
              </w:rPr>
              <w:t>0.83%</w:t>
            </w:r>
          </w:p>
        </w:tc>
        <w:tc>
          <w:tcPr>
            <w:tcW w:w="660" w:type="pct"/>
            <w:vAlign w:val="center"/>
          </w:tcPr>
          <w:p>
            <w:pPr>
              <w:pStyle w:val="182"/>
              <w:bidi w:val="0"/>
              <w:rPr>
                <w:b/>
                <w:bCs/>
                <w:color w:val="auto"/>
              </w:rPr>
            </w:pPr>
            <w:r>
              <w:rPr>
                <w:rFonts w:hint="eastAsia"/>
                <w:b/>
                <w:bCs/>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Merge w:val="continue"/>
            <w:vAlign w:val="center"/>
          </w:tcPr>
          <w:p>
            <w:pPr>
              <w:pStyle w:val="182"/>
              <w:bidi w:val="0"/>
              <w:rPr>
                <w:b/>
                <w:bCs/>
                <w:color w:val="auto"/>
              </w:rPr>
            </w:pPr>
          </w:p>
        </w:tc>
        <w:tc>
          <w:tcPr>
            <w:tcW w:w="736" w:type="pct"/>
            <w:vAlign w:val="center"/>
          </w:tcPr>
          <w:p>
            <w:pPr>
              <w:pStyle w:val="182"/>
              <w:bidi w:val="0"/>
              <w:ind w:firstLine="0" w:firstLineChars="0"/>
              <w:rPr>
                <w:rFonts w:hint="eastAsia"/>
                <w:b/>
                <w:bCs/>
                <w:color w:val="auto"/>
              </w:rPr>
            </w:pPr>
            <w:r>
              <w:rPr>
                <w:rFonts w:hint="eastAsia"/>
                <w:b/>
                <w:bCs/>
                <w:color w:val="auto"/>
                <w:u w:val="single"/>
              </w:rPr>
              <w:t>硫化氢</w:t>
            </w:r>
          </w:p>
        </w:tc>
        <w:tc>
          <w:tcPr>
            <w:tcW w:w="775" w:type="pct"/>
            <w:vAlign w:val="center"/>
          </w:tcPr>
          <w:p>
            <w:pPr>
              <w:pStyle w:val="182"/>
              <w:bidi w:val="0"/>
              <w:ind w:firstLine="0" w:firstLineChars="0"/>
              <w:rPr>
                <w:rFonts w:hint="eastAsia"/>
                <w:b/>
                <w:bCs/>
                <w:color w:val="auto"/>
              </w:rPr>
            </w:pPr>
            <w:r>
              <w:rPr>
                <w:rFonts w:hint="eastAsia"/>
                <w:b/>
                <w:bCs/>
                <w:color w:val="auto"/>
                <w:u w:val="single"/>
              </w:rPr>
              <w:t>小时值</w:t>
            </w:r>
          </w:p>
        </w:tc>
        <w:tc>
          <w:tcPr>
            <w:tcW w:w="850" w:type="pct"/>
            <w:vAlign w:val="top"/>
          </w:tcPr>
          <w:p>
            <w:pPr>
              <w:pStyle w:val="182"/>
              <w:bidi w:val="0"/>
              <w:ind w:firstLine="0" w:firstLineChars="0"/>
              <w:rPr>
                <w:b/>
                <w:bCs/>
                <w:color w:val="auto"/>
              </w:rPr>
            </w:pPr>
            <w:r>
              <w:rPr>
                <w:rFonts w:hint="eastAsia"/>
                <w:b/>
                <w:bCs/>
                <w:color w:val="auto"/>
                <w:u w:val="single"/>
                <w:lang w:val="en-US" w:eastAsia="zh-CN"/>
              </w:rPr>
              <w:t>未检出～0.002</w:t>
            </w:r>
          </w:p>
        </w:tc>
        <w:tc>
          <w:tcPr>
            <w:tcW w:w="693" w:type="pct"/>
            <w:vAlign w:val="center"/>
          </w:tcPr>
          <w:p>
            <w:pPr>
              <w:pStyle w:val="182"/>
              <w:bidi w:val="0"/>
              <w:ind w:firstLine="0" w:firstLineChars="0"/>
              <w:rPr>
                <w:rFonts w:hint="eastAsia"/>
                <w:b/>
                <w:bCs/>
                <w:color w:val="auto"/>
              </w:rPr>
            </w:pPr>
            <w:r>
              <w:rPr>
                <w:rFonts w:hint="eastAsia"/>
                <w:b/>
                <w:bCs/>
                <w:color w:val="auto"/>
                <w:u w:val="single"/>
                <w:lang w:val="en-US" w:eastAsia="zh-CN"/>
              </w:rPr>
              <w:t>10</w:t>
            </w:r>
          </w:p>
        </w:tc>
        <w:tc>
          <w:tcPr>
            <w:tcW w:w="686" w:type="pct"/>
            <w:vAlign w:val="top"/>
          </w:tcPr>
          <w:p>
            <w:pPr>
              <w:pStyle w:val="182"/>
              <w:bidi w:val="0"/>
              <w:ind w:firstLine="0" w:firstLineChars="0"/>
              <w:rPr>
                <w:b/>
                <w:bCs/>
                <w:color w:val="auto"/>
              </w:rPr>
            </w:pPr>
            <w:r>
              <w:rPr>
                <w:rFonts w:hint="eastAsia"/>
                <w:b/>
                <w:bCs/>
                <w:color w:val="auto"/>
                <w:u w:val="single"/>
                <w:lang w:val="en-US" w:eastAsia="zh-CN"/>
              </w:rPr>
              <w:t>0.02%</w:t>
            </w:r>
          </w:p>
        </w:tc>
        <w:tc>
          <w:tcPr>
            <w:tcW w:w="660" w:type="pct"/>
            <w:vAlign w:val="center"/>
          </w:tcPr>
          <w:p>
            <w:pPr>
              <w:pStyle w:val="182"/>
              <w:bidi w:val="0"/>
              <w:ind w:firstLine="0" w:firstLineChars="0"/>
              <w:rPr>
                <w:rFonts w:hint="eastAsia"/>
                <w:b/>
                <w:bCs/>
                <w:color w:val="auto"/>
              </w:rPr>
            </w:pPr>
            <w:r>
              <w:rPr>
                <w:rFonts w:hint="eastAsia"/>
                <w:b/>
                <w:bCs/>
                <w:color w:val="auto"/>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Merge w:val="continue"/>
            <w:vAlign w:val="center"/>
          </w:tcPr>
          <w:p>
            <w:pPr>
              <w:pStyle w:val="182"/>
              <w:bidi w:val="0"/>
              <w:rPr>
                <w:b/>
                <w:bCs/>
                <w:color w:val="auto"/>
              </w:rPr>
            </w:pPr>
          </w:p>
        </w:tc>
        <w:tc>
          <w:tcPr>
            <w:tcW w:w="736" w:type="pct"/>
            <w:vAlign w:val="center"/>
          </w:tcPr>
          <w:p>
            <w:pPr>
              <w:pStyle w:val="182"/>
              <w:bidi w:val="0"/>
              <w:ind w:firstLine="0" w:firstLineChars="0"/>
              <w:rPr>
                <w:rFonts w:hint="eastAsia"/>
                <w:b/>
                <w:bCs/>
                <w:color w:val="auto"/>
              </w:rPr>
            </w:pPr>
            <w:r>
              <w:rPr>
                <w:rFonts w:hint="eastAsia"/>
                <w:b/>
                <w:bCs/>
                <w:color w:val="auto"/>
                <w:u w:val="single"/>
              </w:rPr>
              <w:t>二硫化碳</w:t>
            </w:r>
          </w:p>
        </w:tc>
        <w:tc>
          <w:tcPr>
            <w:tcW w:w="775" w:type="pct"/>
            <w:vAlign w:val="center"/>
          </w:tcPr>
          <w:p>
            <w:pPr>
              <w:pStyle w:val="182"/>
              <w:bidi w:val="0"/>
              <w:ind w:firstLine="0" w:firstLineChars="0"/>
              <w:rPr>
                <w:rFonts w:hint="eastAsia"/>
                <w:b/>
                <w:bCs/>
                <w:color w:val="auto"/>
              </w:rPr>
            </w:pPr>
            <w:r>
              <w:rPr>
                <w:rFonts w:hint="eastAsia"/>
                <w:b/>
                <w:bCs/>
                <w:color w:val="auto"/>
                <w:u w:val="single"/>
              </w:rPr>
              <w:t>小时值</w:t>
            </w:r>
          </w:p>
        </w:tc>
        <w:tc>
          <w:tcPr>
            <w:tcW w:w="850" w:type="pct"/>
            <w:vAlign w:val="top"/>
          </w:tcPr>
          <w:p>
            <w:pPr>
              <w:pStyle w:val="182"/>
              <w:bidi w:val="0"/>
              <w:ind w:firstLine="0" w:firstLineChars="0"/>
              <w:rPr>
                <w:b/>
                <w:bCs/>
                <w:color w:val="auto"/>
              </w:rPr>
            </w:pPr>
            <w:r>
              <w:rPr>
                <w:rFonts w:hint="eastAsia"/>
                <w:b/>
                <w:bCs/>
                <w:color w:val="auto"/>
                <w:u w:val="single"/>
                <w:lang w:val="en-US" w:eastAsia="zh-CN"/>
              </w:rPr>
              <w:t>未检出</w:t>
            </w:r>
          </w:p>
        </w:tc>
        <w:tc>
          <w:tcPr>
            <w:tcW w:w="693" w:type="pct"/>
            <w:vAlign w:val="center"/>
          </w:tcPr>
          <w:p>
            <w:pPr>
              <w:pStyle w:val="182"/>
              <w:bidi w:val="0"/>
              <w:ind w:firstLine="0" w:firstLineChars="0"/>
              <w:rPr>
                <w:rFonts w:hint="eastAsia"/>
                <w:b/>
                <w:bCs/>
                <w:color w:val="auto"/>
              </w:rPr>
            </w:pPr>
            <w:r>
              <w:rPr>
                <w:rFonts w:hint="eastAsia"/>
                <w:b/>
                <w:bCs/>
                <w:color w:val="auto"/>
                <w:u w:val="single"/>
                <w:lang w:val="en-US" w:eastAsia="zh-CN"/>
              </w:rPr>
              <w:t>40</w:t>
            </w:r>
          </w:p>
        </w:tc>
        <w:tc>
          <w:tcPr>
            <w:tcW w:w="686" w:type="pct"/>
            <w:vAlign w:val="top"/>
          </w:tcPr>
          <w:p>
            <w:pPr>
              <w:pStyle w:val="182"/>
              <w:bidi w:val="0"/>
              <w:ind w:firstLine="0" w:firstLineChars="0"/>
              <w:rPr>
                <w:b/>
                <w:bCs/>
                <w:color w:val="auto"/>
              </w:rPr>
            </w:pPr>
            <w:r>
              <w:rPr>
                <w:rFonts w:hint="eastAsia"/>
                <w:b/>
                <w:bCs/>
                <w:color w:val="auto"/>
                <w:u w:val="single"/>
                <w:lang w:val="en-US" w:eastAsia="zh-CN"/>
              </w:rPr>
              <w:t>/</w:t>
            </w:r>
          </w:p>
        </w:tc>
        <w:tc>
          <w:tcPr>
            <w:tcW w:w="660" w:type="pct"/>
            <w:vAlign w:val="center"/>
          </w:tcPr>
          <w:p>
            <w:pPr>
              <w:pStyle w:val="182"/>
              <w:bidi w:val="0"/>
              <w:ind w:firstLine="0" w:firstLineChars="0"/>
              <w:rPr>
                <w:rFonts w:hint="eastAsia"/>
                <w:b/>
                <w:bCs/>
                <w:color w:val="auto"/>
              </w:rPr>
            </w:pPr>
            <w:r>
              <w:rPr>
                <w:rFonts w:hint="eastAsia"/>
                <w:b/>
                <w:bCs/>
                <w:color w:val="auto"/>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Merge w:val="continue"/>
            <w:vAlign w:val="center"/>
          </w:tcPr>
          <w:p>
            <w:pPr>
              <w:pStyle w:val="182"/>
              <w:bidi w:val="0"/>
              <w:rPr>
                <w:b/>
                <w:bCs/>
                <w:color w:val="auto"/>
              </w:rPr>
            </w:pPr>
          </w:p>
        </w:tc>
        <w:tc>
          <w:tcPr>
            <w:tcW w:w="736" w:type="pct"/>
            <w:vAlign w:val="center"/>
          </w:tcPr>
          <w:p>
            <w:pPr>
              <w:pStyle w:val="182"/>
              <w:bidi w:val="0"/>
              <w:ind w:firstLine="0" w:firstLineChars="0"/>
              <w:rPr>
                <w:rFonts w:hint="eastAsia"/>
                <w:b/>
                <w:bCs/>
                <w:color w:val="auto"/>
              </w:rPr>
            </w:pPr>
            <w:r>
              <w:rPr>
                <w:rFonts w:hint="eastAsia"/>
                <w:b/>
                <w:bCs/>
                <w:color w:val="auto"/>
                <w:u w:val="single"/>
              </w:rPr>
              <w:t>氨</w:t>
            </w:r>
          </w:p>
        </w:tc>
        <w:tc>
          <w:tcPr>
            <w:tcW w:w="775" w:type="pct"/>
            <w:vAlign w:val="center"/>
          </w:tcPr>
          <w:p>
            <w:pPr>
              <w:pStyle w:val="182"/>
              <w:bidi w:val="0"/>
              <w:ind w:firstLine="0" w:firstLineChars="0"/>
              <w:rPr>
                <w:rFonts w:hint="eastAsia"/>
                <w:b/>
                <w:bCs/>
                <w:color w:val="auto"/>
              </w:rPr>
            </w:pPr>
            <w:r>
              <w:rPr>
                <w:rFonts w:hint="eastAsia"/>
                <w:b/>
                <w:bCs/>
                <w:color w:val="auto"/>
                <w:u w:val="single"/>
              </w:rPr>
              <w:t>小时值</w:t>
            </w:r>
          </w:p>
        </w:tc>
        <w:tc>
          <w:tcPr>
            <w:tcW w:w="850" w:type="pct"/>
            <w:vAlign w:val="top"/>
          </w:tcPr>
          <w:p>
            <w:pPr>
              <w:pStyle w:val="182"/>
              <w:bidi w:val="0"/>
              <w:ind w:firstLine="0" w:firstLineChars="0"/>
              <w:rPr>
                <w:rFonts w:hint="default"/>
                <w:b/>
                <w:bCs/>
                <w:color w:val="auto"/>
                <w:lang w:val="en-US"/>
              </w:rPr>
            </w:pPr>
            <w:r>
              <w:rPr>
                <w:rFonts w:hint="eastAsia"/>
                <w:b/>
                <w:bCs/>
                <w:color w:val="auto"/>
                <w:u w:val="single"/>
                <w:lang w:val="en-US" w:eastAsia="zh-CN"/>
              </w:rPr>
              <w:t>0.02~0.05</w:t>
            </w:r>
          </w:p>
        </w:tc>
        <w:tc>
          <w:tcPr>
            <w:tcW w:w="693" w:type="pct"/>
            <w:vAlign w:val="center"/>
          </w:tcPr>
          <w:p>
            <w:pPr>
              <w:pStyle w:val="182"/>
              <w:bidi w:val="0"/>
              <w:ind w:firstLine="0" w:firstLineChars="0"/>
              <w:rPr>
                <w:rFonts w:hint="eastAsia"/>
                <w:b/>
                <w:bCs/>
                <w:color w:val="auto"/>
              </w:rPr>
            </w:pPr>
            <w:r>
              <w:rPr>
                <w:rFonts w:hint="eastAsia"/>
                <w:b/>
                <w:bCs/>
                <w:color w:val="auto"/>
                <w:u w:val="single"/>
                <w:lang w:val="en-US" w:eastAsia="zh-CN"/>
              </w:rPr>
              <w:t>200</w:t>
            </w:r>
          </w:p>
        </w:tc>
        <w:tc>
          <w:tcPr>
            <w:tcW w:w="686" w:type="pct"/>
            <w:vAlign w:val="top"/>
          </w:tcPr>
          <w:p>
            <w:pPr>
              <w:pStyle w:val="182"/>
              <w:bidi w:val="0"/>
              <w:ind w:firstLine="0" w:firstLineChars="0"/>
              <w:rPr>
                <w:b/>
                <w:bCs/>
                <w:color w:val="auto"/>
              </w:rPr>
            </w:pPr>
            <w:r>
              <w:rPr>
                <w:rFonts w:hint="eastAsia"/>
                <w:b/>
                <w:bCs/>
                <w:color w:val="auto"/>
                <w:u w:val="single"/>
                <w:lang w:val="en-US" w:eastAsia="zh-CN"/>
              </w:rPr>
              <w:t>0.025%</w:t>
            </w:r>
          </w:p>
        </w:tc>
        <w:tc>
          <w:tcPr>
            <w:tcW w:w="660" w:type="pct"/>
            <w:vAlign w:val="center"/>
          </w:tcPr>
          <w:p>
            <w:pPr>
              <w:pStyle w:val="182"/>
              <w:bidi w:val="0"/>
              <w:ind w:firstLine="0" w:firstLineChars="0"/>
              <w:rPr>
                <w:rFonts w:hint="eastAsia"/>
                <w:b/>
                <w:bCs/>
                <w:color w:val="auto"/>
              </w:rPr>
            </w:pPr>
            <w:r>
              <w:rPr>
                <w:rFonts w:hint="eastAsia"/>
                <w:b/>
                <w:bCs/>
                <w:color w:val="auto"/>
                <w:u w:val="single"/>
              </w:rPr>
              <w:t>达标</w:t>
            </w:r>
          </w:p>
        </w:tc>
      </w:tr>
    </w:tbl>
    <w:p>
      <w:pPr>
        <w:bidi w:val="0"/>
        <w:rPr>
          <w:color w:val="auto"/>
        </w:rPr>
      </w:pPr>
      <w:r>
        <w:rPr>
          <w:rFonts w:hint="eastAsia"/>
          <w:color w:val="auto"/>
        </w:rPr>
        <w:t>由上表结果可知，</w:t>
      </w:r>
      <w:r>
        <w:rPr>
          <w:rFonts w:hint="eastAsia"/>
          <w:b/>
          <w:bCs/>
          <w:color w:val="auto"/>
          <w:u w:val="single"/>
        </w:rPr>
        <w:t>硫酸雾</w:t>
      </w:r>
      <w:r>
        <w:rPr>
          <w:rFonts w:hint="eastAsia"/>
          <w:b/>
          <w:bCs/>
          <w:color w:val="auto"/>
          <w:u w:val="single"/>
          <w:lang w:eastAsia="zh-CN"/>
        </w:rPr>
        <w:t>、</w:t>
      </w:r>
      <w:r>
        <w:rPr>
          <w:rFonts w:hint="eastAsia"/>
          <w:b/>
          <w:bCs/>
          <w:color w:val="auto"/>
          <w:u w:val="single"/>
        </w:rPr>
        <w:t>硫化氢</w:t>
      </w:r>
      <w:r>
        <w:rPr>
          <w:rFonts w:hint="eastAsia"/>
          <w:b/>
          <w:bCs/>
          <w:color w:val="auto"/>
          <w:u w:val="single"/>
          <w:lang w:eastAsia="zh-CN"/>
        </w:rPr>
        <w:t>、</w:t>
      </w:r>
      <w:r>
        <w:rPr>
          <w:rFonts w:hint="eastAsia"/>
          <w:b/>
          <w:bCs/>
          <w:color w:val="auto"/>
          <w:u w:val="single"/>
        </w:rPr>
        <w:t>二硫化碳</w:t>
      </w:r>
      <w:r>
        <w:rPr>
          <w:rFonts w:hint="eastAsia"/>
          <w:b/>
          <w:bCs/>
          <w:color w:val="auto"/>
          <w:u w:val="single"/>
          <w:lang w:eastAsia="zh-CN"/>
        </w:rPr>
        <w:t>、</w:t>
      </w:r>
      <w:r>
        <w:rPr>
          <w:rFonts w:hint="eastAsia"/>
          <w:b/>
          <w:bCs/>
          <w:color w:val="auto"/>
          <w:u w:val="single"/>
        </w:rPr>
        <w:t>氨满足《环境影响评价技术导则大气环境（HJ2.2-2018）》附录D中的限值要求。</w:t>
      </w:r>
    </w:p>
    <w:p>
      <w:pPr>
        <w:pStyle w:val="9"/>
        <w:bidi w:val="0"/>
        <w:rPr>
          <w:color w:val="auto"/>
        </w:rPr>
      </w:pPr>
      <w:r>
        <w:rPr>
          <w:color w:val="auto"/>
        </w:rPr>
        <w:t>4.2.3地表水环境质量现状评价</w:t>
      </w:r>
    </w:p>
    <w:bookmarkEnd w:id="266"/>
    <w:bookmarkEnd w:id="267"/>
    <w:bookmarkEnd w:id="268"/>
    <w:bookmarkEnd w:id="269"/>
    <w:bookmarkEnd w:id="272"/>
    <w:bookmarkEnd w:id="273"/>
    <w:p>
      <w:pPr>
        <w:pStyle w:val="10"/>
        <w:bidi w:val="0"/>
        <w:rPr>
          <w:color w:val="auto"/>
        </w:rPr>
      </w:pPr>
      <w:bookmarkStart w:id="274" w:name="_Toc428287226"/>
      <w:bookmarkStart w:id="275" w:name="_Toc429318409"/>
      <w:bookmarkStart w:id="276" w:name="_Toc428286865"/>
      <w:r>
        <w:rPr>
          <w:rFonts w:hint="eastAsia"/>
          <w:color w:val="auto"/>
          <w:lang w:eastAsia="zh-CN"/>
        </w:rPr>
        <w:t>4</w:t>
      </w:r>
      <w:r>
        <w:rPr>
          <w:rFonts w:hint="eastAsia"/>
          <w:color w:val="auto"/>
        </w:rPr>
        <w:t>.</w:t>
      </w:r>
      <w:r>
        <w:rPr>
          <w:rFonts w:hint="eastAsia"/>
          <w:color w:val="auto"/>
          <w:lang w:eastAsia="zh-CN"/>
        </w:rPr>
        <w:t>2</w:t>
      </w:r>
      <w:r>
        <w:rPr>
          <w:rFonts w:hint="eastAsia"/>
          <w:color w:val="auto"/>
        </w:rPr>
        <w:t>.</w:t>
      </w:r>
      <w:r>
        <w:rPr>
          <w:rFonts w:hint="eastAsia"/>
          <w:color w:val="auto"/>
          <w:lang w:eastAsia="zh-CN"/>
        </w:rPr>
        <w:t>3</w:t>
      </w:r>
      <w:r>
        <w:rPr>
          <w:rFonts w:hint="eastAsia"/>
          <w:color w:val="auto"/>
        </w:rPr>
        <w:t>.1项目</w:t>
      </w:r>
      <w:r>
        <w:rPr>
          <w:rFonts w:hint="eastAsia"/>
          <w:color w:val="auto"/>
          <w:lang w:eastAsia="zh-CN"/>
        </w:rPr>
        <w:t>纳污</w:t>
      </w:r>
      <w:r>
        <w:rPr>
          <w:rFonts w:hint="eastAsia"/>
          <w:color w:val="auto"/>
        </w:rPr>
        <w:t>水体</w:t>
      </w:r>
      <w:r>
        <w:rPr>
          <w:rFonts w:hint="eastAsia"/>
          <w:color w:val="auto"/>
          <w:lang w:eastAsia="zh-CN"/>
        </w:rPr>
        <w:t>环境概况</w:t>
      </w:r>
    </w:p>
    <w:p>
      <w:pPr>
        <w:bidi w:val="0"/>
        <w:rPr>
          <w:color w:val="auto"/>
        </w:rPr>
      </w:pPr>
      <w:r>
        <w:rPr>
          <w:color w:val="auto"/>
        </w:rPr>
        <w:t>本工程废水经调节池均化水质水量后，进入</w:t>
      </w:r>
      <w:r>
        <w:rPr>
          <w:rFonts w:hint="eastAsia"/>
          <w:color w:val="auto"/>
        </w:rPr>
        <w:t>化纤厂新厂区</w:t>
      </w:r>
      <w:r>
        <w:rPr>
          <w:color w:val="auto"/>
        </w:rPr>
        <w:t>0.5万t/d污水处理</w:t>
      </w:r>
      <w:r>
        <w:rPr>
          <w:rFonts w:hint="eastAsia"/>
          <w:color w:val="auto"/>
        </w:rPr>
        <w:t>单元</w:t>
      </w:r>
      <w:r>
        <w:rPr>
          <w:color w:val="auto"/>
        </w:rPr>
        <w:t>处理，之后经园区管网排入小店污水处理厂深度处理达标后外排。经调查，目前小店污水处理厂现状纳污水体为大沙河。距离小店污水处理厂排污口下游最近的断面为大沙河水花堡断面。大沙河水花堡断面水质控制为：COD30 mg/L，氨氮1.5 mg/L，总磷为0.3 mg/L。本项目纳污水体为大沙河，大沙河进入安阳市境内后更名为柳青河，在濮阳境内汇入金堤河，最终进入黄河，属黄河流域。大沙河地表水功能区划为Ⅳ类水体。项目附近地表水体分布示意图详见图4</w:t>
      </w:r>
      <w:r>
        <w:rPr>
          <w:rFonts w:hint="eastAsia"/>
          <w:color w:val="auto"/>
          <w:lang w:val="en-US" w:eastAsia="zh-CN"/>
        </w:rPr>
        <w:t>.2</w:t>
      </w:r>
      <w:r>
        <w:rPr>
          <w:color w:val="auto"/>
        </w:rPr>
        <w:t>-</w:t>
      </w:r>
      <w:r>
        <w:rPr>
          <w:rFonts w:hint="eastAsia"/>
          <w:color w:val="auto"/>
          <w:lang w:val="en-US" w:eastAsia="zh-CN"/>
        </w:rPr>
        <w:t>2</w:t>
      </w:r>
      <w:r>
        <w:rPr>
          <w:color w:val="auto"/>
        </w:rPr>
        <w:t>。</w:t>
      </w:r>
    </w:p>
    <w:p>
      <w:pPr>
        <w:jc w:val="center"/>
        <w:rPr>
          <w:rFonts w:eastAsia="黑体"/>
          <w:color w:val="auto"/>
          <w:sz w:val="24"/>
          <w:szCs w:val="20"/>
        </w:rPr>
      </w:pPr>
      <w:r>
        <w:rPr>
          <w:rFonts w:eastAsia="黑体"/>
          <w:color w:val="auto"/>
          <w:sz w:val="24"/>
          <w:szCs w:val="20"/>
        </w:rPr>
        <w:pict>
          <v:shape id="_x0000_s2310" o:spid="_x0000_s2310" o:spt="32" type="#_x0000_t32" style="position:absolute;left:0pt;margin-left:274.85pt;margin-top:93.55pt;height:40.75pt;width:6.05pt;z-index:251669504;mso-width-relative:page;mso-height-relative:page;" o:connectortype="straight" filled="f" coordsize="21600,21600">
            <v:path arrowok="t"/>
            <v:fill on="f" focussize="0,0"/>
            <v:stroke startarrow="classic" startarrowlength="long" endarrow="classic" endarrowlength="long"/>
            <v:imagedata o:title=""/>
            <o:lock v:ext="edit"/>
          </v:shape>
        </w:pict>
      </w:r>
      <w:r>
        <w:rPr>
          <w:rFonts w:eastAsia="黑体"/>
          <w:color w:val="auto"/>
          <w:sz w:val="24"/>
          <w:szCs w:val="20"/>
        </w:rPr>
        <w:pict>
          <v:shape id="_x0000_s2318" o:spid="_x0000_s2318" o:spt="202" type="#_x0000_t202" style="position:absolute;left:0pt;margin-left:394.15pt;margin-top:8.25pt;height:35.3pt;width:42.5pt;z-index:251679744;mso-width-relative:margin;mso-height-relative:margin;" filled="f" stroked="f" coordsize="21600,21600">
            <v:path/>
            <v:fill on="f" focussize="0,0"/>
            <v:stroke on="f"/>
            <v:imagedata o:title=""/>
            <o:lock v:ext="edit" aspectratio="f"/>
            <v:textbox>
              <w:txbxContent>
                <w:p>
                  <w:pPr>
                    <w:ind w:left="0" w:leftChars="0" w:firstLine="0" w:firstLineChars="0"/>
                    <w:jc w:val="both"/>
                    <w:rPr>
                      <w:b/>
                    </w:rPr>
                  </w:pPr>
                  <w:r>
                    <w:rPr>
                      <w:rFonts w:hint="eastAsia"/>
                      <w:b/>
                    </w:rPr>
                    <w:t>N</w:t>
                  </w:r>
                </w:p>
              </w:txbxContent>
            </v:textbox>
          </v:shape>
        </w:pict>
      </w:r>
      <w:r>
        <w:rPr>
          <w:rFonts w:eastAsia="黑体"/>
          <w:color w:val="auto"/>
          <w:sz w:val="24"/>
          <w:szCs w:val="20"/>
        </w:rPr>
        <w:pict>
          <v:shape id="_x0000_s2055" o:spid="_x0000_s2055" o:spt="202" type="#_x0000_t202" style="position:absolute;left:0pt;margin-left:366.7pt;margin-top:252.5pt;height:24.85pt;width:51.6pt;z-index:251687936;mso-width-relative:margin;mso-height-relative:margin;" filled="f" stroked="f" coordsize="21600,21600">
            <v:path/>
            <v:fill on="f" focussize="0,0"/>
            <v:stroke on="f" joinstyle="miter"/>
            <v:imagedata o:title=""/>
            <o:lock v:ext="edit"/>
            <v:textbox>
              <w:txbxContent>
                <w:p>
                  <w:pPr>
                    <w:ind w:left="0" w:leftChars="0" w:firstLine="0" w:firstLineChars="0"/>
                    <w:rPr>
                      <w:sz w:val="18"/>
                      <w:szCs w:val="18"/>
                    </w:rPr>
                  </w:pPr>
                  <w:r>
                    <w:rPr>
                      <w:rFonts w:hint="eastAsia"/>
                      <w:sz w:val="18"/>
                      <w:szCs w:val="18"/>
                    </w:rPr>
                    <w:t>河水流向</w:t>
                  </w:r>
                </w:p>
              </w:txbxContent>
            </v:textbox>
          </v:shape>
        </w:pict>
      </w:r>
      <w:r>
        <w:rPr>
          <w:rFonts w:eastAsia="黑体"/>
          <w:color w:val="auto"/>
          <w:sz w:val="24"/>
          <w:szCs w:val="20"/>
        </w:rPr>
        <w:pict>
          <v:shape id="_x0000_s2056" o:spid="_x0000_s2056" o:spt="202" type="#_x0000_t202" style="position:absolute;left:0pt;margin-left:367.45pt;margin-top:238.6pt;height:24.85pt;width:55.7pt;z-index:251686912;mso-width-relative:margin;mso-height-relative:margin;" filled="f" stroked="f" coordsize="21600,21600">
            <v:path/>
            <v:fill on="f" focussize="0,0"/>
            <v:stroke on="f" joinstyle="miter"/>
            <v:imagedata o:title=""/>
            <o:lock v:ext="edit"/>
            <v:textbox>
              <w:txbxContent>
                <w:p>
                  <w:pPr>
                    <w:spacing w:line="240" w:lineRule="exact"/>
                    <w:ind w:left="0" w:leftChars="0" w:firstLine="0" w:firstLineChars="0"/>
                    <w:rPr>
                      <w:sz w:val="18"/>
                      <w:szCs w:val="18"/>
                    </w:rPr>
                  </w:pPr>
                  <w:r>
                    <w:rPr>
                      <w:rFonts w:hint="eastAsia"/>
                      <w:sz w:val="18"/>
                      <w:szCs w:val="18"/>
                    </w:rPr>
                    <w:t>污水厂址</w:t>
                  </w:r>
                </w:p>
              </w:txbxContent>
            </v:textbox>
          </v:shape>
        </w:pict>
      </w:r>
      <w:r>
        <w:rPr>
          <w:rFonts w:eastAsia="黑体"/>
          <w:color w:val="auto"/>
          <w:sz w:val="24"/>
          <w:szCs w:val="20"/>
        </w:rPr>
        <w:pict>
          <v:shape id="_x0000_s2302" o:spid="_x0000_s2302" o:spt="202" type="#_x0000_t202" style="position:absolute;left:0pt;margin-left:367.45pt;margin-top:209.25pt;height:19.6pt;width:51.6pt;z-index:251681792;mso-width-relative:margin;mso-height-relative:margin;" filled="f" stroked="f" coordsize="21600,21600">
            <v:path/>
            <v:fill on="f" focussize="0,0"/>
            <v:stroke on="f" joinstyle="miter"/>
            <v:imagedata o:title=""/>
            <o:lock v:ext="edit"/>
            <v:textbox>
              <w:txbxContent>
                <w:p>
                  <w:pPr>
                    <w:spacing w:line="240" w:lineRule="exact"/>
                    <w:ind w:left="0" w:leftChars="0" w:firstLine="0" w:firstLineChars="0"/>
                    <w:rPr>
                      <w:sz w:val="18"/>
                      <w:szCs w:val="18"/>
                    </w:rPr>
                  </w:pPr>
                  <w:r>
                    <w:rPr>
                      <w:rFonts w:hint="eastAsia"/>
                      <w:sz w:val="18"/>
                      <w:szCs w:val="18"/>
                    </w:rPr>
                    <w:t>监测断面</w:t>
                  </w:r>
                </w:p>
              </w:txbxContent>
            </v:textbox>
          </v:shape>
        </w:pict>
      </w:r>
      <w:r>
        <w:rPr>
          <w:rFonts w:eastAsia="黑体"/>
          <w:color w:val="auto"/>
          <w:sz w:val="24"/>
          <w:szCs w:val="20"/>
        </w:rPr>
        <w:pict>
          <v:rect id="_x0000_s2303" o:spid="_x0000_s2303" o:spt="1" style="position:absolute;left:0pt;margin-left:345.15pt;margin-top:186.3pt;height:92.7pt;width:71.25pt;z-index:251680768;mso-width-relative:page;mso-height-relative:page;" fillcolor="#000000" filled="f" coordsize="21600,21600">
            <v:path/>
            <v:fill on="f" focussize="0,0"/>
            <v:stroke/>
            <v:imagedata o:title=""/>
            <o:lock v:ext="edit"/>
          </v:rect>
        </w:pict>
      </w:r>
      <w:r>
        <w:rPr>
          <w:rFonts w:eastAsia="黑体"/>
          <w:color w:val="auto"/>
          <w:sz w:val="24"/>
          <w:szCs w:val="20"/>
        </w:rPr>
        <w:pict>
          <v:shape id="_x0000_s2304" o:spid="_x0000_s2304" o:spt="62" type="#_x0000_t62" style="position:absolute;left:0pt;margin-left:64.6pt;margin-top:64.35pt;height:40.8pt;width:68.75pt;z-index:251668480;mso-width-relative:page;mso-height-relative:page;" coordsize="21600,21600" adj="21710,28800">
            <v:path/>
            <v:fill focussize="0,0"/>
            <v:stroke joinstyle="miter"/>
            <v:imagedata o:title=""/>
            <o:lock v:ext="edit"/>
            <v:textbox>
              <w:txbxContent>
                <w:p>
                  <w:pPr>
                    <w:pStyle w:val="93"/>
                    <w:ind w:left="0" w:leftChars="0" w:firstLine="0" w:firstLineChars="0"/>
                    <w:jc w:val="both"/>
                  </w:pPr>
                  <w:r>
                    <w:rPr>
                      <w:rFonts w:hint="eastAsia"/>
                    </w:rPr>
                    <w:t>小店污水处理厂</w:t>
                  </w:r>
                </w:p>
              </w:txbxContent>
            </v:textbox>
          </v:shape>
        </w:pict>
      </w:r>
      <w:r>
        <w:rPr>
          <w:rFonts w:eastAsia="黑体"/>
          <w:color w:val="auto"/>
          <w:sz w:val="24"/>
          <w:szCs w:val="20"/>
        </w:rPr>
        <w:pict>
          <v:shape id="_x0000_s2305" o:spid="_x0000_s2305" o:spt="202" type="#_x0000_t202" style="position:absolute;left:0pt;margin-left:217.65pt;margin-top:159.75pt;height:23.5pt;width:60pt;z-index:251676672;mso-width-relative:margin;mso-height-relative:margin;" filled="f" stroked="f" coordsize="21600,21600">
            <v:path/>
            <v:fill on="f" focussize="0,0"/>
            <v:stroke on="f" joinstyle="miter"/>
            <v:imagedata o:title=""/>
            <o:lock v:ext="edit"/>
            <v:textbox>
              <w:txbxContent>
                <w:p>
                  <w:pPr>
                    <w:rPr>
                      <w:b/>
                      <w:szCs w:val="21"/>
                    </w:rPr>
                  </w:pPr>
                  <w:r>
                    <w:rPr>
                      <w:rFonts w:hint="eastAsia"/>
                      <w:b/>
                      <w:szCs w:val="21"/>
                    </w:rPr>
                    <w:t>项目厂址</w:t>
                  </w:r>
                </w:p>
              </w:txbxContent>
            </v:textbox>
          </v:shape>
        </w:pict>
      </w:r>
      <w:r>
        <w:rPr>
          <w:rFonts w:eastAsia="黑体"/>
          <w:color w:val="auto"/>
          <w:sz w:val="24"/>
          <w:szCs w:val="20"/>
        </w:rPr>
        <w:pict>
          <v:rect id="_x0000_s2306" o:spid="_x0000_s2306" o:spt="1" style="position:absolute;left:0pt;margin-left:213.15pt;margin-top:168.6pt;height:7.15pt;width:9pt;z-index:251675648;mso-width-relative:page;mso-height-relative:page;" fillcolor="#E50BD5" filled="t" stroked="t" coordsize="21600,21600">
            <v:path/>
            <v:fill on="t" focussize="0,0"/>
            <v:stroke weight="1.5pt" color="#E50BD5"/>
            <v:imagedata o:title=""/>
            <o:lock v:ext="edit"/>
          </v:rect>
        </w:pict>
      </w:r>
      <w:r>
        <w:rPr>
          <w:rFonts w:eastAsia="黑体"/>
          <w:color w:val="auto"/>
          <w:sz w:val="24"/>
          <w:szCs w:val="20"/>
        </w:rPr>
        <w:pict>
          <v:rect id="_x0000_s2307" o:spid="_x0000_s2307" o:spt="1" style="position:absolute;left:0pt;margin-left:133.35pt;margin-top:116.6pt;height:7.25pt;width:7.15pt;z-index:251674624;mso-width-relative:page;mso-height-relative:page;" fillcolor="#FFC000" filled="t" stroked="t" coordsize="21600,21600">
            <v:path/>
            <v:fill on="t" focussize="0,0"/>
            <v:stroke color="#E50BD5"/>
            <v:imagedata o:title=""/>
            <o:lock v:ext="edit"/>
          </v:rect>
        </w:pict>
      </w:r>
      <w:r>
        <w:rPr>
          <w:rFonts w:eastAsia="黑体"/>
          <w:color w:val="auto"/>
          <w:sz w:val="24"/>
          <w:szCs w:val="20"/>
        </w:rPr>
        <w:pict>
          <v:shape id="_x0000_s2308" o:spid="_x0000_s2308" o:spt="62" type="#_x0000_t62" style="position:absolute;left:0pt;margin-left:173.25pt;margin-top:68.85pt;height:25.35pt;width:90.2pt;z-index:251670528;mso-width-relative:page;mso-height-relative:page;" fillcolor="#FFFFFF" filled="t" stroked="t" coordsize="21600,21600" adj="23480,28204">
            <v:path/>
            <v:fill on="t" color2="#FFFFFF" focussize="0,0"/>
            <v:stroke color="#000000" joinstyle="miter"/>
            <v:imagedata o:title=""/>
            <o:lock v:ext="edit" aspectratio="f"/>
            <v:textbox>
              <w:txbxContent>
                <w:p>
                  <w:pPr>
                    <w:pStyle w:val="93"/>
                    <w:ind w:left="0" w:leftChars="0" w:firstLine="0" w:firstLineChars="0"/>
                    <w:jc w:val="both"/>
                  </w:pPr>
                  <w:r>
                    <w:rPr>
                      <w:rFonts w:hint="eastAsia"/>
                    </w:rPr>
                    <w:t>水花堡桥断面</w:t>
                  </w:r>
                </w:p>
              </w:txbxContent>
            </v:textbox>
          </v:shape>
        </w:pict>
      </w:r>
      <w:r>
        <w:rPr>
          <w:rFonts w:eastAsia="黑体"/>
          <w:color w:val="auto"/>
          <w:sz w:val="24"/>
          <w:szCs w:val="20"/>
        </w:rPr>
        <w:pict>
          <v:line id="直线 173" o:spid="_x0000_s2309" o:spt="20" style="position:absolute;left:0pt;flip:y;margin-left:168.15pt;margin-top:123.85pt;height:17.9pt;width:36.45pt;z-index:251678720;mso-width-relative:page;mso-height-relative:page;" coordsize="21600,21600">
            <v:path arrowok="t"/>
            <v:fill focussize="0,0"/>
            <v:stroke dashstyle="dash" endarrow="block" endarrowwidth="narrow"/>
            <v:imagedata o:title=""/>
            <o:lock v:ext="edit"/>
          </v:line>
        </w:pict>
      </w:r>
      <w:r>
        <w:rPr>
          <w:rFonts w:eastAsia="黑体"/>
          <w:color w:val="auto"/>
          <w:sz w:val="24"/>
          <w:szCs w:val="20"/>
        </w:rPr>
        <w:pict>
          <v:rect id="_x0000_s2311" o:spid="_x0000_s2311" o:spt="1" style="position:absolute;left:0pt;margin-left:358.45pt;margin-top:244.5pt;height:9.15pt;width:9pt;z-index:251685888;mso-width-relative:page;mso-height-relative:page;" fillcolor="#FFC000" filled="t" stroked="t" coordsize="21600,21600">
            <v:path/>
            <v:fill on="t" focussize="0,0"/>
            <v:stroke color="#E50BD5"/>
            <v:imagedata o:title=""/>
            <o:lock v:ext="edit"/>
          </v:rect>
        </w:pict>
      </w:r>
      <w:r>
        <w:rPr>
          <w:rFonts w:eastAsia="黑体"/>
          <w:color w:val="auto"/>
          <w:sz w:val="24"/>
          <w:szCs w:val="20"/>
        </w:rPr>
        <w:pict>
          <v:line id="_x0000_s2312" o:spid="_x0000_s2312" o:spt="20" style="position:absolute;left:0pt;flip:y;margin-left:351.55pt;margin-top:264.75pt;height:0pt;width:21.6pt;z-index:251688960;mso-width-relative:page;mso-height-relative:page;" coordsize="21600,21600">
            <v:path arrowok="t"/>
            <v:fill focussize="0,0"/>
            <v:stroke dashstyle="dash" endarrow="block" endarrowwidth="narrow"/>
            <v:imagedata o:title=""/>
            <o:lock v:ext="edit"/>
          </v:line>
        </w:pict>
      </w:r>
      <w:r>
        <w:rPr>
          <w:rFonts w:eastAsia="黑体"/>
          <w:color w:val="auto"/>
          <w:sz w:val="24"/>
          <w:szCs w:val="20"/>
        </w:rPr>
        <w:pict>
          <v:rect id="_x0000_s2313" o:spid="_x0000_s2313" o:spt="1" style="position:absolute;left:0pt;margin-left:358.45pt;margin-top:228.85pt;height:7.15pt;width:9pt;z-index:251683840;mso-width-relative:page;mso-height-relative:page;" fillcolor="#E50BD5" filled="t" stroked="t" coordsize="21600,21600">
            <v:path/>
            <v:fill on="t" focussize="0,0"/>
            <v:stroke weight="1.5pt" color="#E50BD5"/>
            <v:imagedata o:title=""/>
            <o:lock v:ext="edit"/>
          </v:rect>
        </w:pict>
      </w:r>
      <w:r>
        <w:rPr>
          <w:rFonts w:eastAsia="黑体"/>
          <w:color w:val="auto"/>
          <w:sz w:val="24"/>
          <w:szCs w:val="20"/>
        </w:rPr>
        <w:pict>
          <v:shape id="_x0000_s2314" o:spid="_x0000_s2314" o:spt="202" type="#_x0000_t202" style="position:absolute;left:0pt;margin-left:367.45pt;margin-top:222.75pt;height:18.1pt;width:51.6pt;z-index:251684864;mso-width-relative:margin;mso-height-relative:margin;" filled="f" stroked="f" coordsize="21600,21600">
            <v:path/>
            <v:fill on="f" focussize="0,0"/>
            <v:stroke on="f" joinstyle="miter"/>
            <v:imagedata o:title=""/>
            <o:lock v:ext="edit"/>
            <v:textbox>
              <w:txbxContent>
                <w:p>
                  <w:pPr>
                    <w:spacing w:line="240" w:lineRule="exact"/>
                    <w:ind w:left="0" w:leftChars="0" w:firstLine="0" w:firstLineChars="0"/>
                    <w:rPr>
                      <w:sz w:val="18"/>
                      <w:szCs w:val="18"/>
                    </w:rPr>
                  </w:pPr>
                  <w:r>
                    <w:rPr>
                      <w:rFonts w:hint="eastAsia"/>
                      <w:sz w:val="18"/>
                      <w:szCs w:val="18"/>
                    </w:rPr>
                    <w:t>项目厂址</w:t>
                  </w:r>
                </w:p>
              </w:txbxContent>
            </v:textbox>
          </v:shape>
        </w:pict>
      </w:r>
      <w:r>
        <w:rPr>
          <w:rFonts w:eastAsia="黑体"/>
          <w:color w:val="auto"/>
          <w:sz w:val="24"/>
          <w:szCs w:val="20"/>
        </w:rPr>
        <w:pict>
          <v:shape id="_x0000_s2315" o:spid="_x0000_s2315" o:spt="32" type="#_x0000_t32" style="position:absolute;left:0pt;margin-left:347.8pt;margin-top:219.8pt;height:0pt;width:26.25pt;z-index:251682816;mso-width-relative:page;mso-height-relative:page;" o:connectortype="straight" filled="f" coordsize="21600,21600">
            <v:path arrowok="t"/>
            <v:fill on="f" focussize="0,0"/>
            <v:stroke startarrow="classic" endarrow="classic"/>
            <v:imagedata o:title=""/>
            <o:lock v:ext="edit"/>
          </v:shape>
        </w:pict>
      </w:r>
      <w:r>
        <w:rPr>
          <w:rFonts w:eastAsia="黑体"/>
          <w:color w:val="auto"/>
          <w:sz w:val="24"/>
          <w:szCs w:val="20"/>
        </w:rPr>
        <w:pict>
          <v:shape id="_x0000_s2316" o:spid="_x0000_s2316" o:spt="202" type="#_x0000_t202" style="position:absolute;left:0pt;margin-left:345.15pt;margin-top:193.05pt;height:20.8pt;width:49.8pt;z-index:251677696;mso-width-relative:margin;mso-height-relative:margin;mso-height-percent:200;" filled="f" stroked="f" coordsize="21600,21600">
            <v:path/>
            <v:fill on="f" focussize="0,0"/>
            <v:stroke on="f" joinstyle="miter"/>
            <v:imagedata o:title=""/>
            <o:lock v:ext="edit"/>
            <v:textbox style="mso-fit-shape-to-text:t;">
              <w:txbxContent>
                <w:p>
                  <w:pPr>
                    <w:ind w:left="0" w:leftChars="0" w:firstLine="0" w:firstLineChars="0"/>
                    <w:rPr>
                      <w:b/>
                    </w:rPr>
                  </w:pPr>
                  <w:r>
                    <w:rPr>
                      <w:rFonts w:hint="eastAsia"/>
                      <w:b/>
                    </w:rPr>
                    <w:t>图例：</w:t>
                  </w:r>
                </w:p>
              </w:txbxContent>
            </v:textbox>
          </v:shape>
        </w:pict>
      </w:r>
      <w:r>
        <w:rPr>
          <w:rFonts w:eastAsia="黑体"/>
          <w:color w:val="auto"/>
          <w:sz w:val="24"/>
          <w:szCs w:val="20"/>
        </w:rPr>
        <w:pict>
          <v:line id="直线 158" o:spid="_x0000_s2317" o:spt="20" style="position:absolute;left:0pt;flip:y;margin-left:384.8pt;margin-top:6.5pt;height:23.4pt;width:0pt;z-index:251675648;mso-width-relative:page;mso-height-relative:page;" coordsize="21600,21600">
            <v:path arrowok="t"/>
            <v:fill focussize="0,0"/>
            <v:stroke weight="2.75pt" endarrow="block"/>
            <v:imagedata o:title=""/>
            <o:lock v:ext="edit"/>
          </v:line>
        </w:pict>
      </w:r>
      <w:r>
        <w:rPr>
          <w:rFonts w:eastAsia="黑体"/>
          <w:color w:val="auto"/>
          <w:sz w:val="24"/>
          <w:szCs w:val="20"/>
        </w:rPr>
        <w:pict>
          <v:shape id="文本框 148" o:spid="_x0000_s2319" o:spt="202" type="#_x0000_t202" style="position:absolute;left:0pt;margin-left:325.3pt;margin-top:64.35pt;height:15.15pt;width:26.25pt;z-index:251673600;mso-width-relative:page;mso-height-relative:page;" filled="f" stroked="f" coordsize="21600,21600">
            <v:path/>
            <v:fill on="f" focussize="0,0"/>
            <v:stroke on="f" joinstyle="miter"/>
            <v:imagedata o:title=""/>
            <o:lock v:ext="edit"/>
            <v:textbox inset="2.54mm,0.3mm,2.54mm,0mm">
              <w:txbxContent>
                <w:p>
                  <w:pPr>
                    <w:pStyle w:val="93"/>
                  </w:pPr>
                  <w:r>
                    <w:rPr>
                      <w:rFonts w:hint="eastAsia"/>
                    </w:rPr>
                    <w:t>河共</w:t>
                  </w:r>
                </w:p>
              </w:txbxContent>
            </v:textbox>
          </v:shape>
        </w:pict>
      </w:r>
      <w:r>
        <w:rPr>
          <w:rFonts w:eastAsia="黑体"/>
          <w:color w:val="auto"/>
          <w:sz w:val="24"/>
          <w:szCs w:val="20"/>
        </w:rPr>
        <w:pict>
          <v:shape id="_x0000_s2320" o:spid="_x0000_s2320" o:spt="202" type="#_x0000_t202" style="position:absolute;left:0pt;margin-left:156.75pt;margin-top:119.8pt;height:15.15pt;width:26.25pt;z-index:251672576;mso-width-relative:page;mso-height-relative:page;" filled="f" stroked="f" coordsize="21600,21600">
            <v:path/>
            <v:fill on="f" focussize="0,0"/>
            <v:stroke on="f" joinstyle="miter"/>
            <v:imagedata o:title=""/>
            <o:lock v:ext="edit"/>
            <v:textbox inset="2.54mm,0.3mm,2.54mm,0mm">
              <w:txbxContent>
                <w:p>
                  <w:pPr>
                    <w:pStyle w:val="93"/>
                  </w:pPr>
                  <w:r>
                    <w:rPr>
                      <w:rFonts w:hint="eastAsia"/>
                    </w:rPr>
                    <w:t>沙共</w:t>
                  </w:r>
                </w:p>
              </w:txbxContent>
            </v:textbox>
          </v:shape>
        </w:pict>
      </w:r>
      <w:r>
        <w:rPr>
          <w:rFonts w:eastAsia="黑体"/>
          <w:color w:val="auto"/>
          <w:sz w:val="24"/>
          <w:szCs w:val="20"/>
        </w:rPr>
        <w:pict>
          <v:shape id="文本框 146" o:spid="_x0000_s2321" o:spt="202" type="#_x0000_t202" style="position:absolute;left:0pt;margin-left:70.6pt;margin-top:213.7pt;height:15.15pt;width:26.25pt;z-index:251671552;mso-width-relative:page;mso-height-relative:page;" filled="f" stroked="f" coordsize="21600,21600">
            <v:path/>
            <v:fill on="f" focussize="0,0"/>
            <v:stroke on="f" joinstyle="miter"/>
            <v:imagedata o:title=""/>
            <o:lock v:ext="edit"/>
            <v:textbox inset="2.54mm,0.3mm,2.54mm,0mm">
              <w:txbxContent>
                <w:p>
                  <w:pPr>
                    <w:pStyle w:val="93"/>
                  </w:pPr>
                  <w:r>
                    <w:rPr>
                      <w:rFonts w:hint="eastAsia"/>
                    </w:rPr>
                    <w:t>大共</w:t>
                  </w:r>
                </w:p>
              </w:txbxContent>
            </v:textbox>
          </v:shape>
        </w:pict>
      </w:r>
      <w:r>
        <w:rPr>
          <w:rFonts w:eastAsia="黑体"/>
          <w:color w:val="auto"/>
          <w:sz w:val="24"/>
          <w:szCs w:val="20"/>
        </w:rPr>
        <w:drawing>
          <wp:inline distT="0" distB="0" distL="114300" distR="114300">
            <wp:extent cx="5305425" cy="3562350"/>
            <wp:effectExtent l="0" t="0" r="13335" b="381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51"/>
                    <a:stretch>
                      <a:fillRect/>
                    </a:stretch>
                  </pic:blipFill>
                  <pic:spPr>
                    <a:xfrm>
                      <a:off x="0" y="0"/>
                      <a:ext cx="5305425" cy="3562350"/>
                    </a:xfrm>
                    <a:prstGeom prst="rect">
                      <a:avLst/>
                    </a:prstGeom>
                    <a:noFill/>
                    <a:ln>
                      <a:noFill/>
                    </a:ln>
                  </pic:spPr>
                </pic:pic>
              </a:graphicData>
            </a:graphic>
          </wp:inline>
        </w:drawing>
      </w:r>
    </w:p>
    <w:p>
      <w:pPr>
        <w:pStyle w:val="181"/>
        <w:bidi w:val="0"/>
        <w:ind w:left="0" w:leftChars="0" w:firstLine="0" w:firstLineChars="0"/>
        <w:jc w:val="center"/>
        <w:rPr>
          <w:color w:val="auto"/>
        </w:rPr>
      </w:pPr>
      <w:r>
        <w:rPr>
          <w:color w:val="auto"/>
        </w:rPr>
        <w:t>图4</w:t>
      </w:r>
      <w:r>
        <w:rPr>
          <w:rFonts w:hint="eastAsia"/>
          <w:color w:val="auto"/>
          <w:lang w:val="en-US" w:eastAsia="zh-CN"/>
        </w:rPr>
        <w:t>.2</w:t>
      </w:r>
      <w:r>
        <w:rPr>
          <w:color w:val="auto"/>
        </w:rPr>
        <w:t>-</w:t>
      </w:r>
      <w:r>
        <w:rPr>
          <w:rFonts w:hint="eastAsia"/>
          <w:color w:val="auto"/>
        </w:rPr>
        <w:t>2</w:t>
      </w:r>
      <w:r>
        <w:rPr>
          <w:color w:val="auto"/>
        </w:rPr>
        <w:t xml:space="preserve">  项目附近地表水体分布示意图</w:t>
      </w:r>
    </w:p>
    <w:p>
      <w:pPr>
        <w:pStyle w:val="10"/>
        <w:bidi w:val="0"/>
        <w:rPr>
          <w:color w:val="auto"/>
        </w:rPr>
      </w:pPr>
      <w:r>
        <w:rPr>
          <w:rFonts w:hint="eastAsia"/>
          <w:color w:val="auto"/>
          <w:lang w:eastAsia="zh-CN"/>
        </w:rPr>
        <w:t>4</w:t>
      </w:r>
      <w:r>
        <w:rPr>
          <w:rFonts w:hint="eastAsia"/>
          <w:color w:val="auto"/>
        </w:rPr>
        <w:t>.</w:t>
      </w:r>
      <w:r>
        <w:rPr>
          <w:rFonts w:hint="eastAsia"/>
          <w:color w:val="auto"/>
          <w:lang w:eastAsia="zh-CN"/>
        </w:rPr>
        <w:t>2</w:t>
      </w:r>
      <w:r>
        <w:rPr>
          <w:rFonts w:hint="eastAsia"/>
          <w:color w:val="auto"/>
        </w:rPr>
        <w:t>.</w:t>
      </w:r>
      <w:r>
        <w:rPr>
          <w:rFonts w:hint="eastAsia"/>
          <w:color w:val="auto"/>
          <w:lang w:eastAsia="zh-CN"/>
        </w:rPr>
        <w:t>3</w:t>
      </w:r>
      <w:r>
        <w:rPr>
          <w:rFonts w:hint="eastAsia"/>
          <w:color w:val="auto"/>
        </w:rPr>
        <w:t>.</w:t>
      </w:r>
      <w:r>
        <w:rPr>
          <w:rFonts w:hint="eastAsia"/>
          <w:color w:val="auto"/>
          <w:lang w:eastAsia="zh-CN"/>
        </w:rPr>
        <w:t>2大沙河水质现状</w:t>
      </w:r>
    </w:p>
    <w:p>
      <w:pPr>
        <w:bidi w:val="0"/>
        <w:rPr>
          <w:color w:val="auto"/>
        </w:rPr>
      </w:pPr>
      <w:r>
        <w:rPr>
          <w:color w:val="auto"/>
        </w:rPr>
        <w:t>为反映本项目纳污水体</w:t>
      </w:r>
      <w:r>
        <w:rPr>
          <w:rFonts w:hint="eastAsia"/>
          <w:color w:val="auto"/>
        </w:rPr>
        <w:t>大沙河</w:t>
      </w:r>
      <w:r>
        <w:rPr>
          <w:color w:val="auto"/>
        </w:rPr>
        <w:t>的环境质量现状，本次评价引用新乡市环境监测站编制的例行监测中</w:t>
      </w:r>
      <w:r>
        <w:rPr>
          <w:rFonts w:hint="eastAsia"/>
          <w:color w:val="auto"/>
        </w:rPr>
        <w:t>水花堡桥断面</w:t>
      </w:r>
      <w:r>
        <w:rPr>
          <w:color w:val="auto"/>
        </w:rPr>
        <w:t>20</w:t>
      </w:r>
      <w:r>
        <w:rPr>
          <w:rFonts w:hint="eastAsia"/>
          <w:color w:val="auto"/>
        </w:rPr>
        <w:t>21年1-</w:t>
      </w:r>
      <w:r>
        <w:rPr>
          <w:color w:val="auto"/>
        </w:rPr>
        <w:t>12</w:t>
      </w:r>
      <w:r>
        <w:rPr>
          <w:rFonts w:hint="eastAsia"/>
          <w:color w:val="auto"/>
        </w:rPr>
        <w:t>月的监测结果</w:t>
      </w:r>
      <w:r>
        <w:rPr>
          <w:color w:val="auto"/>
        </w:rPr>
        <w:t>来进行说明，详见表</w:t>
      </w:r>
      <w:r>
        <w:rPr>
          <w:rFonts w:hint="eastAsia"/>
          <w:color w:val="auto"/>
        </w:rPr>
        <w:t>4</w:t>
      </w:r>
      <w:r>
        <w:rPr>
          <w:rFonts w:hint="eastAsia"/>
          <w:color w:val="auto"/>
          <w:lang w:val="en-US" w:eastAsia="zh-CN"/>
        </w:rPr>
        <w:t>.2</w:t>
      </w:r>
      <w:r>
        <w:rPr>
          <w:color w:val="auto"/>
        </w:rPr>
        <w:t>-</w:t>
      </w:r>
      <w:r>
        <w:rPr>
          <w:rFonts w:hint="eastAsia"/>
          <w:color w:val="auto"/>
          <w:lang w:val="en-US" w:eastAsia="zh-CN"/>
        </w:rPr>
        <w:t>8</w:t>
      </w:r>
      <w:r>
        <w:rPr>
          <w:color w:val="auto"/>
        </w:rPr>
        <w:t>：</w:t>
      </w:r>
    </w:p>
    <w:p>
      <w:pPr>
        <w:pStyle w:val="181"/>
        <w:bidi w:val="0"/>
        <w:rPr>
          <w:b/>
          <w:color w:val="auto"/>
          <w:sz w:val="24"/>
        </w:rPr>
      </w:pPr>
      <w:r>
        <w:rPr>
          <w:rFonts w:hint="eastAsia"/>
          <w:b/>
          <w:color w:val="auto"/>
          <w:sz w:val="24"/>
        </w:rPr>
        <w:t>表4</w:t>
      </w:r>
      <w:r>
        <w:rPr>
          <w:rFonts w:hint="eastAsia"/>
          <w:b/>
          <w:color w:val="auto"/>
          <w:sz w:val="24"/>
          <w:lang w:val="en-US" w:eastAsia="zh-CN"/>
        </w:rPr>
        <w:t>.2</w:t>
      </w:r>
      <w:r>
        <w:rPr>
          <w:b/>
          <w:color w:val="auto"/>
          <w:sz w:val="24"/>
        </w:rPr>
        <w:t>-</w:t>
      </w:r>
      <w:r>
        <w:rPr>
          <w:rFonts w:hint="eastAsia"/>
          <w:b/>
          <w:color w:val="auto"/>
          <w:sz w:val="24"/>
          <w:lang w:val="en-US" w:eastAsia="zh-CN"/>
        </w:rPr>
        <w:t>8</w:t>
      </w:r>
      <w:r>
        <w:rPr>
          <w:rFonts w:hint="eastAsia"/>
          <w:b/>
          <w:color w:val="auto"/>
          <w:sz w:val="24"/>
        </w:rPr>
        <w:t xml:space="preserve">       </w:t>
      </w:r>
      <w:r>
        <w:rPr>
          <w:rFonts w:hint="eastAsia" w:ascii="黑体"/>
          <w:b/>
          <w:color w:val="auto"/>
          <w:sz w:val="24"/>
        </w:rPr>
        <w:t>大沙河</w:t>
      </w:r>
      <w:r>
        <w:rPr>
          <w:rFonts w:hint="eastAsia"/>
          <w:b/>
          <w:color w:val="auto"/>
          <w:sz w:val="24"/>
        </w:rPr>
        <w:t>水质例行监测结果统计一览表        单位：mg/l</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358"/>
        <w:gridCol w:w="890"/>
        <w:gridCol w:w="1041"/>
        <w:gridCol w:w="1075"/>
        <w:gridCol w:w="997"/>
        <w:gridCol w:w="1096"/>
        <w:gridCol w:w="9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80" w:type="pct"/>
            <w:vMerge w:val="restart"/>
            <w:shd w:val="clear" w:color="auto" w:fill="auto"/>
            <w:vAlign w:val="center"/>
          </w:tcPr>
          <w:p>
            <w:pPr>
              <w:pStyle w:val="182"/>
              <w:bidi w:val="0"/>
              <w:rPr>
                <w:b/>
                <w:bCs/>
                <w:color w:val="auto"/>
              </w:rPr>
            </w:pPr>
            <w:r>
              <w:rPr>
                <w:b/>
                <w:bCs/>
                <w:color w:val="auto"/>
              </w:rPr>
              <w:t>监测项目</w:t>
            </w:r>
          </w:p>
        </w:tc>
        <w:tc>
          <w:tcPr>
            <w:tcW w:w="797" w:type="pct"/>
            <w:vMerge w:val="restart"/>
            <w:shd w:val="clear" w:color="auto" w:fill="auto"/>
            <w:vAlign w:val="center"/>
          </w:tcPr>
          <w:p>
            <w:pPr>
              <w:pStyle w:val="182"/>
              <w:bidi w:val="0"/>
              <w:rPr>
                <w:b/>
                <w:bCs/>
                <w:color w:val="auto"/>
              </w:rPr>
            </w:pPr>
            <w:r>
              <w:rPr>
                <w:b/>
                <w:bCs/>
                <w:color w:val="auto"/>
              </w:rPr>
              <w:t>监测时间</w:t>
            </w:r>
          </w:p>
        </w:tc>
        <w:tc>
          <w:tcPr>
            <w:tcW w:w="1764" w:type="pct"/>
            <w:gridSpan w:val="3"/>
            <w:shd w:val="clear" w:color="auto" w:fill="auto"/>
            <w:vAlign w:val="center"/>
          </w:tcPr>
          <w:p>
            <w:pPr>
              <w:pStyle w:val="182"/>
              <w:bidi w:val="0"/>
              <w:rPr>
                <w:b/>
                <w:bCs/>
                <w:color w:val="auto"/>
              </w:rPr>
            </w:pPr>
            <w:r>
              <w:rPr>
                <w:b/>
                <w:bCs/>
                <w:color w:val="auto"/>
              </w:rPr>
              <w:t>监测结果（mg/L）</w:t>
            </w:r>
          </w:p>
        </w:tc>
        <w:tc>
          <w:tcPr>
            <w:tcW w:w="1759" w:type="pct"/>
            <w:gridSpan w:val="3"/>
            <w:shd w:val="clear" w:color="auto" w:fill="auto"/>
            <w:vAlign w:val="center"/>
          </w:tcPr>
          <w:p>
            <w:pPr>
              <w:pStyle w:val="182"/>
              <w:bidi w:val="0"/>
              <w:rPr>
                <w:b/>
                <w:bCs/>
                <w:color w:val="auto"/>
              </w:rPr>
            </w:pPr>
            <w:r>
              <w:rPr>
                <w:b/>
                <w:bCs/>
                <w:color w:val="auto"/>
              </w:rPr>
              <w:t>污染指数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80" w:type="pct"/>
            <w:vMerge w:val="continue"/>
            <w:shd w:val="clear" w:color="auto" w:fill="auto"/>
            <w:vAlign w:val="center"/>
          </w:tcPr>
          <w:p>
            <w:pPr>
              <w:pStyle w:val="182"/>
              <w:bidi w:val="0"/>
              <w:rPr>
                <w:b/>
                <w:bCs/>
                <w:color w:val="auto"/>
              </w:rPr>
            </w:pPr>
          </w:p>
        </w:tc>
        <w:tc>
          <w:tcPr>
            <w:tcW w:w="797" w:type="pct"/>
            <w:vMerge w:val="continue"/>
            <w:shd w:val="clear" w:color="auto" w:fill="auto"/>
            <w:vAlign w:val="center"/>
          </w:tcPr>
          <w:p>
            <w:pPr>
              <w:pStyle w:val="182"/>
              <w:bidi w:val="0"/>
              <w:rPr>
                <w:b/>
                <w:bCs/>
                <w:color w:val="auto"/>
              </w:rPr>
            </w:pPr>
          </w:p>
        </w:tc>
        <w:tc>
          <w:tcPr>
            <w:tcW w:w="522" w:type="pct"/>
            <w:shd w:val="clear" w:color="auto" w:fill="auto"/>
            <w:vAlign w:val="center"/>
          </w:tcPr>
          <w:p>
            <w:pPr>
              <w:pStyle w:val="182"/>
              <w:bidi w:val="0"/>
              <w:rPr>
                <w:b/>
                <w:bCs/>
                <w:color w:val="auto"/>
              </w:rPr>
            </w:pPr>
            <w:r>
              <w:rPr>
                <w:b/>
                <w:bCs/>
                <w:color w:val="auto"/>
              </w:rPr>
              <w:t>COD</w:t>
            </w:r>
          </w:p>
        </w:tc>
        <w:tc>
          <w:tcPr>
            <w:tcW w:w="611" w:type="pct"/>
            <w:shd w:val="clear" w:color="auto" w:fill="auto"/>
            <w:vAlign w:val="center"/>
          </w:tcPr>
          <w:p>
            <w:pPr>
              <w:pStyle w:val="182"/>
              <w:bidi w:val="0"/>
              <w:rPr>
                <w:b/>
                <w:bCs/>
                <w:color w:val="auto"/>
              </w:rPr>
            </w:pPr>
            <w:r>
              <w:rPr>
                <w:b/>
                <w:bCs/>
                <w:color w:val="auto"/>
              </w:rPr>
              <w:t>氨氮</w:t>
            </w:r>
          </w:p>
        </w:tc>
        <w:tc>
          <w:tcPr>
            <w:tcW w:w="631" w:type="pct"/>
            <w:shd w:val="clear" w:color="auto" w:fill="auto"/>
            <w:vAlign w:val="center"/>
          </w:tcPr>
          <w:p>
            <w:pPr>
              <w:pStyle w:val="182"/>
              <w:bidi w:val="0"/>
              <w:rPr>
                <w:b/>
                <w:bCs/>
                <w:color w:val="auto"/>
              </w:rPr>
            </w:pPr>
            <w:r>
              <w:rPr>
                <w:b/>
                <w:bCs/>
                <w:color w:val="auto"/>
              </w:rPr>
              <w:t>总磷</w:t>
            </w:r>
          </w:p>
        </w:tc>
        <w:tc>
          <w:tcPr>
            <w:tcW w:w="585" w:type="pct"/>
            <w:shd w:val="clear" w:color="auto" w:fill="auto"/>
            <w:vAlign w:val="center"/>
          </w:tcPr>
          <w:p>
            <w:pPr>
              <w:pStyle w:val="182"/>
              <w:bidi w:val="0"/>
              <w:rPr>
                <w:b/>
                <w:bCs/>
                <w:color w:val="auto"/>
              </w:rPr>
            </w:pPr>
            <w:r>
              <w:rPr>
                <w:b/>
                <w:bCs/>
                <w:color w:val="auto"/>
              </w:rPr>
              <w:t>COD</w:t>
            </w:r>
          </w:p>
        </w:tc>
        <w:tc>
          <w:tcPr>
            <w:tcW w:w="643" w:type="pct"/>
            <w:shd w:val="clear" w:color="auto" w:fill="auto"/>
            <w:vAlign w:val="center"/>
          </w:tcPr>
          <w:p>
            <w:pPr>
              <w:pStyle w:val="182"/>
              <w:bidi w:val="0"/>
              <w:rPr>
                <w:b/>
                <w:bCs/>
                <w:color w:val="auto"/>
              </w:rPr>
            </w:pPr>
            <w:r>
              <w:rPr>
                <w:b/>
                <w:bCs/>
                <w:color w:val="auto"/>
              </w:rPr>
              <w:t>氨氮</w:t>
            </w:r>
          </w:p>
        </w:tc>
        <w:tc>
          <w:tcPr>
            <w:tcW w:w="531" w:type="pct"/>
            <w:shd w:val="clear" w:color="auto" w:fill="auto"/>
            <w:vAlign w:val="center"/>
          </w:tcPr>
          <w:p>
            <w:pPr>
              <w:pStyle w:val="182"/>
              <w:bidi w:val="0"/>
              <w:rPr>
                <w:b/>
                <w:bCs/>
                <w:color w:val="auto"/>
              </w:rPr>
            </w:pPr>
            <w:r>
              <w:rPr>
                <w:b/>
                <w:bCs/>
                <w:color w:val="auto"/>
              </w:rPr>
              <w:t>总磷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restart"/>
            <w:shd w:val="clear" w:color="auto" w:fill="auto"/>
            <w:vAlign w:val="center"/>
          </w:tcPr>
          <w:p>
            <w:pPr>
              <w:pStyle w:val="182"/>
              <w:bidi w:val="0"/>
              <w:rPr>
                <w:color w:val="auto"/>
              </w:rPr>
            </w:pPr>
            <w:r>
              <w:rPr>
                <w:color w:val="auto"/>
              </w:rPr>
              <w:t>水花堡桥断面</w:t>
            </w:r>
          </w:p>
        </w:tc>
        <w:tc>
          <w:tcPr>
            <w:tcW w:w="797" w:type="pct"/>
            <w:shd w:val="clear" w:color="auto" w:fill="auto"/>
            <w:vAlign w:val="center"/>
          </w:tcPr>
          <w:p>
            <w:pPr>
              <w:pStyle w:val="182"/>
              <w:bidi w:val="0"/>
              <w:rPr>
                <w:color w:val="auto"/>
              </w:rPr>
            </w:pPr>
            <w:r>
              <w:rPr>
                <w:color w:val="auto"/>
              </w:rPr>
              <w:t>2021.01</w:t>
            </w:r>
          </w:p>
        </w:tc>
        <w:tc>
          <w:tcPr>
            <w:tcW w:w="522" w:type="pct"/>
            <w:shd w:val="clear" w:color="auto" w:fill="auto"/>
            <w:vAlign w:val="center"/>
          </w:tcPr>
          <w:p>
            <w:pPr>
              <w:pStyle w:val="182"/>
              <w:bidi w:val="0"/>
              <w:rPr>
                <w:color w:val="auto"/>
              </w:rPr>
            </w:pPr>
            <w:r>
              <w:rPr>
                <w:rFonts w:hint="eastAsia"/>
                <w:color w:val="auto"/>
              </w:rPr>
              <w:t>27.25</w:t>
            </w:r>
          </w:p>
        </w:tc>
        <w:tc>
          <w:tcPr>
            <w:tcW w:w="611" w:type="pct"/>
            <w:shd w:val="clear" w:color="auto" w:fill="auto"/>
            <w:vAlign w:val="center"/>
          </w:tcPr>
          <w:p>
            <w:pPr>
              <w:pStyle w:val="182"/>
              <w:bidi w:val="0"/>
              <w:rPr>
                <w:color w:val="auto"/>
              </w:rPr>
            </w:pPr>
            <w:r>
              <w:rPr>
                <w:rFonts w:hint="eastAsia"/>
                <w:color w:val="auto"/>
              </w:rPr>
              <w:t>0.57</w:t>
            </w:r>
          </w:p>
        </w:tc>
        <w:tc>
          <w:tcPr>
            <w:tcW w:w="631" w:type="pct"/>
            <w:shd w:val="clear" w:color="auto" w:fill="auto"/>
            <w:vAlign w:val="center"/>
          </w:tcPr>
          <w:p>
            <w:pPr>
              <w:pStyle w:val="182"/>
              <w:bidi w:val="0"/>
              <w:rPr>
                <w:color w:val="auto"/>
              </w:rPr>
            </w:pPr>
            <w:r>
              <w:rPr>
                <w:rFonts w:hint="eastAsia"/>
                <w:color w:val="auto"/>
              </w:rPr>
              <w:t>0.149</w:t>
            </w:r>
          </w:p>
        </w:tc>
        <w:tc>
          <w:tcPr>
            <w:tcW w:w="585" w:type="pct"/>
            <w:shd w:val="clear" w:color="auto" w:fill="auto"/>
            <w:vAlign w:val="center"/>
          </w:tcPr>
          <w:p>
            <w:pPr>
              <w:pStyle w:val="182"/>
              <w:bidi w:val="0"/>
              <w:rPr>
                <w:color w:val="auto"/>
              </w:rPr>
            </w:pPr>
            <w:r>
              <w:rPr>
                <w:rFonts w:hint="eastAsia"/>
                <w:color w:val="auto"/>
              </w:rPr>
              <w:t>0.91</w:t>
            </w:r>
          </w:p>
        </w:tc>
        <w:tc>
          <w:tcPr>
            <w:tcW w:w="643" w:type="pct"/>
            <w:shd w:val="clear" w:color="auto" w:fill="auto"/>
            <w:vAlign w:val="center"/>
          </w:tcPr>
          <w:p>
            <w:pPr>
              <w:pStyle w:val="182"/>
              <w:bidi w:val="0"/>
              <w:rPr>
                <w:color w:val="auto"/>
              </w:rPr>
            </w:pPr>
            <w:r>
              <w:rPr>
                <w:rFonts w:hint="eastAsia"/>
                <w:color w:val="auto"/>
              </w:rPr>
              <w:t>0.38</w:t>
            </w:r>
          </w:p>
        </w:tc>
        <w:tc>
          <w:tcPr>
            <w:tcW w:w="531" w:type="pct"/>
            <w:shd w:val="clear" w:color="auto" w:fill="auto"/>
            <w:vAlign w:val="center"/>
          </w:tcPr>
          <w:p>
            <w:pPr>
              <w:pStyle w:val="182"/>
              <w:bidi w:val="0"/>
              <w:rPr>
                <w:color w:val="auto"/>
              </w:rPr>
            </w:pPr>
            <w:r>
              <w:rPr>
                <w:rFonts w:hint="eastAsia"/>
                <w:color w:val="auto"/>
              </w:rPr>
              <w:t>0.50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2021.02</w:t>
            </w:r>
          </w:p>
        </w:tc>
        <w:tc>
          <w:tcPr>
            <w:tcW w:w="522" w:type="pct"/>
            <w:shd w:val="clear" w:color="auto" w:fill="auto"/>
            <w:vAlign w:val="center"/>
          </w:tcPr>
          <w:p>
            <w:pPr>
              <w:pStyle w:val="182"/>
              <w:bidi w:val="0"/>
              <w:rPr>
                <w:color w:val="auto"/>
              </w:rPr>
            </w:pPr>
            <w:r>
              <w:rPr>
                <w:rFonts w:hint="eastAsia"/>
                <w:color w:val="auto"/>
              </w:rPr>
              <w:t>23.36</w:t>
            </w:r>
          </w:p>
        </w:tc>
        <w:tc>
          <w:tcPr>
            <w:tcW w:w="611" w:type="pct"/>
            <w:shd w:val="clear" w:color="auto" w:fill="auto"/>
            <w:vAlign w:val="center"/>
          </w:tcPr>
          <w:p>
            <w:pPr>
              <w:pStyle w:val="182"/>
              <w:bidi w:val="0"/>
              <w:rPr>
                <w:color w:val="auto"/>
              </w:rPr>
            </w:pPr>
            <w:r>
              <w:rPr>
                <w:rFonts w:hint="eastAsia"/>
                <w:color w:val="auto"/>
              </w:rPr>
              <w:t>1.29</w:t>
            </w:r>
          </w:p>
        </w:tc>
        <w:tc>
          <w:tcPr>
            <w:tcW w:w="631" w:type="pct"/>
            <w:shd w:val="clear" w:color="auto" w:fill="auto"/>
            <w:vAlign w:val="center"/>
          </w:tcPr>
          <w:p>
            <w:pPr>
              <w:pStyle w:val="182"/>
              <w:bidi w:val="0"/>
              <w:rPr>
                <w:color w:val="auto"/>
              </w:rPr>
            </w:pPr>
            <w:r>
              <w:rPr>
                <w:rFonts w:hint="eastAsia"/>
                <w:color w:val="auto"/>
              </w:rPr>
              <w:t>0.104</w:t>
            </w:r>
          </w:p>
        </w:tc>
        <w:tc>
          <w:tcPr>
            <w:tcW w:w="585" w:type="pct"/>
            <w:shd w:val="clear" w:color="auto" w:fill="auto"/>
            <w:vAlign w:val="center"/>
          </w:tcPr>
          <w:p>
            <w:pPr>
              <w:pStyle w:val="182"/>
              <w:bidi w:val="0"/>
              <w:rPr>
                <w:color w:val="auto"/>
              </w:rPr>
            </w:pPr>
            <w:r>
              <w:rPr>
                <w:rFonts w:hint="eastAsia"/>
                <w:color w:val="auto"/>
              </w:rPr>
              <w:t>0.78</w:t>
            </w:r>
          </w:p>
        </w:tc>
        <w:tc>
          <w:tcPr>
            <w:tcW w:w="643" w:type="pct"/>
            <w:shd w:val="clear" w:color="auto" w:fill="auto"/>
            <w:vAlign w:val="center"/>
          </w:tcPr>
          <w:p>
            <w:pPr>
              <w:pStyle w:val="182"/>
              <w:bidi w:val="0"/>
              <w:rPr>
                <w:color w:val="auto"/>
              </w:rPr>
            </w:pPr>
            <w:r>
              <w:rPr>
                <w:rFonts w:hint="eastAsia"/>
                <w:color w:val="auto"/>
              </w:rPr>
              <w:t>0.86</w:t>
            </w:r>
          </w:p>
        </w:tc>
        <w:tc>
          <w:tcPr>
            <w:tcW w:w="531" w:type="pct"/>
            <w:shd w:val="clear" w:color="auto" w:fill="auto"/>
            <w:vAlign w:val="center"/>
          </w:tcPr>
          <w:p>
            <w:pPr>
              <w:pStyle w:val="182"/>
              <w:bidi w:val="0"/>
              <w:rPr>
                <w:color w:val="auto"/>
              </w:rPr>
            </w:pPr>
            <w:r>
              <w:rPr>
                <w:rFonts w:hint="eastAsia"/>
                <w:color w:val="auto"/>
              </w:rPr>
              <w:t>0.35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2021.03</w:t>
            </w:r>
          </w:p>
        </w:tc>
        <w:tc>
          <w:tcPr>
            <w:tcW w:w="522" w:type="pct"/>
            <w:shd w:val="clear" w:color="auto" w:fill="auto"/>
            <w:vAlign w:val="center"/>
          </w:tcPr>
          <w:p>
            <w:pPr>
              <w:pStyle w:val="182"/>
              <w:bidi w:val="0"/>
              <w:rPr>
                <w:color w:val="auto"/>
              </w:rPr>
            </w:pPr>
            <w:r>
              <w:rPr>
                <w:rFonts w:hint="eastAsia"/>
                <w:color w:val="auto"/>
              </w:rPr>
              <w:t>25.30</w:t>
            </w:r>
          </w:p>
        </w:tc>
        <w:tc>
          <w:tcPr>
            <w:tcW w:w="611" w:type="pct"/>
            <w:shd w:val="clear" w:color="auto" w:fill="auto"/>
            <w:vAlign w:val="center"/>
          </w:tcPr>
          <w:p>
            <w:pPr>
              <w:pStyle w:val="182"/>
              <w:bidi w:val="0"/>
              <w:rPr>
                <w:color w:val="auto"/>
              </w:rPr>
            </w:pPr>
            <w:r>
              <w:rPr>
                <w:rFonts w:hint="eastAsia"/>
                <w:color w:val="auto"/>
              </w:rPr>
              <w:t>0.36</w:t>
            </w:r>
          </w:p>
        </w:tc>
        <w:tc>
          <w:tcPr>
            <w:tcW w:w="631" w:type="pct"/>
            <w:shd w:val="clear" w:color="auto" w:fill="auto"/>
            <w:vAlign w:val="center"/>
          </w:tcPr>
          <w:p>
            <w:pPr>
              <w:pStyle w:val="182"/>
              <w:bidi w:val="0"/>
              <w:rPr>
                <w:color w:val="auto"/>
              </w:rPr>
            </w:pPr>
            <w:r>
              <w:rPr>
                <w:rFonts w:hint="eastAsia"/>
                <w:color w:val="auto"/>
              </w:rPr>
              <w:t>0.088</w:t>
            </w:r>
          </w:p>
        </w:tc>
        <w:tc>
          <w:tcPr>
            <w:tcW w:w="585" w:type="pct"/>
            <w:shd w:val="clear" w:color="auto" w:fill="auto"/>
            <w:vAlign w:val="center"/>
          </w:tcPr>
          <w:p>
            <w:pPr>
              <w:pStyle w:val="182"/>
              <w:bidi w:val="0"/>
              <w:rPr>
                <w:color w:val="auto"/>
              </w:rPr>
            </w:pPr>
            <w:r>
              <w:rPr>
                <w:rFonts w:hint="eastAsia"/>
                <w:color w:val="auto"/>
              </w:rPr>
              <w:t>0.84</w:t>
            </w:r>
          </w:p>
        </w:tc>
        <w:tc>
          <w:tcPr>
            <w:tcW w:w="643" w:type="pct"/>
            <w:shd w:val="clear" w:color="auto" w:fill="auto"/>
            <w:vAlign w:val="center"/>
          </w:tcPr>
          <w:p>
            <w:pPr>
              <w:pStyle w:val="182"/>
              <w:bidi w:val="0"/>
              <w:rPr>
                <w:color w:val="auto"/>
              </w:rPr>
            </w:pPr>
            <w:r>
              <w:rPr>
                <w:rFonts w:hint="eastAsia"/>
                <w:color w:val="auto"/>
              </w:rPr>
              <w:t>0.24</w:t>
            </w:r>
          </w:p>
        </w:tc>
        <w:tc>
          <w:tcPr>
            <w:tcW w:w="531" w:type="pct"/>
            <w:shd w:val="clear" w:color="auto" w:fill="auto"/>
            <w:vAlign w:val="center"/>
          </w:tcPr>
          <w:p>
            <w:pPr>
              <w:pStyle w:val="182"/>
              <w:bidi w:val="0"/>
              <w:rPr>
                <w:color w:val="auto"/>
              </w:rPr>
            </w:pPr>
            <w:r>
              <w:rPr>
                <w:rFonts w:hint="eastAsia"/>
                <w:color w:val="auto"/>
              </w:rPr>
              <w:t>0.29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2021.04</w:t>
            </w:r>
          </w:p>
        </w:tc>
        <w:tc>
          <w:tcPr>
            <w:tcW w:w="522" w:type="pct"/>
            <w:shd w:val="clear" w:color="auto" w:fill="auto"/>
            <w:vAlign w:val="center"/>
          </w:tcPr>
          <w:p>
            <w:pPr>
              <w:pStyle w:val="182"/>
              <w:bidi w:val="0"/>
              <w:rPr>
                <w:color w:val="auto"/>
              </w:rPr>
            </w:pPr>
            <w:r>
              <w:rPr>
                <w:rFonts w:hint="eastAsia"/>
                <w:color w:val="auto"/>
              </w:rPr>
              <w:t>26.52</w:t>
            </w:r>
          </w:p>
        </w:tc>
        <w:tc>
          <w:tcPr>
            <w:tcW w:w="611" w:type="pct"/>
            <w:shd w:val="clear" w:color="auto" w:fill="auto"/>
            <w:vAlign w:val="center"/>
          </w:tcPr>
          <w:p>
            <w:pPr>
              <w:pStyle w:val="182"/>
              <w:bidi w:val="0"/>
              <w:rPr>
                <w:color w:val="auto"/>
              </w:rPr>
            </w:pPr>
            <w:r>
              <w:rPr>
                <w:rFonts w:hint="eastAsia"/>
                <w:color w:val="auto"/>
              </w:rPr>
              <w:t>0.31</w:t>
            </w:r>
          </w:p>
        </w:tc>
        <w:tc>
          <w:tcPr>
            <w:tcW w:w="631" w:type="pct"/>
            <w:shd w:val="clear" w:color="auto" w:fill="auto"/>
            <w:vAlign w:val="center"/>
          </w:tcPr>
          <w:p>
            <w:pPr>
              <w:pStyle w:val="182"/>
              <w:bidi w:val="0"/>
              <w:rPr>
                <w:color w:val="auto"/>
              </w:rPr>
            </w:pPr>
            <w:r>
              <w:rPr>
                <w:rFonts w:hint="eastAsia"/>
                <w:color w:val="auto"/>
              </w:rPr>
              <w:t>0.103</w:t>
            </w:r>
          </w:p>
        </w:tc>
        <w:tc>
          <w:tcPr>
            <w:tcW w:w="585" w:type="pct"/>
            <w:shd w:val="clear" w:color="auto" w:fill="auto"/>
            <w:vAlign w:val="center"/>
          </w:tcPr>
          <w:p>
            <w:pPr>
              <w:pStyle w:val="182"/>
              <w:bidi w:val="0"/>
              <w:rPr>
                <w:color w:val="auto"/>
              </w:rPr>
            </w:pPr>
            <w:r>
              <w:rPr>
                <w:rFonts w:hint="eastAsia"/>
                <w:color w:val="auto"/>
              </w:rPr>
              <w:t>0.88</w:t>
            </w:r>
          </w:p>
        </w:tc>
        <w:tc>
          <w:tcPr>
            <w:tcW w:w="643" w:type="pct"/>
            <w:shd w:val="clear" w:color="auto" w:fill="auto"/>
            <w:vAlign w:val="center"/>
          </w:tcPr>
          <w:p>
            <w:pPr>
              <w:pStyle w:val="182"/>
              <w:bidi w:val="0"/>
              <w:rPr>
                <w:color w:val="auto"/>
              </w:rPr>
            </w:pPr>
            <w:r>
              <w:rPr>
                <w:rFonts w:hint="eastAsia"/>
                <w:color w:val="auto"/>
              </w:rPr>
              <w:t>0.21</w:t>
            </w:r>
          </w:p>
        </w:tc>
        <w:tc>
          <w:tcPr>
            <w:tcW w:w="531" w:type="pct"/>
            <w:shd w:val="clear" w:color="auto" w:fill="auto"/>
            <w:vAlign w:val="center"/>
          </w:tcPr>
          <w:p>
            <w:pPr>
              <w:pStyle w:val="182"/>
              <w:bidi w:val="0"/>
              <w:rPr>
                <w:color w:val="auto"/>
              </w:rPr>
            </w:pPr>
            <w:r>
              <w:rPr>
                <w:rFonts w:hint="eastAsia"/>
                <w:color w:val="auto"/>
              </w:rPr>
              <w:t>0.34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2021.05</w:t>
            </w:r>
          </w:p>
        </w:tc>
        <w:tc>
          <w:tcPr>
            <w:tcW w:w="522" w:type="pct"/>
            <w:shd w:val="clear" w:color="auto" w:fill="auto"/>
            <w:vAlign w:val="center"/>
          </w:tcPr>
          <w:p>
            <w:pPr>
              <w:pStyle w:val="182"/>
              <w:bidi w:val="0"/>
              <w:rPr>
                <w:color w:val="auto"/>
              </w:rPr>
            </w:pPr>
            <w:r>
              <w:rPr>
                <w:rFonts w:hint="eastAsia"/>
                <w:color w:val="auto"/>
              </w:rPr>
              <w:t>27.16</w:t>
            </w:r>
          </w:p>
        </w:tc>
        <w:tc>
          <w:tcPr>
            <w:tcW w:w="611" w:type="pct"/>
            <w:shd w:val="clear" w:color="auto" w:fill="auto"/>
            <w:vAlign w:val="center"/>
          </w:tcPr>
          <w:p>
            <w:pPr>
              <w:pStyle w:val="182"/>
              <w:bidi w:val="0"/>
              <w:rPr>
                <w:color w:val="auto"/>
              </w:rPr>
            </w:pPr>
            <w:r>
              <w:rPr>
                <w:rFonts w:hint="eastAsia"/>
                <w:color w:val="auto"/>
              </w:rPr>
              <w:t>0.35</w:t>
            </w:r>
          </w:p>
        </w:tc>
        <w:tc>
          <w:tcPr>
            <w:tcW w:w="631" w:type="pct"/>
            <w:shd w:val="clear" w:color="auto" w:fill="auto"/>
            <w:vAlign w:val="center"/>
          </w:tcPr>
          <w:p>
            <w:pPr>
              <w:pStyle w:val="182"/>
              <w:bidi w:val="0"/>
              <w:rPr>
                <w:color w:val="auto"/>
              </w:rPr>
            </w:pPr>
            <w:r>
              <w:rPr>
                <w:rFonts w:hint="eastAsia"/>
                <w:color w:val="auto"/>
              </w:rPr>
              <w:t>0.117</w:t>
            </w:r>
          </w:p>
        </w:tc>
        <w:tc>
          <w:tcPr>
            <w:tcW w:w="585" w:type="pct"/>
            <w:shd w:val="clear" w:color="auto" w:fill="auto"/>
            <w:vAlign w:val="center"/>
          </w:tcPr>
          <w:p>
            <w:pPr>
              <w:pStyle w:val="182"/>
              <w:bidi w:val="0"/>
              <w:rPr>
                <w:color w:val="auto"/>
              </w:rPr>
            </w:pPr>
            <w:r>
              <w:rPr>
                <w:rFonts w:hint="eastAsia"/>
                <w:color w:val="auto"/>
              </w:rPr>
              <w:t>0.91</w:t>
            </w:r>
          </w:p>
        </w:tc>
        <w:tc>
          <w:tcPr>
            <w:tcW w:w="643" w:type="pct"/>
            <w:shd w:val="clear" w:color="auto" w:fill="auto"/>
            <w:vAlign w:val="center"/>
          </w:tcPr>
          <w:p>
            <w:pPr>
              <w:pStyle w:val="182"/>
              <w:bidi w:val="0"/>
              <w:rPr>
                <w:color w:val="auto"/>
              </w:rPr>
            </w:pPr>
            <w:r>
              <w:rPr>
                <w:rFonts w:hint="eastAsia"/>
                <w:color w:val="auto"/>
              </w:rPr>
              <w:t>0.23</w:t>
            </w:r>
          </w:p>
        </w:tc>
        <w:tc>
          <w:tcPr>
            <w:tcW w:w="531" w:type="pct"/>
            <w:shd w:val="clear" w:color="auto" w:fill="auto"/>
            <w:vAlign w:val="center"/>
          </w:tcPr>
          <w:p>
            <w:pPr>
              <w:pStyle w:val="182"/>
              <w:bidi w:val="0"/>
              <w:rPr>
                <w:color w:val="auto"/>
              </w:rPr>
            </w:pPr>
            <w:r>
              <w:rPr>
                <w:rFonts w:hint="eastAsia"/>
                <w:color w:val="auto"/>
              </w:rPr>
              <w:t>0.39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2021.06</w:t>
            </w:r>
          </w:p>
        </w:tc>
        <w:tc>
          <w:tcPr>
            <w:tcW w:w="522" w:type="pct"/>
            <w:shd w:val="clear" w:color="auto" w:fill="auto"/>
            <w:vAlign w:val="center"/>
          </w:tcPr>
          <w:p>
            <w:pPr>
              <w:pStyle w:val="182"/>
              <w:bidi w:val="0"/>
              <w:rPr>
                <w:color w:val="auto"/>
              </w:rPr>
            </w:pPr>
            <w:r>
              <w:rPr>
                <w:rFonts w:hint="eastAsia"/>
                <w:color w:val="auto"/>
              </w:rPr>
              <w:t>31.93</w:t>
            </w:r>
          </w:p>
        </w:tc>
        <w:tc>
          <w:tcPr>
            <w:tcW w:w="611" w:type="pct"/>
            <w:shd w:val="clear" w:color="auto" w:fill="auto"/>
            <w:vAlign w:val="center"/>
          </w:tcPr>
          <w:p>
            <w:pPr>
              <w:pStyle w:val="182"/>
              <w:bidi w:val="0"/>
              <w:rPr>
                <w:color w:val="auto"/>
              </w:rPr>
            </w:pPr>
            <w:r>
              <w:rPr>
                <w:rFonts w:hint="eastAsia"/>
                <w:color w:val="auto"/>
              </w:rPr>
              <w:t>0.38</w:t>
            </w:r>
          </w:p>
        </w:tc>
        <w:tc>
          <w:tcPr>
            <w:tcW w:w="631" w:type="pct"/>
            <w:shd w:val="clear" w:color="auto" w:fill="auto"/>
            <w:vAlign w:val="center"/>
          </w:tcPr>
          <w:p>
            <w:pPr>
              <w:pStyle w:val="182"/>
              <w:bidi w:val="0"/>
              <w:rPr>
                <w:color w:val="auto"/>
              </w:rPr>
            </w:pPr>
            <w:r>
              <w:rPr>
                <w:rFonts w:hint="eastAsia"/>
                <w:color w:val="auto"/>
              </w:rPr>
              <w:t>0.162</w:t>
            </w:r>
          </w:p>
        </w:tc>
        <w:tc>
          <w:tcPr>
            <w:tcW w:w="585" w:type="pct"/>
            <w:shd w:val="clear" w:color="auto" w:fill="auto"/>
            <w:vAlign w:val="center"/>
          </w:tcPr>
          <w:p>
            <w:pPr>
              <w:pStyle w:val="182"/>
              <w:bidi w:val="0"/>
              <w:rPr>
                <w:color w:val="auto"/>
              </w:rPr>
            </w:pPr>
            <w:r>
              <w:rPr>
                <w:rFonts w:hint="eastAsia"/>
                <w:color w:val="auto"/>
              </w:rPr>
              <w:t>1.06</w:t>
            </w:r>
          </w:p>
        </w:tc>
        <w:tc>
          <w:tcPr>
            <w:tcW w:w="643" w:type="pct"/>
            <w:shd w:val="clear" w:color="auto" w:fill="auto"/>
            <w:vAlign w:val="center"/>
          </w:tcPr>
          <w:p>
            <w:pPr>
              <w:pStyle w:val="182"/>
              <w:bidi w:val="0"/>
              <w:rPr>
                <w:color w:val="auto"/>
              </w:rPr>
            </w:pPr>
            <w:r>
              <w:rPr>
                <w:rFonts w:hint="eastAsia"/>
                <w:color w:val="auto"/>
              </w:rPr>
              <w:t>0.25</w:t>
            </w:r>
          </w:p>
        </w:tc>
        <w:tc>
          <w:tcPr>
            <w:tcW w:w="531" w:type="pct"/>
            <w:shd w:val="clear" w:color="auto" w:fill="auto"/>
            <w:vAlign w:val="center"/>
          </w:tcPr>
          <w:p>
            <w:pPr>
              <w:pStyle w:val="182"/>
              <w:bidi w:val="0"/>
              <w:rPr>
                <w:color w:val="auto"/>
              </w:rPr>
            </w:pPr>
            <w:r>
              <w:rPr>
                <w:rFonts w:hint="eastAsia"/>
                <w:color w:val="auto"/>
              </w:rPr>
              <w:t>0.54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2021.07</w:t>
            </w:r>
          </w:p>
        </w:tc>
        <w:tc>
          <w:tcPr>
            <w:tcW w:w="522" w:type="pct"/>
            <w:shd w:val="clear" w:color="auto" w:fill="auto"/>
            <w:vAlign w:val="center"/>
          </w:tcPr>
          <w:p>
            <w:pPr>
              <w:pStyle w:val="182"/>
              <w:bidi w:val="0"/>
              <w:rPr>
                <w:color w:val="auto"/>
              </w:rPr>
            </w:pPr>
            <w:r>
              <w:rPr>
                <w:rFonts w:hint="eastAsia"/>
                <w:color w:val="auto"/>
              </w:rPr>
              <w:t>31.79</w:t>
            </w:r>
          </w:p>
        </w:tc>
        <w:tc>
          <w:tcPr>
            <w:tcW w:w="611" w:type="pct"/>
            <w:shd w:val="clear" w:color="auto" w:fill="auto"/>
            <w:vAlign w:val="center"/>
          </w:tcPr>
          <w:p>
            <w:pPr>
              <w:pStyle w:val="182"/>
              <w:bidi w:val="0"/>
              <w:rPr>
                <w:color w:val="auto"/>
              </w:rPr>
            </w:pPr>
            <w:r>
              <w:rPr>
                <w:rFonts w:hint="eastAsia"/>
                <w:color w:val="auto"/>
              </w:rPr>
              <w:t>1.03</w:t>
            </w:r>
          </w:p>
        </w:tc>
        <w:tc>
          <w:tcPr>
            <w:tcW w:w="631" w:type="pct"/>
            <w:shd w:val="clear" w:color="auto" w:fill="auto"/>
            <w:vAlign w:val="center"/>
          </w:tcPr>
          <w:p>
            <w:pPr>
              <w:pStyle w:val="182"/>
              <w:bidi w:val="0"/>
              <w:rPr>
                <w:color w:val="auto"/>
              </w:rPr>
            </w:pPr>
            <w:r>
              <w:rPr>
                <w:rFonts w:hint="eastAsia"/>
                <w:color w:val="auto"/>
              </w:rPr>
              <w:t>0.251</w:t>
            </w:r>
          </w:p>
        </w:tc>
        <w:tc>
          <w:tcPr>
            <w:tcW w:w="585" w:type="pct"/>
            <w:shd w:val="clear" w:color="auto" w:fill="auto"/>
            <w:vAlign w:val="center"/>
          </w:tcPr>
          <w:p>
            <w:pPr>
              <w:pStyle w:val="182"/>
              <w:bidi w:val="0"/>
              <w:rPr>
                <w:color w:val="auto"/>
              </w:rPr>
            </w:pPr>
            <w:r>
              <w:rPr>
                <w:rFonts w:hint="eastAsia"/>
                <w:color w:val="auto"/>
              </w:rPr>
              <w:t>1.06</w:t>
            </w:r>
          </w:p>
        </w:tc>
        <w:tc>
          <w:tcPr>
            <w:tcW w:w="643" w:type="pct"/>
            <w:shd w:val="clear" w:color="auto" w:fill="auto"/>
            <w:vAlign w:val="center"/>
          </w:tcPr>
          <w:p>
            <w:pPr>
              <w:pStyle w:val="182"/>
              <w:bidi w:val="0"/>
              <w:rPr>
                <w:color w:val="auto"/>
              </w:rPr>
            </w:pPr>
            <w:r>
              <w:rPr>
                <w:rFonts w:hint="eastAsia"/>
                <w:color w:val="auto"/>
              </w:rPr>
              <w:t>0.69</w:t>
            </w:r>
          </w:p>
        </w:tc>
        <w:tc>
          <w:tcPr>
            <w:tcW w:w="531" w:type="pct"/>
            <w:shd w:val="clear" w:color="auto" w:fill="auto"/>
            <w:vAlign w:val="center"/>
          </w:tcPr>
          <w:p>
            <w:pPr>
              <w:pStyle w:val="182"/>
              <w:bidi w:val="0"/>
              <w:rPr>
                <w:color w:val="auto"/>
              </w:rPr>
            </w:pPr>
            <w:r>
              <w:rPr>
                <w:rFonts w:hint="eastAsia"/>
                <w:color w:val="auto"/>
              </w:rPr>
              <w:t>0.84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2021.08</w:t>
            </w:r>
          </w:p>
        </w:tc>
        <w:tc>
          <w:tcPr>
            <w:tcW w:w="522" w:type="pct"/>
            <w:shd w:val="clear" w:color="auto" w:fill="auto"/>
            <w:vAlign w:val="center"/>
          </w:tcPr>
          <w:p>
            <w:pPr>
              <w:pStyle w:val="182"/>
              <w:bidi w:val="0"/>
              <w:rPr>
                <w:color w:val="auto"/>
              </w:rPr>
            </w:pPr>
            <w:r>
              <w:rPr>
                <w:rFonts w:hint="eastAsia"/>
                <w:color w:val="auto"/>
              </w:rPr>
              <w:t>36.25</w:t>
            </w:r>
          </w:p>
        </w:tc>
        <w:tc>
          <w:tcPr>
            <w:tcW w:w="611" w:type="pct"/>
            <w:shd w:val="clear" w:color="auto" w:fill="auto"/>
            <w:vAlign w:val="center"/>
          </w:tcPr>
          <w:p>
            <w:pPr>
              <w:pStyle w:val="182"/>
              <w:bidi w:val="0"/>
              <w:rPr>
                <w:color w:val="auto"/>
              </w:rPr>
            </w:pPr>
            <w:r>
              <w:rPr>
                <w:rFonts w:hint="eastAsia"/>
                <w:color w:val="auto"/>
              </w:rPr>
              <w:t>1.16</w:t>
            </w:r>
          </w:p>
        </w:tc>
        <w:tc>
          <w:tcPr>
            <w:tcW w:w="631" w:type="pct"/>
            <w:shd w:val="clear" w:color="auto" w:fill="auto"/>
            <w:vAlign w:val="center"/>
          </w:tcPr>
          <w:p>
            <w:pPr>
              <w:pStyle w:val="182"/>
              <w:bidi w:val="0"/>
              <w:rPr>
                <w:color w:val="auto"/>
              </w:rPr>
            </w:pPr>
            <w:r>
              <w:rPr>
                <w:rFonts w:hint="eastAsia"/>
                <w:color w:val="auto"/>
              </w:rPr>
              <w:t>0.267</w:t>
            </w:r>
          </w:p>
        </w:tc>
        <w:tc>
          <w:tcPr>
            <w:tcW w:w="585" w:type="pct"/>
            <w:shd w:val="clear" w:color="auto" w:fill="auto"/>
            <w:vAlign w:val="center"/>
          </w:tcPr>
          <w:p>
            <w:pPr>
              <w:pStyle w:val="182"/>
              <w:bidi w:val="0"/>
              <w:rPr>
                <w:color w:val="auto"/>
              </w:rPr>
            </w:pPr>
            <w:r>
              <w:rPr>
                <w:rFonts w:hint="eastAsia"/>
                <w:color w:val="auto"/>
              </w:rPr>
              <w:t>1.21</w:t>
            </w:r>
          </w:p>
        </w:tc>
        <w:tc>
          <w:tcPr>
            <w:tcW w:w="643" w:type="pct"/>
            <w:shd w:val="clear" w:color="auto" w:fill="auto"/>
            <w:vAlign w:val="center"/>
          </w:tcPr>
          <w:p>
            <w:pPr>
              <w:pStyle w:val="182"/>
              <w:bidi w:val="0"/>
              <w:rPr>
                <w:color w:val="auto"/>
              </w:rPr>
            </w:pPr>
            <w:r>
              <w:rPr>
                <w:rFonts w:hint="eastAsia"/>
                <w:color w:val="auto"/>
              </w:rPr>
              <w:t>0.77</w:t>
            </w:r>
          </w:p>
        </w:tc>
        <w:tc>
          <w:tcPr>
            <w:tcW w:w="531" w:type="pct"/>
            <w:shd w:val="clear" w:color="auto" w:fill="auto"/>
            <w:vAlign w:val="center"/>
          </w:tcPr>
          <w:p>
            <w:pPr>
              <w:pStyle w:val="182"/>
              <w:bidi w:val="0"/>
              <w:rPr>
                <w:color w:val="auto"/>
              </w:rPr>
            </w:pPr>
            <w:r>
              <w:rPr>
                <w:rFonts w:hint="eastAsia"/>
                <w:color w:val="auto"/>
              </w:rPr>
              <w:t>0.89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2021.09</w:t>
            </w:r>
          </w:p>
        </w:tc>
        <w:tc>
          <w:tcPr>
            <w:tcW w:w="522" w:type="pct"/>
            <w:shd w:val="clear" w:color="auto" w:fill="auto"/>
            <w:vAlign w:val="center"/>
          </w:tcPr>
          <w:p>
            <w:pPr>
              <w:pStyle w:val="182"/>
              <w:bidi w:val="0"/>
              <w:rPr>
                <w:color w:val="auto"/>
              </w:rPr>
            </w:pPr>
            <w:r>
              <w:rPr>
                <w:rFonts w:hint="eastAsia"/>
                <w:color w:val="auto"/>
              </w:rPr>
              <w:t>27.10</w:t>
            </w:r>
          </w:p>
        </w:tc>
        <w:tc>
          <w:tcPr>
            <w:tcW w:w="611" w:type="pct"/>
            <w:shd w:val="clear" w:color="auto" w:fill="auto"/>
            <w:vAlign w:val="center"/>
          </w:tcPr>
          <w:p>
            <w:pPr>
              <w:pStyle w:val="182"/>
              <w:bidi w:val="0"/>
              <w:rPr>
                <w:color w:val="auto"/>
              </w:rPr>
            </w:pPr>
            <w:r>
              <w:rPr>
                <w:rFonts w:hint="eastAsia"/>
                <w:color w:val="auto"/>
              </w:rPr>
              <w:t>1.19</w:t>
            </w:r>
          </w:p>
        </w:tc>
        <w:tc>
          <w:tcPr>
            <w:tcW w:w="631" w:type="pct"/>
            <w:shd w:val="clear" w:color="auto" w:fill="auto"/>
            <w:vAlign w:val="center"/>
          </w:tcPr>
          <w:p>
            <w:pPr>
              <w:pStyle w:val="182"/>
              <w:bidi w:val="0"/>
              <w:rPr>
                <w:color w:val="auto"/>
              </w:rPr>
            </w:pPr>
            <w:r>
              <w:rPr>
                <w:rFonts w:hint="eastAsia"/>
                <w:color w:val="auto"/>
              </w:rPr>
              <w:t>0.285</w:t>
            </w:r>
          </w:p>
        </w:tc>
        <w:tc>
          <w:tcPr>
            <w:tcW w:w="585" w:type="pct"/>
            <w:shd w:val="clear" w:color="auto" w:fill="auto"/>
            <w:vAlign w:val="center"/>
          </w:tcPr>
          <w:p>
            <w:pPr>
              <w:pStyle w:val="182"/>
              <w:bidi w:val="0"/>
              <w:rPr>
                <w:color w:val="auto"/>
              </w:rPr>
            </w:pPr>
            <w:r>
              <w:rPr>
                <w:rFonts w:hint="eastAsia"/>
                <w:color w:val="auto"/>
              </w:rPr>
              <w:t>0.90</w:t>
            </w:r>
          </w:p>
        </w:tc>
        <w:tc>
          <w:tcPr>
            <w:tcW w:w="643" w:type="pct"/>
            <w:shd w:val="clear" w:color="auto" w:fill="auto"/>
            <w:vAlign w:val="center"/>
          </w:tcPr>
          <w:p>
            <w:pPr>
              <w:pStyle w:val="182"/>
              <w:bidi w:val="0"/>
              <w:rPr>
                <w:color w:val="auto"/>
              </w:rPr>
            </w:pPr>
            <w:r>
              <w:rPr>
                <w:rFonts w:hint="eastAsia"/>
                <w:color w:val="auto"/>
              </w:rPr>
              <w:t>0.79</w:t>
            </w:r>
          </w:p>
        </w:tc>
        <w:tc>
          <w:tcPr>
            <w:tcW w:w="531" w:type="pct"/>
            <w:shd w:val="clear" w:color="auto" w:fill="auto"/>
            <w:vAlign w:val="center"/>
          </w:tcPr>
          <w:p>
            <w:pPr>
              <w:pStyle w:val="182"/>
              <w:bidi w:val="0"/>
              <w:rPr>
                <w:color w:val="auto"/>
              </w:rPr>
            </w:pPr>
            <w:r>
              <w:rPr>
                <w:rFonts w:hint="eastAsia"/>
                <w:color w:val="auto"/>
              </w:rPr>
              <w:t>0.95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2021.10</w:t>
            </w:r>
          </w:p>
        </w:tc>
        <w:tc>
          <w:tcPr>
            <w:tcW w:w="522" w:type="pct"/>
            <w:shd w:val="clear" w:color="auto" w:fill="auto"/>
            <w:vAlign w:val="center"/>
          </w:tcPr>
          <w:p>
            <w:pPr>
              <w:pStyle w:val="182"/>
              <w:bidi w:val="0"/>
              <w:rPr>
                <w:color w:val="auto"/>
              </w:rPr>
            </w:pPr>
            <w:r>
              <w:rPr>
                <w:rFonts w:hint="eastAsia"/>
                <w:color w:val="auto"/>
              </w:rPr>
              <w:t>27.92</w:t>
            </w:r>
          </w:p>
        </w:tc>
        <w:tc>
          <w:tcPr>
            <w:tcW w:w="611" w:type="pct"/>
            <w:shd w:val="clear" w:color="auto" w:fill="auto"/>
            <w:vAlign w:val="center"/>
          </w:tcPr>
          <w:p>
            <w:pPr>
              <w:pStyle w:val="182"/>
              <w:bidi w:val="0"/>
              <w:rPr>
                <w:color w:val="auto"/>
              </w:rPr>
            </w:pPr>
            <w:r>
              <w:rPr>
                <w:rFonts w:hint="eastAsia"/>
                <w:color w:val="auto"/>
              </w:rPr>
              <w:t>0.53</w:t>
            </w:r>
          </w:p>
        </w:tc>
        <w:tc>
          <w:tcPr>
            <w:tcW w:w="631" w:type="pct"/>
            <w:shd w:val="clear" w:color="auto" w:fill="auto"/>
            <w:vAlign w:val="center"/>
          </w:tcPr>
          <w:p>
            <w:pPr>
              <w:pStyle w:val="182"/>
              <w:bidi w:val="0"/>
              <w:rPr>
                <w:color w:val="auto"/>
              </w:rPr>
            </w:pPr>
            <w:r>
              <w:rPr>
                <w:rFonts w:hint="eastAsia"/>
                <w:color w:val="auto"/>
              </w:rPr>
              <w:t>0.248</w:t>
            </w:r>
          </w:p>
        </w:tc>
        <w:tc>
          <w:tcPr>
            <w:tcW w:w="585" w:type="pct"/>
            <w:shd w:val="clear" w:color="auto" w:fill="auto"/>
            <w:vAlign w:val="center"/>
          </w:tcPr>
          <w:p>
            <w:pPr>
              <w:pStyle w:val="182"/>
              <w:bidi w:val="0"/>
              <w:rPr>
                <w:color w:val="auto"/>
              </w:rPr>
            </w:pPr>
            <w:r>
              <w:rPr>
                <w:rFonts w:hint="eastAsia"/>
                <w:color w:val="auto"/>
              </w:rPr>
              <w:t>0.93</w:t>
            </w:r>
          </w:p>
        </w:tc>
        <w:tc>
          <w:tcPr>
            <w:tcW w:w="643" w:type="pct"/>
            <w:shd w:val="clear" w:color="auto" w:fill="auto"/>
            <w:vAlign w:val="center"/>
          </w:tcPr>
          <w:p>
            <w:pPr>
              <w:pStyle w:val="182"/>
              <w:bidi w:val="0"/>
              <w:rPr>
                <w:color w:val="auto"/>
              </w:rPr>
            </w:pPr>
            <w:r>
              <w:rPr>
                <w:rFonts w:hint="eastAsia"/>
                <w:color w:val="auto"/>
              </w:rPr>
              <w:t>0.35</w:t>
            </w:r>
          </w:p>
        </w:tc>
        <w:tc>
          <w:tcPr>
            <w:tcW w:w="531" w:type="pct"/>
            <w:shd w:val="clear" w:color="auto" w:fill="auto"/>
            <w:vAlign w:val="center"/>
          </w:tcPr>
          <w:p>
            <w:pPr>
              <w:pStyle w:val="182"/>
              <w:bidi w:val="0"/>
              <w:rPr>
                <w:color w:val="auto"/>
              </w:rPr>
            </w:pPr>
            <w:r>
              <w:rPr>
                <w:rFonts w:hint="eastAsia"/>
                <w:color w:val="auto"/>
              </w:rPr>
              <w:t>0.83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2021.11</w:t>
            </w:r>
          </w:p>
        </w:tc>
        <w:tc>
          <w:tcPr>
            <w:tcW w:w="522" w:type="pct"/>
            <w:shd w:val="clear" w:color="auto" w:fill="auto"/>
            <w:vAlign w:val="center"/>
          </w:tcPr>
          <w:p>
            <w:pPr>
              <w:pStyle w:val="182"/>
              <w:bidi w:val="0"/>
              <w:rPr>
                <w:color w:val="auto"/>
              </w:rPr>
            </w:pPr>
            <w:r>
              <w:rPr>
                <w:rFonts w:hint="eastAsia"/>
                <w:color w:val="auto"/>
              </w:rPr>
              <w:t>27.80</w:t>
            </w:r>
          </w:p>
        </w:tc>
        <w:tc>
          <w:tcPr>
            <w:tcW w:w="611" w:type="pct"/>
            <w:shd w:val="clear" w:color="auto" w:fill="auto"/>
            <w:vAlign w:val="center"/>
          </w:tcPr>
          <w:p>
            <w:pPr>
              <w:pStyle w:val="182"/>
              <w:bidi w:val="0"/>
              <w:rPr>
                <w:color w:val="auto"/>
              </w:rPr>
            </w:pPr>
            <w:r>
              <w:rPr>
                <w:rFonts w:hint="eastAsia"/>
                <w:color w:val="auto"/>
              </w:rPr>
              <w:t>0.44</w:t>
            </w:r>
          </w:p>
        </w:tc>
        <w:tc>
          <w:tcPr>
            <w:tcW w:w="631" w:type="pct"/>
            <w:shd w:val="clear" w:color="auto" w:fill="auto"/>
            <w:vAlign w:val="center"/>
          </w:tcPr>
          <w:p>
            <w:pPr>
              <w:pStyle w:val="182"/>
              <w:bidi w:val="0"/>
              <w:rPr>
                <w:color w:val="auto"/>
              </w:rPr>
            </w:pPr>
            <w:r>
              <w:rPr>
                <w:rFonts w:hint="eastAsia"/>
                <w:color w:val="auto"/>
              </w:rPr>
              <w:t>0.197</w:t>
            </w:r>
          </w:p>
        </w:tc>
        <w:tc>
          <w:tcPr>
            <w:tcW w:w="585" w:type="pct"/>
            <w:shd w:val="clear" w:color="auto" w:fill="auto"/>
            <w:vAlign w:val="center"/>
          </w:tcPr>
          <w:p>
            <w:pPr>
              <w:pStyle w:val="182"/>
              <w:bidi w:val="0"/>
              <w:rPr>
                <w:color w:val="auto"/>
              </w:rPr>
            </w:pPr>
            <w:r>
              <w:rPr>
                <w:rFonts w:hint="eastAsia"/>
                <w:color w:val="auto"/>
              </w:rPr>
              <w:t>0.93</w:t>
            </w:r>
          </w:p>
        </w:tc>
        <w:tc>
          <w:tcPr>
            <w:tcW w:w="643" w:type="pct"/>
            <w:shd w:val="clear" w:color="auto" w:fill="auto"/>
            <w:vAlign w:val="center"/>
          </w:tcPr>
          <w:p>
            <w:pPr>
              <w:pStyle w:val="182"/>
              <w:bidi w:val="0"/>
              <w:rPr>
                <w:color w:val="auto"/>
              </w:rPr>
            </w:pPr>
            <w:r>
              <w:rPr>
                <w:rFonts w:hint="eastAsia"/>
                <w:color w:val="auto"/>
              </w:rPr>
              <w:t>0.29</w:t>
            </w:r>
          </w:p>
        </w:tc>
        <w:tc>
          <w:tcPr>
            <w:tcW w:w="531" w:type="pct"/>
            <w:shd w:val="clear" w:color="auto" w:fill="auto"/>
            <w:vAlign w:val="center"/>
          </w:tcPr>
          <w:p>
            <w:pPr>
              <w:pStyle w:val="182"/>
              <w:bidi w:val="0"/>
              <w:rPr>
                <w:color w:val="auto"/>
              </w:rPr>
            </w:pPr>
            <w:r>
              <w:rPr>
                <w:rFonts w:hint="eastAsia"/>
                <w:color w:val="auto"/>
              </w:rPr>
              <w:t>0.66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Merge w:val="continue"/>
            <w:shd w:val="clear" w:color="auto" w:fill="auto"/>
            <w:vAlign w:val="center"/>
          </w:tcPr>
          <w:p>
            <w:pPr>
              <w:pStyle w:val="182"/>
              <w:bidi w:val="0"/>
              <w:rPr>
                <w:color w:val="auto"/>
              </w:rPr>
            </w:pPr>
          </w:p>
        </w:tc>
        <w:tc>
          <w:tcPr>
            <w:tcW w:w="797" w:type="pct"/>
            <w:shd w:val="clear" w:color="auto" w:fill="auto"/>
            <w:vAlign w:val="center"/>
          </w:tcPr>
          <w:p>
            <w:pPr>
              <w:pStyle w:val="182"/>
              <w:bidi w:val="0"/>
              <w:rPr>
                <w:color w:val="auto"/>
              </w:rPr>
            </w:pPr>
            <w:r>
              <w:rPr>
                <w:color w:val="auto"/>
              </w:rPr>
              <w:t>2021.12</w:t>
            </w:r>
          </w:p>
        </w:tc>
        <w:tc>
          <w:tcPr>
            <w:tcW w:w="522" w:type="pct"/>
            <w:shd w:val="clear" w:color="auto" w:fill="auto"/>
            <w:vAlign w:val="center"/>
          </w:tcPr>
          <w:p>
            <w:pPr>
              <w:pStyle w:val="182"/>
              <w:bidi w:val="0"/>
              <w:rPr>
                <w:color w:val="auto"/>
              </w:rPr>
            </w:pPr>
            <w:r>
              <w:rPr>
                <w:rFonts w:hint="eastAsia"/>
                <w:color w:val="auto"/>
              </w:rPr>
              <w:t>29.74</w:t>
            </w:r>
          </w:p>
        </w:tc>
        <w:tc>
          <w:tcPr>
            <w:tcW w:w="611" w:type="pct"/>
            <w:shd w:val="clear" w:color="auto" w:fill="auto"/>
            <w:vAlign w:val="center"/>
          </w:tcPr>
          <w:p>
            <w:pPr>
              <w:pStyle w:val="182"/>
              <w:bidi w:val="0"/>
              <w:rPr>
                <w:color w:val="auto"/>
              </w:rPr>
            </w:pPr>
            <w:r>
              <w:rPr>
                <w:rFonts w:hint="eastAsia"/>
                <w:color w:val="auto"/>
              </w:rPr>
              <w:t>0.42</w:t>
            </w:r>
          </w:p>
        </w:tc>
        <w:tc>
          <w:tcPr>
            <w:tcW w:w="631" w:type="pct"/>
            <w:shd w:val="clear" w:color="auto" w:fill="auto"/>
            <w:vAlign w:val="center"/>
          </w:tcPr>
          <w:p>
            <w:pPr>
              <w:pStyle w:val="182"/>
              <w:bidi w:val="0"/>
              <w:rPr>
                <w:color w:val="auto"/>
              </w:rPr>
            </w:pPr>
            <w:r>
              <w:rPr>
                <w:rFonts w:hint="eastAsia"/>
                <w:color w:val="auto"/>
              </w:rPr>
              <w:t>0.177</w:t>
            </w:r>
          </w:p>
        </w:tc>
        <w:tc>
          <w:tcPr>
            <w:tcW w:w="585" w:type="pct"/>
            <w:shd w:val="clear" w:color="auto" w:fill="auto"/>
            <w:vAlign w:val="center"/>
          </w:tcPr>
          <w:p>
            <w:pPr>
              <w:pStyle w:val="182"/>
              <w:bidi w:val="0"/>
              <w:rPr>
                <w:color w:val="auto"/>
              </w:rPr>
            </w:pPr>
            <w:r>
              <w:rPr>
                <w:rFonts w:hint="eastAsia"/>
                <w:color w:val="auto"/>
              </w:rPr>
              <w:t>0.99</w:t>
            </w:r>
          </w:p>
        </w:tc>
        <w:tc>
          <w:tcPr>
            <w:tcW w:w="643" w:type="pct"/>
            <w:shd w:val="clear" w:color="auto" w:fill="auto"/>
            <w:vAlign w:val="center"/>
          </w:tcPr>
          <w:p>
            <w:pPr>
              <w:pStyle w:val="182"/>
              <w:bidi w:val="0"/>
              <w:rPr>
                <w:color w:val="auto"/>
              </w:rPr>
            </w:pPr>
            <w:r>
              <w:rPr>
                <w:rFonts w:hint="eastAsia"/>
                <w:color w:val="auto"/>
              </w:rPr>
              <w:t>0.28</w:t>
            </w:r>
          </w:p>
        </w:tc>
        <w:tc>
          <w:tcPr>
            <w:tcW w:w="531" w:type="pct"/>
            <w:shd w:val="clear" w:color="auto" w:fill="auto"/>
            <w:vAlign w:val="center"/>
          </w:tcPr>
          <w:p>
            <w:pPr>
              <w:pStyle w:val="182"/>
              <w:bidi w:val="0"/>
              <w:rPr>
                <w:color w:val="auto"/>
              </w:rPr>
            </w:pPr>
            <w:r>
              <w:rPr>
                <w:rFonts w:hint="eastAsia"/>
                <w:color w:val="auto"/>
              </w:rPr>
              <w:t>0.59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7" w:type="pct"/>
            <w:gridSpan w:val="2"/>
            <w:shd w:val="clear" w:color="auto" w:fill="auto"/>
            <w:vAlign w:val="center"/>
          </w:tcPr>
          <w:p>
            <w:pPr>
              <w:pStyle w:val="182"/>
              <w:bidi w:val="0"/>
              <w:rPr>
                <w:color w:val="auto"/>
              </w:rPr>
            </w:pPr>
            <w:r>
              <w:rPr>
                <w:color w:val="auto"/>
              </w:rPr>
              <w:t>《地表水环境质量标准》（GB3838-2002）Ⅳ类</w:t>
            </w:r>
          </w:p>
        </w:tc>
        <w:tc>
          <w:tcPr>
            <w:tcW w:w="522" w:type="pct"/>
            <w:shd w:val="clear" w:color="auto" w:fill="auto"/>
            <w:vAlign w:val="center"/>
          </w:tcPr>
          <w:p>
            <w:pPr>
              <w:pStyle w:val="182"/>
              <w:bidi w:val="0"/>
              <w:rPr>
                <w:color w:val="auto"/>
              </w:rPr>
            </w:pPr>
            <w:r>
              <w:rPr>
                <w:color w:val="auto"/>
              </w:rPr>
              <w:t>≤30</w:t>
            </w:r>
          </w:p>
        </w:tc>
        <w:tc>
          <w:tcPr>
            <w:tcW w:w="611" w:type="pct"/>
            <w:shd w:val="clear" w:color="auto" w:fill="auto"/>
            <w:vAlign w:val="center"/>
          </w:tcPr>
          <w:p>
            <w:pPr>
              <w:pStyle w:val="182"/>
              <w:bidi w:val="0"/>
              <w:rPr>
                <w:color w:val="auto"/>
              </w:rPr>
            </w:pPr>
            <w:r>
              <w:rPr>
                <w:color w:val="auto"/>
              </w:rPr>
              <w:t>≤1.5</w:t>
            </w:r>
          </w:p>
        </w:tc>
        <w:tc>
          <w:tcPr>
            <w:tcW w:w="631" w:type="pct"/>
            <w:shd w:val="clear" w:color="auto" w:fill="auto"/>
            <w:vAlign w:val="center"/>
          </w:tcPr>
          <w:p>
            <w:pPr>
              <w:pStyle w:val="182"/>
              <w:bidi w:val="0"/>
              <w:rPr>
                <w:color w:val="auto"/>
              </w:rPr>
            </w:pPr>
            <w:r>
              <w:rPr>
                <w:color w:val="auto"/>
              </w:rPr>
              <w:t>≤0.3</w:t>
            </w:r>
          </w:p>
        </w:tc>
        <w:tc>
          <w:tcPr>
            <w:tcW w:w="585" w:type="pct"/>
            <w:shd w:val="clear" w:color="auto" w:fill="auto"/>
            <w:vAlign w:val="center"/>
          </w:tcPr>
          <w:p>
            <w:pPr>
              <w:pStyle w:val="182"/>
              <w:bidi w:val="0"/>
              <w:rPr>
                <w:color w:val="auto"/>
              </w:rPr>
            </w:pPr>
            <w:r>
              <w:rPr>
                <w:color w:val="auto"/>
              </w:rPr>
              <w:t>/</w:t>
            </w:r>
          </w:p>
        </w:tc>
        <w:tc>
          <w:tcPr>
            <w:tcW w:w="643" w:type="pct"/>
            <w:shd w:val="clear" w:color="auto" w:fill="auto"/>
            <w:vAlign w:val="center"/>
          </w:tcPr>
          <w:p>
            <w:pPr>
              <w:pStyle w:val="182"/>
              <w:bidi w:val="0"/>
              <w:rPr>
                <w:color w:val="auto"/>
              </w:rPr>
            </w:pPr>
            <w:r>
              <w:rPr>
                <w:color w:val="auto"/>
              </w:rPr>
              <w:t>/</w:t>
            </w:r>
          </w:p>
        </w:tc>
        <w:tc>
          <w:tcPr>
            <w:tcW w:w="531" w:type="pct"/>
            <w:shd w:val="clear" w:color="auto" w:fill="auto"/>
            <w:vAlign w:val="center"/>
          </w:tcPr>
          <w:p>
            <w:pPr>
              <w:pStyle w:val="182"/>
              <w:bidi w:val="0"/>
              <w:rPr>
                <w:color w:val="auto"/>
              </w:rPr>
            </w:pPr>
            <w:r>
              <w:rPr>
                <w:color w:val="auto"/>
              </w:rPr>
              <w:t>/</w:t>
            </w:r>
          </w:p>
        </w:tc>
      </w:tr>
    </w:tbl>
    <w:p>
      <w:pPr>
        <w:bidi w:val="0"/>
        <w:rPr>
          <w:color w:val="auto"/>
        </w:rPr>
      </w:pPr>
      <w:r>
        <w:rPr>
          <w:rFonts w:hint="eastAsia"/>
          <w:color w:val="auto"/>
        </w:rPr>
        <w:t>本次评价对水花堡桥断面的监测数据进行画图分析，详见图4</w:t>
      </w:r>
      <w:r>
        <w:rPr>
          <w:rFonts w:hint="eastAsia"/>
          <w:color w:val="auto"/>
          <w:lang w:val="en-US" w:eastAsia="zh-CN"/>
        </w:rPr>
        <w:t>.2</w:t>
      </w:r>
      <w:r>
        <w:rPr>
          <w:rFonts w:hint="eastAsia"/>
          <w:color w:val="auto"/>
        </w:rPr>
        <w:t>-3~4</w:t>
      </w:r>
      <w:r>
        <w:rPr>
          <w:rFonts w:hint="eastAsia"/>
          <w:color w:val="auto"/>
          <w:lang w:val="en-US" w:eastAsia="zh-CN"/>
        </w:rPr>
        <w:t>.2</w:t>
      </w:r>
      <w:r>
        <w:rPr>
          <w:rFonts w:hint="eastAsia"/>
          <w:color w:val="auto"/>
        </w:rPr>
        <w:t>-5。</w:t>
      </w:r>
    </w:p>
    <w:p>
      <w:pPr>
        <w:adjustRightInd w:val="0"/>
        <w:snapToGrid w:val="0"/>
        <w:ind w:firstLine="480" w:firstLineChars="200"/>
        <w:jc w:val="center"/>
        <w:textAlignment w:val="baseline"/>
        <w:rPr>
          <w:color w:val="auto"/>
          <w:kern w:val="0"/>
          <w:sz w:val="24"/>
          <w:szCs w:val="20"/>
        </w:rPr>
      </w:pPr>
      <w:r>
        <w:rPr>
          <w:color w:val="auto"/>
        </w:rPr>
        <w:object>
          <v:shape id="_x0000_i1025" o:spt="75" type="#_x0000_t75" style="height:216pt;width:367.5pt;" o:ole="t" filled="f" o:preferrelative="t" stroked="f" coordsize="21600,21600">
            <v:path/>
            <v:fill on="f" focussize="0,0"/>
            <v:stroke on="f" joinstyle="miter"/>
            <v:imagedata r:id="rId53" o:title=""/>
            <o:lock v:ext="edit" aspectratio="f"/>
            <w10:wrap type="none"/>
            <w10:anchorlock/>
          </v:shape>
          <o:OLEObject Type="Embed" ProgID="Excel.Sheet.8" ShapeID="_x0000_i1025" DrawAspect="Content" ObjectID="_1468075725" r:id="rId52">
            <o:LockedField>false</o:LockedField>
          </o:OLEObject>
        </w:object>
      </w:r>
    </w:p>
    <w:p>
      <w:pPr>
        <w:pStyle w:val="181"/>
        <w:bidi w:val="0"/>
        <w:ind w:left="0" w:leftChars="0" w:firstLine="0" w:firstLineChars="0"/>
        <w:jc w:val="center"/>
        <w:rPr>
          <w:color w:val="auto"/>
        </w:rPr>
      </w:pPr>
      <w:r>
        <w:rPr>
          <w:color w:val="auto"/>
        </w:rPr>
        <w:t>图4</w:t>
      </w:r>
      <w:r>
        <w:rPr>
          <w:rFonts w:hint="eastAsia"/>
          <w:color w:val="auto"/>
          <w:lang w:val="en-US" w:eastAsia="zh-CN"/>
        </w:rPr>
        <w:t>.2</w:t>
      </w:r>
      <w:r>
        <w:rPr>
          <w:color w:val="auto"/>
        </w:rPr>
        <w:t>-3   大沙河水花堡桥断面近期水质COD浓度折线图</w:t>
      </w:r>
    </w:p>
    <w:p>
      <w:pPr>
        <w:adjustRightInd w:val="0"/>
        <w:snapToGrid w:val="0"/>
        <w:spacing w:before="240" w:beforeLines="100" w:after="120" w:afterLines="50"/>
        <w:ind w:left="0" w:leftChars="0" w:firstLine="0" w:firstLineChars="0"/>
        <w:jc w:val="center"/>
        <w:textAlignment w:val="baseline"/>
        <w:rPr>
          <w:color w:val="auto"/>
        </w:rPr>
      </w:pPr>
      <w:r>
        <w:rPr>
          <w:color w:val="auto"/>
        </w:rPr>
        <w:object>
          <v:shape id="_x0000_i1026" o:spt="75" type="#_x0000_t75" style="height:216pt;width:417.75pt;" o:ole="t" filled="f" o:preferrelative="t" stroked="f" coordsize="21600,21600">
            <v:path/>
            <v:fill on="f" focussize="0,0"/>
            <v:stroke on="f" joinstyle="miter"/>
            <v:imagedata r:id="rId55" o:title=""/>
            <o:lock v:ext="edit" aspectratio="f"/>
            <w10:wrap type="none"/>
            <w10:anchorlock/>
          </v:shape>
          <o:OLEObject Type="Embed" ProgID="Excel.Sheet.8" ShapeID="_x0000_i1026" DrawAspect="Content" ObjectID="_1468075726" r:id="rId54">
            <o:LockedField>false</o:LockedField>
          </o:OLEObject>
        </w:object>
      </w:r>
    </w:p>
    <w:p>
      <w:pPr>
        <w:pStyle w:val="181"/>
        <w:bidi w:val="0"/>
        <w:ind w:left="0" w:leftChars="0" w:firstLine="0" w:firstLineChars="0"/>
        <w:jc w:val="center"/>
        <w:rPr>
          <w:rFonts w:hint="eastAsia"/>
          <w:color w:val="auto"/>
        </w:rPr>
      </w:pPr>
      <w:r>
        <w:rPr>
          <w:color w:val="auto"/>
        </w:rPr>
        <w:t>图4</w:t>
      </w:r>
      <w:r>
        <w:rPr>
          <w:rFonts w:hint="eastAsia"/>
          <w:color w:val="auto"/>
          <w:lang w:val="en-US" w:eastAsia="zh-CN"/>
        </w:rPr>
        <w:t>.2</w:t>
      </w:r>
      <w:r>
        <w:rPr>
          <w:color w:val="auto"/>
        </w:rPr>
        <w:t>-</w:t>
      </w:r>
      <w:r>
        <w:rPr>
          <w:rFonts w:hint="eastAsia"/>
          <w:color w:val="auto"/>
        </w:rPr>
        <w:t>4</w:t>
      </w:r>
      <w:r>
        <w:rPr>
          <w:color w:val="auto"/>
        </w:rPr>
        <w:t xml:space="preserve">   大</w:t>
      </w:r>
      <w:r>
        <w:rPr>
          <w:rFonts w:hint="eastAsia"/>
          <w:color w:val="auto"/>
        </w:rPr>
        <w:t>沙河水花堡桥断面近期水质</w:t>
      </w:r>
      <w:r>
        <w:rPr>
          <w:color w:val="auto"/>
        </w:rPr>
        <w:t>NH</w:t>
      </w:r>
      <w:r>
        <w:rPr>
          <w:color w:val="auto"/>
          <w:vertAlign w:val="subscript"/>
        </w:rPr>
        <w:t>3</w:t>
      </w:r>
      <w:r>
        <w:rPr>
          <w:color w:val="auto"/>
        </w:rPr>
        <w:t>-N</w:t>
      </w:r>
      <w:r>
        <w:rPr>
          <w:rFonts w:hint="eastAsia"/>
          <w:color w:val="auto"/>
        </w:rPr>
        <w:t>浓度折线图</w:t>
      </w:r>
    </w:p>
    <w:p>
      <w:pPr>
        <w:rPr>
          <w:color w:val="auto"/>
        </w:rPr>
      </w:pPr>
    </w:p>
    <w:p>
      <w:pPr>
        <w:ind w:left="0" w:leftChars="0" w:firstLine="0" w:firstLineChars="0"/>
        <w:jc w:val="center"/>
        <w:rPr>
          <w:rFonts w:ascii="黑体" w:eastAsia="黑体"/>
          <w:color w:val="auto"/>
          <w:sz w:val="24"/>
        </w:rPr>
      </w:pPr>
      <w:r>
        <w:rPr>
          <w:color w:val="auto"/>
        </w:rPr>
        <w:object>
          <v:shape id="_x0000_i1027" o:spt="75" type="#_x0000_t75" style="height:187.5pt;width:367.5pt;" o:ole="t" filled="f" o:preferrelative="t" stroked="f" coordsize="21600,21600">
            <v:path/>
            <v:fill on="f" focussize="0,0"/>
            <v:stroke on="f" joinstyle="miter"/>
            <v:imagedata r:id="rId57" o:title=""/>
            <o:lock v:ext="edit" aspectratio="f"/>
            <w10:wrap type="none"/>
            <w10:anchorlock/>
          </v:shape>
          <o:OLEObject Type="Embed" ProgID="Excel.Sheet.8" ShapeID="_x0000_i1027" DrawAspect="Content" ObjectID="_1468075727" r:id="rId56">
            <o:LockedField>false</o:LockedField>
          </o:OLEObject>
        </w:object>
      </w:r>
    </w:p>
    <w:p>
      <w:pPr>
        <w:pStyle w:val="181"/>
        <w:bidi w:val="0"/>
        <w:ind w:left="0" w:leftChars="0" w:firstLine="0" w:firstLineChars="0"/>
        <w:jc w:val="center"/>
        <w:rPr>
          <w:color w:val="auto"/>
        </w:rPr>
      </w:pPr>
      <w:r>
        <w:rPr>
          <w:color w:val="auto"/>
        </w:rPr>
        <w:t>图4</w:t>
      </w:r>
      <w:r>
        <w:rPr>
          <w:rFonts w:hint="eastAsia"/>
          <w:color w:val="auto"/>
          <w:lang w:val="en-US" w:eastAsia="zh-CN"/>
        </w:rPr>
        <w:t>.2</w:t>
      </w:r>
      <w:r>
        <w:rPr>
          <w:color w:val="auto"/>
        </w:rPr>
        <w:t>-</w:t>
      </w:r>
      <w:r>
        <w:rPr>
          <w:rFonts w:hint="eastAsia"/>
          <w:color w:val="auto"/>
        </w:rPr>
        <w:t>5</w:t>
      </w:r>
      <w:r>
        <w:rPr>
          <w:color w:val="auto"/>
        </w:rPr>
        <w:t xml:space="preserve">   大沙河</w:t>
      </w:r>
      <w:r>
        <w:rPr>
          <w:rFonts w:hint="eastAsia"/>
          <w:color w:val="auto"/>
        </w:rPr>
        <w:t>水花堡桥断面近期水质总磷浓度折线图</w:t>
      </w:r>
    </w:p>
    <w:p>
      <w:pPr>
        <w:bidi w:val="0"/>
        <w:rPr>
          <w:color w:val="auto"/>
        </w:rPr>
      </w:pPr>
      <w:r>
        <w:rPr>
          <w:color w:val="auto"/>
        </w:rPr>
        <w:t>由以上图表可知，大沙河水花堡桥断面2021年水质状况为：COD在23.36</w:t>
      </w:r>
      <w:r>
        <w:rPr>
          <w:rFonts w:hint="eastAsia"/>
          <w:color w:val="auto"/>
          <w:lang w:val="en-US" w:eastAsia="zh-CN"/>
        </w:rPr>
        <w:t>-</w:t>
      </w:r>
      <w:r>
        <w:rPr>
          <w:color w:val="auto"/>
        </w:rPr>
        <w:t>36.25mg/L，标准指数为0.78-1.21；NH</w:t>
      </w:r>
      <w:r>
        <w:rPr>
          <w:color w:val="auto"/>
          <w:vertAlign w:val="subscript"/>
        </w:rPr>
        <w:t>3</w:t>
      </w:r>
      <w:r>
        <w:rPr>
          <w:color w:val="auto"/>
        </w:rPr>
        <w:t>-N在0.31</w:t>
      </w:r>
      <w:r>
        <w:rPr>
          <w:rFonts w:hint="eastAsia"/>
          <w:color w:val="auto"/>
          <w:lang w:val="en-US" w:eastAsia="zh-CN"/>
        </w:rPr>
        <w:t>-</w:t>
      </w:r>
      <w:r>
        <w:rPr>
          <w:color w:val="auto"/>
        </w:rPr>
        <w:t>1.29mg/L，标准指数为0.21-0.86；总磷在0.088</w:t>
      </w:r>
      <w:r>
        <w:rPr>
          <w:rFonts w:hint="eastAsia"/>
          <w:color w:val="auto"/>
          <w:lang w:val="en-US" w:eastAsia="zh-CN"/>
        </w:rPr>
        <w:t>-</w:t>
      </w:r>
      <w:r>
        <w:rPr>
          <w:color w:val="auto"/>
        </w:rPr>
        <w:t>0.285mg/L，标准指数为0.29-0.95。COD、氨氮、总磷的超标率分别为25%、0、0，最大超标倍数均分别为0.21倍、0、0</w:t>
      </w:r>
      <w:r>
        <w:rPr>
          <w:rFonts w:hint="eastAsia"/>
          <w:color w:val="auto"/>
        </w:rPr>
        <w:t>，</w:t>
      </w:r>
      <w:r>
        <w:rPr>
          <w:color w:val="auto"/>
        </w:rPr>
        <w:t>可以满足《地表水环境质量标准》（GB3838-2002）Ⅳ类标准。</w:t>
      </w:r>
    </w:p>
    <w:p>
      <w:pPr>
        <w:bidi w:val="0"/>
        <w:rPr>
          <w:color w:val="auto"/>
        </w:rPr>
      </w:pPr>
      <w:r>
        <w:rPr>
          <w:color w:val="auto"/>
        </w:rPr>
        <w:t>监测结果显示，大沙河地表水体2021年除6</w:t>
      </w:r>
      <w:r>
        <w:rPr>
          <w:rFonts w:hint="eastAsia"/>
          <w:color w:val="auto"/>
        </w:rPr>
        <w:t>~</w:t>
      </w:r>
      <w:r>
        <w:rPr>
          <w:color w:val="auto"/>
        </w:rPr>
        <w:t>8月份COD略有超标外其他因子其他时间段均能满足《地表水环境质量标准》（GB3838-2002）Ⅳ类标准。</w:t>
      </w:r>
    </w:p>
    <w:p>
      <w:pPr>
        <w:pStyle w:val="10"/>
        <w:bidi w:val="0"/>
        <w:rPr>
          <w:color w:val="auto"/>
        </w:rPr>
      </w:pPr>
      <w:r>
        <w:rPr>
          <w:rFonts w:hint="eastAsia"/>
          <w:color w:val="auto"/>
          <w:lang w:eastAsia="zh-CN"/>
        </w:rPr>
        <w:t>4</w:t>
      </w:r>
      <w:r>
        <w:rPr>
          <w:rFonts w:hint="eastAsia"/>
          <w:color w:val="auto"/>
        </w:rPr>
        <w:t>.</w:t>
      </w:r>
      <w:r>
        <w:rPr>
          <w:rFonts w:hint="eastAsia"/>
          <w:color w:val="auto"/>
          <w:lang w:eastAsia="zh-CN"/>
        </w:rPr>
        <w:t>2</w:t>
      </w:r>
      <w:r>
        <w:rPr>
          <w:rFonts w:hint="eastAsia"/>
          <w:color w:val="auto"/>
        </w:rPr>
        <w:t>.</w:t>
      </w:r>
      <w:r>
        <w:rPr>
          <w:rFonts w:hint="eastAsia"/>
          <w:color w:val="auto"/>
          <w:lang w:eastAsia="zh-CN"/>
        </w:rPr>
        <w:t>3</w:t>
      </w:r>
      <w:r>
        <w:rPr>
          <w:rFonts w:hint="eastAsia"/>
          <w:color w:val="auto"/>
        </w:rPr>
        <w:t>.</w:t>
      </w:r>
      <w:r>
        <w:rPr>
          <w:rFonts w:hint="eastAsia"/>
          <w:color w:val="auto"/>
          <w:lang w:eastAsia="zh-CN"/>
        </w:rPr>
        <w:t>3区域水污染物削减方案</w:t>
      </w:r>
    </w:p>
    <w:p>
      <w:pPr>
        <w:bidi w:val="0"/>
        <w:rPr>
          <w:color w:val="auto"/>
        </w:rPr>
      </w:pPr>
      <w:r>
        <w:rPr>
          <w:color w:val="auto"/>
        </w:rPr>
        <w:t>为了改善区域水环境质量，新乡市出了一系列整治方案，并提出了相应的污染物削减方案：《新乡市2021年水污染防治攻坚战实施方案》（新环攻坚办〔2021〕90号）和</w:t>
      </w:r>
      <w:r>
        <w:rPr>
          <w:rFonts w:hint="eastAsia"/>
          <w:color w:val="auto"/>
        </w:rPr>
        <w:t>《</w:t>
      </w:r>
      <w:r>
        <w:rPr>
          <w:color w:val="auto"/>
        </w:rPr>
        <w:t>河南省2022年大气、水、土壤污染防治攻坚战及农业农村污染治理攻坚战实施方案</w:t>
      </w:r>
      <w:r>
        <w:rPr>
          <w:rFonts w:hint="eastAsia"/>
          <w:color w:val="auto"/>
        </w:rPr>
        <w:t>》</w:t>
      </w:r>
      <w:r>
        <w:rPr>
          <w:color w:val="auto"/>
        </w:rPr>
        <w:t>等。随着各方案的实施，区域废水收集处理率不断提高，</w:t>
      </w:r>
      <w:r>
        <w:rPr>
          <w:rFonts w:hint="eastAsia"/>
          <w:color w:val="auto"/>
        </w:rPr>
        <w:t>大沙河</w:t>
      </w:r>
      <w:r>
        <w:rPr>
          <w:color w:val="auto"/>
        </w:rPr>
        <w:t>的环境质量将持续得到改善。目前，园区已进行入河排污口论证，园区段大沙河水质稳定满足《地表水环境质量标准》（GB3838-2002）Ⅳ类标准。</w:t>
      </w:r>
    </w:p>
    <w:p>
      <w:pPr>
        <w:pStyle w:val="9"/>
        <w:bidi w:val="0"/>
        <w:rPr>
          <w:color w:val="auto"/>
        </w:rPr>
      </w:pPr>
      <w:r>
        <w:rPr>
          <w:color w:val="auto"/>
        </w:rPr>
        <w:t>4.2.</w:t>
      </w:r>
      <w:r>
        <w:rPr>
          <w:rFonts w:hint="eastAsia"/>
          <w:color w:val="auto"/>
        </w:rPr>
        <w:t>4</w:t>
      </w:r>
      <w:r>
        <w:rPr>
          <w:color w:val="auto"/>
        </w:rPr>
        <w:t>地</w:t>
      </w:r>
      <w:r>
        <w:rPr>
          <w:rFonts w:hint="eastAsia"/>
          <w:color w:val="auto"/>
        </w:rPr>
        <w:t>下</w:t>
      </w:r>
      <w:r>
        <w:rPr>
          <w:color w:val="auto"/>
        </w:rPr>
        <w:t>水环境质量现状评价</w:t>
      </w:r>
    </w:p>
    <w:p>
      <w:pPr>
        <w:pStyle w:val="10"/>
        <w:bidi w:val="0"/>
        <w:rPr>
          <w:color w:val="auto"/>
        </w:rPr>
      </w:pPr>
      <w:r>
        <w:rPr>
          <w:rFonts w:hint="eastAsia"/>
          <w:color w:val="auto"/>
        </w:rPr>
        <w:t>4.2.4.1地下水环境质量现状监测与评价</w:t>
      </w:r>
    </w:p>
    <w:p>
      <w:pPr>
        <w:bidi w:val="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监测点分布</w:t>
      </w:r>
    </w:p>
    <w:p>
      <w:pPr>
        <w:rPr>
          <w:rFonts w:hint="eastAsia"/>
          <w:color w:val="auto"/>
        </w:rPr>
      </w:pPr>
      <w:r>
        <w:rPr>
          <w:rFonts w:hint="eastAsia"/>
          <w:color w:val="auto"/>
        </w:rPr>
        <w:t>本次评价的地下水环境质量现状基本因子引用《新乡化纤股份有限公司环境质量现状检测（YFJC-WT21F09025）》（2021年10月2日）的监测数据，该结果由河南永飞检测科技有限公司于2021年9月16日</w:t>
      </w:r>
      <w:r>
        <w:rPr>
          <w:rFonts w:hint="eastAsia"/>
          <w:color w:val="auto"/>
          <w:lang w:eastAsia="zh-CN"/>
        </w:rPr>
        <w:t>～</w:t>
      </w:r>
      <w:r>
        <w:rPr>
          <w:rFonts w:hint="eastAsia"/>
          <w:color w:val="auto"/>
        </w:rPr>
        <w:t>22日监测。根据地下水导则评价要求，结合经开区由西南向东北的地下水流向，布点方位要求基本一致，区域污染源没有变化，故本项目参照引用《新乡化纤股份有限公司环境质量现状检测（YFJC-WT21F09025）》（2021年10月2日）的监测数据。考虑工程特点、区域环境特征及地下水流向（由西南向东北），结合评价区域水资源利用和居民点生活用水情况，共设置5个地下水水质监测点和10个地下水水位监测点，详见</w:t>
      </w:r>
      <w:r>
        <w:rPr>
          <w:rFonts w:hint="eastAsia"/>
          <w:color w:val="auto"/>
          <w:lang w:val="en-US" w:eastAsia="zh-CN"/>
        </w:rPr>
        <w:t>下</w:t>
      </w:r>
      <w:r>
        <w:rPr>
          <w:rFonts w:hint="eastAsia"/>
          <w:color w:val="auto"/>
        </w:rPr>
        <w:t>表。</w:t>
      </w:r>
    </w:p>
    <w:p>
      <w:pPr>
        <w:pStyle w:val="181"/>
        <w:bidi w:val="0"/>
        <w:rPr>
          <w:color w:val="auto"/>
        </w:rPr>
      </w:pPr>
      <w:r>
        <w:rPr>
          <w:rFonts w:hint="eastAsia"/>
          <w:color w:val="auto"/>
        </w:rPr>
        <w:t>表4</w:t>
      </w:r>
      <w:r>
        <w:rPr>
          <w:rFonts w:hint="eastAsia"/>
          <w:color w:val="auto"/>
          <w:lang w:val="en-US" w:eastAsia="zh-CN"/>
        </w:rPr>
        <w:t>.2</w:t>
      </w:r>
      <w:r>
        <w:rPr>
          <w:rFonts w:hint="eastAsia"/>
          <w:color w:val="auto"/>
        </w:rPr>
        <w:t>-</w:t>
      </w:r>
      <w:r>
        <w:rPr>
          <w:rFonts w:hint="eastAsia"/>
          <w:color w:val="auto"/>
          <w:lang w:val="en-US" w:eastAsia="zh-CN"/>
        </w:rPr>
        <w:t>9</w:t>
      </w:r>
      <w:r>
        <w:rPr>
          <w:rFonts w:hint="eastAsia"/>
          <w:color w:val="auto"/>
        </w:rPr>
        <w:t xml:space="preserve">      </w:t>
      </w:r>
      <w:r>
        <w:rPr>
          <w:color w:val="auto"/>
        </w:rPr>
        <w:t xml:space="preserve">   </w:t>
      </w:r>
      <w:r>
        <w:rPr>
          <w:rFonts w:hint="eastAsia"/>
          <w:color w:val="auto"/>
        </w:rPr>
        <w:t xml:space="preserve"> </w:t>
      </w:r>
      <w:r>
        <w:rPr>
          <w:color w:val="auto"/>
        </w:rPr>
        <w:t xml:space="preserve"> </w:t>
      </w:r>
      <w:r>
        <w:rPr>
          <w:rFonts w:hint="eastAsia"/>
          <w:color w:val="auto"/>
        </w:rPr>
        <w:t>地下水环境现状监测点位一览表</w:t>
      </w:r>
    </w:p>
    <w:tbl>
      <w:tblPr>
        <w:tblStyle w:val="32"/>
        <w:tblW w:w="5000" w:type="pct"/>
        <w:jc w:val="center"/>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6"/>
        <w:gridCol w:w="1904"/>
        <w:gridCol w:w="2379"/>
        <w:gridCol w:w="1853"/>
        <w:gridCol w:w="1430"/>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top w:val="single" w:color="auto" w:sz="8" w:space="0"/>
              <w:left w:val="single" w:color="auto" w:sz="8" w:space="0"/>
              <w:bottom w:val="single" w:color="auto" w:sz="8" w:space="0"/>
            </w:tcBorders>
            <w:vAlign w:val="center"/>
          </w:tcPr>
          <w:p>
            <w:pPr>
              <w:pStyle w:val="182"/>
              <w:rPr>
                <w:color w:val="auto"/>
                <w:lang w:val="en-US" w:eastAsia="zh-CN"/>
              </w:rPr>
            </w:pPr>
            <w:r>
              <w:rPr>
                <w:rFonts w:hint="eastAsia"/>
                <w:color w:val="auto"/>
                <w:lang w:val="en-US" w:eastAsia="zh-CN"/>
              </w:rPr>
              <w:t>监测点</w:t>
            </w:r>
          </w:p>
        </w:tc>
        <w:tc>
          <w:tcPr>
            <w:tcW w:w="1117" w:type="pct"/>
            <w:tcBorders>
              <w:top w:val="single" w:color="auto" w:sz="8" w:space="0"/>
              <w:bottom w:val="single" w:color="auto" w:sz="8" w:space="0"/>
            </w:tcBorders>
            <w:vAlign w:val="center"/>
          </w:tcPr>
          <w:p>
            <w:pPr>
              <w:pStyle w:val="182"/>
              <w:rPr>
                <w:color w:val="auto"/>
                <w:lang w:val="en-US" w:eastAsia="zh-CN"/>
              </w:rPr>
            </w:pPr>
            <w:r>
              <w:rPr>
                <w:rFonts w:hint="eastAsia"/>
                <w:color w:val="auto"/>
                <w:lang w:val="en-US" w:eastAsia="zh-CN"/>
              </w:rPr>
              <w:t>监测井位</w:t>
            </w:r>
          </w:p>
        </w:tc>
        <w:tc>
          <w:tcPr>
            <w:tcW w:w="1396" w:type="pct"/>
            <w:tcBorders>
              <w:top w:val="single" w:color="auto" w:sz="8" w:space="0"/>
              <w:bottom w:val="single" w:color="auto" w:sz="8" w:space="0"/>
            </w:tcBorders>
            <w:vAlign w:val="center"/>
          </w:tcPr>
          <w:p>
            <w:pPr>
              <w:pStyle w:val="182"/>
              <w:rPr>
                <w:color w:val="auto"/>
                <w:lang w:val="en-US" w:eastAsia="zh-CN"/>
              </w:rPr>
            </w:pPr>
            <w:r>
              <w:rPr>
                <w:rFonts w:hint="eastAsia"/>
                <w:color w:val="auto"/>
                <w:lang w:val="en-US" w:eastAsia="zh-CN"/>
              </w:rPr>
              <w:t>方位</w:t>
            </w:r>
          </w:p>
        </w:tc>
        <w:tc>
          <w:tcPr>
            <w:tcW w:w="1087" w:type="pct"/>
            <w:tcBorders>
              <w:top w:val="single" w:color="auto" w:sz="8" w:space="0"/>
              <w:bottom w:val="single" w:color="auto" w:sz="8" w:space="0"/>
            </w:tcBorders>
            <w:vAlign w:val="center"/>
          </w:tcPr>
          <w:p>
            <w:pPr>
              <w:pStyle w:val="182"/>
              <w:rPr>
                <w:color w:val="auto"/>
                <w:lang w:val="en-US" w:eastAsia="zh-CN"/>
              </w:rPr>
            </w:pPr>
            <w:r>
              <w:rPr>
                <w:rFonts w:hint="eastAsia"/>
                <w:color w:val="auto"/>
                <w:lang w:val="en-US" w:eastAsia="zh-CN"/>
              </w:rPr>
              <w:t>距离厂界（m）</w:t>
            </w:r>
          </w:p>
        </w:tc>
        <w:tc>
          <w:tcPr>
            <w:tcW w:w="839" w:type="pct"/>
            <w:tcBorders>
              <w:top w:val="single" w:color="auto" w:sz="8" w:space="0"/>
              <w:bottom w:val="single" w:color="auto" w:sz="8" w:space="0"/>
              <w:right w:val="single" w:color="auto" w:sz="8" w:space="0"/>
            </w:tcBorders>
            <w:vAlign w:val="center"/>
          </w:tcPr>
          <w:p>
            <w:pPr>
              <w:pStyle w:val="182"/>
              <w:rPr>
                <w:color w:val="auto"/>
                <w:lang w:val="en-US" w:eastAsia="zh-CN"/>
              </w:rPr>
            </w:pPr>
            <w:r>
              <w:rPr>
                <w:rFonts w:hint="eastAsia"/>
                <w:color w:val="auto"/>
                <w:lang w:val="en-US" w:eastAsia="zh-CN"/>
              </w:rPr>
              <w:t>功 能</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top w:val="single" w:color="auto" w:sz="8" w:space="0"/>
              <w:left w:val="single" w:color="auto" w:sz="8" w:space="0"/>
            </w:tcBorders>
            <w:vAlign w:val="center"/>
          </w:tcPr>
          <w:p>
            <w:pPr>
              <w:pStyle w:val="182"/>
              <w:rPr>
                <w:color w:val="auto"/>
              </w:rPr>
            </w:pPr>
            <w:r>
              <w:rPr>
                <w:rFonts w:hint="eastAsia"/>
                <w:color w:val="auto"/>
              </w:rPr>
              <w:t>1#</w:t>
            </w:r>
          </w:p>
        </w:tc>
        <w:tc>
          <w:tcPr>
            <w:tcW w:w="1117" w:type="pct"/>
            <w:tcBorders>
              <w:top w:val="single" w:color="auto" w:sz="8" w:space="0"/>
            </w:tcBorders>
            <w:vAlign w:val="center"/>
          </w:tcPr>
          <w:p>
            <w:pPr>
              <w:pStyle w:val="182"/>
              <w:rPr>
                <w:color w:val="auto"/>
                <w:lang w:val="en-US" w:eastAsia="zh-CN"/>
              </w:rPr>
            </w:pPr>
            <w:r>
              <w:rPr>
                <w:rFonts w:hint="eastAsia"/>
                <w:color w:val="auto"/>
                <w:lang w:val="en-US" w:eastAsia="zh-CN"/>
              </w:rPr>
              <w:t>化纤厂新厂区水井</w:t>
            </w:r>
          </w:p>
          <w:p>
            <w:pPr>
              <w:pStyle w:val="182"/>
              <w:rPr>
                <w:color w:val="auto"/>
                <w:lang w:val="en-US" w:eastAsia="zh-CN"/>
              </w:rPr>
            </w:pPr>
            <w:r>
              <w:rPr>
                <w:rFonts w:hint="eastAsia"/>
                <w:color w:val="auto"/>
                <w:lang w:val="en-US" w:eastAsia="zh-CN"/>
              </w:rPr>
              <w:t>（工业用）</w:t>
            </w:r>
          </w:p>
        </w:tc>
        <w:tc>
          <w:tcPr>
            <w:tcW w:w="1396" w:type="pct"/>
            <w:tcBorders>
              <w:top w:val="single" w:color="auto" w:sz="8" w:space="0"/>
            </w:tcBorders>
            <w:vAlign w:val="center"/>
          </w:tcPr>
          <w:p>
            <w:pPr>
              <w:pStyle w:val="182"/>
              <w:rPr>
                <w:color w:val="auto"/>
                <w:lang w:val="en-US" w:eastAsia="zh-CN"/>
              </w:rPr>
            </w:pPr>
            <w:r>
              <w:rPr>
                <w:rFonts w:hint="eastAsia"/>
                <w:color w:val="auto"/>
                <w:lang w:val="en-US" w:eastAsia="zh-CN"/>
              </w:rPr>
              <w:t>/</w:t>
            </w:r>
          </w:p>
        </w:tc>
        <w:tc>
          <w:tcPr>
            <w:tcW w:w="1087" w:type="pct"/>
            <w:tcBorders>
              <w:top w:val="single" w:color="auto" w:sz="8" w:space="0"/>
            </w:tcBorders>
            <w:vAlign w:val="center"/>
          </w:tcPr>
          <w:p>
            <w:pPr>
              <w:pStyle w:val="182"/>
              <w:rPr>
                <w:color w:val="auto"/>
                <w:lang w:val="en-US" w:eastAsia="zh-CN"/>
              </w:rPr>
            </w:pPr>
            <w:r>
              <w:rPr>
                <w:rFonts w:hint="eastAsia"/>
                <w:color w:val="auto"/>
                <w:lang w:val="en-US" w:eastAsia="zh-CN"/>
              </w:rPr>
              <w:t>0</w:t>
            </w:r>
          </w:p>
        </w:tc>
        <w:tc>
          <w:tcPr>
            <w:tcW w:w="839" w:type="pct"/>
            <w:tcBorders>
              <w:top w:val="single" w:color="auto" w:sz="8" w:space="0"/>
              <w:right w:val="single" w:color="auto" w:sz="8" w:space="0"/>
            </w:tcBorders>
            <w:vAlign w:val="center"/>
          </w:tcPr>
          <w:p>
            <w:pPr>
              <w:pStyle w:val="182"/>
              <w:rPr>
                <w:color w:val="auto"/>
              </w:rPr>
            </w:pPr>
            <w:r>
              <w:rPr>
                <w:rFonts w:hint="eastAsia"/>
                <w:color w:val="auto"/>
              </w:rPr>
              <w:t>监控点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2#</w:t>
            </w:r>
          </w:p>
        </w:tc>
        <w:tc>
          <w:tcPr>
            <w:tcW w:w="1117" w:type="pct"/>
            <w:vAlign w:val="center"/>
          </w:tcPr>
          <w:p>
            <w:pPr>
              <w:pStyle w:val="182"/>
              <w:rPr>
                <w:color w:val="auto"/>
                <w:lang w:val="en-US" w:eastAsia="zh-CN"/>
              </w:rPr>
            </w:pPr>
            <w:r>
              <w:rPr>
                <w:rFonts w:hint="eastAsia"/>
                <w:color w:val="auto"/>
                <w:lang w:val="en-US" w:eastAsia="zh-CN"/>
              </w:rPr>
              <w:t>夏庄村</w:t>
            </w:r>
          </w:p>
        </w:tc>
        <w:tc>
          <w:tcPr>
            <w:tcW w:w="1396" w:type="pct"/>
            <w:vAlign w:val="center"/>
          </w:tcPr>
          <w:p>
            <w:pPr>
              <w:pStyle w:val="182"/>
              <w:rPr>
                <w:color w:val="auto"/>
                <w:lang w:val="en-US" w:eastAsia="zh-CN"/>
              </w:rPr>
            </w:pPr>
            <w:r>
              <w:rPr>
                <w:rFonts w:hint="eastAsia"/>
                <w:color w:val="auto"/>
                <w:lang w:val="en-US" w:eastAsia="zh-CN"/>
              </w:rPr>
              <w:t>西南</w:t>
            </w:r>
          </w:p>
        </w:tc>
        <w:tc>
          <w:tcPr>
            <w:tcW w:w="1087" w:type="pct"/>
            <w:vAlign w:val="center"/>
          </w:tcPr>
          <w:p>
            <w:pPr>
              <w:pStyle w:val="182"/>
              <w:rPr>
                <w:rFonts w:hint="default"/>
                <w:color w:val="auto"/>
                <w:lang w:val="en-US" w:eastAsia="zh-CN"/>
              </w:rPr>
            </w:pPr>
            <w:r>
              <w:rPr>
                <w:rFonts w:hint="eastAsia"/>
                <w:color w:val="auto"/>
                <w:lang w:val="en-US" w:eastAsia="zh-CN"/>
              </w:rPr>
              <w:t>600</w:t>
            </w:r>
          </w:p>
        </w:tc>
        <w:tc>
          <w:tcPr>
            <w:tcW w:w="839" w:type="pct"/>
            <w:tcBorders>
              <w:right w:val="single" w:color="auto" w:sz="8" w:space="0"/>
            </w:tcBorders>
            <w:vAlign w:val="center"/>
          </w:tcPr>
          <w:p>
            <w:pPr>
              <w:pStyle w:val="182"/>
              <w:rPr>
                <w:color w:val="auto"/>
              </w:rPr>
            </w:pPr>
            <w:r>
              <w:rPr>
                <w:rFonts w:hint="eastAsia"/>
                <w:color w:val="auto"/>
              </w:rPr>
              <w:t>上游</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3#</w:t>
            </w:r>
          </w:p>
        </w:tc>
        <w:tc>
          <w:tcPr>
            <w:tcW w:w="1117" w:type="pct"/>
            <w:vAlign w:val="center"/>
          </w:tcPr>
          <w:p>
            <w:pPr>
              <w:pStyle w:val="182"/>
              <w:rPr>
                <w:color w:val="auto"/>
                <w:lang w:val="en-US" w:eastAsia="zh-CN"/>
              </w:rPr>
            </w:pPr>
            <w:r>
              <w:rPr>
                <w:rFonts w:hint="eastAsia"/>
                <w:color w:val="auto"/>
                <w:lang w:val="en-US" w:eastAsia="zh-CN"/>
              </w:rPr>
              <w:t>水花堡村</w:t>
            </w:r>
          </w:p>
        </w:tc>
        <w:tc>
          <w:tcPr>
            <w:tcW w:w="1396" w:type="pct"/>
            <w:vAlign w:val="center"/>
          </w:tcPr>
          <w:p>
            <w:pPr>
              <w:pStyle w:val="182"/>
              <w:rPr>
                <w:color w:val="auto"/>
                <w:lang w:val="en-US" w:eastAsia="zh-CN"/>
              </w:rPr>
            </w:pPr>
            <w:r>
              <w:rPr>
                <w:rFonts w:hint="eastAsia"/>
                <w:color w:val="auto"/>
                <w:lang w:val="en-US" w:eastAsia="zh-CN"/>
              </w:rPr>
              <w:t>东北</w:t>
            </w:r>
          </w:p>
        </w:tc>
        <w:tc>
          <w:tcPr>
            <w:tcW w:w="1087" w:type="pct"/>
            <w:vAlign w:val="center"/>
          </w:tcPr>
          <w:p>
            <w:pPr>
              <w:pStyle w:val="182"/>
              <w:rPr>
                <w:color w:val="auto"/>
                <w:lang w:val="en-US" w:eastAsia="zh-CN"/>
              </w:rPr>
            </w:pPr>
            <w:r>
              <w:rPr>
                <w:rFonts w:hint="eastAsia"/>
                <w:color w:val="auto"/>
                <w:lang w:val="en-US" w:eastAsia="zh-CN"/>
              </w:rPr>
              <w:t>3850</w:t>
            </w:r>
          </w:p>
        </w:tc>
        <w:tc>
          <w:tcPr>
            <w:tcW w:w="839" w:type="pct"/>
            <w:tcBorders>
              <w:right w:val="single" w:color="auto" w:sz="8" w:space="0"/>
            </w:tcBorders>
            <w:vAlign w:val="center"/>
          </w:tcPr>
          <w:p>
            <w:pPr>
              <w:pStyle w:val="182"/>
              <w:rPr>
                <w:color w:val="auto"/>
              </w:rPr>
            </w:pPr>
            <w:r>
              <w:rPr>
                <w:rFonts w:hint="eastAsia"/>
                <w:color w:val="auto"/>
              </w:rPr>
              <w:t>下游</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4#</w:t>
            </w:r>
          </w:p>
        </w:tc>
        <w:tc>
          <w:tcPr>
            <w:tcW w:w="1117" w:type="pct"/>
            <w:vAlign w:val="center"/>
          </w:tcPr>
          <w:p>
            <w:pPr>
              <w:pStyle w:val="182"/>
              <w:rPr>
                <w:color w:val="auto"/>
                <w:lang w:val="en-US" w:eastAsia="zh-CN"/>
              </w:rPr>
            </w:pPr>
            <w:r>
              <w:rPr>
                <w:rFonts w:hint="eastAsia"/>
                <w:color w:val="auto"/>
                <w:lang w:val="en-US" w:eastAsia="zh-CN"/>
              </w:rPr>
              <w:t>大杨庄村</w:t>
            </w:r>
          </w:p>
        </w:tc>
        <w:tc>
          <w:tcPr>
            <w:tcW w:w="1396" w:type="pct"/>
            <w:vAlign w:val="center"/>
          </w:tcPr>
          <w:p>
            <w:pPr>
              <w:pStyle w:val="182"/>
              <w:rPr>
                <w:color w:val="auto"/>
                <w:lang w:val="en-US" w:eastAsia="zh-CN"/>
              </w:rPr>
            </w:pPr>
            <w:r>
              <w:rPr>
                <w:rFonts w:hint="eastAsia"/>
                <w:color w:val="auto"/>
                <w:lang w:val="en-US" w:eastAsia="zh-CN"/>
              </w:rPr>
              <w:t>东南</w:t>
            </w:r>
          </w:p>
        </w:tc>
        <w:tc>
          <w:tcPr>
            <w:tcW w:w="1087" w:type="pct"/>
            <w:vAlign w:val="center"/>
          </w:tcPr>
          <w:p>
            <w:pPr>
              <w:pStyle w:val="182"/>
              <w:rPr>
                <w:rFonts w:hint="default"/>
                <w:color w:val="auto"/>
                <w:lang w:val="en-US" w:eastAsia="zh-CN"/>
              </w:rPr>
            </w:pPr>
            <w:r>
              <w:rPr>
                <w:rFonts w:hint="eastAsia"/>
                <w:color w:val="auto"/>
                <w:lang w:val="en-US" w:eastAsia="zh-CN"/>
              </w:rPr>
              <w:t>700</w:t>
            </w:r>
          </w:p>
        </w:tc>
        <w:tc>
          <w:tcPr>
            <w:tcW w:w="839" w:type="pct"/>
            <w:tcBorders>
              <w:right w:val="single" w:color="auto" w:sz="8" w:space="0"/>
            </w:tcBorders>
            <w:vAlign w:val="center"/>
          </w:tcPr>
          <w:p>
            <w:pPr>
              <w:pStyle w:val="182"/>
              <w:rPr>
                <w:color w:val="auto"/>
              </w:rPr>
            </w:pPr>
            <w:r>
              <w:rPr>
                <w:rFonts w:hint="eastAsia"/>
                <w:color w:val="auto"/>
              </w:rPr>
              <w:t>下游侧向</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bottom w:val="single" w:color="auto" w:sz="8" w:space="0"/>
            </w:tcBorders>
            <w:vAlign w:val="center"/>
          </w:tcPr>
          <w:p>
            <w:pPr>
              <w:pStyle w:val="182"/>
              <w:rPr>
                <w:color w:val="auto"/>
              </w:rPr>
            </w:pPr>
            <w:r>
              <w:rPr>
                <w:rFonts w:hint="eastAsia"/>
                <w:color w:val="auto"/>
              </w:rPr>
              <w:t>5#</w:t>
            </w:r>
          </w:p>
        </w:tc>
        <w:tc>
          <w:tcPr>
            <w:tcW w:w="1117" w:type="pct"/>
            <w:tcBorders>
              <w:bottom w:val="single" w:color="auto" w:sz="8" w:space="0"/>
            </w:tcBorders>
            <w:vAlign w:val="center"/>
          </w:tcPr>
          <w:p>
            <w:pPr>
              <w:pStyle w:val="182"/>
              <w:rPr>
                <w:color w:val="auto"/>
                <w:lang w:val="en-US" w:eastAsia="zh-CN"/>
              </w:rPr>
            </w:pPr>
            <w:r>
              <w:rPr>
                <w:rFonts w:hint="eastAsia"/>
                <w:color w:val="auto"/>
                <w:lang w:val="en-US" w:eastAsia="zh-CN"/>
              </w:rPr>
              <w:t>小杨庄村</w:t>
            </w:r>
          </w:p>
        </w:tc>
        <w:tc>
          <w:tcPr>
            <w:tcW w:w="1396" w:type="pct"/>
            <w:tcBorders>
              <w:bottom w:val="single" w:color="auto" w:sz="8" w:space="0"/>
            </w:tcBorders>
            <w:vAlign w:val="center"/>
          </w:tcPr>
          <w:p>
            <w:pPr>
              <w:pStyle w:val="182"/>
              <w:rPr>
                <w:color w:val="auto"/>
                <w:lang w:val="en-US" w:eastAsia="zh-CN"/>
              </w:rPr>
            </w:pPr>
            <w:r>
              <w:rPr>
                <w:rFonts w:hint="eastAsia"/>
                <w:color w:val="auto"/>
                <w:lang w:val="en-US" w:eastAsia="zh-CN"/>
              </w:rPr>
              <w:t>北</w:t>
            </w:r>
          </w:p>
        </w:tc>
        <w:tc>
          <w:tcPr>
            <w:tcW w:w="1087" w:type="pct"/>
            <w:tcBorders>
              <w:bottom w:val="single" w:color="auto" w:sz="8" w:space="0"/>
            </w:tcBorders>
            <w:vAlign w:val="center"/>
          </w:tcPr>
          <w:p>
            <w:pPr>
              <w:pStyle w:val="182"/>
              <w:rPr>
                <w:color w:val="auto"/>
                <w:lang w:val="en-US" w:eastAsia="zh-CN"/>
              </w:rPr>
            </w:pPr>
            <w:r>
              <w:rPr>
                <w:rFonts w:hint="eastAsia"/>
                <w:color w:val="auto"/>
                <w:lang w:val="en-US" w:eastAsia="zh-CN"/>
              </w:rPr>
              <w:t>2690</w:t>
            </w:r>
          </w:p>
        </w:tc>
        <w:tc>
          <w:tcPr>
            <w:tcW w:w="839" w:type="pct"/>
            <w:tcBorders>
              <w:bottom w:val="single" w:color="auto" w:sz="8" w:space="0"/>
              <w:right w:val="single" w:color="auto" w:sz="8" w:space="0"/>
            </w:tcBorders>
            <w:vAlign w:val="center"/>
          </w:tcPr>
          <w:p>
            <w:pPr>
              <w:pStyle w:val="182"/>
              <w:rPr>
                <w:color w:val="auto"/>
              </w:rPr>
            </w:pPr>
            <w:r>
              <w:rPr>
                <w:rFonts w:hint="eastAsia"/>
                <w:color w:val="auto"/>
              </w:rPr>
              <w:t>侧向</w:t>
            </w:r>
          </w:p>
        </w:tc>
      </w:tr>
    </w:tbl>
    <w:p>
      <w:pPr>
        <w:pStyle w:val="181"/>
        <w:bidi w:val="0"/>
        <w:rPr>
          <w:color w:val="auto"/>
        </w:rPr>
      </w:pPr>
      <w:r>
        <w:rPr>
          <w:rFonts w:hint="eastAsia"/>
          <w:color w:val="auto"/>
        </w:rPr>
        <w:t>表4</w:t>
      </w:r>
      <w:r>
        <w:rPr>
          <w:rFonts w:hint="eastAsia"/>
          <w:color w:val="auto"/>
          <w:lang w:val="en-US" w:eastAsia="zh-CN"/>
        </w:rPr>
        <w:t>.2</w:t>
      </w:r>
      <w:r>
        <w:rPr>
          <w:rFonts w:hint="eastAsia"/>
          <w:color w:val="auto"/>
        </w:rPr>
        <w:t>-</w:t>
      </w:r>
      <w:r>
        <w:rPr>
          <w:rFonts w:hint="eastAsia"/>
          <w:color w:val="auto"/>
          <w:lang w:val="en-US" w:eastAsia="zh-CN"/>
        </w:rPr>
        <w:t>10</w:t>
      </w:r>
      <w:r>
        <w:rPr>
          <w:rFonts w:hint="eastAsia"/>
          <w:color w:val="auto"/>
        </w:rPr>
        <w:t xml:space="preserve">     </w:t>
      </w:r>
      <w:r>
        <w:rPr>
          <w:color w:val="auto"/>
        </w:rPr>
        <w:t xml:space="preserve">     </w:t>
      </w:r>
      <w:r>
        <w:rPr>
          <w:rFonts w:hint="eastAsia"/>
          <w:color w:val="auto"/>
        </w:rPr>
        <w:t>地下水环境现状水位监测点位一览表</w:t>
      </w:r>
    </w:p>
    <w:tbl>
      <w:tblPr>
        <w:tblStyle w:val="32"/>
        <w:tblW w:w="5000" w:type="pct"/>
        <w:jc w:val="center"/>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6"/>
        <w:gridCol w:w="1904"/>
        <w:gridCol w:w="2379"/>
        <w:gridCol w:w="1853"/>
        <w:gridCol w:w="1430"/>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top w:val="single" w:color="auto" w:sz="8" w:space="0"/>
              <w:left w:val="single" w:color="auto" w:sz="8" w:space="0"/>
              <w:bottom w:val="single" w:color="auto" w:sz="8" w:space="0"/>
            </w:tcBorders>
            <w:vAlign w:val="center"/>
          </w:tcPr>
          <w:p>
            <w:pPr>
              <w:pStyle w:val="182"/>
              <w:rPr>
                <w:color w:val="auto"/>
                <w:lang w:val="en-US" w:eastAsia="zh-CN"/>
              </w:rPr>
            </w:pPr>
            <w:r>
              <w:rPr>
                <w:rFonts w:hint="eastAsia"/>
                <w:color w:val="auto"/>
                <w:lang w:val="en-US" w:eastAsia="zh-CN"/>
              </w:rPr>
              <w:t>监测点</w:t>
            </w:r>
          </w:p>
        </w:tc>
        <w:tc>
          <w:tcPr>
            <w:tcW w:w="1117" w:type="pct"/>
            <w:tcBorders>
              <w:top w:val="single" w:color="auto" w:sz="8" w:space="0"/>
              <w:bottom w:val="single" w:color="auto" w:sz="8" w:space="0"/>
            </w:tcBorders>
            <w:vAlign w:val="center"/>
          </w:tcPr>
          <w:p>
            <w:pPr>
              <w:pStyle w:val="182"/>
              <w:rPr>
                <w:color w:val="auto"/>
                <w:lang w:val="en-US" w:eastAsia="zh-CN"/>
              </w:rPr>
            </w:pPr>
            <w:r>
              <w:rPr>
                <w:rFonts w:hint="eastAsia"/>
                <w:color w:val="auto"/>
                <w:lang w:val="en-US" w:eastAsia="zh-CN"/>
              </w:rPr>
              <w:t>监测井位</w:t>
            </w:r>
          </w:p>
        </w:tc>
        <w:tc>
          <w:tcPr>
            <w:tcW w:w="1396" w:type="pct"/>
            <w:tcBorders>
              <w:top w:val="single" w:color="auto" w:sz="8" w:space="0"/>
              <w:bottom w:val="single" w:color="auto" w:sz="8" w:space="0"/>
            </w:tcBorders>
            <w:vAlign w:val="center"/>
          </w:tcPr>
          <w:p>
            <w:pPr>
              <w:pStyle w:val="182"/>
              <w:rPr>
                <w:color w:val="auto"/>
                <w:lang w:val="en-US" w:eastAsia="zh-CN"/>
              </w:rPr>
            </w:pPr>
            <w:r>
              <w:rPr>
                <w:rFonts w:hint="eastAsia"/>
                <w:color w:val="auto"/>
                <w:lang w:val="en-US" w:eastAsia="zh-CN"/>
              </w:rPr>
              <w:t>方位</w:t>
            </w:r>
          </w:p>
        </w:tc>
        <w:tc>
          <w:tcPr>
            <w:tcW w:w="1087" w:type="pct"/>
            <w:tcBorders>
              <w:top w:val="single" w:color="auto" w:sz="8" w:space="0"/>
              <w:bottom w:val="single" w:color="auto" w:sz="8" w:space="0"/>
            </w:tcBorders>
            <w:vAlign w:val="center"/>
          </w:tcPr>
          <w:p>
            <w:pPr>
              <w:pStyle w:val="182"/>
              <w:rPr>
                <w:color w:val="auto"/>
                <w:lang w:val="en-US" w:eastAsia="zh-CN"/>
              </w:rPr>
            </w:pPr>
            <w:r>
              <w:rPr>
                <w:rFonts w:hint="eastAsia"/>
                <w:color w:val="auto"/>
                <w:lang w:val="en-US" w:eastAsia="zh-CN"/>
              </w:rPr>
              <w:t>距离厂界（m）</w:t>
            </w:r>
          </w:p>
        </w:tc>
        <w:tc>
          <w:tcPr>
            <w:tcW w:w="839" w:type="pct"/>
            <w:tcBorders>
              <w:top w:val="single" w:color="auto" w:sz="8" w:space="0"/>
              <w:bottom w:val="single" w:color="auto" w:sz="8" w:space="0"/>
              <w:right w:val="single" w:color="auto" w:sz="8" w:space="0"/>
            </w:tcBorders>
            <w:vAlign w:val="center"/>
          </w:tcPr>
          <w:p>
            <w:pPr>
              <w:pStyle w:val="182"/>
              <w:rPr>
                <w:color w:val="auto"/>
                <w:lang w:val="en-US" w:eastAsia="zh-CN"/>
              </w:rPr>
            </w:pPr>
            <w:r>
              <w:rPr>
                <w:rFonts w:hint="eastAsia"/>
                <w:color w:val="auto"/>
                <w:lang w:val="en-US" w:eastAsia="zh-CN"/>
              </w:rPr>
              <w:t>功 能</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top w:val="single" w:color="auto" w:sz="8" w:space="0"/>
              <w:left w:val="single" w:color="auto" w:sz="8" w:space="0"/>
            </w:tcBorders>
            <w:vAlign w:val="center"/>
          </w:tcPr>
          <w:p>
            <w:pPr>
              <w:pStyle w:val="182"/>
              <w:rPr>
                <w:color w:val="auto"/>
              </w:rPr>
            </w:pPr>
            <w:r>
              <w:rPr>
                <w:rFonts w:hint="eastAsia"/>
                <w:color w:val="auto"/>
              </w:rPr>
              <w:t>1#</w:t>
            </w:r>
          </w:p>
        </w:tc>
        <w:tc>
          <w:tcPr>
            <w:tcW w:w="1117" w:type="pct"/>
            <w:tcBorders>
              <w:top w:val="single" w:color="auto" w:sz="8" w:space="0"/>
            </w:tcBorders>
            <w:vAlign w:val="center"/>
          </w:tcPr>
          <w:p>
            <w:pPr>
              <w:pStyle w:val="182"/>
              <w:rPr>
                <w:color w:val="auto"/>
                <w:lang w:val="en-US" w:eastAsia="zh-CN"/>
              </w:rPr>
            </w:pPr>
            <w:r>
              <w:rPr>
                <w:rFonts w:hint="eastAsia"/>
                <w:color w:val="auto"/>
                <w:lang w:val="en-US" w:eastAsia="zh-CN"/>
              </w:rPr>
              <w:t>化纤厂</w:t>
            </w:r>
            <w:r>
              <w:rPr>
                <w:rFonts w:hint="eastAsia"/>
                <w:color w:val="auto"/>
              </w:rPr>
              <w:t>新厂区</w:t>
            </w:r>
            <w:r>
              <w:rPr>
                <w:rFonts w:hint="eastAsia"/>
                <w:color w:val="auto"/>
                <w:lang w:val="en-US" w:eastAsia="zh-CN"/>
              </w:rPr>
              <w:t>水井</w:t>
            </w:r>
          </w:p>
          <w:p>
            <w:pPr>
              <w:pStyle w:val="182"/>
              <w:rPr>
                <w:color w:val="auto"/>
                <w:lang w:val="en-US" w:eastAsia="zh-CN"/>
              </w:rPr>
            </w:pPr>
            <w:r>
              <w:rPr>
                <w:rFonts w:hint="eastAsia"/>
                <w:color w:val="auto"/>
                <w:lang w:val="en-US" w:eastAsia="zh-CN"/>
              </w:rPr>
              <w:t>（工业用）</w:t>
            </w:r>
          </w:p>
        </w:tc>
        <w:tc>
          <w:tcPr>
            <w:tcW w:w="1396" w:type="pct"/>
            <w:tcBorders>
              <w:top w:val="single" w:color="auto" w:sz="8" w:space="0"/>
            </w:tcBorders>
            <w:vAlign w:val="center"/>
          </w:tcPr>
          <w:p>
            <w:pPr>
              <w:pStyle w:val="182"/>
              <w:rPr>
                <w:color w:val="auto"/>
                <w:lang w:val="en-US" w:eastAsia="zh-CN"/>
              </w:rPr>
            </w:pPr>
            <w:r>
              <w:rPr>
                <w:rFonts w:hint="eastAsia"/>
                <w:color w:val="auto"/>
                <w:lang w:val="en-US" w:eastAsia="zh-CN"/>
              </w:rPr>
              <w:t>/</w:t>
            </w:r>
          </w:p>
        </w:tc>
        <w:tc>
          <w:tcPr>
            <w:tcW w:w="1087" w:type="pct"/>
            <w:tcBorders>
              <w:top w:val="single" w:color="auto" w:sz="8" w:space="0"/>
            </w:tcBorders>
            <w:vAlign w:val="center"/>
          </w:tcPr>
          <w:p>
            <w:pPr>
              <w:pStyle w:val="182"/>
              <w:rPr>
                <w:color w:val="auto"/>
                <w:lang w:val="en-US" w:eastAsia="zh-CN"/>
              </w:rPr>
            </w:pPr>
            <w:r>
              <w:rPr>
                <w:rFonts w:hint="eastAsia"/>
                <w:color w:val="auto"/>
                <w:lang w:val="en-US" w:eastAsia="zh-CN"/>
              </w:rPr>
              <w:t>0</w:t>
            </w:r>
          </w:p>
        </w:tc>
        <w:tc>
          <w:tcPr>
            <w:tcW w:w="839" w:type="pct"/>
            <w:tcBorders>
              <w:top w:val="single" w:color="auto" w:sz="8" w:space="0"/>
              <w:right w:val="single" w:color="auto" w:sz="8" w:space="0"/>
            </w:tcBorders>
            <w:vAlign w:val="center"/>
          </w:tcPr>
          <w:p>
            <w:pPr>
              <w:pStyle w:val="182"/>
              <w:rPr>
                <w:color w:val="auto"/>
                <w:lang w:val="en-US" w:eastAsia="zh-CN"/>
              </w:rPr>
            </w:pPr>
            <w:r>
              <w:rPr>
                <w:rFonts w:hint="eastAsia"/>
                <w:color w:val="auto"/>
                <w:lang w:val="en-US" w:eastAsia="zh-CN"/>
              </w:rPr>
              <w:t>监控点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2#</w:t>
            </w:r>
          </w:p>
        </w:tc>
        <w:tc>
          <w:tcPr>
            <w:tcW w:w="1117" w:type="pct"/>
            <w:vAlign w:val="center"/>
          </w:tcPr>
          <w:p>
            <w:pPr>
              <w:pStyle w:val="182"/>
              <w:rPr>
                <w:color w:val="auto"/>
                <w:lang w:val="en-US" w:eastAsia="zh-CN"/>
              </w:rPr>
            </w:pPr>
            <w:r>
              <w:rPr>
                <w:rFonts w:hint="eastAsia"/>
                <w:color w:val="auto"/>
                <w:lang w:val="en-US" w:eastAsia="zh-CN"/>
              </w:rPr>
              <w:t>夏庄村</w:t>
            </w:r>
          </w:p>
        </w:tc>
        <w:tc>
          <w:tcPr>
            <w:tcW w:w="1396" w:type="pct"/>
            <w:vAlign w:val="center"/>
          </w:tcPr>
          <w:p>
            <w:pPr>
              <w:pStyle w:val="182"/>
              <w:rPr>
                <w:color w:val="auto"/>
                <w:lang w:val="en-US" w:eastAsia="zh-CN"/>
              </w:rPr>
            </w:pPr>
            <w:r>
              <w:rPr>
                <w:rFonts w:hint="eastAsia"/>
                <w:color w:val="auto"/>
                <w:lang w:val="en-US" w:eastAsia="zh-CN"/>
              </w:rPr>
              <w:t>西南</w:t>
            </w:r>
          </w:p>
        </w:tc>
        <w:tc>
          <w:tcPr>
            <w:tcW w:w="1087" w:type="pct"/>
            <w:vAlign w:val="center"/>
          </w:tcPr>
          <w:p>
            <w:pPr>
              <w:pStyle w:val="182"/>
              <w:rPr>
                <w:rFonts w:hint="default"/>
                <w:color w:val="auto"/>
                <w:lang w:val="en-US" w:eastAsia="zh-CN"/>
              </w:rPr>
            </w:pPr>
            <w:r>
              <w:rPr>
                <w:rFonts w:hint="eastAsia"/>
                <w:color w:val="auto"/>
                <w:lang w:val="en-US" w:eastAsia="zh-CN"/>
              </w:rPr>
              <w:t>600</w:t>
            </w:r>
          </w:p>
        </w:tc>
        <w:tc>
          <w:tcPr>
            <w:tcW w:w="839" w:type="pct"/>
            <w:tcBorders>
              <w:right w:val="single" w:color="auto" w:sz="8" w:space="0"/>
            </w:tcBorders>
            <w:vAlign w:val="center"/>
          </w:tcPr>
          <w:p>
            <w:pPr>
              <w:pStyle w:val="182"/>
              <w:rPr>
                <w:color w:val="auto"/>
                <w:lang w:val="en-US" w:eastAsia="zh-CN"/>
              </w:rPr>
            </w:pPr>
            <w:r>
              <w:rPr>
                <w:rFonts w:hint="eastAsia"/>
                <w:color w:val="auto"/>
                <w:lang w:val="en-US" w:eastAsia="zh-CN"/>
              </w:rPr>
              <w:t>对照点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3#</w:t>
            </w:r>
          </w:p>
        </w:tc>
        <w:tc>
          <w:tcPr>
            <w:tcW w:w="1117" w:type="pct"/>
            <w:vAlign w:val="center"/>
          </w:tcPr>
          <w:p>
            <w:pPr>
              <w:pStyle w:val="182"/>
              <w:rPr>
                <w:color w:val="auto"/>
                <w:lang w:val="en-US" w:eastAsia="zh-CN"/>
              </w:rPr>
            </w:pPr>
            <w:r>
              <w:rPr>
                <w:rFonts w:hint="eastAsia"/>
                <w:color w:val="auto"/>
                <w:lang w:val="en-US" w:eastAsia="zh-CN"/>
              </w:rPr>
              <w:t>水花堡村</w:t>
            </w:r>
          </w:p>
        </w:tc>
        <w:tc>
          <w:tcPr>
            <w:tcW w:w="1396" w:type="pct"/>
            <w:vAlign w:val="center"/>
          </w:tcPr>
          <w:p>
            <w:pPr>
              <w:pStyle w:val="182"/>
              <w:rPr>
                <w:color w:val="auto"/>
                <w:lang w:val="en-US" w:eastAsia="zh-CN"/>
              </w:rPr>
            </w:pPr>
            <w:r>
              <w:rPr>
                <w:rFonts w:hint="eastAsia"/>
                <w:color w:val="auto"/>
                <w:lang w:val="en-US" w:eastAsia="zh-CN"/>
              </w:rPr>
              <w:t>东北</w:t>
            </w:r>
          </w:p>
        </w:tc>
        <w:tc>
          <w:tcPr>
            <w:tcW w:w="1087" w:type="pct"/>
            <w:vAlign w:val="center"/>
          </w:tcPr>
          <w:p>
            <w:pPr>
              <w:pStyle w:val="182"/>
              <w:rPr>
                <w:rFonts w:hint="default"/>
                <w:color w:val="auto"/>
                <w:lang w:val="en-US" w:eastAsia="zh-CN"/>
              </w:rPr>
            </w:pPr>
            <w:r>
              <w:rPr>
                <w:rFonts w:hint="eastAsia"/>
                <w:color w:val="auto"/>
                <w:lang w:val="en-US" w:eastAsia="zh-CN"/>
              </w:rPr>
              <w:t>3850</w:t>
            </w:r>
          </w:p>
        </w:tc>
        <w:tc>
          <w:tcPr>
            <w:tcW w:w="839" w:type="pct"/>
            <w:tcBorders>
              <w:right w:val="single" w:color="auto" w:sz="8" w:space="0"/>
            </w:tcBorders>
            <w:vAlign w:val="center"/>
          </w:tcPr>
          <w:p>
            <w:pPr>
              <w:pStyle w:val="182"/>
              <w:rPr>
                <w:color w:val="auto"/>
                <w:lang w:val="en-US" w:eastAsia="zh-CN"/>
              </w:rPr>
            </w:pPr>
            <w:r>
              <w:rPr>
                <w:rFonts w:hint="eastAsia"/>
                <w:color w:val="auto"/>
                <w:lang w:val="en-US" w:eastAsia="zh-CN"/>
              </w:rPr>
              <w:t>监控点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4#</w:t>
            </w:r>
          </w:p>
        </w:tc>
        <w:tc>
          <w:tcPr>
            <w:tcW w:w="1117" w:type="pct"/>
            <w:vAlign w:val="center"/>
          </w:tcPr>
          <w:p>
            <w:pPr>
              <w:pStyle w:val="182"/>
              <w:rPr>
                <w:color w:val="auto"/>
                <w:lang w:val="en-US" w:eastAsia="zh-CN"/>
              </w:rPr>
            </w:pPr>
            <w:r>
              <w:rPr>
                <w:rFonts w:hint="eastAsia"/>
                <w:color w:val="auto"/>
                <w:lang w:val="en-US" w:eastAsia="zh-CN"/>
              </w:rPr>
              <w:t>大杨庄村</w:t>
            </w:r>
          </w:p>
        </w:tc>
        <w:tc>
          <w:tcPr>
            <w:tcW w:w="1396" w:type="pct"/>
            <w:vAlign w:val="center"/>
          </w:tcPr>
          <w:p>
            <w:pPr>
              <w:pStyle w:val="182"/>
              <w:rPr>
                <w:color w:val="auto"/>
                <w:lang w:val="en-US" w:eastAsia="zh-CN"/>
              </w:rPr>
            </w:pPr>
            <w:r>
              <w:rPr>
                <w:rFonts w:hint="eastAsia"/>
                <w:color w:val="auto"/>
                <w:lang w:val="en-US" w:eastAsia="zh-CN"/>
              </w:rPr>
              <w:t>东南</w:t>
            </w:r>
          </w:p>
        </w:tc>
        <w:tc>
          <w:tcPr>
            <w:tcW w:w="1087" w:type="pct"/>
            <w:vAlign w:val="center"/>
          </w:tcPr>
          <w:p>
            <w:pPr>
              <w:pStyle w:val="182"/>
              <w:rPr>
                <w:rFonts w:hint="default"/>
                <w:color w:val="auto"/>
                <w:lang w:val="en-US" w:eastAsia="zh-CN"/>
              </w:rPr>
            </w:pPr>
            <w:r>
              <w:rPr>
                <w:rFonts w:hint="eastAsia"/>
                <w:color w:val="auto"/>
                <w:lang w:val="en-US" w:eastAsia="zh-CN"/>
              </w:rPr>
              <w:t>700</w:t>
            </w:r>
          </w:p>
        </w:tc>
        <w:tc>
          <w:tcPr>
            <w:tcW w:w="839" w:type="pct"/>
            <w:tcBorders>
              <w:right w:val="single" w:color="auto" w:sz="8" w:space="0"/>
            </w:tcBorders>
            <w:vAlign w:val="center"/>
          </w:tcPr>
          <w:p>
            <w:pPr>
              <w:pStyle w:val="182"/>
              <w:rPr>
                <w:color w:val="auto"/>
                <w:lang w:val="en-US" w:eastAsia="zh-CN"/>
              </w:rPr>
            </w:pPr>
            <w:r>
              <w:rPr>
                <w:rFonts w:hint="eastAsia"/>
                <w:color w:val="auto"/>
                <w:lang w:val="en-US" w:eastAsia="zh-CN"/>
              </w:rPr>
              <w:t>监控点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5#</w:t>
            </w:r>
          </w:p>
        </w:tc>
        <w:tc>
          <w:tcPr>
            <w:tcW w:w="1117" w:type="pct"/>
            <w:vAlign w:val="center"/>
          </w:tcPr>
          <w:p>
            <w:pPr>
              <w:pStyle w:val="182"/>
              <w:rPr>
                <w:color w:val="auto"/>
                <w:lang w:val="en-US" w:eastAsia="zh-CN"/>
              </w:rPr>
            </w:pPr>
            <w:r>
              <w:rPr>
                <w:rFonts w:hint="eastAsia"/>
                <w:color w:val="auto"/>
                <w:lang w:val="en-US" w:eastAsia="zh-CN"/>
              </w:rPr>
              <w:t>小杨庄村</w:t>
            </w:r>
          </w:p>
        </w:tc>
        <w:tc>
          <w:tcPr>
            <w:tcW w:w="1396" w:type="pct"/>
            <w:vAlign w:val="center"/>
          </w:tcPr>
          <w:p>
            <w:pPr>
              <w:pStyle w:val="182"/>
              <w:rPr>
                <w:color w:val="auto"/>
                <w:lang w:val="en-US" w:eastAsia="zh-CN"/>
              </w:rPr>
            </w:pPr>
            <w:r>
              <w:rPr>
                <w:rFonts w:hint="eastAsia"/>
                <w:color w:val="auto"/>
                <w:lang w:val="en-US" w:eastAsia="zh-CN"/>
              </w:rPr>
              <w:t>北</w:t>
            </w:r>
          </w:p>
        </w:tc>
        <w:tc>
          <w:tcPr>
            <w:tcW w:w="1087" w:type="pct"/>
            <w:vAlign w:val="center"/>
          </w:tcPr>
          <w:p>
            <w:pPr>
              <w:pStyle w:val="182"/>
              <w:rPr>
                <w:rFonts w:hint="default"/>
                <w:color w:val="auto"/>
                <w:lang w:val="en-US" w:eastAsia="zh-CN"/>
              </w:rPr>
            </w:pPr>
            <w:r>
              <w:rPr>
                <w:rFonts w:hint="eastAsia"/>
                <w:color w:val="auto"/>
                <w:lang w:val="en-US" w:eastAsia="zh-CN"/>
              </w:rPr>
              <w:t>2690</w:t>
            </w:r>
          </w:p>
        </w:tc>
        <w:tc>
          <w:tcPr>
            <w:tcW w:w="839" w:type="pct"/>
            <w:tcBorders>
              <w:right w:val="single" w:color="auto" w:sz="8" w:space="0"/>
            </w:tcBorders>
            <w:vAlign w:val="center"/>
          </w:tcPr>
          <w:p>
            <w:pPr>
              <w:pStyle w:val="182"/>
              <w:rPr>
                <w:color w:val="auto"/>
                <w:lang w:val="en-US" w:eastAsia="zh-CN"/>
              </w:rPr>
            </w:pPr>
            <w:r>
              <w:rPr>
                <w:rFonts w:hint="eastAsia"/>
                <w:color w:val="auto"/>
                <w:lang w:val="en-US" w:eastAsia="zh-CN"/>
              </w:rPr>
              <w:t>监控点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6#</w:t>
            </w:r>
          </w:p>
        </w:tc>
        <w:tc>
          <w:tcPr>
            <w:tcW w:w="1117" w:type="pct"/>
            <w:vAlign w:val="center"/>
          </w:tcPr>
          <w:p>
            <w:pPr>
              <w:pStyle w:val="182"/>
              <w:rPr>
                <w:color w:val="auto"/>
                <w:lang w:val="en-US" w:eastAsia="zh-CN"/>
              </w:rPr>
            </w:pPr>
            <w:r>
              <w:rPr>
                <w:rFonts w:hint="eastAsia"/>
                <w:color w:val="auto"/>
                <w:lang w:val="en-US" w:eastAsia="zh-CN"/>
              </w:rPr>
              <w:t>姚庄村</w:t>
            </w:r>
          </w:p>
        </w:tc>
        <w:tc>
          <w:tcPr>
            <w:tcW w:w="1396" w:type="pct"/>
            <w:vAlign w:val="center"/>
          </w:tcPr>
          <w:p>
            <w:pPr>
              <w:pStyle w:val="182"/>
              <w:rPr>
                <w:color w:val="auto"/>
                <w:lang w:val="en-US" w:eastAsia="zh-CN"/>
              </w:rPr>
            </w:pPr>
            <w:r>
              <w:rPr>
                <w:rFonts w:hint="eastAsia"/>
                <w:color w:val="auto"/>
                <w:lang w:val="en-US" w:eastAsia="zh-CN"/>
              </w:rPr>
              <w:t>西南</w:t>
            </w:r>
          </w:p>
        </w:tc>
        <w:tc>
          <w:tcPr>
            <w:tcW w:w="1087" w:type="pct"/>
            <w:vAlign w:val="center"/>
          </w:tcPr>
          <w:p>
            <w:pPr>
              <w:pStyle w:val="182"/>
              <w:rPr>
                <w:rFonts w:hint="default"/>
                <w:color w:val="auto"/>
                <w:lang w:val="en-US" w:eastAsia="zh-CN"/>
              </w:rPr>
            </w:pPr>
            <w:r>
              <w:rPr>
                <w:rFonts w:hint="eastAsia"/>
                <w:color w:val="auto"/>
                <w:lang w:val="en-US" w:eastAsia="zh-CN"/>
              </w:rPr>
              <w:t>1080</w:t>
            </w:r>
          </w:p>
        </w:tc>
        <w:tc>
          <w:tcPr>
            <w:tcW w:w="839" w:type="pct"/>
            <w:tcBorders>
              <w:right w:val="single" w:color="auto" w:sz="8" w:space="0"/>
            </w:tcBorders>
            <w:vAlign w:val="center"/>
          </w:tcPr>
          <w:p>
            <w:pPr>
              <w:pStyle w:val="182"/>
              <w:rPr>
                <w:color w:val="auto"/>
                <w:lang w:val="en-US" w:eastAsia="zh-CN"/>
              </w:rPr>
            </w:pPr>
            <w:r>
              <w:rPr>
                <w:rFonts w:hint="eastAsia"/>
                <w:color w:val="auto"/>
                <w:lang w:val="en-US" w:eastAsia="zh-CN"/>
              </w:rPr>
              <w:t>对照点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7#</w:t>
            </w:r>
          </w:p>
        </w:tc>
        <w:tc>
          <w:tcPr>
            <w:tcW w:w="1117" w:type="pct"/>
            <w:vAlign w:val="center"/>
          </w:tcPr>
          <w:p>
            <w:pPr>
              <w:pStyle w:val="182"/>
              <w:rPr>
                <w:color w:val="auto"/>
                <w:lang w:val="en-US" w:eastAsia="zh-CN"/>
              </w:rPr>
            </w:pPr>
            <w:r>
              <w:rPr>
                <w:rFonts w:hint="eastAsia"/>
                <w:color w:val="auto"/>
                <w:lang w:val="en-US" w:eastAsia="zh-CN"/>
              </w:rPr>
              <w:t>汲津铺村</w:t>
            </w:r>
          </w:p>
        </w:tc>
        <w:tc>
          <w:tcPr>
            <w:tcW w:w="1396" w:type="pct"/>
            <w:vAlign w:val="center"/>
          </w:tcPr>
          <w:p>
            <w:pPr>
              <w:pStyle w:val="182"/>
              <w:rPr>
                <w:color w:val="auto"/>
                <w:lang w:val="en-US" w:eastAsia="zh-CN"/>
              </w:rPr>
            </w:pPr>
            <w:r>
              <w:rPr>
                <w:rFonts w:hint="eastAsia"/>
                <w:color w:val="auto"/>
                <w:lang w:val="en-US" w:eastAsia="zh-CN"/>
              </w:rPr>
              <w:t>东北</w:t>
            </w:r>
          </w:p>
        </w:tc>
        <w:tc>
          <w:tcPr>
            <w:tcW w:w="1087" w:type="pct"/>
            <w:vAlign w:val="center"/>
          </w:tcPr>
          <w:p>
            <w:pPr>
              <w:pStyle w:val="182"/>
              <w:rPr>
                <w:rFonts w:hint="default"/>
                <w:color w:val="auto"/>
                <w:lang w:val="en-US" w:eastAsia="zh-CN"/>
              </w:rPr>
            </w:pPr>
            <w:r>
              <w:rPr>
                <w:rFonts w:hint="eastAsia"/>
                <w:color w:val="auto"/>
                <w:lang w:val="en-US" w:eastAsia="zh-CN"/>
              </w:rPr>
              <w:t>3980</w:t>
            </w:r>
          </w:p>
        </w:tc>
        <w:tc>
          <w:tcPr>
            <w:tcW w:w="839" w:type="pct"/>
            <w:tcBorders>
              <w:right w:val="single" w:color="auto" w:sz="8" w:space="0"/>
            </w:tcBorders>
            <w:vAlign w:val="center"/>
          </w:tcPr>
          <w:p>
            <w:pPr>
              <w:pStyle w:val="182"/>
              <w:rPr>
                <w:color w:val="auto"/>
                <w:lang w:val="en-US" w:eastAsia="zh-CN"/>
              </w:rPr>
            </w:pPr>
            <w:r>
              <w:rPr>
                <w:rFonts w:hint="eastAsia"/>
                <w:color w:val="auto"/>
                <w:lang w:val="en-US" w:eastAsia="zh-CN"/>
              </w:rPr>
              <w:t>监控点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8#</w:t>
            </w:r>
          </w:p>
        </w:tc>
        <w:tc>
          <w:tcPr>
            <w:tcW w:w="1117" w:type="pct"/>
            <w:vAlign w:val="center"/>
          </w:tcPr>
          <w:p>
            <w:pPr>
              <w:pStyle w:val="182"/>
              <w:rPr>
                <w:color w:val="auto"/>
                <w:lang w:val="en-US" w:eastAsia="zh-CN"/>
              </w:rPr>
            </w:pPr>
            <w:r>
              <w:rPr>
                <w:rFonts w:hint="eastAsia"/>
                <w:color w:val="auto"/>
                <w:lang w:val="en-US" w:eastAsia="zh-CN"/>
              </w:rPr>
              <w:t>郑庄村</w:t>
            </w:r>
          </w:p>
        </w:tc>
        <w:tc>
          <w:tcPr>
            <w:tcW w:w="1396" w:type="pct"/>
            <w:vAlign w:val="center"/>
          </w:tcPr>
          <w:p>
            <w:pPr>
              <w:pStyle w:val="182"/>
              <w:rPr>
                <w:color w:val="auto"/>
                <w:lang w:val="en-US" w:eastAsia="zh-CN"/>
              </w:rPr>
            </w:pPr>
            <w:r>
              <w:rPr>
                <w:rFonts w:hint="eastAsia"/>
                <w:color w:val="auto"/>
                <w:lang w:val="en-US" w:eastAsia="zh-CN"/>
              </w:rPr>
              <w:t>西北</w:t>
            </w:r>
          </w:p>
        </w:tc>
        <w:tc>
          <w:tcPr>
            <w:tcW w:w="1087" w:type="pct"/>
            <w:vAlign w:val="center"/>
          </w:tcPr>
          <w:p>
            <w:pPr>
              <w:pStyle w:val="182"/>
              <w:rPr>
                <w:rFonts w:hint="default"/>
                <w:color w:val="auto"/>
                <w:lang w:val="en-US" w:eastAsia="zh-CN"/>
              </w:rPr>
            </w:pPr>
            <w:r>
              <w:rPr>
                <w:rFonts w:hint="eastAsia"/>
                <w:color w:val="auto"/>
                <w:lang w:val="en-US" w:eastAsia="zh-CN"/>
              </w:rPr>
              <w:t>2430</w:t>
            </w:r>
          </w:p>
        </w:tc>
        <w:tc>
          <w:tcPr>
            <w:tcW w:w="839" w:type="pct"/>
            <w:tcBorders>
              <w:right w:val="single" w:color="auto" w:sz="8" w:space="0"/>
            </w:tcBorders>
            <w:vAlign w:val="center"/>
          </w:tcPr>
          <w:p>
            <w:pPr>
              <w:pStyle w:val="182"/>
              <w:rPr>
                <w:color w:val="auto"/>
                <w:lang w:val="en-US" w:eastAsia="zh-CN"/>
              </w:rPr>
            </w:pPr>
            <w:r>
              <w:rPr>
                <w:rFonts w:hint="eastAsia"/>
                <w:color w:val="auto"/>
                <w:lang w:val="en-US" w:eastAsia="zh-CN"/>
              </w:rPr>
              <w:t>监控点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tcBorders>
            <w:vAlign w:val="center"/>
          </w:tcPr>
          <w:p>
            <w:pPr>
              <w:pStyle w:val="182"/>
              <w:rPr>
                <w:color w:val="auto"/>
              </w:rPr>
            </w:pPr>
            <w:r>
              <w:rPr>
                <w:rFonts w:hint="eastAsia"/>
                <w:color w:val="auto"/>
              </w:rPr>
              <w:t>9#</w:t>
            </w:r>
          </w:p>
        </w:tc>
        <w:tc>
          <w:tcPr>
            <w:tcW w:w="1117" w:type="pct"/>
            <w:vAlign w:val="center"/>
          </w:tcPr>
          <w:p>
            <w:pPr>
              <w:pStyle w:val="182"/>
              <w:rPr>
                <w:color w:val="auto"/>
                <w:lang w:val="en-US" w:eastAsia="zh-CN"/>
              </w:rPr>
            </w:pPr>
            <w:r>
              <w:rPr>
                <w:rFonts w:hint="eastAsia"/>
                <w:color w:val="auto"/>
                <w:lang w:val="en-US" w:eastAsia="zh-CN"/>
              </w:rPr>
              <w:t>张河村</w:t>
            </w:r>
          </w:p>
        </w:tc>
        <w:tc>
          <w:tcPr>
            <w:tcW w:w="1396" w:type="pct"/>
            <w:vAlign w:val="center"/>
          </w:tcPr>
          <w:p>
            <w:pPr>
              <w:pStyle w:val="182"/>
              <w:rPr>
                <w:color w:val="auto"/>
                <w:lang w:val="en-US" w:eastAsia="zh-CN"/>
              </w:rPr>
            </w:pPr>
            <w:r>
              <w:rPr>
                <w:rFonts w:hint="eastAsia"/>
                <w:color w:val="auto"/>
                <w:lang w:val="en-US" w:eastAsia="zh-CN"/>
              </w:rPr>
              <w:t>南</w:t>
            </w:r>
          </w:p>
        </w:tc>
        <w:tc>
          <w:tcPr>
            <w:tcW w:w="1087" w:type="pct"/>
            <w:vAlign w:val="center"/>
          </w:tcPr>
          <w:p>
            <w:pPr>
              <w:pStyle w:val="182"/>
              <w:rPr>
                <w:rFonts w:hint="default"/>
                <w:color w:val="auto"/>
                <w:lang w:val="en-US" w:eastAsia="zh-CN"/>
              </w:rPr>
            </w:pPr>
            <w:r>
              <w:rPr>
                <w:rFonts w:hint="eastAsia"/>
                <w:color w:val="auto"/>
                <w:lang w:val="en-US" w:eastAsia="zh-CN"/>
              </w:rPr>
              <w:t>2610</w:t>
            </w:r>
          </w:p>
        </w:tc>
        <w:tc>
          <w:tcPr>
            <w:tcW w:w="839" w:type="pct"/>
            <w:tcBorders>
              <w:right w:val="single" w:color="auto" w:sz="8" w:space="0"/>
            </w:tcBorders>
            <w:vAlign w:val="center"/>
          </w:tcPr>
          <w:p>
            <w:pPr>
              <w:pStyle w:val="182"/>
              <w:rPr>
                <w:color w:val="auto"/>
                <w:lang w:val="en-US" w:eastAsia="zh-CN"/>
              </w:rPr>
            </w:pPr>
            <w:r>
              <w:rPr>
                <w:rFonts w:hint="eastAsia"/>
                <w:color w:val="auto"/>
                <w:lang w:val="en-US" w:eastAsia="zh-CN"/>
              </w:rPr>
              <w:t>监控点</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left w:val="single" w:color="auto" w:sz="8" w:space="0"/>
              <w:bottom w:val="single" w:color="auto" w:sz="8" w:space="0"/>
            </w:tcBorders>
            <w:vAlign w:val="center"/>
          </w:tcPr>
          <w:p>
            <w:pPr>
              <w:pStyle w:val="182"/>
              <w:rPr>
                <w:color w:val="auto"/>
              </w:rPr>
            </w:pPr>
            <w:r>
              <w:rPr>
                <w:rFonts w:hint="eastAsia"/>
                <w:color w:val="auto"/>
              </w:rPr>
              <w:t>10#</w:t>
            </w:r>
          </w:p>
        </w:tc>
        <w:tc>
          <w:tcPr>
            <w:tcW w:w="1117" w:type="pct"/>
            <w:tcBorders>
              <w:bottom w:val="single" w:color="auto" w:sz="8" w:space="0"/>
            </w:tcBorders>
            <w:vAlign w:val="center"/>
          </w:tcPr>
          <w:p>
            <w:pPr>
              <w:pStyle w:val="182"/>
              <w:rPr>
                <w:color w:val="auto"/>
                <w:lang w:val="en-US" w:eastAsia="zh-CN"/>
              </w:rPr>
            </w:pPr>
            <w:r>
              <w:rPr>
                <w:rFonts w:hint="eastAsia"/>
                <w:color w:val="auto"/>
                <w:lang w:val="en-US" w:eastAsia="zh-CN"/>
              </w:rPr>
              <w:t>十八里村</w:t>
            </w:r>
          </w:p>
        </w:tc>
        <w:tc>
          <w:tcPr>
            <w:tcW w:w="1396" w:type="pct"/>
            <w:tcBorders>
              <w:bottom w:val="single" w:color="auto" w:sz="8" w:space="0"/>
            </w:tcBorders>
            <w:vAlign w:val="center"/>
          </w:tcPr>
          <w:p>
            <w:pPr>
              <w:pStyle w:val="182"/>
              <w:rPr>
                <w:color w:val="auto"/>
                <w:lang w:val="en-US" w:eastAsia="zh-CN"/>
              </w:rPr>
            </w:pPr>
            <w:r>
              <w:rPr>
                <w:rFonts w:hint="eastAsia"/>
                <w:color w:val="auto"/>
                <w:lang w:val="en-US" w:eastAsia="zh-CN"/>
              </w:rPr>
              <w:t>东北</w:t>
            </w:r>
          </w:p>
        </w:tc>
        <w:tc>
          <w:tcPr>
            <w:tcW w:w="1087" w:type="pct"/>
            <w:tcBorders>
              <w:bottom w:val="single" w:color="auto" w:sz="8" w:space="0"/>
            </w:tcBorders>
            <w:vAlign w:val="center"/>
          </w:tcPr>
          <w:p>
            <w:pPr>
              <w:pStyle w:val="182"/>
              <w:rPr>
                <w:rFonts w:hint="default"/>
                <w:color w:val="auto"/>
                <w:lang w:val="en-US" w:eastAsia="zh-CN"/>
              </w:rPr>
            </w:pPr>
            <w:r>
              <w:rPr>
                <w:rFonts w:hint="eastAsia"/>
                <w:color w:val="auto"/>
                <w:lang w:val="en-US" w:eastAsia="zh-CN"/>
              </w:rPr>
              <w:t>4860</w:t>
            </w:r>
          </w:p>
        </w:tc>
        <w:tc>
          <w:tcPr>
            <w:tcW w:w="839" w:type="pct"/>
            <w:tcBorders>
              <w:bottom w:val="single" w:color="auto" w:sz="8" w:space="0"/>
              <w:right w:val="single" w:color="auto" w:sz="8" w:space="0"/>
            </w:tcBorders>
            <w:vAlign w:val="center"/>
          </w:tcPr>
          <w:p>
            <w:pPr>
              <w:pStyle w:val="182"/>
              <w:rPr>
                <w:color w:val="auto"/>
                <w:lang w:val="en-US" w:eastAsia="zh-CN"/>
              </w:rPr>
            </w:pPr>
            <w:r>
              <w:rPr>
                <w:rFonts w:hint="eastAsia"/>
                <w:color w:val="auto"/>
                <w:lang w:val="en-US" w:eastAsia="zh-CN"/>
              </w:rPr>
              <w:t>监控点</w:t>
            </w:r>
          </w:p>
        </w:tc>
      </w:tr>
    </w:tbl>
    <w:p>
      <w:pPr>
        <w:spacing w:line="500" w:lineRule="exact"/>
        <w:ind w:firstLine="480" w:firstLineChars="200"/>
        <w:rPr>
          <w:color w:val="auto"/>
          <w:sz w:val="24"/>
        </w:rPr>
      </w:pPr>
      <w:r>
        <w:rPr>
          <w:rFonts w:hint="eastAsia"/>
          <w:color w:val="auto"/>
          <w:sz w:val="24"/>
        </w:rPr>
        <w:t>（2）监测因子</w:t>
      </w:r>
    </w:p>
    <w:p>
      <w:pPr>
        <w:spacing w:line="500" w:lineRule="exact"/>
        <w:ind w:firstLine="480" w:firstLineChars="200"/>
        <w:rPr>
          <w:color w:val="auto"/>
          <w:sz w:val="24"/>
        </w:rPr>
      </w:pPr>
      <w:r>
        <w:rPr>
          <w:color w:val="auto"/>
          <w:sz w:val="24"/>
        </w:rPr>
        <w:t>本次地下水质量现状监测因子选取pH</w:t>
      </w:r>
      <w:r>
        <w:rPr>
          <w:rFonts w:hint="eastAsia"/>
          <w:color w:val="auto"/>
          <w:sz w:val="24"/>
        </w:rPr>
        <w:t>、氨氮、总硬度、溶解性总固体、耗氧量、</w:t>
      </w:r>
      <w:r>
        <w:rPr>
          <w:color w:val="auto"/>
          <w:sz w:val="24"/>
        </w:rPr>
        <w:t>K</w:t>
      </w:r>
      <w:r>
        <w:rPr>
          <w:color w:val="auto"/>
          <w:sz w:val="24"/>
          <w:vertAlign w:val="superscript"/>
        </w:rPr>
        <w:t>+</w:t>
      </w:r>
      <w:r>
        <w:rPr>
          <w:rFonts w:hint="eastAsia"/>
          <w:color w:val="auto"/>
          <w:sz w:val="24"/>
        </w:rPr>
        <w:t>、</w:t>
      </w:r>
      <w:r>
        <w:rPr>
          <w:color w:val="auto"/>
          <w:sz w:val="24"/>
        </w:rPr>
        <w:t>Na</w:t>
      </w:r>
      <w:r>
        <w:rPr>
          <w:color w:val="auto"/>
          <w:sz w:val="24"/>
          <w:vertAlign w:val="superscript"/>
        </w:rPr>
        <w:t>+</w:t>
      </w:r>
      <w:r>
        <w:rPr>
          <w:rFonts w:hint="eastAsia"/>
          <w:color w:val="auto"/>
          <w:sz w:val="24"/>
        </w:rPr>
        <w:t>、</w:t>
      </w:r>
      <w:r>
        <w:rPr>
          <w:color w:val="auto"/>
          <w:sz w:val="24"/>
        </w:rPr>
        <w:t>Ca</w:t>
      </w:r>
      <w:r>
        <w:rPr>
          <w:color w:val="auto"/>
          <w:sz w:val="24"/>
          <w:vertAlign w:val="superscript"/>
        </w:rPr>
        <w:t>2+</w:t>
      </w:r>
      <w:r>
        <w:rPr>
          <w:rFonts w:hint="eastAsia"/>
          <w:color w:val="auto"/>
          <w:sz w:val="24"/>
        </w:rPr>
        <w:t>、</w:t>
      </w:r>
      <w:r>
        <w:rPr>
          <w:color w:val="auto"/>
          <w:sz w:val="24"/>
        </w:rPr>
        <w:t>Mg</w:t>
      </w:r>
      <w:r>
        <w:rPr>
          <w:color w:val="auto"/>
          <w:sz w:val="24"/>
          <w:vertAlign w:val="superscript"/>
        </w:rPr>
        <w:t>2+</w:t>
      </w:r>
      <w:r>
        <w:rPr>
          <w:rFonts w:hint="eastAsia"/>
          <w:color w:val="auto"/>
          <w:sz w:val="24"/>
        </w:rPr>
        <w:t>、</w:t>
      </w:r>
      <w:r>
        <w:rPr>
          <w:color w:val="auto"/>
          <w:sz w:val="24"/>
        </w:rPr>
        <w:t>CO</w:t>
      </w:r>
      <w:r>
        <w:rPr>
          <w:color w:val="auto"/>
          <w:sz w:val="24"/>
          <w:vertAlign w:val="subscript"/>
        </w:rPr>
        <w:t>3</w:t>
      </w:r>
      <w:r>
        <w:rPr>
          <w:color w:val="auto"/>
          <w:sz w:val="24"/>
          <w:vertAlign w:val="superscript"/>
        </w:rPr>
        <w:t>2-</w:t>
      </w:r>
      <w:r>
        <w:rPr>
          <w:rFonts w:hint="eastAsia"/>
          <w:color w:val="auto"/>
          <w:sz w:val="24"/>
        </w:rPr>
        <w:t>、</w:t>
      </w:r>
      <w:r>
        <w:rPr>
          <w:color w:val="auto"/>
          <w:sz w:val="24"/>
        </w:rPr>
        <w:t>HCO</w:t>
      </w:r>
      <w:r>
        <w:rPr>
          <w:color w:val="auto"/>
          <w:sz w:val="24"/>
          <w:vertAlign w:val="subscript"/>
        </w:rPr>
        <w:t>3</w:t>
      </w:r>
      <w:r>
        <w:rPr>
          <w:color w:val="auto"/>
          <w:sz w:val="24"/>
          <w:vertAlign w:val="superscript"/>
        </w:rPr>
        <w:t>-</w:t>
      </w:r>
      <w:r>
        <w:rPr>
          <w:rFonts w:hint="eastAsia"/>
          <w:color w:val="auto"/>
          <w:sz w:val="24"/>
        </w:rPr>
        <w:t>、</w:t>
      </w:r>
      <w:r>
        <w:rPr>
          <w:color w:val="auto"/>
          <w:sz w:val="24"/>
        </w:rPr>
        <w:t>Cl</w:t>
      </w:r>
      <w:r>
        <w:rPr>
          <w:color w:val="auto"/>
          <w:sz w:val="24"/>
          <w:vertAlign w:val="superscript"/>
        </w:rPr>
        <w:t>-</w:t>
      </w:r>
      <w:r>
        <w:rPr>
          <w:rFonts w:hint="eastAsia"/>
          <w:color w:val="auto"/>
          <w:sz w:val="24"/>
        </w:rPr>
        <w:t>、</w:t>
      </w:r>
      <w:r>
        <w:rPr>
          <w:color w:val="auto"/>
          <w:sz w:val="24"/>
        </w:rPr>
        <w:t>SO</w:t>
      </w:r>
      <w:r>
        <w:rPr>
          <w:color w:val="auto"/>
          <w:sz w:val="24"/>
          <w:vertAlign w:val="subscript"/>
        </w:rPr>
        <w:t>4</w:t>
      </w:r>
      <w:r>
        <w:rPr>
          <w:color w:val="auto"/>
          <w:sz w:val="24"/>
          <w:vertAlign w:val="superscript"/>
        </w:rPr>
        <w:t>2-</w:t>
      </w:r>
      <w:r>
        <w:rPr>
          <w:rFonts w:hint="eastAsia"/>
          <w:color w:val="auto"/>
          <w:sz w:val="24"/>
          <w:vertAlign w:val="baseline"/>
          <w:lang w:eastAsia="zh-CN"/>
        </w:rPr>
        <w:t>、</w:t>
      </w:r>
      <w:r>
        <w:rPr>
          <w:rFonts w:hint="eastAsia"/>
          <w:b/>
          <w:bCs/>
          <w:color w:val="auto"/>
          <w:sz w:val="24"/>
          <w:u w:val="single"/>
          <w:vertAlign w:val="baseline"/>
          <w:lang w:eastAsia="zh-CN"/>
        </w:rPr>
        <w:t>硫化物、硝酸盐、亚硝酸盐</w:t>
      </w:r>
      <w:r>
        <w:rPr>
          <w:color w:val="auto"/>
          <w:sz w:val="24"/>
        </w:rPr>
        <w:t>共</w:t>
      </w:r>
      <w:r>
        <w:rPr>
          <w:rFonts w:hint="eastAsia"/>
          <w:color w:val="auto"/>
          <w:sz w:val="24"/>
        </w:rPr>
        <w:t>1</w:t>
      </w:r>
      <w:r>
        <w:rPr>
          <w:rFonts w:hint="eastAsia"/>
          <w:color w:val="auto"/>
          <w:sz w:val="24"/>
          <w:lang w:val="en-US" w:eastAsia="zh-CN"/>
        </w:rPr>
        <w:t>6</w:t>
      </w:r>
      <w:r>
        <w:rPr>
          <w:color w:val="auto"/>
          <w:sz w:val="24"/>
        </w:rPr>
        <w:t>项，同时监测井深、水位和水温</w:t>
      </w:r>
      <w:r>
        <w:rPr>
          <w:rFonts w:hint="eastAsia"/>
          <w:color w:val="auto"/>
          <w:sz w:val="24"/>
        </w:rPr>
        <w:t>。</w:t>
      </w:r>
    </w:p>
    <w:p>
      <w:pPr>
        <w:numPr>
          <w:ilvl w:val="0"/>
          <w:numId w:val="15"/>
        </w:numPr>
        <w:bidi w:val="0"/>
        <w:rPr>
          <w:rFonts w:hint="default"/>
          <w:color w:val="auto"/>
        </w:rPr>
      </w:pPr>
      <w:r>
        <w:rPr>
          <w:rFonts w:hint="default"/>
          <w:color w:val="auto"/>
        </w:rPr>
        <w:t>监测方法及频率</w:t>
      </w:r>
    </w:p>
    <w:p>
      <w:pPr>
        <w:spacing w:line="240" w:lineRule="auto"/>
        <w:ind w:firstLine="480" w:firstLineChars="200"/>
        <w:rPr>
          <w:rFonts w:hint="default"/>
          <w:color w:val="auto"/>
        </w:rPr>
      </w:pPr>
      <w:r>
        <w:rPr>
          <w:rFonts w:hint="default"/>
          <w:color w:val="auto"/>
        </w:rPr>
        <w:t>具体监测方法和频率如下表：</w:t>
      </w:r>
    </w:p>
    <w:p>
      <w:pPr>
        <w:pStyle w:val="181"/>
        <w:rPr>
          <w:b/>
          <w:bCs/>
          <w:color w:val="auto"/>
          <w:sz w:val="24"/>
        </w:rPr>
      </w:pPr>
      <w:r>
        <w:rPr>
          <w:rFonts w:hint="eastAsia"/>
          <w:b/>
          <w:color w:val="auto"/>
          <w:sz w:val="24"/>
        </w:rPr>
        <w:t>表4</w:t>
      </w:r>
      <w:r>
        <w:rPr>
          <w:rFonts w:hint="eastAsia"/>
          <w:b/>
          <w:color w:val="auto"/>
          <w:sz w:val="24"/>
          <w:lang w:val="en-US" w:eastAsia="zh-CN"/>
        </w:rPr>
        <w:t>.2</w:t>
      </w:r>
      <w:r>
        <w:rPr>
          <w:rFonts w:hint="eastAsia"/>
          <w:b/>
          <w:color w:val="auto"/>
          <w:sz w:val="24"/>
        </w:rPr>
        <w:t>-1</w:t>
      </w:r>
      <w:r>
        <w:rPr>
          <w:rFonts w:hint="eastAsia"/>
          <w:b/>
          <w:color w:val="auto"/>
          <w:sz w:val="24"/>
          <w:lang w:val="en-US" w:eastAsia="zh-CN"/>
        </w:rPr>
        <w:t>1</w:t>
      </w:r>
      <w:r>
        <w:rPr>
          <w:rFonts w:hint="eastAsia"/>
          <w:b/>
          <w:color w:val="auto"/>
          <w:sz w:val="24"/>
        </w:rPr>
        <w:t xml:space="preserve">       </w:t>
      </w:r>
      <w:r>
        <w:rPr>
          <w:b/>
          <w:color w:val="auto"/>
          <w:sz w:val="24"/>
        </w:rPr>
        <w:t xml:space="preserve"> </w:t>
      </w:r>
      <w:r>
        <w:rPr>
          <w:b/>
          <w:bCs/>
          <w:color w:val="auto"/>
          <w:sz w:val="24"/>
        </w:rPr>
        <w:t>地下水水质监测因子及分析方法一览表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8"/>
        <w:gridCol w:w="1209"/>
        <w:gridCol w:w="2487"/>
        <w:gridCol w:w="2074"/>
        <w:gridCol w:w="1168"/>
        <w:gridCol w:w="11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66" w:type="pct"/>
            <w:vAlign w:val="center"/>
          </w:tcPr>
          <w:p>
            <w:pPr>
              <w:pStyle w:val="182"/>
              <w:rPr>
                <w:b/>
                <w:bCs/>
                <w:color w:val="auto"/>
                <w:kern w:val="2"/>
                <w:szCs w:val="24"/>
              </w:rPr>
            </w:pPr>
            <w:r>
              <w:rPr>
                <w:b/>
                <w:bCs/>
                <w:color w:val="auto"/>
                <w:kern w:val="2"/>
                <w:szCs w:val="24"/>
              </w:rPr>
              <w:t>序号</w:t>
            </w:r>
          </w:p>
        </w:tc>
        <w:tc>
          <w:tcPr>
            <w:tcW w:w="712" w:type="pct"/>
            <w:vAlign w:val="center"/>
          </w:tcPr>
          <w:p>
            <w:pPr>
              <w:pStyle w:val="182"/>
              <w:rPr>
                <w:b/>
                <w:bCs/>
                <w:color w:val="auto"/>
                <w:kern w:val="2"/>
                <w:szCs w:val="24"/>
              </w:rPr>
            </w:pPr>
            <w:r>
              <w:rPr>
                <w:b/>
                <w:bCs/>
                <w:color w:val="auto"/>
                <w:kern w:val="2"/>
                <w:szCs w:val="24"/>
              </w:rPr>
              <w:t>检测因子</w:t>
            </w:r>
          </w:p>
        </w:tc>
        <w:tc>
          <w:tcPr>
            <w:tcW w:w="1462" w:type="pct"/>
            <w:vAlign w:val="center"/>
          </w:tcPr>
          <w:p>
            <w:pPr>
              <w:pStyle w:val="182"/>
              <w:rPr>
                <w:b/>
                <w:bCs/>
                <w:color w:val="auto"/>
                <w:kern w:val="2"/>
                <w:szCs w:val="24"/>
              </w:rPr>
            </w:pPr>
            <w:r>
              <w:rPr>
                <w:b/>
                <w:bCs/>
                <w:color w:val="auto"/>
                <w:kern w:val="2"/>
                <w:szCs w:val="24"/>
              </w:rPr>
              <w:t>检测方法及编号</w:t>
            </w:r>
          </w:p>
        </w:tc>
        <w:tc>
          <w:tcPr>
            <w:tcW w:w="1220" w:type="pct"/>
            <w:vAlign w:val="center"/>
          </w:tcPr>
          <w:p>
            <w:pPr>
              <w:pStyle w:val="182"/>
              <w:rPr>
                <w:b/>
                <w:bCs/>
                <w:color w:val="auto"/>
                <w:kern w:val="2"/>
                <w:szCs w:val="24"/>
              </w:rPr>
            </w:pPr>
            <w:r>
              <w:rPr>
                <w:b/>
                <w:bCs/>
                <w:color w:val="auto"/>
                <w:kern w:val="2"/>
                <w:szCs w:val="24"/>
              </w:rPr>
              <w:t>检测仪器型号及编号</w:t>
            </w:r>
          </w:p>
        </w:tc>
        <w:tc>
          <w:tcPr>
            <w:tcW w:w="671" w:type="pct"/>
            <w:vAlign w:val="center"/>
          </w:tcPr>
          <w:p>
            <w:pPr>
              <w:pStyle w:val="182"/>
              <w:rPr>
                <w:b/>
                <w:bCs/>
                <w:color w:val="auto"/>
                <w:kern w:val="2"/>
                <w:szCs w:val="24"/>
              </w:rPr>
            </w:pPr>
            <w:r>
              <w:rPr>
                <w:b/>
                <w:bCs/>
                <w:color w:val="auto"/>
                <w:kern w:val="2"/>
                <w:szCs w:val="24"/>
              </w:rPr>
              <w:t>检出限</w:t>
            </w:r>
          </w:p>
        </w:tc>
        <w:tc>
          <w:tcPr>
            <w:tcW w:w="669" w:type="pct"/>
            <w:vAlign w:val="center"/>
          </w:tcPr>
          <w:p>
            <w:pPr>
              <w:pStyle w:val="182"/>
              <w:rPr>
                <w:b/>
                <w:bCs/>
                <w:color w:val="auto"/>
                <w:kern w:val="2"/>
                <w:szCs w:val="24"/>
              </w:rPr>
            </w:pPr>
            <w:r>
              <w:rPr>
                <w:b/>
                <w:bCs/>
                <w:color w:val="auto"/>
                <w:kern w:val="2"/>
                <w:szCs w:val="24"/>
              </w:rPr>
              <w:t>最低检</w:t>
            </w:r>
          </w:p>
          <w:p>
            <w:pPr>
              <w:pStyle w:val="182"/>
              <w:rPr>
                <w:b/>
                <w:bCs/>
                <w:color w:val="auto"/>
                <w:kern w:val="2"/>
                <w:szCs w:val="24"/>
              </w:rPr>
            </w:pPr>
            <w:r>
              <w:rPr>
                <w:b/>
                <w:bCs/>
                <w:color w:val="auto"/>
                <w:kern w:val="2"/>
                <w:szCs w:val="24"/>
              </w:rPr>
              <w:t>出浓度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1</w:t>
            </w:r>
          </w:p>
        </w:tc>
        <w:tc>
          <w:tcPr>
            <w:tcW w:w="712" w:type="pct"/>
            <w:vAlign w:val="center"/>
          </w:tcPr>
          <w:p>
            <w:pPr>
              <w:pStyle w:val="182"/>
              <w:rPr>
                <w:color w:val="auto"/>
                <w:kern w:val="2"/>
                <w:szCs w:val="24"/>
                <w:lang w:bidi="ar"/>
              </w:rPr>
            </w:pPr>
            <w:r>
              <w:rPr>
                <w:color w:val="auto"/>
                <w:kern w:val="2"/>
                <w:szCs w:val="24"/>
              </w:rPr>
              <w:t>pH值</w:t>
            </w:r>
          </w:p>
        </w:tc>
        <w:tc>
          <w:tcPr>
            <w:tcW w:w="1462" w:type="pct"/>
            <w:vAlign w:val="center"/>
          </w:tcPr>
          <w:p>
            <w:pPr>
              <w:pStyle w:val="182"/>
              <w:rPr>
                <w:color w:val="auto"/>
                <w:kern w:val="2"/>
                <w:szCs w:val="24"/>
                <w:lang w:bidi="ar"/>
              </w:rPr>
            </w:pPr>
            <w:r>
              <w:rPr>
                <w:color w:val="auto"/>
                <w:kern w:val="2"/>
                <w:szCs w:val="24"/>
              </w:rPr>
              <w:t>《</w:t>
            </w:r>
            <w:r>
              <w:rPr>
                <w:color w:val="auto"/>
                <w:kern w:val="2"/>
                <w:szCs w:val="24"/>
                <w:lang w:bidi="ar"/>
              </w:rPr>
              <w:t>水质pH值的测定 电极法</w:t>
            </w:r>
            <w:r>
              <w:rPr>
                <w:color w:val="auto"/>
                <w:kern w:val="2"/>
                <w:szCs w:val="24"/>
              </w:rPr>
              <w:t>》</w:t>
            </w:r>
            <w:r>
              <w:rPr>
                <w:color w:val="auto"/>
                <w:kern w:val="2"/>
                <w:szCs w:val="24"/>
                <w:lang w:bidi="ar"/>
              </w:rPr>
              <w:t>HJ 1147-2020</w:t>
            </w:r>
          </w:p>
        </w:tc>
        <w:tc>
          <w:tcPr>
            <w:tcW w:w="1220" w:type="pct"/>
            <w:vAlign w:val="center"/>
          </w:tcPr>
          <w:p>
            <w:pPr>
              <w:pStyle w:val="182"/>
              <w:rPr>
                <w:color w:val="auto"/>
                <w:kern w:val="2"/>
                <w:szCs w:val="24"/>
                <w:lang w:bidi="ar"/>
              </w:rPr>
            </w:pPr>
            <w:r>
              <w:rPr>
                <w:color w:val="auto"/>
                <w:kern w:val="2"/>
                <w:szCs w:val="24"/>
                <w:lang w:bidi="ar"/>
              </w:rPr>
              <w:t>便携式pH计</w:t>
            </w:r>
          </w:p>
          <w:p>
            <w:pPr>
              <w:pStyle w:val="182"/>
              <w:rPr>
                <w:color w:val="auto"/>
                <w:kern w:val="2"/>
                <w:szCs w:val="24"/>
                <w:lang w:bidi="ar"/>
              </w:rPr>
            </w:pPr>
            <w:r>
              <w:rPr>
                <w:color w:val="auto"/>
                <w:kern w:val="2"/>
                <w:szCs w:val="24"/>
                <w:lang w:bidi="ar"/>
              </w:rPr>
              <w:t>PHB-4</w:t>
            </w:r>
          </w:p>
          <w:p>
            <w:pPr>
              <w:pStyle w:val="182"/>
              <w:rPr>
                <w:color w:val="auto"/>
                <w:kern w:val="2"/>
                <w:szCs w:val="24"/>
                <w:lang w:bidi="ar"/>
              </w:rPr>
            </w:pPr>
            <w:r>
              <w:rPr>
                <w:color w:val="auto"/>
                <w:kern w:val="2"/>
                <w:szCs w:val="24"/>
                <w:lang w:bidi="ar"/>
              </w:rPr>
              <w:t>YFYQ-023-03-2021</w:t>
            </w: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2</w:t>
            </w:r>
          </w:p>
        </w:tc>
        <w:tc>
          <w:tcPr>
            <w:tcW w:w="712" w:type="pct"/>
            <w:vAlign w:val="center"/>
          </w:tcPr>
          <w:p>
            <w:pPr>
              <w:pStyle w:val="182"/>
              <w:rPr>
                <w:color w:val="auto"/>
                <w:kern w:val="2"/>
                <w:szCs w:val="24"/>
                <w:lang w:bidi="ar"/>
              </w:rPr>
            </w:pPr>
            <w:r>
              <w:rPr>
                <w:color w:val="auto"/>
                <w:kern w:val="2"/>
                <w:szCs w:val="24"/>
                <w:lang w:bidi="ar"/>
              </w:rPr>
              <w:t>K</w:t>
            </w:r>
            <w:r>
              <w:rPr>
                <w:color w:val="auto"/>
                <w:kern w:val="2"/>
                <w:szCs w:val="24"/>
                <w:vertAlign w:val="superscript"/>
                <w:lang w:bidi="ar"/>
              </w:rPr>
              <w:t>+</w:t>
            </w:r>
          </w:p>
        </w:tc>
        <w:tc>
          <w:tcPr>
            <w:tcW w:w="1462" w:type="pct"/>
            <w:vMerge w:val="restart"/>
            <w:vAlign w:val="center"/>
          </w:tcPr>
          <w:p>
            <w:pPr>
              <w:pStyle w:val="182"/>
              <w:rPr>
                <w:color w:val="auto"/>
                <w:kern w:val="2"/>
                <w:szCs w:val="24"/>
                <w:lang w:bidi="ar"/>
              </w:rPr>
            </w:pPr>
            <w:r>
              <w:rPr>
                <w:color w:val="auto"/>
                <w:kern w:val="2"/>
                <w:szCs w:val="24"/>
                <w:lang w:bidi="ar"/>
              </w:rPr>
              <w:t>《水质 钾和钠的测定 火焰原子吸收分光光度法》GB/T 11904-1989</w:t>
            </w:r>
          </w:p>
        </w:tc>
        <w:tc>
          <w:tcPr>
            <w:tcW w:w="1220" w:type="pct"/>
            <w:vMerge w:val="restart"/>
            <w:vAlign w:val="center"/>
          </w:tcPr>
          <w:p>
            <w:pPr>
              <w:pStyle w:val="182"/>
              <w:rPr>
                <w:color w:val="auto"/>
                <w:kern w:val="2"/>
                <w:szCs w:val="24"/>
                <w:lang w:bidi="ar"/>
              </w:rPr>
            </w:pPr>
            <w:r>
              <w:rPr>
                <w:color w:val="auto"/>
                <w:kern w:val="2"/>
                <w:szCs w:val="24"/>
                <w:lang w:bidi="ar"/>
              </w:rPr>
              <w:t>原子吸收分光光度计TAS-990AFG</w:t>
            </w:r>
          </w:p>
          <w:p>
            <w:pPr>
              <w:pStyle w:val="182"/>
              <w:rPr>
                <w:color w:val="auto"/>
                <w:kern w:val="2"/>
                <w:szCs w:val="24"/>
                <w:lang w:bidi="ar"/>
              </w:rPr>
            </w:pPr>
            <w:r>
              <w:rPr>
                <w:color w:val="auto"/>
                <w:kern w:val="2"/>
                <w:szCs w:val="24"/>
                <w:lang w:bidi="ar"/>
              </w:rPr>
              <w:t>YFYQ-001-2020</w:t>
            </w: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0.05 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3</w:t>
            </w:r>
          </w:p>
        </w:tc>
        <w:tc>
          <w:tcPr>
            <w:tcW w:w="712" w:type="pct"/>
            <w:vAlign w:val="center"/>
          </w:tcPr>
          <w:p>
            <w:pPr>
              <w:pStyle w:val="182"/>
              <w:rPr>
                <w:color w:val="auto"/>
                <w:kern w:val="2"/>
                <w:szCs w:val="24"/>
                <w:lang w:bidi="ar"/>
              </w:rPr>
            </w:pPr>
            <w:r>
              <w:rPr>
                <w:color w:val="auto"/>
                <w:kern w:val="2"/>
                <w:szCs w:val="24"/>
                <w:lang w:bidi="ar"/>
              </w:rPr>
              <w:t>Na</w:t>
            </w:r>
            <w:r>
              <w:rPr>
                <w:color w:val="auto"/>
                <w:kern w:val="2"/>
                <w:szCs w:val="24"/>
                <w:vertAlign w:val="superscript"/>
                <w:lang w:bidi="ar"/>
              </w:rPr>
              <w:t>+</w:t>
            </w:r>
          </w:p>
        </w:tc>
        <w:tc>
          <w:tcPr>
            <w:tcW w:w="1462" w:type="pct"/>
            <w:vMerge w:val="continue"/>
            <w:vAlign w:val="center"/>
          </w:tcPr>
          <w:p>
            <w:pPr>
              <w:pStyle w:val="182"/>
              <w:rPr>
                <w:color w:val="auto"/>
                <w:kern w:val="2"/>
                <w:szCs w:val="24"/>
                <w:lang w:bidi="ar"/>
              </w:rPr>
            </w:pPr>
          </w:p>
        </w:tc>
        <w:tc>
          <w:tcPr>
            <w:tcW w:w="1220" w:type="pct"/>
            <w:vMerge w:val="continue"/>
            <w:vAlign w:val="center"/>
          </w:tcPr>
          <w:p>
            <w:pPr>
              <w:pStyle w:val="182"/>
              <w:rPr>
                <w:color w:val="auto"/>
                <w:kern w:val="2"/>
                <w:szCs w:val="24"/>
                <w:lang w:bidi="ar"/>
              </w:rPr>
            </w:pP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0.01</w:t>
            </w:r>
            <w:r>
              <w:rPr>
                <w:rFonts w:hint="default"/>
                <w:color w:val="auto"/>
                <w:kern w:val="2"/>
                <w:szCs w:val="24"/>
              </w:rPr>
              <w:t xml:space="preserve"> </w:t>
            </w:r>
            <w:r>
              <w:rPr>
                <w:color w:val="auto"/>
                <w:kern w:val="2"/>
                <w:szCs w:val="24"/>
              </w:rPr>
              <w:t>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4</w:t>
            </w:r>
          </w:p>
        </w:tc>
        <w:tc>
          <w:tcPr>
            <w:tcW w:w="712" w:type="pct"/>
            <w:vAlign w:val="center"/>
          </w:tcPr>
          <w:p>
            <w:pPr>
              <w:pStyle w:val="182"/>
              <w:rPr>
                <w:color w:val="auto"/>
                <w:kern w:val="2"/>
                <w:szCs w:val="24"/>
                <w:lang w:bidi="ar"/>
              </w:rPr>
            </w:pPr>
            <w:r>
              <w:rPr>
                <w:color w:val="auto"/>
                <w:kern w:val="2"/>
                <w:szCs w:val="24"/>
                <w:lang w:bidi="ar"/>
              </w:rPr>
              <w:t>Ca</w:t>
            </w:r>
            <w:r>
              <w:rPr>
                <w:color w:val="auto"/>
                <w:kern w:val="2"/>
                <w:szCs w:val="24"/>
                <w:vertAlign w:val="superscript"/>
                <w:lang w:bidi="ar"/>
              </w:rPr>
              <w:t>2+</w:t>
            </w:r>
          </w:p>
        </w:tc>
        <w:tc>
          <w:tcPr>
            <w:tcW w:w="1462" w:type="pct"/>
            <w:vMerge w:val="restart"/>
            <w:vAlign w:val="center"/>
          </w:tcPr>
          <w:p>
            <w:pPr>
              <w:pStyle w:val="182"/>
              <w:rPr>
                <w:color w:val="auto"/>
                <w:kern w:val="2"/>
                <w:szCs w:val="24"/>
                <w:lang w:bidi="ar"/>
              </w:rPr>
            </w:pPr>
            <w:r>
              <w:rPr>
                <w:color w:val="auto"/>
                <w:kern w:val="2"/>
                <w:szCs w:val="24"/>
                <w:lang w:bidi="ar"/>
              </w:rPr>
              <w:t>《水质 钙和镁的测定 原子吸收分光光度法》</w:t>
            </w:r>
          </w:p>
          <w:p>
            <w:pPr>
              <w:pStyle w:val="182"/>
              <w:rPr>
                <w:color w:val="auto"/>
                <w:kern w:val="2"/>
                <w:szCs w:val="24"/>
                <w:lang w:bidi="ar"/>
              </w:rPr>
            </w:pPr>
            <w:r>
              <w:rPr>
                <w:color w:val="auto"/>
                <w:kern w:val="2"/>
                <w:szCs w:val="24"/>
                <w:lang w:bidi="ar"/>
              </w:rPr>
              <w:t>GB/T 11905-1989</w:t>
            </w:r>
          </w:p>
        </w:tc>
        <w:tc>
          <w:tcPr>
            <w:tcW w:w="1220" w:type="pct"/>
            <w:vMerge w:val="restart"/>
            <w:vAlign w:val="center"/>
          </w:tcPr>
          <w:p>
            <w:pPr>
              <w:pStyle w:val="182"/>
              <w:rPr>
                <w:color w:val="auto"/>
                <w:kern w:val="2"/>
                <w:szCs w:val="24"/>
                <w:lang w:bidi="ar"/>
              </w:rPr>
            </w:pPr>
            <w:r>
              <w:rPr>
                <w:color w:val="auto"/>
                <w:kern w:val="2"/>
                <w:szCs w:val="24"/>
                <w:lang w:bidi="ar"/>
              </w:rPr>
              <w:t>原子吸收分光光度计TAS-990AFG</w:t>
            </w:r>
          </w:p>
          <w:p>
            <w:pPr>
              <w:pStyle w:val="182"/>
              <w:rPr>
                <w:color w:val="auto"/>
                <w:kern w:val="2"/>
                <w:szCs w:val="24"/>
                <w:lang w:bidi="ar"/>
              </w:rPr>
            </w:pPr>
            <w:r>
              <w:rPr>
                <w:color w:val="auto"/>
                <w:kern w:val="2"/>
                <w:szCs w:val="24"/>
                <w:lang w:bidi="ar"/>
              </w:rPr>
              <w:t>YFYQ-001-2020</w:t>
            </w: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0.02</w:t>
            </w:r>
            <w:r>
              <w:rPr>
                <w:rFonts w:hint="default"/>
                <w:color w:val="auto"/>
                <w:kern w:val="2"/>
                <w:szCs w:val="24"/>
              </w:rPr>
              <w:t xml:space="preserve"> </w:t>
            </w:r>
            <w:r>
              <w:rPr>
                <w:color w:val="auto"/>
                <w:kern w:val="2"/>
                <w:szCs w:val="24"/>
              </w:rPr>
              <w:t>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5</w:t>
            </w:r>
          </w:p>
        </w:tc>
        <w:tc>
          <w:tcPr>
            <w:tcW w:w="712" w:type="pct"/>
            <w:vAlign w:val="center"/>
          </w:tcPr>
          <w:p>
            <w:pPr>
              <w:pStyle w:val="182"/>
              <w:rPr>
                <w:color w:val="auto"/>
                <w:kern w:val="2"/>
                <w:szCs w:val="24"/>
                <w:lang w:bidi="ar"/>
              </w:rPr>
            </w:pPr>
            <w:r>
              <w:rPr>
                <w:color w:val="auto"/>
                <w:kern w:val="2"/>
                <w:szCs w:val="24"/>
                <w:lang w:bidi="ar"/>
              </w:rPr>
              <w:t>Mg</w:t>
            </w:r>
            <w:r>
              <w:rPr>
                <w:color w:val="auto"/>
                <w:kern w:val="2"/>
                <w:szCs w:val="24"/>
                <w:vertAlign w:val="superscript"/>
                <w:lang w:bidi="ar"/>
              </w:rPr>
              <w:t>2+</w:t>
            </w:r>
          </w:p>
        </w:tc>
        <w:tc>
          <w:tcPr>
            <w:tcW w:w="1462" w:type="pct"/>
            <w:vMerge w:val="continue"/>
            <w:vAlign w:val="center"/>
          </w:tcPr>
          <w:p>
            <w:pPr>
              <w:pStyle w:val="182"/>
              <w:rPr>
                <w:color w:val="auto"/>
                <w:kern w:val="2"/>
                <w:szCs w:val="24"/>
                <w:lang w:bidi="ar"/>
              </w:rPr>
            </w:pPr>
          </w:p>
        </w:tc>
        <w:tc>
          <w:tcPr>
            <w:tcW w:w="1220" w:type="pct"/>
            <w:vMerge w:val="continue"/>
            <w:vAlign w:val="center"/>
          </w:tcPr>
          <w:p>
            <w:pPr>
              <w:pStyle w:val="182"/>
              <w:rPr>
                <w:color w:val="auto"/>
                <w:kern w:val="2"/>
                <w:szCs w:val="24"/>
                <w:lang w:bidi="ar"/>
              </w:rPr>
            </w:pP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266" w:type="pct"/>
            <w:vAlign w:val="center"/>
          </w:tcPr>
          <w:p>
            <w:pPr>
              <w:pStyle w:val="182"/>
              <w:rPr>
                <w:color w:val="auto"/>
                <w:kern w:val="2"/>
                <w:szCs w:val="24"/>
                <w:lang w:bidi="ar"/>
              </w:rPr>
            </w:pPr>
            <w:r>
              <w:rPr>
                <w:rFonts w:hint="default"/>
                <w:color w:val="auto"/>
                <w:kern w:val="2"/>
                <w:szCs w:val="24"/>
                <w:lang w:bidi="ar"/>
              </w:rPr>
              <w:t>6</w:t>
            </w:r>
          </w:p>
        </w:tc>
        <w:tc>
          <w:tcPr>
            <w:tcW w:w="712" w:type="pct"/>
            <w:vAlign w:val="center"/>
          </w:tcPr>
          <w:p>
            <w:pPr>
              <w:pStyle w:val="182"/>
              <w:rPr>
                <w:color w:val="auto"/>
                <w:kern w:val="2"/>
                <w:szCs w:val="24"/>
                <w:lang w:bidi="ar"/>
              </w:rPr>
            </w:pPr>
            <w:r>
              <w:rPr>
                <w:color w:val="auto"/>
                <w:kern w:val="2"/>
                <w:szCs w:val="24"/>
                <w:lang w:bidi="ar"/>
              </w:rPr>
              <w:t>CO</w:t>
            </w:r>
            <w:r>
              <w:rPr>
                <w:color w:val="auto"/>
                <w:kern w:val="2"/>
                <w:szCs w:val="24"/>
                <w:vertAlign w:val="subscript"/>
                <w:lang w:bidi="ar"/>
              </w:rPr>
              <w:t>3</w:t>
            </w:r>
            <w:r>
              <w:rPr>
                <w:color w:val="auto"/>
                <w:kern w:val="2"/>
                <w:szCs w:val="24"/>
                <w:vertAlign w:val="superscript"/>
                <w:lang w:bidi="ar"/>
              </w:rPr>
              <w:t>2-</w:t>
            </w:r>
          </w:p>
        </w:tc>
        <w:tc>
          <w:tcPr>
            <w:tcW w:w="1462" w:type="pct"/>
            <w:vMerge w:val="restart"/>
            <w:vAlign w:val="center"/>
          </w:tcPr>
          <w:p>
            <w:pPr>
              <w:pStyle w:val="182"/>
              <w:rPr>
                <w:color w:val="auto"/>
                <w:kern w:val="2"/>
                <w:szCs w:val="24"/>
                <w:lang w:bidi="ar"/>
              </w:rPr>
            </w:pPr>
            <w:r>
              <w:rPr>
                <w:color w:val="auto"/>
                <w:kern w:val="2"/>
                <w:szCs w:val="24"/>
                <w:lang w:bidi="ar"/>
              </w:rPr>
              <w:t>碱度 酸碱指示剂滴定法（B）《水和废水监测分析方法》（第四版 增补版）国家环境保护总局（2002年）第三篇第一章十二（一）</w:t>
            </w:r>
          </w:p>
        </w:tc>
        <w:tc>
          <w:tcPr>
            <w:tcW w:w="1220" w:type="pct"/>
            <w:vMerge w:val="restart"/>
            <w:vAlign w:val="center"/>
          </w:tcPr>
          <w:p>
            <w:pPr>
              <w:pStyle w:val="182"/>
              <w:rPr>
                <w:color w:val="auto"/>
                <w:kern w:val="2"/>
                <w:szCs w:val="24"/>
                <w:lang w:bidi="ar"/>
              </w:rPr>
            </w:pPr>
            <w:r>
              <w:rPr>
                <w:color w:val="auto"/>
                <w:kern w:val="2"/>
                <w:szCs w:val="24"/>
                <w:lang w:bidi="ar"/>
              </w:rPr>
              <w:t>酸式滴定管</w:t>
            </w: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7</w:t>
            </w:r>
          </w:p>
        </w:tc>
        <w:tc>
          <w:tcPr>
            <w:tcW w:w="712" w:type="pct"/>
            <w:vAlign w:val="center"/>
          </w:tcPr>
          <w:p>
            <w:pPr>
              <w:pStyle w:val="182"/>
              <w:rPr>
                <w:color w:val="auto"/>
                <w:kern w:val="2"/>
                <w:szCs w:val="24"/>
                <w:lang w:bidi="ar"/>
              </w:rPr>
            </w:pPr>
            <w:r>
              <w:rPr>
                <w:color w:val="auto"/>
                <w:kern w:val="2"/>
                <w:szCs w:val="24"/>
                <w:lang w:bidi="ar"/>
              </w:rPr>
              <w:t>HCO</w:t>
            </w:r>
            <w:r>
              <w:rPr>
                <w:color w:val="auto"/>
                <w:kern w:val="2"/>
                <w:szCs w:val="24"/>
                <w:vertAlign w:val="subscript"/>
                <w:lang w:bidi="ar"/>
              </w:rPr>
              <w:t>3</w:t>
            </w:r>
            <w:r>
              <w:rPr>
                <w:color w:val="auto"/>
                <w:kern w:val="2"/>
                <w:szCs w:val="24"/>
                <w:vertAlign w:val="superscript"/>
                <w:lang w:bidi="ar"/>
              </w:rPr>
              <w:t>-</w:t>
            </w:r>
          </w:p>
        </w:tc>
        <w:tc>
          <w:tcPr>
            <w:tcW w:w="1462" w:type="pct"/>
            <w:vMerge w:val="continue"/>
            <w:vAlign w:val="center"/>
          </w:tcPr>
          <w:p>
            <w:pPr>
              <w:pStyle w:val="182"/>
              <w:rPr>
                <w:color w:val="auto"/>
                <w:kern w:val="2"/>
                <w:szCs w:val="24"/>
                <w:lang w:bidi="ar"/>
              </w:rPr>
            </w:pPr>
          </w:p>
        </w:tc>
        <w:tc>
          <w:tcPr>
            <w:tcW w:w="1220" w:type="pct"/>
            <w:vMerge w:val="continue"/>
            <w:vAlign w:val="center"/>
          </w:tcPr>
          <w:p>
            <w:pPr>
              <w:pStyle w:val="182"/>
              <w:rPr>
                <w:color w:val="auto"/>
                <w:kern w:val="2"/>
                <w:szCs w:val="24"/>
                <w:lang w:bidi="ar"/>
              </w:rPr>
            </w:pP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8</w:t>
            </w:r>
          </w:p>
        </w:tc>
        <w:tc>
          <w:tcPr>
            <w:tcW w:w="712" w:type="pct"/>
            <w:vAlign w:val="center"/>
          </w:tcPr>
          <w:p>
            <w:pPr>
              <w:pStyle w:val="182"/>
              <w:rPr>
                <w:color w:val="auto"/>
                <w:kern w:val="2"/>
                <w:szCs w:val="24"/>
                <w:lang w:bidi="ar"/>
              </w:rPr>
            </w:pPr>
            <w:r>
              <w:rPr>
                <w:color w:val="auto"/>
                <w:kern w:val="2"/>
                <w:szCs w:val="24"/>
                <w:lang w:bidi="ar"/>
              </w:rPr>
              <w:t>Cl</w:t>
            </w:r>
            <w:r>
              <w:rPr>
                <w:color w:val="auto"/>
                <w:kern w:val="2"/>
                <w:szCs w:val="24"/>
                <w:vertAlign w:val="baseline"/>
                <w:lang w:bidi="ar"/>
              </w:rPr>
              <w:t>-</w:t>
            </w:r>
          </w:p>
        </w:tc>
        <w:tc>
          <w:tcPr>
            <w:tcW w:w="1462" w:type="pct"/>
            <w:vMerge w:val="restart"/>
            <w:vAlign w:val="center"/>
          </w:tcPr>
          <w:p>
            <w:pPr>
              <w:pStyle w:val="182"/>
              <w:rPr>
                <w:color w:val="auto"/>
                <w:kern w:val="2"/>
                <w:szCs w:val="24"/>
                <w:lang w:bidi="ar"/>
              </w:rPr>
            </w:pPr>
            <w:r>
              <w:rPr>
                <w:color w:val="auto"/>
                <w:kern w:val="2"/>
                <w:szCs w:val="24"/>
                <w:lang w:bidi="ar"/>
              </w:rPr>
              <w:t>《水质 无机阴离子（F</w:t>
            </w:r>
            <w:r>
              <w:rPr>
                <w:color w:val="auto"/>
                <w:kern w:val="2"/>
                <w:szCs w:val="24"/>
                <w:vertAlign w:val="baseline"/>
                <w:lang w:bidi="ar"/>
              </w:rPr>
              <w:t>-</w:t>
            </w:r>
            <w:r>
              <w:rPr>
                <w:color w:val="auto"/>
                <w:kern w:val="2"/>
                <w:szCs w:val="24"/>
                <w:lang w:bidi="ar"/>
              </w:rPr>
              <w:t>、Cl</w:t>
            </w:r>
            <w:r>
              <w:rPr>
                <w:color w:val="auto"/>
                <w:kern w:val="2"/>
                <w:szCs w:val="24"/>
                <w:vertAlign w:val="superscript"/>
                <w:lang w:bidi="ar"/>
              </w:rPr>
              <w:t>-</w:t>
            </w:r>
            <w:r>
              <w:rPr>
                <w:color w:val="auto"/>
                <w:kern w:val="2"/>
                <w:szCs w:val="24"/>
                <w:lang w:bidi="ar"/>
              </w:rPr>
              <w:t>、NO</w:t>
            </w:r>
            <w:r>
              <w:rPr>
                <w:color w:val="auto"/>
                <w:kern w:val="2"/>
                <w:szCs w:val="24"/>
                <w:vertAlign w:val="superscript"/>
                <w:lang w:bidi="ar"/>
              </w:rPr>
              <w:t>2-</w:t>
            </w:r>
            <w:r>
              <w:rPr>
                <w:color w:val="auto"/>
                <w:kern w:val="2"/>
                <w:szCs w:val="24"/>
                <w:lang w:bidi="ar"/>
              </w:rPr>
              <w:t>、Br</w:t>
            </w:r>
            <w:r>
              <w:rPr>
                <w:color w:val="auto"/>
                <w:kern w:val="2"/>
                <w:szCs w:val="24"/>
                <w:vertAlign w:val="superscript"/>
                <w:lang w:bidi="ar"/>
              </w:rPr>
              <w:t>-</w:t>
            </w:r>
            <w:r>
              <w:rPr>
                <w:color w:val="auto"/>
                <w:kern w:val="2"/>
                <w:szCs w:val="24"/>
                <w:lang w:bidi="ar"/>
              </w:rPr>
              <w:t>、NO</w:t>
            </w:r>
            <w:r>
              <w:rPr>
                <w:color w:val="auto"/>
                <w:kern w:val="2"/>
                <w:szCs w:val="24"/>
                <w:vertAlign w:val="subscript"/>
                <w:lang w:bidi="ar"/>
              </w:rPr>
              <w:t>3</w:t>
            </w:r>
            <w:r>
              <w:rPr>
                <w:color w:val="auto"/>
                <w:kern w:val="2"/>
                <w:szCs w:val="24"/>
                <w:vertAlign w:val="superscript"/>
                <w:lang w:bidi="ar"/>
              </w:rPr>
              <w:t>-</w:t>
            </w:r>
            <w:r>
              <w:rPr>
                <w:color w:val="auto"/>
                <w:kern w:val="2"/>
                <w:szCs w:val="24"/>
                <w:lang w:bidi="ar"/>
              </w:rPr>
              <w:t>、PO</w:t>
            </w:r>
            <w:r>
              <w:rPr>
                <w:color w:val="auto"/>
                <w:kern w:val="2"/>
                <w:szCs w:val="24"/>
                <w:vertAlign w:val="subscript"/>
                <w:lang w:bidi="ar"/>
              </w:rPr>
              <w:t>4</w:t>
            </w:r>
            <w:r>
              <w:rPr>
                <w:color w:val="auto"/>
                <w:kern w:val="2"/>
                <w:szCs w:val="24"/>
                <w:vertAlign w:val="superscript"/>
                <w:lang w:bidi="ar"/>
              </w:rPr>
              <w:t>3-</w:t>
            </w:r>
            <w:r>
              <w:rPr>
                <w:color w:val="auto"/>
                <w:kern w:val="2"/>
                <w:szCs w:val="24"/>
                <w:lang w:bidi="ar"/>
              </w:rPr>
              <w:t>、SO</w:t>
            </w:r>
            <w:r>
              <w:rPr>
                <w:color w:val="auto"/>
                <w:kern w:val="2"/>
                <w:szCs w:val="24"/>
                <w:vertAlign w:val="subscript"/>
                <w:lang w:bidi="ar"/>
              </w:rPr>
              <w:t>3</w:t>
            </w:r>
            <w:r>
              <w:rPr>
                <w:color w:val="auto"/>
                <w:kern w:val="2"/>
                <w:szCs w:val="24"/>
                <w:vertAlign w:val="superscript"/>
                <w:lang w:bidi="ar"/>
              </w:rPr>
              <w:t>2-</w:t>
            </w:r>
            <w:r>
              <w:rPr>
                <w:color w:val="auto"/>
                <w:kern w:val="2"/>
                <w:szCs w:val="24"/>
                <w:lang w:bidi="ar"/>
              </w:rPr>
              <w:t>、SO</w:t>
            </w:r>
            <w:r>
              <w:rPr>
                <w:color w:val="auto"/>
                <w:kern w:val="2"/>
                <w:szCs w:val="24"/>
                <w:vertAlign w:val="subscript"/>
                <w:lang w:bidi="ar"/>
              </w:rPr>
              <w:t>4</w:t>
            </w:r>
            <w:r>
              <w:rPr>
                <w:color w:val="auto"/>
                <w:kern w:val="2"/>
                <w:szCs w:val="24"/>
                <w:vertAlign w:val="superscript"/>
                <w:lang w:bidi="ar"/>
              </w:rPr>
              <w:t>2-</w:t>
            </w:r>
            <w:r>
              <w:rPr>
                <w:color w:val="auto"/>
                <w:kern w:val="2"/>
                <w:szCs w:val="24"/>
                <w:lang w:bidi="ar"/>
              </w:rPr>
              <w:t>）的测定 离子色谱法》HJ 84-2016</w:t>
            </w:r>
          </w:p>
        </w:tc>
        <w:tc>
          <w:tcPr>
            <w:tcW w:w="1220" w:type="pct"/>
            <w:vMerge w:val="restart"/>
            <w:vAlign w:val="center"/>
          </w:tcPr>
          <w:p>
            <w:pPr>
              <w:pStyle w:val="182"/>
              <w:rPr>
                <w:color w:val="auto"/>
                <w:kern w:val="2"/>
                <w:szCs w:val="24"/>
                <w:lang w:bidi="ar"/>
              </w:rPr>
            </w:pPr>
            <w:r>
              <w:rPr>
                <w:color w:val="auto"/>
                <w:kern w:val="2"/>
                <w:szCs w:val="24"/>
                <w:lang w:bidi="ar"/>
              </w:rPr>
              <w:t>离子色谱仪CIC-D100</w:t>
            </w:r>
          </w:p>
          <w:p>
            <w:pPr>
              <w:pStyle w:val="182"/>
              <w:rPr>
                <w:color w:val="auto"/>
                <w:kern w:val="2"/>
                <w:szCs w:val="24"/>
                <w:lang w:bidi="ar"/>
              </w:rPr>
            </w:pPr>
            <w:r>
              <w:rPr>
                <w:color w:val="auto"/>
                <w:kern w:val="2"/>
                <w:szCs w:val="24"/>
                <w:lang w:bidi="ar"/>
              </w:rPr>
              <w:t>YFYQ-007-2020</w:t>
            </w:r>
          </w:p>
        </w:tc>
        <w:tc>
          <w:tcPr>
            <w:tcW w:w="671" w:type="pct"/>
            <w:vAlign w:val="center"/>
          </w:tcPr>
          <w:p>
            <w:pPr>
              <w:pStyle w:val="182"/>
              <w:rPr>
                <w:color w:val="auto"/>
                <w:kern w:val="2"/>
                <w:szCs w:val="24"/>
              </w:rPr>
            </w:pPr>
            <w:r>
              <w:rPr>
                <w:color w:val="auto"/>
                <w:kern w:val="2"/>
                <w:szCs w:val="24"/>
              </w:rPr>
              <w:t>0.007mg/L</w:t>
            </w:r>
          </w:p>
        </w:tc>
        <w:tc>
          <w:tcPr>
            <w:tcW w:w="669" w:type="pct"/>
            <w:vAlign w:val="center"/>
          </w:tcPr>
          <w:p>
            <w:pPr>
              <w:pStyle w:val="182"/>
              <w:rPr>
                <w:color w:val="auto"/>
                <w:kern w:val="2"/>
                <w:szCs w:val="24"/>
              </w:rPr>
            </w:pPr>
            <w:r>
              <w:rPr>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9</w:t>
            </w:r>
          </w:p>
        </w:tc>
        <w:tc>
          <w:tcPr>
            <w:tcW w:w="712" w:type="pct"/>
            <w:vAlign w:val="center"/>
          </w:tcPr>
          <w:p>
            <w:pPr>
              <w:pStyle w:val="182"/>
              <w:rPr>
                <w:color w:val="auto"/>
                <w:kern w:val="2"/>
                <w:szCs w:val="24"/>
                <w:lang w:bidi="ar"/>
              </w:rPr>
            </w:pPr>
            <w:r>
              <w:rPr>
                <w:color w:val="auto"/>
                <w:kern w:val="2"/>
                <w:szCs w:val="24"/>
                <w:lang w:bidi="ar"/>
              </w:rPr>
              <w:t>SO</w:t>
            </w:r>
            <w:r>
              <w:rPr>
                <w:color w:val="auto"/>
                <w:kern w:val="2"/>
                <w:szCs w:val="24"/>
                <w:vertAlign w:val="subscript"/>
                <w:lang w:bidi="ar"/>
              </w:rPr>
              <w:t>4</w:t>
            </w:r>
            <w:r>
              <w:rPr>
                <w:color w:val="auto"/>
                <w:kern w:val="2"/>
                <w:szCs w:val="24"/>
                <w:vertAlign w:val="superscript"/>
                <w:lang w:bidi="ar"/>
              </w:rPr>
              <w:t>2-</w:t>
            </w:r>
          </w:p>
        </w:tc>
        <w:tc>
          <w:tcPr>
            <w:tcW w:w="1462" w:type="pct"/>
            <w:vMerge w:val="continue"/>
            <w:vAlign w:val="center"/>
          </w:tcPr>
          <w:p>
            <w:pPr>
              <w:pStyle w:val="182"/>
              <w:rPr>
                <w:color w:val="auto"/>
                <w:kern w:val="2"/>
                <w:szCs w:val="24"/>
                <w:lang w:bidi="ar"/>
              </w:rPr>
            </w:pPr>
          </w:p>
        </w:tc>
        <w:tc>
          <w:tcPr>
            <w:tcW w:w="1220" w:type="pct"/>
            <w:vMerge w:val="continue"/>
            <w:vAlign w:val="center"/>
          </w:tcPr>
          <w:p>
            <w:pPr>
              <w:pStyle w:val="182"/>
              <w:rPr>
                <w:color w:val="auto"/>
                <w:kern w:val="2"/>
                <w:szCs w:val="24"/>
                <w:lang w:bidi="ar"/>
              </w:rPr>
            </w:pPr>
          </w:p>
        </w:tc>
        <w:tc>
          <w:tcPr>
            <w:tcW w:w="671" w:type="pct"/>
            <w:vAlign w:val="center"/>
          </w:tcPr>
          <w:p>
            <w:pPr>
              <w:pStyle w:val="182"/>
              <w:rPr>
                <w:color w:val="auto"/>
                <w:kern w:val="2"/>
                <w:szCs w:val="24"/>
              </w:rPr>
            </w:pPr>
            <w:r>
              <w:rPr>
                <w:color w:val="auto"/>
                <w:kern w:val="2"/>
                <w:szCs w:val="24"/>
              </w:rPr>
              <w:t>0.018mg/L</w:t>
            </w:r>
          </w:p>
        </w:tc>
        <w:tc>
          <w:tcPr>
            <w:tcW w:w="669" w:type="pct"/>
            <w:vAlign w:val="center"/>
          </w:tcPr>
          <w:p>
            <w:pPr>
              <w:pStyle w:val="182"/>
              <w:rPr>
                <w:color w:val="auto"/>
                <w:kern w:val="2"/>
                <w:szCs w:val="24"/>
              </w:rPr>
            </w:pPr>
            <w:r>
              <w:rPr>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1</w:t>
            </w:r>
            <w:r>
              <w:rPr>
                <w:color w:val="auto"/>
                <w:kern w:val="2"/>
                <w:szCs w:val="24"/>
                <w:lang w:bidi="ar"/>
              </w:rPr>
              <w:t>0</w:t>
            </w:r>
          </w:p>
        </w:tc>
        <w:tc>
          <w:tcPr>
            <w:tcW w:w="712" w:type="pct"/>
            <w:vAlign w:val="center"/>
          </w:tcPr>
          <w:p>
            <w:pPr>
              <w:pStyle w:val="182"/>
              <w:rPr>
                <w:color w:val="auto"/>
                <w:kern w:val="2"/>
                <w:szCs w:val="24"/>
                <w:lang w:bidi="ar"/>
              </w:rPr>
            </w:pPr>
            <w:r>
              <w:rPr>
                <w:color w:val="auto"/>
                <w:kern w:val="2"/>
                <w:szCs w:val="24"/>
                <w:lang w:bidi="ar"/>
              </w:rPr>
              <w:t>氨氮</w:t>
            </w:r>
          </w:p>
        </w:tc>
        <w:tc>
          <w:tcPr>
            <w:tcW w:w="1462" w:type="pct"/>
            <w:vAlign w:val="center"/>
          </w:tcPr>
          <w:p>
            <w:pPr>
              <w:pStyle w:val="182"/>
              <w:rPr>
                <w:color w:val="auto"/>
                <w:kern w:val="2"/>
                <w:szCs w:val="24"/>
                <w:lang w:bidi="ar"/>
              </w:rPr>
            </w:pPr>
            <w:r>
              <w:rPr>
                <w:color w:val="auto"/>
                <w:kern w:val="2"/>
                <w:szCs w:val="24"/>
                <w:lang w:bidi="ar"/>
              </w:rPr>
              <w:t>《水质</w:t>
            </w:r>
            <w:r>
              <w:rPr>
                <w:rFonts w:hint="default"/>
                <w:color w:val="auto"/>
                <w:kern w:val="2"/>
                <w:szCs w:val="24"/>
                <w:lang w:bidi="ar"/>
              </w:rPr>
              <w:t xml:space="preserve"> </w:t>
            </w:r>
            <w:r>
              <w:rPr>
                <w:color w:val="auto"/>
                <w:kern w:val="2"/>
                <w:szCs w:val="24"/>
                <w:lang w:bidi="ar"/>
              </w:rPr>
              <w:t>氨氮的测定 纳氏试剂分光光度法》</w:t>
            </w:r>
          </w:p>
          <w:p>
            <w:pPr>
              <w:pStyle w:val="182"/>
              <w:rPr>
                <w:color w:val="auto"/>
                <w:kern w:val="2"/>
                <w:szCs w:val="24"/>
                <w:lang w:bidi="ar"/>
              </w:rPr>
            </w:pPr>
            <w:r>
              <w:rPr>
                <w:color w:val="auto"/>
                <w:kern w:val="2"/>
                <w:szCs w:val="24"/>
                <w:lang w:bidi="ar"/>
              </w:rPr>
              <w:t>HJ 535-2009</w:t>
            </w:r>
          </w:p>
        </w:tc>
        <w:tc>
          <w:tcPr>
            <w:tcW w:w="1220" w:type="pct"/>
            <w:vAlign w:val="center"/>
          </w:tcPr>
          <w:p>
            <w:pPr>
              <w:pStyle w:val="182"/>
              <w:rPr>
                <w:color w:val="auto"/>
                <w:kern w:val="2"/>
                <w:szCs w:val="24"/>
                <w:lang w:bidi="ar"/>
              </w:rPr>
            </w:pPr>
            <w:r>
              <w:rPr>
                <w:color w:val="auto"/>
                <w:kern w:val="2"/>
                <w:szCs w:val="24"/>
              </w:rPr>
              <w:t>紫外可见分光光度计T6新世纪YFYQ-009-2020</w:t>
            </w:r>
          </w:p>
        </w:tc>
        <w:tc>
          <w:tcPr>
            <w:tcW w:w="671" w:type="pct"/>
            <w:vAlign w:val="center"/>
          </w:tcPr>
          <w:p>
            <w:pPr>
              <w:pStyle w:val="182"/>
              <w:rPr>
                <w:color w:val="auto"/>
                <w:kern w:val="2"/>
                <w:szCs w:val="24"/>
              </w:rPr>
            </w:pPr>
            <w:r>
              <w:rPr>
                <w:color w:val="auto"/>
                <w:kern w:val="2"/>
                <w:szCs w:val="24"/>
              </w:rPr>
              <w:t>0.025mg/L</w:t>
            </w:r>
          </w:p>
        </w:tc>
        <w:tc>
          <w:tcPr>
            <w:tcW w:w="669" w:type="pct"/>
            <w:vAlign w:val="center"/>
          </w:tcPr>
          <w:p>
            <w:pPr>
              <w:pStyle w:val="182"/>
              <w:rPr>
                <w:color w:val="auto"/>
                <w:kern w:val="2"/>
                <w:szCs w:val="24"/>
              </w:rPr>
            </w:pPr>
            <w:r>
              <w:rPr>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1</w:t>
            </w:r>
            <w:r>
              <w:rPr>
                <w:color w:val="auto"/>
                <w:kern w:val="2"/>
                <w:szCs w:val="24"/>
                <w:lang w:bidi="ar"/>
              </w:rPr>
              <w:t>1</w:t>
            </w:r>
          </w:p>
        </w:tc>
        <w:tc>
          <w:tcPr>
            <w:tcW w:w="712" w:type="pct"/>
            <w:vAlign w:val="center"/>
          </w:tcPr>
          <w:p>
            <w:pPr>
              <w:pStyle w:val="182"/>
              <w:rPr>
                <w:color w:val="auto"/>
                <w:kern w:val="2"/>
                <w:szCs w:val="24"/>
                <w:lang w:bidi="ar"/>
              </w:rPr>
            </w:pPr>
            <w:r>
              <w:rPr>
                <w:color w:val="auto"/>
                <w:kern w:val="2"/>
                <w:szCs w:val="24"/>
                <w:lang w:bidi="ar"/>
              </w:rPr>
              <w:t>总硬度</w:t>
            </w:r>
          </w:p>
        </w:tc>
        <w:tc>
          <w:tcPr>
            <w:tcW w:w="1462" w:type="pct"/>
            <w:vAlign w:val="center"/>
          </w:tcPr>
          <w:p>
            <w:pPr>
              <w:pStyle w:val="182"/>
              <w:rPr>
                <w:color w:val="auto"/>
                <w:kern w:val="2"/>
                <w:szCs w:val="24"/>
                <w:lang w:bidi="ar"/>
              </w:rPr>
            </w:pPr>
            <w:r>
              <w:rPr>
                <w:color w:val="auto"/>
                <w:kern w:val="2"/>
                <w:szCs w:val="24"/>
                <w:lang w:bidi="ar"/>
              </w:rPr>
              <w:t>《生活饮用水标准检验方法</w:t>
            </w:r>
            <w:r>
              <w:rPr>
                <w:rFonts w:hint="default"/>
                <w:color w:val="auto"/>
                <w:kern w:val="2"/>
                <w:szCs w:val="24"/>
                <w:lang w:bidi="ar"/>
              </w:rPr>
              <w:t xml:space="preserve"> </w:t>
            </w:r>
            <w:r>
              <w:rPr>
                <w:color w:val="auto"/>
                <w:kern w:val="2"/>
                <w:szCs w:val="24"/>
                <w:lang w:bidi="ar"/>
              </w:rPr>
              <w:t>感官性状和物理指标》（7.1 总硬度</w:t>
            </w:r>
            <w:r>
              <w:rPr>
                <w:rFonts w:hint="default"/>
                <w:color w:val="auto"/>
                <w:kern w:val="2"/>
                <w:szCs w:val="24"/>
                <w:lang w:bidi="ar"/>
              </w:rPr>
              <w:t xml:space="preserve"> </w:t>
            </w:r>
            <w:r>
              <w:rPr>
                <w:color w:val="auto"/>
                <w:kern w:val="2"/>
                <w:szCs w:val="24"/>
                <w:lang w:bidi="ar"/>
              </w:rPr>
              <w:t>乙二胺四乙酸二钠滴定法）</w:t>
            </w:r>
          </w:p>
          <w:p>
            <w:pPr>
              <w:pStyle w:val="182"/>
              <w:rPr>
                <w:color w:val="auto"/>
                <w:kern w:val="2"/>
                <w:szCs w:val="24"/>
                <w:lang w:bidi="ar"/>
              </w:rPr>
            </w:pPr>
            <w:r>
              <w:rPr>
                <w:color w:val="auto"/>
                <w:kern w:val="2"/>
                <w:szCs w:val="24"/>
                <w:lang w:bidi="ar"/>
              </w:rPr>
              <w:t>GB/T 5750.4-2006</w:t>
            </w:r>
          </w:p>
        </w:tc>
        <w:tc>
          <w:tcPr>
            <w:tcW w:w="1220" w:type="pct"/>
            <w:vAlign w:val="center"/>
          </w:tcPr>
          <w:p>
            <w:pPr>
              <w:pStyle w:val="182"/>
              <w:rPr>
                <w:color w:val="auto"/>
                <w:kern w:val="2"/>
                <w:szCs w:val="24"/>
                <w:lang w:bidi="ar"/>
              </w:rPr>
            </w:pPr>
            <w:r>
              <w:rPr>
                <w:color w:val="auto"/>
                <w:kern w:val="2"/>
                <w:szCs w:val="24"/>
                <w:lang w:bidi="ar"/>
              </w:rPr>
              <w:t>酸式滴定管</w:t>
            </w: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1.0</w:t>
            </w:r>
            <w:r>
              <w:rPr>
                <w:rFonts w:hint="default"/>
                <w:color w:val="auto"/>
                <w:kern w:val="2"/>
                <w:szCs w:val="24"/>
              </w:rPr>
              <w:t xml:space="preserve"> </w:t>
            </w:r>
            <w:r>
              <w:rPr>
                <w:color w:val="auto"/>
                <w:kern w:val="2"/>
                <w:szCs w:val="24"/>
              </w:rPr>
              <w:t>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1</w:t>
            </w:r>
            <w:r>
              <w:rPr>
                <w:color w:val="auto"/>
                <w:kern w:val="2"/>
                <w:szCs w:val="24"/>
                <w:lang w:bidi="ar"/>
              </w:rPr>
              <w:t>2</w:t>
            </w:r>
          </w:p>
        </w:tc>
        <w:tc>
          <w:tcPr>
            <w:tcW w:w="712" w:type="pct"/>
            <w:vAlign w:val="center"/>
          </w:tcPr>
          <w:p>
            <w:pPr>
              <w:pStyle w:val="182"/>
              <w:rPr>
                <w:color w:val="auto"/>
                <w:kern w:val="2"/>
                <w:szCs w:val="24"/>
                <w:lang w:bidi="ar"/>
              </w:rPr>
            </w:pPr>
            <w:r>
              <w:rPr>
                <w:color w:val="auto"/>
                <w:kern w:val="2"/>
                <w:szCs w:val="24"/>
                <w:lang w:bidi="ar"/>
              </w:rPr>
              <w:t>溶解性</w:t>
            </w:r>
          </w:p>
          <w:p>
            <w:pPr>
              <w:pStyle w:val="182"/>
              <w:rPr>
                <w:color w:val="auto"/>
                <w:kern w:val="2"/>
                <w:szCs w:val="24"/>
                <w:lang w:bidi="ar"/>
              </w:rPr>
            </w:pPr>
            <w:r>
              <w:rPr>
                <w:color w:val="auto"/>
                <w:kern w:val="2"/>
                <w:szCs w:val="24"/>
                <w:lang w:bidi="ar"/>
              </w:rPr>
              <w:t>总固体</w:t>
            </w:r>
          </w:p>
        </w:tc>
        <w:tc>
          <w:tcPr>
            <w:tcW w:w="1462" w:type="pct"/>
            <w:vAlign w:val="center"/>
          </w:tcPr>
          <w:p>
            <w:pPr>
              <w:pStyle w:val="182"/>
              <w:rPr>
                <w:color w:val="auto"/>
                <w:kern w:val="2"/>
                <w:szCs w:val="24"/>
                <w:lang w:bidi="ar"/>
              </w:rPr>
            </w:pPr>
            <w:r>
              <w:rPr>
                <w:color w:val="auto"/>
                <w:kern w:val="2"/>
                <w:szCs w:val="24"/>
                <w:lang w:bidi="ar"/>
              </w:rPr>
              <w:t>《生活饮用水标准检验方法 感官性状和物理指标》（8.1 溶解性总固体 称重法）GB/T 5750.4-2006</w:t>
            </w:r>
          </w:p>
        </w:tc>
        <w:tc>
          <w:tcPr>
            <w:tcW w:w="1220" w:type="pct"/>
            <w:vAlign w:val="center"/>
          </w:tcPr>
          <w:p>
            <w:pPr>
              <w:pStyle w:val="182"/>
              <w:rPr>
                <w:color w:val="auto"/>
                <w:kern w:val="2"/>
                <w:szCs w:val="24"/>
                <w:lang w:bidi="ar"/>
              </w:rPr>
            </w:pPr>
            <w:r>
              <w:rPr>
                <w:color w:val="auto"/>
                <w:kern w:val="2"/>
                <w:szCs w:val="24"/>
                <w:lang w:bidi="ar"/>
              </w:rPr>
              <w:t>电子分析天平</w:t>
            </w:r>
          </w:p>
          <w:p>
            <w:pPr>
              <w:pStyle w:val="182"/>
              <w:rPr>
                <w:color w:val="auto"/>
                <w:kern w:val="2"/>
                <w:szCs w:val="24"/>
                <w:lang w:bidi="ar"/>
              </w:rPr>
            </w:pPr>
            <w:r>
              <w:rPr>
                <w:color w:val="auto"/>
                <w:kern w:val="2"/>
                <w:szCs w:val="24"/>
                <w:lang w:bidi="ar"/>
              </w:rPr>
              <w:t>FA224</w:t>
            </w:r>
          </w:p>
          <w:p>
            <w:pPr>
              <w:pStyle w:val="182"/>
              <w:rPr>
                <w:color w:val="auto"/>
                <w:kern w:val="2"/>
                <w:szCs w:val="24"/>
                <w:lang w:bidi="ar"/>
              </w:rPr>
            </w:pPr>
            <w:r>
              <w:rPr>
                <w:color w:val="auto"/>
                <w:kern w:val="2"/>
                <w:szCs w:val="24"/>
                <w:lang w:bidi="ar"/>
              </w:rPr>
              <w:t>YFYQ-012-2020</w:t>
            </w: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color w:val="auto"/>
                <w:kern w:val="2"/>
                <w:szCs w:val="24"/>
                <w:lang w:bidi="ar"/>
              </w:rPr>
            </w:pPr>
            <w:r>
              <w:rPr>
                <w:rFonts w:hint="default"/>
                <w:color w:val="auto"/>
                <w:kern w:val="2"/>
                <w:szCs w:val="24"/>
                <w:lang w:bidi="ar"/>
              </w:rPr>
              <w:t>1</w:t>
            </w:r>
            <w:r>
              <w:rPr>
                <w:color w:val="auto"/>
                <w:kern w:val="2"/>
                <w:szCs w:val="24"/>
                <w:lang w:bidi="ar"/>
              </w:rPr>
              <w:t>3</w:t>
            </w:r>
          </w:p>
        </w:tc>
        <w:tc>
          <w:tcPr>
            <w:tcW w:w="712" w:type="pct"/>
            <w:vAlign w:val="center"/>
          </w:tcPr>
          <w:p>
            <w:pPr>
              <w:pStyle w:val="182"/>
              <w:rPr>
                <w:color w:val="auto"/>
                <w:kern w:val="2"/>
                <w:szCs w:val="24"/>
                <w:lang w:bidi="ar"/>
              </w:rPr>
            </w:pPr>
            <w:r>
              <w:rPr>
                <w:color w:val="auto"/>
                <w:kern w:val="2"/>
                <w:szCs w:val="24"/>
                <w:lang w:bidi="ar"/>
              </w:rPr>
              <w:t>耗氧量</w:t>
            </w:r>
          </w:p>
        </w:tc>
        <w:tc>
          <w:tcPr>
            <w:tcW w:w="1462" w:type="pct"/>
            <w:vAlign w:val="center"/>
          </w:tcPr>
          <w:p>
            <w:pPr>
              <w:pStyle w:val="182"/>
              <w:rPr>
                <w:color w:val="auto"/>
                <w:kern w:val="2"/>
                <w:szCs w:val="24"/>
                <w:lang w:bidi="ar"/>
              </w:rPr>
            </w:pPr>
            <w:r>
              <w:rPr>
                <w:color w:val="auto"/>
                <w:kern w:val="2"/>
                <w:szCs w:val="24"/>
                <w:lang w:bidi="ar"/>
              </w:rPr>
              <w:t>《</w:t>
            </w:r>
            <w:r>
              <w:rPr>
                <w:rFonts w:hint="eastAsia"/>
                <w:color w:val="auto"/>
                <w:kern w:val="2"/>
                <w:szCs w:val="24"/>
                <w:lang w:eastAsia="zh-CN" w:bidi="ar"/>
              </w:rPr>
              <w:t>生活饮用水标准检验方法 有机物综合指标</w:t>
            </w:r>
            <w:r>
              <w:rPr>
                <w:color w:val="auto"/>
                <w:kern w:val="2"/>
                <w:szCs w:val="24"/>
                <w:lang w:bidi="ar"/>
              </w:rPr>
              <w:t>》GB/T 5750.7-2006</w:t>
            </w:r>
          </w:p>
        </w:tc>
        <w:tc>
          <w:tcPr>
            <w:tcW w:w="1220" w:type="pct"/>
            <w:vAlign w:val="center"/>
          </w:tcPr>
          <w:p>
            <w:pPr>
              <w:pStyle w:val="182"/>
              <w:rPr>
                <w:color w:val="auto"/>
                <w:kern w:val="2"/>
                <w:szCs w:val="24"/>
                <w:lang w:bidi="ar"/>
              </w:rPr>
            </w:pPr>
            <w:r>
              <w:rPr>
                <w:color w:val="auto"/>
                <w:kern w:val="2"/>
                <w:szCs w:val="24"/>
                <w:lang w:bidi="ar"/>
              </w:rPr>
              <w:t>酸式滴定管</w:t>
            </w:r>
          </w:p>
        </w:tc>
        <w:tc>
          <w:tcPr>
            <w:tcW w:w="671" w:type="pct"/>
            <w:vAlign w:val="center"/>
          </w:tcPr>
          <w:p>
            <w:pPr>
              <w:pStyle w:val="182"/>
              <w:rPr>
                <w:color w:val="auto"/>
                <w:kern w:val="2"/>
                <w:szCs w:val="24"/>
              </w:rPr>
            </w:pPr>
            <w:r>
              <w:rPr>
                <w:color w:val="auto"/>
                <w:kern w:val="2"/>
                <w:szCs w:val="24"/>
              </w:rPr>
              <w:t>/</w:t>
            </w:r>
          </w:p>
        </w:tc>
        <w:tc>
          <w:tcPr>
            <w:tcW w:w="669" w:type="pct"/>
            <w:vAlign w:val="center"/>
          </w:tcPr>
          <w:p>
            <w:pPr>
              <w:pStyle w:val="182"/>
              <w:rPr>
                <w:color w:val="auto"/>
                <w:kern w:val="2"/>
                <w:szCs w:val="24"/>
              </w:rPr>
            </w:pPr>
            <w:r>
              <w:rPr>
                <w:color w:val="auto"/>
                <w:kern w:val="2"/>
                <w:szCs w:val="24"/>
              </w:rPr>
              <w:t>0.05</w:t>
            </w:r>
            <w:r>
              <w:rPr>
                <w:rFonts w:hint="default"/>
                <w:color w:val="auto"/>
                <w:kern w:val="2"/>
                <w:szCs w:val="24"/>
              </w:rPr>
              <w:t xml:space="preserve"> </w:t>
            </w:r>
            <w:r>
              <w:rPr>
                <w:color w:val="auto"/>
                <w:kern w:val="2"/>
                <w:szCs w:val="24"/>
              </w:rPr>
              <w:t>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266" w:type="pct"/>
            <w:vAlign w:val="center"/>
          </w:tcPr>
          <w:p>
            <w:pPr>
              <w:pStyle w:val="182"/>
              <w:rPr>
                <w:rFonts w:hint="default" w:eastAsia="宋体"/>
                <w:b/>
                <w:bCs/>
                <w:color w:val="auto"/>
                <w:kern w:val="2"/>
                <w:szCs w:val="24"/>
                <w:u w:val="single"/>
                <w:lang w:val="en-US" w:eastAsia="zh-CN" w:bidi="ar"/>
              </w:rPr>
            </w:pPr>
            <w:r>
              <w:rPr>
                <w:rFonts w:hint="eastAsia"/>
                <w:b/>
                <w:bCs/>
                <w:color w:val="auto"/>
                <w:kern w:val="2"/>
                <w:szCs w:val="24"/>
                <w:u w:val="single"/>
                <w:lang w:val="en-US" w:eastAsia="zh-CN" w:bidi="ar"/>
              </w:rPr>
              <w:t>14</w:t>
            </w:r>
          </w:p>
        </w:tc>
        <w:tc>
          <w:tcPr>
            <w:tcW w:w="712" w:type="pct"/>
            <w:vAlign w:val="center"/>
          </w:tcPr>
          <w:p>
            <w:pPr>
              <w:pStyle w:val="182"/>
              <w:rPr>
                <w:b/>
                <w:bCs/>
                <w:color w:val="auto"/>
                <w:kern w:val="2"/>
                <w:szCs w:val="24"/>
                <w:u w:val="single"/>
                <w:lang w:bidi="ar"/>
              </w:rPr>
            </w:pPr>
            <w:r>
              <w:rPr>
                <w:rFonts w:hint="eastAsia"/>
                <w:b/>
                <w:bCs/>
                <w:color w:val="auto"/>
                <w:kern w:val="2"/>
                <w:szCs w:val="24"/>
                <w:u w:val="single"/>
                <w:lang w:bidi="ar"/>
              </w:rPr>
              <w:t>硫化物</w:t>
            </w:r>
          </w:p>
        </w:tc>
        <w:tc>
          <w:tcPr>
            <w:tcW w:w="1462" w:type="pct"/>
            <w:vAlign w:val="center"/>
          </w:tcPr>
          <w:p>
            <w:pPr>
              <w:pStyle w:val="182"/>
              <w:rPr>
                <w:b/>
                <w:bCs/>
                <w:color w:val="auto"/>
                <w:kern w:val="2"/>
                <w:szCs w:val="24"/>
                <w:u w:val="single"/>
                <w:lang w:bidi="ar"/>
              </w:rPr>
            </w:pPr>
            <w:r>
              <w:rPr>
                <w:rFonts w:hint="eastAsia"/>
                <w:b/>
                <w:bCs/>
                <w:color w:val="auto"/>
                <w:kern w:val="2"/>
                <w:szCs w:val="24"/>
                <w:u w:val="single"/>
                <w:lang w:bidi="ar"/>
              </w:rPr>
              <w:t>生活饮用水标准检验方法无机非金属指标</w:t>
            </w:r>
            <w:r>
              <w:rPr>
                <w:rFonts w:hint="eastAsia"/>
                <w:b/>
                <w:bCs/>
                <w:color w:val="auto"/>
                <w:kern w:val="2"/>
                <w:szCs w:val="24"/>
                <w:u w:val="single"/>
                <w:lang w:eastAsia="zh-CN" w:bidi="ar"/>
              </w:rPr>
              <w:t>（</w:t>
            </w:r>
            <w:r>
              <w:rPr>
                <w:rFonts w:hint="eastAsia"/>
                <w:b/>
                <w:bCs/>
                <w:color w:val="auto"/>
                <w:kern w:val="2"/>
                <w:szCs w:val="24"/>
                <w:u w:val="single"/>
                <w:lang w:bidi="ar"/>
              </w:rPr>
              <w:t>6.1硫化物N,N</w:t>
            </w:r>
            <w:r>
              <w:rPr>
                <w:rFonts w:hint="eastAsia"/>
                <w:b/>
                <w:bCs/>
                <w:color w:val="auto"/>
                <w:kern w:val="2"/>
                <w:szCs w:val="24"/>
                <w:u w:val="single"/>
                <w:lang w:eastAsia="zh-CN" w:bidi="ar"/>
              </w:rPr>
              <w:t>－</w:t>
            </w:r>
            <w:r>
              <w:rPr>
                <w:rFonts w:hint="eastAsia"/>
                <w:b/>
                <w:bCs/>
                <w:color w:val="auto"/>
                <w:kern w:val="2"/>
                <w:szCs w:val="24"/>
                <w:u w:val="single"/>
                <w:lang w:bidi="ar"/>
              </w:rPr>
              <w:t>二乙基对苯二胺分光光度法</w:t>
            </w:r>
            <w:r>
              <w:rPr>
                <w:rFonts w:hint="eastAsia"/>
                <w:b/>
                <w:bCs/>
                <w:color w:val="auto"/>
                <w:kern w:val="2"/>
                <w:szCs w:val="24"/>
                <w:u w:val="single"/>
                <w:lang w:eastAsia="zh-CN" w:bidi="ar"/>
              </w:rPr>
              <w:t>）</w:t>
            </w:r>
            <w:r>
              <w:rPr>
                <w:rFonts w:hint="eastAsia"/>
                <w:b/>
                <w:bCs/>
                <w:color w:val="auto"/>
                <w:kern w:val="2"/>
                <w:szCs w:val="24"/>
                <w:u w:val="single"/>
                <w:lang w:bidi="ar"/>
              </w:rPr>
              <w:t>GB/T</w:t>
            </w:r>
            <w:r>
              <w:rPr>
                <w:rFonts w:hint="eastAsia"/>
                <w:b/>
                <w:bCs/>
                <w:color w:val="auto"/>
                <w:kern w:val="2"/>
                <w:szCs w:val="24"/>
                <w:u w:val="single"/>
                <w:lang w:val="en-US" w:eastAsia="zh-CN" w:bidi="ar"/>
              </w:rPr>
              <w:t xml:space="preserve"> </w:t>
            </w:r>
            <w:r>
              <w:rPr>
                <w:rFonts w:hint="eastAsia"/>
                <w:b/>
                <w:bCs/>
                <w:color w:val="auto"/>
                <w:kern w:val="2"/>
                <w:szCs w:val="24"/>
                <w:u w:val="single"/>
                <w:lang w:bidi="ar"/>
              </w:rPr>
              <w:t>5750.5-2006</w:t>
            </w:r>
          </w:p>
        </w:tc>
        <w:tc>
          <w:tcPr>
            <w:tcW w:w="1220" w:type="pct"/>
            <w:vAlign w:val="center"/>
          </w:tcPr>
          <w:p>
            <w:pPr>
              <w:pStyle w:val="182"/>
              <w:rPr>
                <w:b/>
                <w:bCs/>
                <w:color w:val="auto"/>
                <w:kern w:val="2"/>
                <w:szCs w:val="24"/>
                <w:u w:val="single"/>
                <w:lang w:bidi="ar"/>
              </w:rPr>
            </w:pPr>
            <w:r>
              <w:rPr>
                <w:rFonts w:hint="eastAsia"/>
                <w:b/>
                <w:bCs/>
                <w:color w:val="auto"/>
                <w:kern w:val="2"/>
                <w:szCs w:val="24"/>
                <w:u w:val="single"/>
                <w:lang w:bidi="ar"/>
              </w:rPr>
              <w:t>紫外可见分光光度计T6新世纪</w:t>
            </w:r>
          </w:p>
        </w:tc>
        <w:tc>
          <w:tcPr>
            <w:tcW w:w="671" w:type="pct"/>
            <w:vAlign w:val="center"/>
          </w:tcPr>
          <w:p>
            <w:pPr>
              <w:pStyle w:val="182"/>
              <w:rPr>
                <w:b/>
                <w:bCs/>
                <w:color w:val="auto"/>
                <w:kern w:val="2"/>
                <w:szCs w:val="24"/>
                <w:u w:val="single"/>
              </w:rPr>
            </w:pPr>
            <w:r>
              <w:rPr>
                <w:rFonts w:hint="eastAsia"/>
                <w:b/>
                <w:bCs/>
                <w:color w:val="auto"/>
                <w:kern w:val="2"/>
                <w:szCs w:val="24"/>
                <w:u w:val="single"/>
              </w:rPr>
              <w:t>0.02mg/L</w:t>
            </w:r>
          </w:p>
        </w:tc>
        <w:tc>
          <w:tcPr>
            <w:tcW w:w="669" w:type="pct"/>
            <w:vAlign w:val="center"/>
          </w:tcPr>
          <w:p>
            <w:pPr>
              <w:pStyle w:val="182"/>
              <w:rPr>
                <w:rFonts w:hint="eastAsia" w:eastAsia="宋体"/>
                <w:b/>
                <w:bCs/>
                <w:color w:val="auto"/>
                <w:kern w:val="2"/>
                <w:szCs w:val="24"/>
                <w:u w:val="single"/>
                <w:lang w:val="en-US" w:eastAsia="zh-CN"/>
              </w:rPr>
            </w:pPr>
            <w:r>
              <w:rPr>
                <w:rFonts w:hint="eastAsia"/>
                <w:b/>
                <w:bCs/>
                <w:color w:val="auto"/>
                <w:kern w:val="2"/>
                <w:szCs w:val="24"/>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rFonts w:hint="default" w:eastAsia="宋体"/>
                <w:b/>
                <w:bCs/>
                <w:color w:val="auto"/>
                <w:kern w:val="2"/>
                <w:szCs w:val="24"/>
                <w:u w:val="single"/>
                <w:lang w:val="en-US" w:eastAsia="zh-CN" w:bidi="ar"/>
              </w:rPr>
            </w:pPr>
            <w:r>
              <w:rPr>
                <w:rFonts w:hint="eastAsia"/>
                <w:b/>
                <w:bCs/>
                <w:color w:val="auto"/>
                <w:kern w:val="2"/>
                <w:szCs w:val="24"/>
                <w:u w:val="single"/>
                <w:lang w:val="en-US" w:eastAsia="zh-CN" w:bidi="ar"/>
              </w:rPr>
              <w:t>15</w:t>
            </w:r>
          </w:p>
        </w:tc>
        <w:tc>
          <w:tcPr>
            <w:tcW w:w="712" w:type="pct"/>
            <w:vAlign w:val="center"/>
          </w:tcPr>
          <w:p>
            <w:pPr>
              <w:pStyle w:val="182"/>
              <w:rPr>
                <w:b/>
                <w:bCs/>
                <w:color w:val="auto"/>
                <w:kern w:val="2"/>
                <w:szCs w:val="24"/>
                <w:u w:val="single"/>
                <w:lang w:bidi="ar"/>
              </w:rPr>
            </w:pPr>
            <w:r>
              <w:rPr>
                <w:rFonts w:hint="eastAsia"/>
                <w:b/>
                <w:bCs/>
                <w:color w:val="auto"/>
                <w:kern w:val="2"/>
                <w:szCs w:val="24"/>
                <w:u w:val="single"/>
                <w:lang w:bidi="ar"/>
              </w:rPr>
              <w:t>硝酸盐</w:t>
            </w:r>
          </w:p>
        </w:tc>
        <w:tc>
          <w:tcPr>
            <w:tcW w:w="1462" w:type="pct"/>
            <w:vAlign w:val="center"/>
          </w:tcPr>
          <w:p>
            <w:pPr>
              <w:pStyle w:val="182"/>
              <w:rPr>
                <w:b/>
                <w:bCs/>
                <w:color w:val="auto"/>
                <w:kern w:val="2"/>
                <w:szCs w:val="24"/>
                <w:u w:val="single"/>
                <w:lang w:bidi="ar"/>
              </w:rPr>
            </w:pPr>
            <w:r>
              <w:rPr>
                <w:rFonts w:hint="eastAsia"/>
                <w:b/>
                <w:bCs/>
                <w:color w:val="auto"/>
                <w:kern w:val="2"/>
                <w:szCs w:val="24"/>
                <w:u w:val="single"/>
                <w:lang w:bidi="ar"/>
              </w:rPr>
              <w:t>水质 硝酸盐氮的测定紫外分光光度法</w:t>
            </w:r>
            <w:r>
              <w:rPr>
                <w:rFonts w:hint="eastAsia"/>
                <w:b/>
                <w:bCs/>
                <w:color w:val="auto"/>
                <w:kern w:val="2"/>
                <w:szCs w:val="24"/>
                <w:u w:val="single"/>
                <w:lang w:eastAsia="zh-CN" w:bidi="ar"/>
              </w:rPr>
              <w:t>（</w:t>
            </w:r>
            <w:r>
              <w:rPr>
                <w:rFonts w:hint="eastAsia"/>
                <w:b/>
                <w:bCs/>
                <w:color w:val="auto"/>
                <w:kern w:val="2"/>
                <w:szCs w:val="24"/>
                <w:u w:val="single"/>
                <w:lang w:bidi="ar"/>
              </w:rPr>
              <w:t>试行</w:t>
            </w:r>
            <w:r>
              <w:rPr>
                <w:rFonts w:hint="eastAsia"/>
                <w:b/>
                <w:bCs/>
                <w:color w:val="auto"/>
                <w:kern w:val="2"/>
                <w:szCs w:val="24"/>
                <w:u w:val="single"/>
                <w:lang w:eastAsia="zh-CN" w:bidi="ar"/>
              </w:rPr>
              <w:t>）</w:t>
            </w:r>
            <w:r>
              <w:rPr>
                <w:rFonts w:hint="eastAsia"/>
                <w:b/>
                <w:bCs/>
                <w:color w:val="auto"/>
                <w:kern w:val="2"/>
                <w:szCs w:val="24"/>
                <w:u w:val="single"/>
                <w:lang w:bidi="ar"/>
              </w:rPr>
              <w:t>HJ/T 346-2007</w:t>
            </w:r>
          </w:p>
        </w:tc>
        <w:tc>
          <w:tcPr>
            <w:tcW w:w="1220" w:type="pct"/>
            <w:vAlign w:val="center"/>
          </w:tcPr>
          <w:p>
            <w:pPr>
              <w:pStyle w:val="182"/>
              <w:rPr>
                <w:b/>
                <w:bCs/>
                <w:color w:val="auto"/>
                <w:kern w:val="2"/>
                <w:szCs w:val="24"/>
                <w:u w:val="single"/>
                <w:lang w:bidi="ar"/>
              </w:rPr>
            </w:pPr>
            <w:r>
              <w:rPr>
                <w:rFonts w:hint="eastAsia"/>
                <w:b/>
                <w:bCs/>
                <w:color w:val="auto"/>
                <w:kern w:val="2"/>
                <w:szCs w:val="24"/>
                <w:u w:val="single"/>
                <w:lang w:bidi="ar"/>
              </w:rPr>
              <w:t>紫外可见分光光度计T6新世纪</w:t>
            </w:r>
          </w:p>
        </w:tc>
        <w:tc>
          <w:tcPr>
            <w:tcW w:w="671" w:type="pct"/>
            <w:vAlign w:val="center"/>
          </w:tcPr>
          <w:p>
            <w:pPr>
              <w:pStyle w:val="182"/>
              <w:rPr>
                <w:b/>
                <w:bCs/>
                <w:color w:val="auto"/>
                <w:kern w:val="2"/>
                <w:szCs w:val="24"/>
                <w:u w:val="single"/>
              </w:rPr>
            </w:pPr>
            <w:r>
              <w:rPr>
                <w:rFonts w:hint="eastAsia"/>
                <w:b/>
                <w:bCs/>
                <w:color w:val="auto"/>
                <w:kern w:val="2"/>
                <w:szCs w:val="24"/>
                <w:u w:val="single"/>
              </w:rPr>
              <w:t>0.08mg/L</w:t>
            </w:r>
          </w:p>
        </w:tc>
        <w:tc>
          <w:tcPr>
            <w:tcW w:w="669" w:type="pct"/>
            <w:vAlign w:val="center"/>
          </w:tcPr>
          <w:p>
            <w:pPr>
              <w:pStyle w:val="182"/>
              <w:rPr>
                <w:rFonts w:hint="eastAsia" w:eastAsia="宋体"/>
                <w:b/>
                <w:bCs/>
                <w:color w:val="auto"/>
                <w:kern w:val="2"/>
                <w:szCs w:val="24"/>
                <w:u w:val="single"/>
                <w:lang w:val="en-US" w:eastAsia="zh-CN"/>
              </w:rPr>
            </w:pPr>
            <w:r>
              <w:rPr>
                <w:rFonts w:hint="eastAsia"/>
                <w:b/>
                <w:bCs/>
                <w:color w:val="auto"/>
                <w:kern w:val="2"/>
                <w:szCs w:val="24"/>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rPr>
                <w:rFonts w:hint="default" w:eastAsia="宋体"/>
                <w:b/>
                <w:bCs/>
                <w:color w:val="auto"/>
                <w:kern w:val="2"/>
                <w:szCs w:val="24"/>
                <w:u w:val="single"/>
                <w:lang w:val="en-US" w:eastAsia="zh-CN" w:bidi="ar"/>
              </w:rPr>
            </w:pPr>
            <w:r>
              <w:rPr>
                <w:rFonts w:hint="eastAsia"/>
                <w:b/>
                <w:bCs/>
                <w:color w:val="auto"/>
                <w:kern w:val="2"/>
                <w:szCs w:val="24"/>
                <w:u w:val="single"/>
                <w:lang w:val="en-US" w:eastAsia="zh-CN" w:bidi="ar"/>
              </w:rPr>
              <w:t>16</w:t>
            </w:r>
          </w:p>
        </w:tc>
        <w:tc>
          <w:tcPr>
            <w:tcW w:w="712" w:type="pct"/>
            <w:vAlign w:val="center"/>
          </w:tcPr>
          <w:p>
            <w:pPr>
              <w:pStyle w:val="182"/>
              <w:rPr>
                <w:b/>
                <w:bCs/>
                <w:color w:val="auto"/>
                <w:kern w:val="2"/>
                <w:szCs w:val="24"/>
                <w:u w:val="single"/>
                <w:lang w:bidi="ar"/>
              </w:rPr>
            </w:pPr>
            <w:r>
              <w:rPr>
                <w:rFonts w:hint="eastAsia"/>
                <w:b/>
                <w:bCs/>
                <w:color w:val="auto"/>
                <w:kern w:val="2"/>
                <w:szCs w:val="24"/>
                <w:u w:val="single"/>
                <w:lang w:bidi="ar"/>
              </w:rPr>
              <w:t>亚硝酸盐</w:t>
            </w:r>
          </w:p>
        </w:tc>
        <w:tc>
          <w:tcPr>
            <w:tcW w:w="1462" w:type="pct"/>
            <w:vAlign w:val="center"/>
          </w:tcPr>
          <w:p>
            <w:pPr>
              <w:pStyle w:val="182"/>
              <w:rPr>
                <w:b/>
                <w:bCs/>
                <w:color w:val="auto"/>
                <w:kern w:val="2"/>
                <w:szCs w:val="24"/>
                <w:u w:val="single"/>
                <w:lang w:bidi="ar"/>
              </w:rPr>
            </w:pPr>
            <w:r>
              <w:rPr>
                <w:rFonts w:hint="eastAsia"/>
                <w:b/>
                <w:bCs/>
                <w:color w:val="auto"/>
                <w:kern w:val="2"/>
                <w:szCs w:val="24"/>
                <w:u w:val="single"/>
                <w:lang w:bidi="ar"/>
              </w:rPr>
              <w:t>水质 亚硝酸盐氮的测定分光光度法GB/T 7493-1987</w:t>
            </w:r>
          </w:p>
        </w:tc>
        <w:tc>
          <w:tcPr>
            <w:tcW w:w="1220" w:type="pct"/>
            <w:vAlign w:val="center"/>
          </w:tcPr>
          <w:p>
            <w:pPr>
              <w:pStyle w:val="182"/>
              <w:rPr>
                <w:b/>
                <w:bCs/>
                <w:color w:val="auto"/>
                <w:kern w:val="2"/>
                <w:szCs w:val="24"/>
                <w:u w:val="single"/>
                <w:lang w:bidi="ar"/>
              </w:rPr>
            </w:pPr>
            <w:r>
              <w:rPr>
                <w:rFonts w:hint="eastAsia"/>
                <w:b/>
                <w:bCs/>
                <w:color w:val="auto"/>
                <w:kern w:val="2"/>
                <w:szCs w:val="24"/>
                <w:u w:val="single"/>
                <w:lang w:bidi="ar"/>
              </w:rPr>
              <w:t>紫外可见分光光度计T6新世纪</w:t>
            </w:r>
          </w:p>
        </w:tc>
        <w:tc>
          <w:tcPr>
            <w:tcW w:w="671" w:type="pct"/>
            <w:vAlign w:val="center"/>
          </w:tcPr>
          <w:p>
            <w:pPr>
              <w:pStyle w:val="182"/>
              <w:rPr>
                <w:b/>
                <w:bCs/>
                <w:color w:val="auto"/>
                <w:kern w:val="2"/>
                <w:szCs w:val="24"/>
                <w:u w:val="single"/>
              </w:rPr>
            </w:pPr>
            <w:r>
              <w:rPr>
                <w:rFonts w:hint="eastAsia"/>
                <w:b/>
                <w:bCs/>
                <w:color w:val="auto"/>
                <w:kern w:val="2"/>
                <w:szCs w:val="24"/>
                <w:u w:val="single"/>
              </w:rPr>
              <w:t>0.003mg/L</w:t>
            </w:r>
          </w:p>
        </w:tc>
        <w:tc>
          <w:tcPr>
            <w:tcW w:w="669" w:type="pct"/>
            <w:vAlign w:val="center"/>
          </w:tcPr>
          <w:p>
            <w:pPr>
              <w:pStyle w:val="182"/>
              <w:rPr>
                <w:rFonts w:hint="eastAsia" w:eastAsia="宋体"/>
                <w:b/>
                <w:bCs/>
                <w:color w:val="auto"/>
                <w:kern w:val="2"/>
                <w:szCs w:val="24"/>
                <w:u w:val="single"/>
                <w:lang w:val="en-US" w:eastAsia="zh-CN"/>
              </w:rPr>
            </w:pPr>
            <w:r>
              <w:rPr>
                <w:rFonts w:hint="eastAsia"/>
                <w:b/>
                <w:bCs/>
                <w:color w:val="auto"/>
                <w:kern w:val="2"/>
                <w:szCs w:val="24"/>
                <w:u w:val="single"/>
                <w:lang w:val="en-US" w:eastAsia="zh-CN"/>
              </w:rPr>
              <w:t>/</w:t>
            </w:r>
          </w:p>
        </w:tc>
      </w:tr>
    </w:tbl>
    <w:p>
      <w:pPr>
        <w:spacing w:line="240" w:lineRule="auto"/>
        <w:ind w:firstLine="0" w:firstLineChars="0"/>
        <w:rPr>
          <w:b/>
          <w:bCs/>
          <w:color w:val="auto"/>
          <w:sz w:val="24"/>
        </w:rPr>
      </w:pPr>
      <w:r>
        <w:rPr>
          <w:rFonts w:hint="eastAsia"/>
          <w:color w:val="auto"/>
          <w:sz w:val="24"/>
        </w:rPr>
        <w:t>（3）</w:t>
      </w:r>
      <w:r>
        <w:rPr>
          <w:rFonts w:hint="eastAsia"/>
          <w:bCs/>
          <w:color w:val="auto"/>
          <w:sz w:val="24"/>
        </w:rPr>
        <w:t>评价标准</w:t>
      </w:r>
    </w:p>
    <w:p>
      <w:pPr>
        <w:spacing w:line="520" w:lineRule="exact"/>
        <w:ind w:firstLine="480" w:firstLineChars="200"/>
        <w:rPr>
          <w:color w:val="auto"/>
          <w:sz w:val="24"/>
        </w:rPr>
      </w:pPr>
      <w:r>
        <w:rPr>
          <w:color w:val="auto"/>
          <w:sz w:val="24"/>
        </w:rPr>
        <w:t>本项目地下水现状质量评价执行《地下水质量标准》（GB/T14848-2017）中的Ⅲ类标准，见下表。</w:t>
      </w:r>
    </w:p>
    <w:p>
      <w:pPr>
        <w:pStyle w:val="181"/>
        <w:rPr>
          <w:b/>
          <w:color w:val="auto"/>
          <w:sz w:val="24"/>
        </w:rPr>
      </w:pPr>
      <w:r>
        <w:rPr>
          <w:rFonts w:hint="eastAsia"/>
          <w:b/>
          <w:color w:val="auto"/>
          <w:sz w:val="24"/>
        </w:rPr>
        <w:t>表4</w:t>
      </w:r>
      <w:r>
        <w:rPr>
          <w:rFonts w:hint="eastAsia"/>
          <w:b/>
          <w:color w:val="auto"/>
          <w:sz w:val="24"/>
          <w:lang w:val="en-US" w:eastAsia="zh-CN"/>
        </w:rPr>
        <w:t>.2</w:t>
      </w:r>
      <w:r>
        <w:rPr>
          <w:rFonts w:hint="eastAsia"/>
          <w:b/>
          <w:color w:val="auto"/>
          <w:sz w:val="24"/>
        </w:rPr>
        <w:t>-1</w:t>
      </w:r>
      <w:r>
        <w:rPr>
          <w:rFonts w:hint="eastAsia"/>
          <w:b/>
          <w:color w:val="auto"/>
          <w:sz w:val="24"/>
          <w:lang w:val="en-US" w:eastAsia="zh-CN"/>
        </w:rPr>
        <w:t>2</w:t>
      </w:r>
      <w:r>
        <w:rPr>
          <w:rFonts w:hint="eastAsia"/>
          <w:b/>
          <w:color w:val="auto"/>
          <w:sz w:val="24"/>
        </w:rPr>
        <w:t xml:space="preserve">           </w:t>
      </w:r>
      <w:r>
        <w:rPr>
          <w:b/>
          <w:color w:val="auto"/>
          <w:sz w:val="24"/>
        </w:rPr>
        <w:t xml:space="preserve"> </w:t>
      </w:r>
      <w:r>
        <w:rPr>
          <w:rFonts w:hint="eastAsia"/>
          <w:b/>
          <w:color w:val="auto"/>
          <w:sz w:val="24"/>
        </w:rPr>
        <w:t>地下水质量现状评价执行标准</w:t>
      </w:r>
    </w:p>
    <w:tbl>
      <w:tblPr>
        <w:tblStyle w:val="3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368"/>
        <w:gridCol w:w="2718"/>
        <w:gridCol w:w="34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Align w:val="center"/>
          </w:tcPr>
          <w:p>
            <w:pPr>
              <w:pStyle w:val="182"/>
              <w:rPr>
                <w:b w:val="0"/>
                <w:color w:val="auto"/>
                <w:szCs w:val="24"/>
              </w:rPr>
            </w:pPr>
            <w:r>
              <w:rPr>
                <w:b w:val="0"/>
                <w:color w:val="auto"/>
                <w:szCs w:val="24"/>
              </w:rPr>
              <w:t>执行标准</w:t>
            </w:r>
          </w:p>
        </w:tc>
        <w:tc>
          <w:tcPr>
            <w:tcW w:w="1594" w:type="pct"/>
            <w:vAlign w:val="center"/>
          </w:tcPr>
          <w:p>
            <w:pPr>
              <w:pStyle w:val="182"/>
              <w:rPr>
                <w:b w:val="0"/>
                <w:color w:val="auto"/>
                <w:szCs w:val="24"/>
              </w:rPr>
            </w:pPr>
            <w:r>
              <w:rPr>
                <w:b w:val="0"/>
                <w:color w:val="auto"/>
                <w:szCs w:val="24"/>
              </w:rPr>
              <w:t>评价因子</w:t>
            </w:r>
          </w:p>
        </w:tc>
        <w:tc>
          <w:tcPr>
            <w:tcW w:w="2015" w:type="pct"/>
            <w:vAlign w:val="center"/>
          </w:tcPr>
          <w:p>
            <w:pPr>
              <w:pStyle w:val="182"/>
              <w:rPr>
                <w:b w:val="0"/>
                <w:color w:val="auto"/>
                <w:szCs w:val="24"/>
              </w:rPr>
            </w:pPr>
            <w:r>
              <w:rPr>
                <w:b w:val="0"/>
                <w:color w:val="auto"/>
                <w:szCs w:val="24"/>
              </w:rPr>
              <w:t>标准限值（mg/L）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restart"/>
            <w:vAlign w:val="center"/>
          </w:tcPr>
          <w:p>
            <w:pPr>
              <w:pStyle w:val="182"/>
              <w:rPr>
                <w:color w:val="auto"/>
                <w:szCs w:val="24"/>
              </w:rPr>
            </w:pPr>
            <w:r>
              <w:rPr>
                <w:color w:val="auto"/>
                <w:szCs w:val="24"/>
              </w:rPr>
              <w:t>《地下水质量标准》（GB/T14848-2017）</w:t>
            </w:r>
          </w:p>
          <w:p>
            <w:pPr>
              <w:pStyle w:val="182"/>
              <w:rPr>
                <w:color w:val="auto"/>
                <w:szCs w:val="24"/>
              </w:rPr>
            </w:pPr>
            <w:r>
              <w:rPr>
                <w:iCs w:val="0"/>
                <w:color w:val="auto"/>
                <w:szCs w:val="24"/>
              </w:rPr>
              <w:t>Ⅲ类</w:t>
            </w:r>
          </w:p>
        </w:tc>
        <w:tc>
          <w:tcPr>
            <w:tcW w:w="1594" w:type="pct"/>
            <w:vAlign w:val="center"/>
          </w:tcPr>
          <w:p>
            <w:pPr>
              <w:pStyle w:val="182"/>
              <w:rPr>
                <w:color w:val="auto"/>
                <w:szCs w:val="24"/>
              </w:rPr>
            </w:pPr>
            <w:r>
              <w:rPr>
                <w:color w:val="auto"/>
                <w:szCs w:val="24"/>
              </w:rPr>
              <w:t>pH</w:t>
            </w:r>
          </w:p>
        </w:tc>
        <w:tc>
          <w:tcPr>
            <w:tcW w:w="2015" w:type="pct"/>
            <w:vAlign w:val="center"/>
          </w:tcPr>
          <w:p>
            <w:pPr>
              <w:pStyle w:val="182"/>
              <w:rPr>
                <w:color w:val="auto"/>
                <w:szCs w:val="24"/>
              </w:rPr>
            </w:pPr>
            <w:r>
              <w:rPr>
                <w:color w:val="auto"/>
                <w:szCs w:val="24"/>
              </w:rPr>
              <w:t>6.5～8.5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szCs w:val="24"/>
              </w:rPr>
            </w:pPr>
            <w:r>
              <w:rPr>
                <w:color w:val="auto"/>
                <w:szCs w:val="24"/>
              </w:rPr>
              <w:t>总硬度</w:t>
            </w:r>
          </w:p>
        </w:tc>
        <w:tc>
          <w:tcPr>
            <w:tcW w:w="2015" w:type="pct"/>
            <w:vAlign w:val="center"/>
          </w:tcPr>
          <w:p>
            <w:pPr>
              <w:pStyle w:val="182"/>
              <w:rPr>
                <w:color w:val="auto"/>
                <w:szCs w:val="24"/>
              </w:rPr>
            </w:pPr>
            <w:r>
              <w:rPr>
                <w:color w:val="auto"/>
                <w:szCs w:val="24"/>
              </w:rPr>
              <w:t>≤450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szCs w:val="24"/>
              </w:rPr>
            </w:pPr>
            <w:r>
              <w:rPr>
                <w:color w:val="auto"/>
                <w:szCs w:val="24"/>
              </w:rPr>
              <w:t>溶解性总固体</w:t>
            </w:r>
          </w:p>
        </w:tc>
        <w:tc>
          <w:tcPr>
            <w:tcW w:w="2015" w:type="pct"/>
            <w:vAlign w:val="center"/>
          </w:tcPr>
          <w:p>
            <w:pPr>
              <w:pStyle w:val="182"/>
              <w:rPr>
                <w:color w:val="auto"/>
                <w:szCs w:val="24"/>
              </w:rPr>
            </w:pPr>
            <w:r>
              <w:rPr>
                <w:color w:val="auto"/>
                <w:szCs w:val="24"/>
              </w:rPr>
              <w:t>≤1000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szCs w:val="24"/>
              </w:rPr>
            </w:pPr>
            <w:r>
              <w:rPr>
                <w:color w:val="auto"/>
                <w:szCs w:val="24"/>
              </w:rPr>
              <w:t>耗氧量</w:t>
            </w:r>
          </w:p>
        </w:tc>
        <w:tc>
          <w:tcPr>
            <w:tcW w:w="2015" w:type="pct"/>
            <w:vAlign w:val="center"/>
          </w:tcPr>
          <w:p>
            <w:pPr>
              <w:pStyle w:val="182"/>
              <w:rPr>
                <w:color w:val="auto"/>
                <w:szCs w:val="24"/>
              </w:rPr>
            </w:pPr>
            <w:r>
              <w:rPr>
                <w:color w:val="auto"/>
                <w:szCs w:val="24"/>
              </w:rPr>
              <w:t>≤3.0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szCs w:val="24"/>
              </w:rPr>
            </w:pPr>
            <w:r>
              <w:rPr>
                <w:color w:val="auto"/>
                <w:szCs w:val="24"/>
              </w:rPr>
              <w:t>氨氮</w:t>
            </w:r>
          </w:p>
        </w:tc>
        <w:tc>
          <w:tcPr>
            <w:tcW w:w="2015" w:type="pct"/>
            <w:vAlign w:val="center"/>
          </w:tcPr>
          <w:p>
            <w:pPr>
              <w:pStyle w:val="182"/>
              <w:rPr>
                <w:color w:val="auto"/>
                <w:szCs w:val="24"/>
              </w:rPr>
            </w:pPr>
            <w:r>
              <w:rPr>
                <w:color w:val="auto"/>
                <w:szCs w:val="24"/>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kern w:val="2"/>
                <w:lang w:val="en-US" w:eastAsia="zh-CN"/>
              </w:rPr>
            </w:pPr>
            <w:r>
              <w:rPr>
                <w:color w:val="auto"/>
                <w:kern w:val="2"/>
                <w:lang w:val="en-US" w:eastAsia="zh-CN"/>
              </w:rPr>
              <w:t>K</w:t>
            </w:r>
            <w:r>
              <w:rPr>
                <w:color w:val="auto"/>
                <w:kern w:val="2"/>
                <w:vertAlign w:val="superscript"/>
                <w:lang w:val="en-US" w:eastAsia="zh-CN"/>
              </w:rPr>
              <w:t>+</w:t>
            </w:r>
          </w:p>
        </w:tc>
        <w:tc>
          <w:tcPr>
            <w:tcW w:w="2015" w:type="pct"/>
            <w:vAlign w:val="center"/>
          </w:tcPr>
          <w:p>
            <w:pPr>
              <w:pStyle w:val="182"/>
              <w:rPr>
                <w:color w:val="auto"/>
                <w:szCs w:val="24"/>
              </w:rPr>
            </w:pPr>
            <w:r>
              <w:rPr>
                <w:color w:val="auto"/>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kern w:val="2"/>
                <w:lang w:val="en-US" w:eastAsia="zh-CN"/>
              </w:rPr>
            </w:pPr>
            <w:r>
              <w:rPr>
                <w:color w:val="auto"/>
                <w:kern w:val="2"/>
                <w:lang w:val="en-US" w:eastAsia="zh-CN"/>
              </w:rPr>
              <w:t>Na</w:t>
            </w:r>
            <w:r>
              <w:rPr>
                <w:color w:val="auto"/>
                <w:kern w:val="2"/>
                <w:vertAlign w:val="superscript"/>
                <w:lang w:val="en-US" w:eastAsia="zh-CN"/>
              </w:rPr>
              <w:t>+</w:t>
            </w:r>
          </w:p>
        </w:tc>
        <w:tc>
          <w:tcPr>
            <w:tcW w:w="2015" w:type="pct"/>
            <w:vAlign w:val="center"/>
          </w:tcPr>
          <w:p>
            <w:pPr>
              <w:pStyle w:val="182"/>
              <w:rPr>
                <w:color w:val="auto"/>
                <w:szCs w:val="24"/>
              </w:rPr>
            </w:pPr>
            <w:r>
              <w:rPr>
                <w:color w:val="auto"/>
                <w:szCs w:val="24"/>
              </w:rPr>
              <w:t>≤200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kern w:val="2"/>
                <w:lang w:val="en-US" w:eastAsia="zh-CN"/>
              </w:rPr>
            </w:pPr>
            <w:r>
              <w:rPr>
                <w:color w:val="auto"/>
                <w:kern w:val="2"/>
                <w:lang w:val="en-US" w:eastAsia="zh-CN"/>
              </w:rPr>
              <w:t>Ca</w:t>
            </w:r>
            <w:r>
              <w:rPr>
                <w:color w:val="auto"/>
                <w:kern w:val="2"/>
                <w:vertAlign w:val="superscript"/>
                <w:lang w:val="en-US" w:eastAsia="zh-CN"/>
              </w:rPr>
              <w:t>2+</w:t>
            </w:r>
          </w:p>
        </w:tc>
        <w:tc>
          <w:tcPr>
            <w:tcW w:w="2015" w:type="pct"/>
            <w:vAlign w:val="center"/>
          </w:tcPr>
          <w:p>
            <w:pPr>
              <w:pStyle w:val="182"/>
              <w:rPr>
                <w:color w:val="auto"/>
                <w:szCs w:val="24"/>
              </w:rPr>
            </w:pPr>
            <w:r>
              <w:rPr>
                <w:color w:val="auto"/>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kern w:val="2"/>
                <w:lang w:val="en-US" w:eastAsia="zh-CN"/>
              </w:rPr>
            </w:pPr>
            <w:r>
              <w:rPr>
                <w:color w:val="auto"/>
                <w:kern w:val="2"/>
                <w:lang w:val="en-US" w:eastAsia="zh-CN"/>
              </w:rPr>
              <w:t>Mg</w:t>
            </w:r>
            <w:r>
              <w:rPr>
                <w:color w:val="auto"/>
                <w:kern w:val="2"/>
                <w:vertAlign w:val="superscript"/>
                <w:lang w:val="en-US" w:eastAsia="zh-CN"/>
              </w:rPr>
              <w:t>2+</w:t>
            </w:r>
          </w:p>
        </w:tc>
        <w:tc>
          <w:tcPr>
            <w:tcW w:w="2015" w:type="pct"/>
            <w:vAlign w:val="center"/>
          </w:tcPr>
          <w:p>
            <w:pPr>
              <w:pStyle w:val="182"/>
              <w:rPr>
                <w:color w:val="auto"/>
                <w:szCs w:val="24"/>
              </w:rPr>
            </w:pPr>
            <w:r>
              <w:rPr>
                <w:color w:val="auto"/>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szCs w:val="24"/>
              </w:rPr>
            </w:pPr>
            <w:r>
              <w:rPr>
                <w:color w:val="auto"/>
              </w:rPr>
              <w:t>CO</w:t>
            </w:r>
            <w:r>
              <w:rPr>
                <w:color w:val="auto"/>
                <w:vertAlign w:val="subscript"/>
              </w:rPr>
              <w:t>3</w:t>
            </w:r>
            <w:r>
              <w:rPr>
                <w:color w:val="auto"/>
                <w:vertAlign w:val="superscript"/>
              </w:rPr>
              <w:t>2-</w:t>
            </w:r>
          </w:p>
        </w:tc>
        <w:tc>
          <w:tcPr>
            <w:tcW w:w="2015" w:type="pct"/>
            <w:vAlign w:val="center"/>
          </w:tcPr>
          <w:p>
            <w:pPr>
              <w:pStyle w:val="182"/>
              <w:rPr>
                <w:color w:val="auto"/>
                <w:szCs w:val="24"/>
              </w:rPr>
            </w:pPr>
            <w:r>
              <w:rPr>
                <w:color w:val="auto"/>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kern w:val="2"/>
                <w:lang w:val="en-US" w:eastAsia="zh-CN"/>
              </w:rPr>
            </w:pPr>
            <w:r>
              <w:rPr>
                <w:color w:val="auto"/>
                <w:kern w:val="2"/>
                <w:lang w:val="en-US" w:eastAsia="zh-CN"/>
              </w:rPr>
              <w:t>HCO</w:t>
            </w:r>
            <w:r>
              <w:rPr>
                <w:color w:val="auto"/>
                <w:kern w:val="2"/>
                <w:vertAlign w:val="subscript"/>
                <w:lang w:val="en-US" w:eastAsia="zh-CN"/>
              </w:rPr>
              <w:t>3</w:t>
            </w:r>
            <w:r>
              <w:rPr>
                <w:color w:val="auto"/>
                <w:kern w:val="2"/>
                <w:vertAlign w:val="superscript"/>
                <w:lang w:val="en-US" w:eastAsia="zh-CN"/>
              </w:rPr>
              <w:t>-</w:t>
            </w:r>
          </w:p>
        </w:tc>
        <w:tc>
          <w:tcPr>
            <w:tcW w:w="2015" w:type="pct"/>
            <w:vAlign w:val="center"/>
          </w:tcPr>
          <w:p>
            <w:pPr>
              <w:pStyle w:val="182"/>
              <w:rPr>
                <w:color w:val="auto"/>
                <w:szCs w:val="24"/>
              </w:rPr>
            </w:pPr>
            <w:r>
              <w:rPr>
                <w:color w:val="auto"/>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kern w:val="2"/>
                <w:lang w:val="en-US" w:eastAsia="zh-CN"/>
              </w:rPr>
            </w:pPr>
            <w:r>
              <w:rPr>
                <w:color w:val="auto"/>
                <w:kern w:val="2"/>
                <w:lang w:val="en-US" w:eastAsia="zh-CN"/>
              </w:rPr>
              <w:t>Cl</w:t>
            </w:r>
            <w:r>
              <w:rPr>
                <w:color w:val="auto"/>
                <w:kern w:val="2"/>
                <w:vertAlign w:val="superscript"/>
                <w:lang w:val="en-US" w:eastAsia="zh-CN"/>
              </w:rPr>
              <w:t>-</w:t>
            </w:r>
          </w:p>
        </w:tc>
        <w:tc>
          <w:tcPr>
            <w:tcW w:w="2015" w:type="pct"/>
            <w:vAlign w:val="center"/>
          </w:tcPr>
          <w:p>
            <w:pPr>
              <w:pStyle w:val="182"/>
              <w:rPr>
                <w:color w:val="auto"/>
                <w:szCs w:val="24"/>
              </w:rPr>
            </w:pPr>
            <w:r>
              <w:rPr>
                <w:color w:val="auto"/>
                <w:szCs w:val="24"/>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rPr>
                <w:color w:val="auto"/>
                <w:kern w:val="2"/>
                <w:lang w:val="en-US" w:eastAsia="zh-CN"/>
              </w:rPr>
            </w:pPr>
            <w:r>
              <w:rPr>
                <w:color w:val="auto"/>
                <w:kern w:val="2"/>
                <w:lang w:val="en-US" w:eastAsia="zh-CN"/>
              </w:rPr>
              <w:t>SO</w:t>
            </w:r>
            <w:r>
              <w:rPr>
                <w:color w:val="auto"/>
                <w:kern w:val="2"/>
                <w:vertAlign w:val="subscript"/>
                <w:lang w:val="en-US" w:eastAsia="zh-CN"/>
              </w:rPr>
              <w:t>4</w:t>
            </w:r>
            <w:r>
              <w:rPr>
                <w:color w:val="auto"/>
                <w:kern w:val="2"/>
                <w:vertAlign w:val="superscript"/>
                <w:lang w:val="en-US" w:eastAsia="zh-CN"/>
              </w:rPr>
              <w:t>2-</w:t>
            </w:r>
          </w:p>
        </w:tc>
        <w:tc>
          <w:tcPr>
            <w:tcW w:w="2015" w:type="pct"/>
            <w:vAlign w:val="center"/>
          </w:tcPr>
          <w:p>
            <w:pPr>
              <w:pStyle w:val="182"/>
              <w:rPr>
                <w:color w:val="auto"/>
                <w:szCs w:val="24"/>
              </w:rPr>
            </w:pPr>
            <w:r>
              <w:rPr>
                <w:color w:val="auto"/>
                <w:szCs w:val="24"/>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ind w:firstLine="0" w:firstLineChars="0"/>
              <w:rPr>
                <w:b/>
                <w:bCs/>
                <w:color w:val="auto"/>
                <w:kern w:val="2"/>
                <w:u w:val="single"/>
                <w:lang w:val="en-US" w:eastAsia="zh-CN"/>
              </w:rPr>
            </w:pPr>
            <w:r>
              <w:rPr>
                <w:rFonts w:hint="eastAsia"/>
                <w:b/>
                <w:bCs/>
                <w:color w:val="auto"/>
                <w:kern w:val="2"/>
                <w:szCs w:val="24"/>
                <w:u w:val="single"/>
                <w:lang w:bidi="ar"/>
              </w:rPr>
              <w:t>硫化物</w:t>
            </w:r>
          </w:p>
        </w:tc>
        <w:tc>
          <w:tcPr>
            <w:tcW w:w="2015" w:type="pct"/>
            <w:vAlign w:val="center"/>
          </w:tcPr>
          <w:p>
            <w:pPr>
              <w:pStyle w:val="182"/>
              <w:rPr>
                <w:rFonts w:hint="default" w:eastAsia="宋体"/>
                <w:b/>
                <w:bCs/>
                <w:color w:val="auto"/>
                <w:szCs w:val="24"/>
                <w:u w:val="single"/>
                <w:lang w:val="en-US" w:eastAsia="zh-CN"/>
              </w:rPr>
            </w:pPr>
            <w:r>
              <w:rPr>
                <w:b/>
                <w:bCs/>
                <w:color w:val="auto"/>
                <w:szCs w:val="24"/>
                <w:u w:val="single"/>
              </w:rPr>
              <w:t>≤</w:t>
            </w:r>
            <w:r>
              <w:rPr>
                <w:rFonts w:hint="eastAsia"/>
                <w:b/>
                <w:bCs/>
                <w:color w:val="auto"/>
                <w:szCs w:val="24"/>
                <w:u w:val="single"/>
                <w:lang w:val="en-US" w:eastAsia="zh-CN"/>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ind w:firstLine="0" w:firstLineChars="0"/>
              <w:rPr>
                <w:b/>
                <w:bCs/>
                <w:color w:val="auto"/>
                <w:kern w:val="2"/>
                <w:u w:val="single"/>
                <w:lang w:val="en-US" w:eastAsia="zh-CN"/>
              </w:rPr>
            </w:pPr>
            <w:r>
              <w:rPr>
                <w:rFonts w:hint="eastAsia"/>
                <w:b/>
                <w:bCs/>
                <w:color w:val="auto"/>
                <w:kern w:val="2"/>
                <w:szCs w:val="24"/>
                <w:u w:val="single"/>
                <w:lang w:bidi="ar"/>
              </w:rPr>
              <w:t>硝酸盐</w:t>
            </w:r>
          </w:p>
        </w:tc>
        <w:tc>
          <w:tcPr>
            <w:tcW w:w="2015" w:type="pct"/>
            <w:vAlign w:val="center"/>
          </w:tcPr>
          <w:p>
            <w:pPr>
              <w:pStyle w:val="182"/>
              <w:rPr>
                <w:rFonts w:hint="default" w:eastAsia="宋体"/>
                <w:b/>
                <w:bCs/>
                <w:color w:val="auto"/>
                <w:szCs w:val="24"/>
                <w:u w:val="single"/>
                <w:lang w:val="en-US" w:eastAsia="zh-CN"/>
              </w:rPr>
            </w:pPr>
            <w:r>
              <w:rPr>
                <w:b/>
                <w:bCs/>
                <w:color w:val="auto"/>
                <w:szCs w:val="24"/>
                <w:u w:val="single"/>
              </w:rPr>
              <w:t>≤</w:t>
            </w:r>
            <w:r>
              <w:rPr>
                <w:rFonts w:hint="eastAsia"/>
                <w:b/>
                <w:bCs/>
                <w:color w:val="auto"/>
                <w:szCs w:val="24"/>
                <w:u w:val="single"/>
                <w:lang w:val="en-US" w:eastAsia="zh-CN"/>
              </w:rPr>
              <w:t>20.0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389" w:type="pct"/>
            <w:vMerge w:val="continue"/>
            <w:vAlign w:val="center"/>
          </w:tcPr>
          <w:p>
            <w:pPr>
              <w:pStyle w:val="182"/>
              <w:rPr>
                <w:color w:val="auto"/>
                <w:szCs w:val="24"/>
              </w:rPr>
            </w:pPr>
          </w:p>
        </w:tc>
        <w:tc>
          <w:tcPr>
            <w:tcW w:w="1594" w:type="pct"/>
            <w:vAlign w:val="center"/>
          </w:tcPr>
          <w:p>
            <w:pPr>
              <w:pStyle w:val="182"/>
              <w:ind w:firstLine="0" w:firstLineChars="0"/>
              <w:rPr>
                <w:b/>
                <w:bCs/>
                <w:color w:val="auto"/>
                <w:kern w:val="2"/>
                <w:u w:val="single"/>
                <w:lang w:val="en-US" w:eastAsia="zh-CN"/>
              </w:rPr>
            </w:pPr>
            <w:r>
              <w:rPr>
                <w:rFonts w:hint="eastAsia"/>
                <w:b/>
                <w:bCs/>
                <w:color w:val="auto"/>
                <w:kern w:val="2"/>
                <w:szCs w:val="24"/>
                <w:u w:val="single"/>
                <w:lang w:bidi="ar"/>
              </w:rPr>
              <w:t>亚硝酸盐</w:t>
            </w:r>
          </w:p>
        </w:tc>
        <w:tc>
          <w:tcPr>
            <w:tcW w:w="2015" w:type="pct"/>
            <w:vAlign w:val="center"/>
          </w:tcPr>
          <w:p>
            <w:pPr>
              <w:pStyle w:val="182"/>
              <w:rPr>
                <w:rFonts w:hint="default" w:eastAsia="宋体"/>
                <w:b/>
                <w:bCs/>
                <w:color w:val="auto"/>
                <w:szCs w:val="24"/>
                <w:u w:val="single"/>
                <w:lang w:val="en-US" w:eastAsia="zh-CN"/>
              </w:rPr>
            </w:pPr>
            <w:r>
              <w:rPr>
                <w:b/>
                <w:bCs/>
                <w:color w:val="auto"/>
                <w:szCs w:val="24"/>
                <w:u w:val="single"/>
              </w:rPr>
              <w:t>≤</w:t>
            </w:r>
            <w:r>
              <w:rPr>
                <w:rFonts w:hint="eastAsia"/>
                <w:b/>
                <w:bCs/>
                <w:color w:val="auto"/>
                <w:szCs w:val="24"/>
                <w:u w:val="single"/>
                <w:lang w:val="en-US" w:eastAsia="zh-CN"/>
              </w:rPr>
              <w:t>1.0</w:t>
            </w:r>
          </w:p>
        </w:tc>
      </w:tr>
    </w:tbl>
    <w:p>
      <w:pPr>
        <w:spacing w:line="500" w:lineRule="exact"/>
        <w:ind w:firstLine="480" w:firstLineChars="200"/>
        <w:rPr>
          <w:bCs/>
          <w:color w:val="auto"/>
          <w:sz w:val="24"/>
        </w:rPr>
      </w:pPr>
      <w:r>
        <w:rPr>
          <w:rFonts w:hint="eastAsia"/>
          <w:bCs/>
          <w:color w:val="auto"/>
          <w:sz w:val="24"/>
        </w:rPr>
        <w:t>（</w:t>
      </w:r>
      <w:r>
        <w:rPr>
          <w:bCs/>
          <w:color w:val="auto"/>
          <w:sz w:val="24"/>
        </w:rPr>
        <w:t>4</w:t>
      </w:r>
      <w:r>
        <w:rPr>
          <w:rFonts w:hint="eastAsia"/>
          <w:bCs/>
          <w:color w:val="auto"/>
          <w:sz w:val="24"/>
        </w:rPr>
        <w:t>）评价结果分析</w:t>
      </w:r>
    </w:p>
    <w:p>
      <w:pPr>
        <w:adjustRightInd w:val="0"/>
        <w:snapToGrid w:val="0"/>
        <w:spacing w:line="520" w:lineRule="exact"/>
        <w:ind w:firstLine="480" w:firstLineChars="200"/>
        <w:textAlignment w:val="baseline"/>
        <w:rPr>
          <w:color w:val="auto"/>
          <w:kern w:val="0"/>
          <w:sz w:val="24"/>
          <w:szCs w:val="20"/>
        </w:rPr>
      </w:pPr>
      <w:r>
        <w:rPr>
          <w:rFonts w:hint="eastAsia"/>
          <w:color w:val="auto"/>
          <w:kern w:val="0"/>
          <w:sz w:val="24"/>
          <w:szCs w:val="20"/>
        </w:rPr>
        <w:t>本次评价地下水现状统计结果详见表4</w:t>
      </w:r>
      <w:r>
        <w:rPr>
          <w:rFonts w:hint="eastAsia"/>
          <w:color w:val="auto"/>
          <w:kern w:val="0"/>
          <w:sz w:val="24"/>
          <w:szCs w:val="20"/>
          <w:lang w:val="en-US" w:eastAsia="zh-CN"/>
        </w:rPr>
        <w:t>.2</w:t>
      </w:r>
      <w:r>
        <w:rPr>
          <w:rFonts w:hint="eastAsia"/>
          <w:color w:val="auto"/>
          <w:kern w:val="0"/>
          <w:sz w:val="24"/>
          <w:szCs w:val="20"/>
        </w:rPr>
        <w:t>-1</w:t>
      </w:r>
      <w:r>
        <w:rPr>
          <w:rFonts w:hint="eastAsia"/>
          <w:color w:val="auto"/>
          <w:kern w:val="0"/>
          <w:sz w:val="24"/>
          <w:szCs w:val="20"/>
          <w:lang w:val="en-US" w:eastAsia="zh-CN"/>
        </w:rPr>
        <w:t>3</w:t>
      </w:r>
      <w:r>
        <w:rPr>
          <w:rFonts w:hint="eastAsia"/>
          <w:color w:val="auto"/>
          <w:kern w:val="0"/>
          <w:sz w:val="24"/>
          <w:szCs w:val="20"/>
        </w:rPr>
        <w:t>~4</w:t>
      </w:r>
      <w:r>
        <w:rPr>
          <w:rFonts w:hint="eastAsia"/>
          <w:color w:val="auto"/>
          <w:kern w:val="0"/>
          <w:sz w:val="24"/>
          <w:szCs w:val="20"/>
          <w:lang w:val="en-US" w:eastAsia="zh-CN"/>
        </w:rPr>
        <w:t>.2</w:t>
      </w:r>
      <w:r>
        <w:rPr>
          <w:rFonts w:hint="eastAsia"/>
          <w:color w:val="auto"/>
          <w:kern w:val="0"/>
          <w:sz w:val="24"/>
          <w:szCs w:val="20"/>
        </w:rPr>
        <w:t>-1</w:t>
      </w:r>
      <w:r>
        <w:rPr>
          <w:rFonts w:hint="eastAsia"/>
          <w:color w:val="auto"/>
          <w:kern w:val="0"/>
          <w:sz w:val="24"/>
          <w:szCs w:val="20"/>
          <w:lang w:val="en-US" w:eastAsia="zh-CN"/>
        </w:rPr>
        <w:t>5</w:t>
      </w:r>
      <w:r>
        <w:rPr>
          <w:rFonts w:hint="eastAsia"/>
          <w:color w:val="auto"/>
          <w:kern w:val="0"/>
          <w:sz w:val="24"/>
          <w:szCs w:val="20"/>
        </w:rPr>
        <w:t>。</w:t>
      </w:r>
    </w:p>
    <w:p>
      <w:pPr>
        <w:pStyle w:val="181"/>
        <w:rPr>
          <w:b/>
          <w:color w:val="auto"/>
          <w:sz w:val="24"/>
          <w:szCs w:val="21"/>
        </w:rPr>
      </w:pPr>
      <w:r>
        <w:rPr>
          <w:b/>
          <w:color w:val="auto"/>
          <w:sz w:val="24"/>
        </w:rPr>
        <w:t>表</w:t>
      </w:r>
      <w:r>
        <w:rPr>
          <w:rFonts w:hint="eastAsia"/>
          <w:b/>
          <w:color w:val="auto"/>
          <w:sz w:val="24"/>
        </w:rPr>
        <w:t>4</w:t>
      </w:r>
      <w:r>
        <w:rPr>
          <w:rFonts w:hint="eastAsia"/>
          <w:b/>
          <w:color w:val="auto"/>
          <w:sz w:val="24"/>
          <w:lang w:val="en-US" w:eastAsia="zh-CN"/>
        </w:rPr>
        <w:t>.2</w:t>
      </w:r>
      <w:r>
        <w:rPr>
          <w:rFonts w:hint="eastAsia"/>
          <w:b/>
          <w:color w:val="auto"/>
          <w:sz w:val="24"/>
        </w:rPr>
        <w:t>-1</w:t>
      </w:r>
      <w:r>
        <w:rPr>
          <w:rFonts w:hint="eastAsia"/>
          <w:b/>
          <w:color w:val="auto"/>
          <w:sz w:val="24"/>
          <w:lang w:val="en-US" w:eastAsia="zh-CN"/>
        </w:rPr>
        <w:t>3</w:t>
      </w:r>
      <w:r>
        <w:rPr>
          <w:b/>
          <w:color w:val="auto"/>
          <w:sz w:val="24"/>
        </w:rPr>
        <w:t xml:space="preserve">      </w:t>
      </w:r>
      <w:r>
        <w:rPr>
          <w:rFonts w:hint="eastAsia"/>
          <w:b/>
          <w:color w:val="auto"/>
          <w:sz w:val="24"/>
        </w:rPr>
        <w:t xml:space="preserve">   </w:t>
      </w:r>
      <w:r>
        <w:rPr>
          <w:b/>
          <w:color w:val="auto"/>
          <w:sz w:val="24"/>
        </w:rPr>
        <w:t>地下水现状结果统计</w:t>
      </w:r>
      <w:r>
        <w:rPr>
          <w:rFonts w:hint="eastAsia"/>
          <w:b/>
          <w:color w:val="auto"/>
          <w:sz w:val="24"/>
        </w:rPr>
        <w:t>表1</w:t>
      </w:r>
      <w:r>
        <w:rPr>
          <w:rFonts w:hint="eastAsia"/>
          <w:b/>
          <w:color w:val="auto"/>
          <w:sz w:val="24"/>
          <w:szCs w:val="21"/>
        </w:rPr>
        <w:t xml:space="preserve">           </w:t>
      </w:r>
      <w:r>
        <w:rPr>
          <w:b/>
          <w:color w:val="auto"/>
          <w:szCs w:val="21"/>
        </w:rPr>
        <w:t>单位：mg/L</w:t>
      </w:r>
    </w:p>
    <w:tbl>
      <w:tblPr>
        <w:tblStyle w:val="32"/>
        <w:tblW w:w="5000"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1599"/>
        <w:gridCol w:w="1350"/>
        <w:gridCol w:w="1502"/>
        <w:gridCol w:w="1202"/>
        <w:gridCol w:w="1587"/>
        <w:gridCol w:w="1282"/>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939" w:type="pct"/>
            <w:vMerge w:val="restart"/>
            <w:vAlign w:val="center"/>
          </w:tcPr>
          <w:p>
            <w:pPr>
              <w:pStyle w:val="182"/>
              <w:rPr>
                <w:rFonts w:cs="Times New Roman"/>
                <w:b/>
                <w:bCs/>
                <w:color w:val="auto"/>
                <w:szCs w:val="24"/>
              </w:rPr>
            </w:pPr>
            <w:r>
              <w:rPr>
                <w:rFonts w:hint="default" w:cs="Times New Roman"/>
                <w:b/>
                <w:bCs/>
                <w:color w:val="auto"/>
                <w:szCs w:val="24"/>
              </w:rPr>
              <w:t>监测点</w:t>
            </w:r>
          </w:p>
        </w:tc>
        <w:tc>
          <w:tcPr>
            <w:tcW w:w="792" w:type="pct"/>
            <w:vMerge w:val="restart"/>
            <w:vAlign w:val="center"/>
          </w:tcPr>
          <w:p>
            <w:pPr>
              <w:pStyle w:val="182"/>
              <w:rPr>
                <w:rFonts w:cs="Times New Roman"/>
                <w:b/>
                <w:bCs/>
                <w:color w:val="auto"/>
                <w:szCs w:val="24"/>
              </w:rPr>
            </w:pPr>
            <w:r>
              <w:rPr>
                <w:rFonts w:hint="default" w:cs="Times New Roman"/>
                <w:b/>
                <w:bCs/>
                <w:color w:val="auto"/>
                <w:szCs w:val="24"/>
              </w:rPr>
              <w:t>类别</w:t>
            </w:r>
          </w:p>
        </w:tc>
        <w:tc>
          <w:tcPr>
            <w:tcW w:w="3269" w:type="pct"/>
            <w:gridSpan w:val="4"/>
            <w:vAlign w:val="center"/>
          </w:tcPr>
          <w:p>
            <w:pPr>
              <w:pStyle w:val="182"/>
              <w:rPr>
                <w:rFonts w:cs="Times New Roman"/>
                <w:b/>
                <w:bCs/>
                <w:color w:val="auto"/>
                <w:szCs w:val="24"/>
              </w:rPr>
            </w:pPr>
            <w:r>
              <w:rPr>
                <w:rFonts w:hint="default" w:cs="Times New Roman"/>
                <w:b/>
                <w:bCs/>
                <w:color w:val="auto"/>
                <w:szCs w:val="24"/>
              </w:rPr>
              <w:t>监测因子</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939" w:type="pct"/>
            <w:vMerge w:val="continue"/>
            <w:vAlign w:val="center"/>
          </w:tcPr>
          <w:p>
            <w:pPr>
              <w:pStyle w:val="182"/>
              <w:rPr>
                <w:rFonts w:cs="Times New Roman"/>
                <w:b/>
                <w:bCs/>
                <w:color w:val="auto"/>
                <w:szCs w:val="24"/>
              </w:rPr>
            </w:pPr>
          </w:p>
        </w:tc>
        <w:tc>
          <w:tcPr>
            <w:tcW w:w="792" w:type="pct"/>
            <w:vMerge w:val="continue"/>
            <w:vAlign w:val="center"/>
          </w:tcPr>
          <w:p>
            <w:pPr>
              <w:pStyle w:val="182"/>
              <w:rPr>
                <w:rFonts w:cs="Times New Roman"/>
                <w:b/>
                <w:bCs/>
                <w:color w:val="auto"/>
                <w:szCs w:val="24"/>
              </w:rPr>
            </w:pPr>
          </w:p>
        </w:tc>
        <w:tc>
          <w:tcPr>
            <w:tcW w:w="881" w:type="pct"/>
            <w:tcMar>
              <w:left w:w="0" w:type="dxa"/>
              <w:right w:w="0" w:type="dxa"/>
            </w:tcMar>
            <w:vAlign w:val="center"/>
          </w:tcPr>
          <w:p>
            <w:pPr>
              <w:pStyle w:val="182"/>
              <w:rPr>
                <w:rFonts w:cs="Times New Roman"/>
                <w:b/>
                <w:bCs/>
                <w:color w:val="auto"/>
                <w:szCs w:val="24"/>
              </w:rPr>
            </w:pPr>
            <w:r>
              <w:rPr>
                <w:rFonts w:cs="Times New Roman"/>
                <w:b/>
                <w:bCs/>
                <w:color w:val="auto"/>
                <w:szCs w:val="24"/>
              </w:rPr>
              <w:t>pH</w:t>
            </w:r>
          </w:p>
        </w:tc>
        <w:tc>
          <w:tcPr>
            <w:tcW w:w="705" w:type="pct"/>
            <w:vAlign w:val="center"/>
          </w:tcPr>
          <w:p>
            <w:pPr>
              <w:pStyle w:val="182"/>
              <w:rPr>
                <w:rFonts w:cs="Times New Roman"/>
                <w:b/>
                <w:bCs/>
                <w:color w:val="auto"/>
                <w:szCs w:val="24"/>
              </w:rPr>
            </w:pPr>
            <w:r>
              <w:rPr>
                <w:rFonts w:cs="Times New Roman"/>
                <w:b/>
                <w:bCs/>
                <w:color w:val="auto"/>
                <w:szCs w:val="24"/>
              </w:rPr>
              <w:t>总硬度</w:t>
            </w:r>
          </w:p>
        </w:tc>
        <w:tc>
          <w:tcPr>
            <w:tcW w:w="931" w:type="pct"/>
            <w:vAlign w:val="center"/>
          </w:tcPr>
          <w:p>
            <w:pPr>
              <w:pStyle w:val="182"/>
              <w:rPr>
                <w:rFonts w:cs="Times New Roman"/>
                <w:b/>
                <w:bCs/>
                <w:color w:val="auto"/>
                <w:szCs w:val="24"/>
              </w:rPr>
            </w:pPr>
            <w:r>
              <w:rPr>
                <w:rFonts w:hint="default" w:cs="Times New Roman"/>
                <w:b/>
                <w:bCs/>
                <w:color w:val="auto"/>
                <w:szCs w:val="24"/>
              </w:rPr>
              <w:t>耗氧量</w:t>
            </w:r>
          </w:p>
        </w:tc>
        <w:tc>
          <w:tcPr>
            <w:tcW w:w="753" w:type="pct"/>
            <w:vAlign w:val="center"/>
          </w:tcPr>
          <w:p>
            <w:pPr>
              <w:pStyle w:val="182"/>
              <w:rPr>
                <w:rFonts w:cs="Times New Roman"/>
                <w:b/>
                <w:bCs/>
                <w:color w:val="auto"/>
                <w:szCs w:val="24"/>
              </w:rPr>
            </w:pPr>
            <w:r>
              <w:rPr>
                <w:rFonts w:cs="Times New Roman"/>
                <w:b/>
                <w:bCs/>
                <w:color w:val="auto"/>
                <w:szCs w:val="24"/>
              </w:rPr>
              <w:t>氨氮</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restart"/>
            <w:vAlign w:val="center"/>
          </w:tcPr>
          <w:p>
            <w:pPr>
              <w:pStyle w:val="182"/>
              <w:rPr>
                <w:color w:val="auto"/>
                <w:kern w:val="2"/>
                <w:szCs w:val="24"/>
              </w:rPr>
            </w:pPr>
            <w:r>
              <w:rPr>
                <w:rFonts w:hint="default"/>
                <w:color w:val="auto"/>
                <w:kern w:val="2"/>
                <w:szCs w:val="24"/>
              </w:rPr>
              <w:t>化纤厂新厂区水井（工业用）</w:t>
            </w:r>
          </w:p>
        </w:tc>
        <w:tc>
          <w:tcPr>
            <w:tcW w:w="792" w:type="pct"/>
            <w:vAlign w:val="center"/>
          </w:tcPr>
          <w:p>
            <w:pPr>
              <w:pStyle w:val="182"/>
              <w:rPr>
                <w:color w:val="auto"/>
                <w:kern w:val="2"/>
                <w:szCs w:val="24"/>
              </w:rPr>
            </w:pPr>
            <w:r>
              <w:rPr>
                <w:rFonts w:hint="default"/>
                <w:color w:val="auto"/>
                <w:kern w:val="2"/>
                <w:szCs w:val="24"/>
              </w:rPr>
              <w:t>浓度范围</w:t>
            </w:r>
          </w:p>
        </w:tc>
        <w:tc>
          <w:tcPr>
            <w:tcW w:w="881" w:type="pct"/>
            <w:vAlign w:val="center"/>
          </w:tcPr>
          <w:p>
            <w:pPr>
              <w:pStyle w:val="182"/>
              <w:rPr>
                <w:color w:val="auto"/>
                <w:kern w:val="2"/>
                <w:szCs w:val="24"/>
              </w:rPr>
            </w:pPr>
            <w:r>
              <w:rPr>
                <w:rFonts w:hint="default"/>
                <w:color w:val="auto"/>
                <w:kern w:val="2"/>
                <w:szCs w:val="24"/>
              </w:rPr>
              <w:t>7.4</w:t>
            </w:r>
            <w:r>
              <w:rPr>
                <w:color w:val="auto"/>
                <w:kern w:val="2"/>
                <w:szCs w:val="24"/>
              </w:rPr>
              <w:t>~</w:t>
            </w:r>
            <w:r>
              <w:rPr>
                <w:rFonts w:hint="default"/>
                <w:color w:val="auto"/>
                <w:kern w:val="2"/>
                <w:szCs w:val="24"/>
              </w:rPr>
              <w:t>7.6</w:t>
            </w:r>
          </w:p>
        </w:tc>
        <w:tc>
          <w:tcPr>
            <w:tcW w:w="705" w:type="pct"/>
            <w:vAlign w:val="center"/>
          </w:tcPr>
          <w:p>
            <w:pPr>
              <w:pStyle w:val="182"/>
              <w:rPr>
                <w:color w:val="auto"/>
                <w:kern w:val="2"/>
                <w:szCs w:val="24"/>
              </w:rPr>
            </w:pPr>
            <w:r>
              <w:rPr>
                <w:rFonts w:hint="default"/>
                <w:color w:val="auto"/>
                <w:kern w:val="2"/>
                <w:szCs w:val="24"/>
              </w:rPr>
              <w:t>349-363</w:t>
            </w:r>
          </w:p>
        </w:tc>
        <w:tc>
          <w:tcPr>
            <w:tcW w:w="931" w:type="pct"/>
            <w:vAlign w:val="center"/>
          </w:tcPr>
          <w:p>
            <w:pPr>
              <w:pStyle w:val="182"/>
              <w:rPr>
                <w:color w:val="auto"/>
                <w:kern w:val="2"/>
                <w:szCs w:val="24"/>
              </w:rPr>
            </w:pPr>
            <w:r>
              <w:rPr>
                <w:rFonts w:hint="default"/>
                <w:color w:val="auto"/>
                <w:kern w:val="2"/>
                <w:szCs w:val="24"/>
              </w:rPr>
              <w:t>1.8-1.9</w:t>
            </w:r>
          </w:p>
        </w:tc>
        <w:tc>
          <w:tcPr>
            <w:tcW w:w="753" w:type="pct"/>
            <w:vAlign w:val="center"/>
          </w:tcPr>
          <w:p>
            <w:pPr>
              <w:pStyle w:val="182"/>
              <w:rPr>
                <w:color w:val="auto"/>
                <w:kern w:val="2"/>
                <w:szCs w:val="24"/>
              </w:rPr>
            </w:pPr>
            <w:r>
              <w:rPr>
                <w:rFonts w:hint="default"/>
                <w:color w:val="auto"/>
                <w:kern w:val="2"/>
                <w:szCs w:val="24"/>
              </w:rPr>
              <w:t>0.173-0.187</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标准限值</w:t>
            </w:r>
          </w:p>
        </w:tc>
        <w:tc>
          <w:tcPr>
            <w:tcW w:w="881" w:type="pct"/>
            <w:vAlign w:val="center"/>
          </w:tcPr>
          <w:p>
            <w:pPr>
              <w:pStyle w:val="182"/>
              <w:rPr>
                <w:color w:val="auto"/>
                <w:kern w:val="2"/>
                <w:szCs w:val="24"/>
              </w:rPr>
            </w:pPr>
            <w:r>
              <w:rPr>
                <w:color w:val="auto"/>
                <w:kern w:val="2"/>
                <w:szCs w:val="24"/>
              </w:rPr>
              <w:t>6.5~8.5</w:t>
            </w:r>
          </w:p>
        </w:tc>
        <w:tc>
          <w:tcPr>
            <w:tcW w:w="705" w:type="pct"/>
            <w:vAlign w:val="center"/>
          </w:tcPr>
          <w:p>
            <w:pPr>
              <w:pStyle w:val="182"/>
              <w:rPr>
                <w:color w:val="auto"/>
                <w:kern w:val="2"/>
                <w:szCs w:val="24"/>
              </w:rPr>
            </w:pPr>
            <w:r>
              <w:rPr>
                <w:color w:val="auto"/>
                <w:kern w:val="2"/>
                <w:szCs w:val="24"/>
              </w:rPr>
              <w:t>450</w:t>
            </w:r>
          </w:p>
        </w:tc>
        <w:tc>
          <w:tcPr>
            <w:tcW w:w="931" w:type="pct"/>
            <w:vAlign w:val="center"/>
          </w:tcPr>
          <w:p>
            <w:pPr>
              <w:pStyle w:val="182"/>
              <w:rPr>
                <w:color w:val="auto"/>
                <w:kern w:val="2"/>
                <w:szCs w:val="24"/>
              </w:rPr>
            </w:pPr>
            <w:r>
              <w:rPr>
                <w:color w:val="auto"/>
                <w:kern w:val="2"/>
                <w:szCs w:val="24"/>
              </w:rPr>
              <w:t>3.0</w:t>
            </w:r>
          </w:p>
        </w:tc>
        <w:tc>
          <w:tcPr>
            <w:tcW w:w="753" w:type="pct"/>
            <w:vAlign w:val="center"/>
          </w:tcPr>
          <w:p>
            <w:pPr>
              <w:pStyle w:val="182"/>
              <w:rPr>
                <w:color w:val="auto"/>
                <w:kern w:val="2"/>
                <w:szCs w:val="24"/>
              </w:rPr>
            </w:pPr>
            <w:r>
              <w:rPr>
                <w:color w:val="auto"/>
                <w:kern w:val="2"/>
                <w:szCs w:val="24"/>
              </w:rPr>
              <w:t>0.2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达标情况</w:t>
            </w:r>
          </w:p>
        </w:tc>
        <w:tc>
          <w:tcPr>
            <w:tcW w:w="881" w:type="pct"/>
            <w:vAlign w:val="center"/>
          </w:tcPr>
          <w:p>
            <w:pPr>
              <w:pStyle w:val="182"/>
              <w:rPr>
                <w:color w:val="auto"/>
                <w:kern w:val="2"/>
                <w:szCs w:val="24"/>
              </w:rPr>
            </w:pPr>
            <w:r>
              <w:rPr>
                <w:rFonts w:hint="default"/>
                <w:color w:val="auto"/>
                <w:kern w:val="2"/>
                <w:szCs w:val="24"/>
              </w:rPr>
              <w:t>达标</w:t>
            </w:r>
          </w:p>
        </w:tc>
        <w:tc>
          <w:tcPr>
            <w:tcW w:w="705" w:type="pct"/>
            <w:vAlign w:val="center"/>
          </w:tcPr>
          <w:p>
            <w:pPr>
              <w:pStyle w:val="182"/>
              <w:rPr>
                <w:color w:val="auto"/>
                <w:kern w:val="2"/>
                <w:szCs w:val="24"/>
              </w:rPr>
            </w:pPr>
            <w:r>
              <w:rPr>
                <w:rFonts w:hint="default"/>
                <w:color w:val="auto"/>
                <w:kern w:val="2"/>
                <w:szCs w:val="24"/>
              </w:rPr>
              <w:t>达标</w:t>
            </w:r>
          </w:p>
        </w:tc>
        <w:tc>
          <w:tcPr>
            <w:tcW w:w="931" w:type="pct"/>
            <w:vAlign w:val="center"/>
          </w:tcPr>
          <w:p>
            <w:pPr>
              <w:pStyle w:val="182"/>
              <w:rPr>
                <w:color w:val="auto"/>
                <w:kern w:val="2"/>
                <w:szCs w:val="24"/>
              </w:rPr>
            </w:pPr>
            <w:r>
              <w:rPr>
                <w:rFonts w:hint="default"/>
                <w:color w:val="auto"/>
                <w:kern w:val="2"/>
                <w:szCs w:val="24"/>
              </w:rPr>
              <w:t>达标</w:t>
            </w:r>
          </w:p>
        </w:tc>
        <w:tc>
          <w:tcPr>
            <w:tcW w:w="753" w:type="pct"/>
            <w:vAlign w:val="center"/>
          </w:tcPr>
          <w:p>
            <w:pPr>
              <w:pStyle w:val="182"/>
              <w:rPr>
                <w:color w:val="auto"/>
                <w:kern w:val="2"/>
                <w:szCs w:val="24"/>
              </w:rPr>
            </w:pPr>
            <w:r>
              <w:rPr>
                <w:rFonts w:hint="default"/>
                <w:color w:val="auto"/>
                <w:kern w:val="2"/>
                <w:szCs w:val="24"/>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restart"/>
            <w:vAlign w:val="center"/>
          </w:tcPr>
          <w:p>
            <w:pPr>
              <w:pStyle w:val="182"/>
              <w:rPr>
                <w:color w:val="auto"/>
                <w:kern w:val="2"/>
                <w:szCs w:val="24"/>
              </w:rPr>
            </w:pPr>
            <w:r>
              <w:rPr>
                <w:rFonts w:hint="default"/>
                <w:color w:val="auto"/>
                <w:szCs w:val="24"/>
              </w:rPr>
              <w:t>夏庄村</w:t>
            </w:r>
          </w:p>
        </w:tc>
        <w:tc>
          <w:tcPr>
            <w:tcW w:w="792" w:type="pct"/>
            <w:vAlign w:val="center"/>
          </w:tcPr>
          <w:p>
            <w:pPr>
              <w:pStyle w:val="182"/>
              <w:rPr>
                <w:color w:val="auto"/>
                <w:kern w:val="2"/>
                <w:szCs w:val="24"/>
              </w:rPr>
            </w:pPr>
            <w:r>
              <w:rPr>
                <w:rFonts w:hint="default"/>
                <w:color w:val="auto"/>
                <w:kern w:val="2"/>
                <w:szCs w:val="24"/>
              </w:rPr>
              <w:t>浓度范围</w:t>
            </w:r>
          </w:p>
        </w:tc>
        <w:tc>
          <w:tcPr>
            <w:tcW w:w="881" w:type="pct"/>
            <w:vAlign w:val="center"/>
          </w:tcPr>
          <w:p>
            <w:pPr>
              <w:pStyle w:val="182"/>
              <w:rPr>
                <w:color w:val="auto"/>
                <w:kern w:val="2"/>
                <w:szCs w:val="24"/>
              </w:rPr>
            </w:pPr>
            <w:r>
              <w:rPr>
                <w:rFonts w:hint="default"/>
                <w:color w:val="auto"/>
                <w:kern w:val="2"/>
                <w:szCs w:val="24"/>
              </w:rPr>
              <w:t>7.3</w:t>
            </w:r>
            <w:r>
              <w:rPr>
                <w:color w:val="auto"/>
                <w:kern w:val="2"/>
                <w:szCs w:val="24"/>
              </w:rPr>
              <w:t>~</w:t>
            </w:r>
            <w:r>
              <w:rPr>
                <w:rFonts w:hint="default"/>
                <w:color w:val="auto"/>
                <w:kern w:val="2"/>
                <w:szCs w:val="24"/>
              </w:rPr>
              <w:t>7.6</w:t>
            </w:r>
          </w:p>
        </w:tc>
        <w:tc>
          <w:tcPr>
            <w:tcW w:w="705" w:type="pct"/>
            <w:vAlign w:val="center"/>
          </w:tcPr>
          <w:p>
            <w:pPr>
              <w:pStyle w:val="182"/>
              <w:rPr>
                <w:color w:val="auto"/>
                <w:kern w:val="2"/>
                <w:szCs w:val="24"/>
              </w:rPr>
            </w:pPr>
            <w:r>
              <w:rPr>
                <w:rFonts w:hint="default"/>
                <w:color w:val="auto"/>
                <w:kern w:val="2"/>
                <w:szCs w:val="24"/>
              </w:rPr>
              <w:t>286-297</w:t>
            </w:r>
          </w:p>
        </w:tc>
        <w:tc>
          <w:tcPr>
            <w:tcW w:w="931" w:type="pct"/>
            <w:vAlign w:val="center"/>
          </w:tcPr>
          <w:p>
            <w:pPr>
              <w:pStyle w:val="182"/>
              <w:rPr>
                <w:color w:val="auto"/>
                <w:kern w:val="2"/>
                <w:szCs w:val="24"/>
              </w:rPr>
            </w:pPr>
            <w:r>
              <w:rPr>
                <w:rFonts w:hint="default"/>
                <w:color w:val="auto"/>
                <w:kern w:val="2"/>
                <w:szCs w:val="24"/>
              </w:rPr>
              <w:t>1.7-1.9</w:t>
            </w:r>
          </w:p>
        </w:tc>
        <w:tc>
          <w:tcPr>
            <w:tcW w:w="753" w:type="pct"/>
            <w:vAlign w:val="center"/>
          </w:tcPr>
          <w:p>
            <w:pPr>
              <w:pStyle w:val="182"/>
              <w:rPr>
                <w:color w:val="auto"/>
                <w:kern w:val="2"/>
                <w:szCs w:val="24"/>
              </w:rPr>
            </w:pPr>
            <w:r>
              <w:rPr>
                <w:rFonts w:hint="default"/>
                <w:color w:val="auto"/>
                <w:kern w:val="2"/>
                <w:szCs w:val="24"/>
              </w:rPr>
              <w:t>0.103-0.125</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标准限值</w:t>
            </w:r>
          </w:p>
        </w:tc>
        <w:tc>
          <w:tcPr>
            <w:tcW w:w="881" w:type="pct"/>
            <w:vAlign w:val="center"/>
          </w:tcPr>
          <w:p>
            <w:pPr>
              <w:pStyle w:val="182"/>
              <w:rPr>
                <w:color w:val="auto"/>
                <w:kern w:val="2"/>
                <w:szCs w:val="24"/>
              </w:rPr>
            </w:pPr>
            <w:r>
              <w:rPr>
                <w:color w:val="auto"/>
                <w:kern w:val="2"/>
                <w:szCs w:val="24"/>
              </w:rPr>
              <w:t>6.5~8.5</w:t>
            </w:r>
          </w:p>
        </w:tc>
        <w:tc>
          <w:tcPr>
            <w:tcW w:w="705" w:type="pct"/>
            <w:vAlign w:val="center"/>
          </w:tcPr>
          <w:p>
            <w:pPr>
              <w:pStyle w:val="182"/>
              <w:rPr>
                <w:color w:val="auto"/>
                <w:kern w:val="2"/>
                <w:szCs w:val="24"/>
              </w:rPr>
            </w:pPr>
            <w:r>
              <w:rPr>
                <w:color w:val="auto"/>
                <w:kern w:val="2"/>
                <w:szCs w:val="24"/>
              </w:rPr>
              <w:t>450</w:t>
            </w:r>
          </w:p>
        </w:tc>
        <w:tc>
          <w:tcPr>
            <w:tcW w:w="931" w:type="pct"/>
            <w:vAlign w:val="center"/>
          </w:tcPr>
          <w:p>
            <w:pPr>
              <w:pStyle w:val="182"/>
              <w:rPr>
                <w:color w:val="auto"/>
                <w:kern w:val="2"/>
                <w:szCs w:val="24"/>
              </w:rPr>
            </w:pPr>
            <w:r>
              <w:rPr>
                <w:color w:val="auto"/>
                <w:kern w:val="2"/>
                <w:szCs w:val="24"/>
              </w:rPr>
              <w:t>3.0</w:t>
            </w:r>
          </w:p>
        </w:tc>
        <w:tc>
          <w:tcPr>
            <w:tcW w:w="753" w:type="pct"/>
            <w:vAlign w:val="center"/>
          </w:tcPr>
          <w:p>
            <w:pPr>
              <w:pStyle w:val="182"/>
              <w:rPr>
                <w:color w:val="auto"/>
                <w:kern w:val="2"/>
                <w:szCs w:val="24"/>
              </w:rPr>
            </w:pPr>
            <w:r>
              <w:rPr>
                <w:color w:val="auto"/>
                <w:kern w:val="2"/>
                <w:szCs w:val="24"/>
              </w:rPr>
              <w:t>0.2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达标情况</w:t>
            </w:r>
          </w:p>
        </w:tc>
        <w:tc>
          <w:tcPr>
            <w:tcW w:w="881" w:type="pct"/>
            <w:vAlign w:val="center"/>
          </w:tcPr>
          <w:p>
            <w:pPr>
              <w:pStyle w:val="182"/>
              <w:rPr>
                <w:color w:val="auto"/>
                <w:kern w:val="2"/>
                <w:szCs w:val="24"/>
              </w:rPr>
            </w:pPr>
            <w:r>
              <w:rPr>
                <w:rFonts w:hint="default"/>
                <w:color w:val="auto"/>
                <w:kern w:val="2"/>
                <w:szCs w:val="24"/>
              </w:rPr>
              <w:t>达标</w:t>
            </w:r>
          </w:p>
        </w:tc>
        <w:tc>
          <w:tcPr>
            <w:tcW w:w="705" w:type="pct"/>
            <w:vAlign w:val="center"/>
          </w:tcPr>
          <w:p>
            <w:pPr>
              <w:pStyle w:val="182"/>
              <w:rPr>
                <w:color w:val="auto"/>
                <w:kern w:val="2"/>
                <w:szCs w:val="24"/>
              </w:rPr>
            </w:pPr>
            <w:r>
              <w:rPr>
                <w:rFonts w:hint="default"/>
                <w:color w:val="auto"/>
                <w:kern w:val="2"/>
                <w:szCs w:val="24"/>
              </w:rPr>
              <w:t>达标</w:t>
            </w:r>
          </w:p>
        </w:tc>
        <w:tc>
          <w:tcPr>
            <w:tcW w:w="931" w:type="pct"/>
            <w:vAlign w:val="center"/>
          </w:tcPr>
          <w:p>
            <w:pPr>
              <w:pStyle w:val="182"/>
              <w:rPr>
                <w:color w:val="auto"/>
                <w:kern w:val="2"/>
                <w:szCs w:val="24"/>
              </w:rPr>
            </w:pPr>
            <w:r>
              <w:rPr>
                <w:rFonts w:hint="default"/>
                <w:color w:val="auto"/>
                <w:kern w:val="2"/>
                <w:szCs w:val="24"/>
              </w:rPr>
              <w:t>达标</w:t>
            </w:r>
          </w:p>
        </w:tc>
        <w:tc>
          <w:tcPr>
            <w:tcW w:w="753" w:type="pct"/>
            <w:vAlign w:val="center"/>
          </w:tcPr>
          <w:p>
            <w:pPr>
              <w:pStyle w:val="182"/>
              <w:rPr>
                <w:color w:val="auto"/>
                <w:kern w:val="2"/>
                <w:szCs w:val="24"/>
              </w:rPr>
            </w:pPr>
            <w:r>
              <w:rPr>
                <w:rFonts w:hint="default"/>
                <w:color w:val="auto"/>
                <w:kern w:val="2"/>
                <w:szCs w:val="24"/>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restart"/>
            <w:vAlign w:val="center"/>
          </w:tcPr>
          <w:p>
            <w:pPr>
              <w:pStyle w:val="182"/>
              <w:rPr>
                <w:color w:val="auto"/>
                <w:kern w:val="2"/>
                <w:szCs w:val="24"/>
              </w:rPr>
            </w:pPr>
            <w:r>
              <w:rPr>
                <w:rFonts w:hint="default"/>
                <w:iCs w:val="0"/>
                <w:color w:val="auto"/>
                <w:szCs w:val="24"/>
              </w:rPr>
              <w:t>水花堡村</w:t>
            </w:r>
          </w:p>
        </w:tc>
        <w:tc>
          <w:tcPr>
            <w:tcW w:w="792" w:type="pct"/>
            <w:vAlign w:val="center"/>
          </w:tcPr>
          <w:p>
            <w:pPr>
              <w:pStyle w:val="182"/>
              <w:rPr>
                <w:color w:val="auto"/>
                <w:kern w:val="2"/>
                <w:szCs w:val="24"/>
              </w:rPr>
            </w:pPr>
            <w:r>
              <w:rPr>
                <w:rFonts w:hint="default"/>
                <w:color w:val="auto"/>
                <w:kern w:val="2"/>
                <w:szCs w:val="24"/>
              </w:rPr>
              <w:t>浓度范围</w:t>
            </w:r>
          </w:p>
        </w:tc>
        <w:tc>
          <w:tcPr>
            <w:tcW w:w="881" w:type="pct"/>
            <w:vAlign w:val="center"/>
          </w:tcPr>
          <w:p>
            <w:pPr>
              <w:pStyle w:val="182"/>
              <w:rPr>
                <w:color w:val="auto"/>
                <w:kern w:val="2"/>
                <w:szCs w:val="24"/>
              </w:rPr>
            </w:pPr>
            <w:r>
              <w:rPr>
                <w:rFonts w:hint="default"/>
                <w:color w:val="auto"/>
                <w:kern w:val="2"/>
                <w:szCs w:val="24"/>
              </w:rPr>
              <w:t>7.3</w:t>
            </w:r>
            <w:r>
              <w:rPr>
                <w:color w:val="auto"/>
                <w:kern w:val="2"/>
                <w:szCs w:val="24"/>
              </w:rPr>
              <w:t>~</w:t>
            </w:r>
            <w:r>
              <w:rPr>
                <w:rFonts w:hint="default"/>
                <w:color w:val="auto"/>
                <w:kern w:val="2"/>
                <w:szCs w:val="24"/>
              </w:rPr>
              <w:t>7.7</w:t>
            </w:r>
          </w:p>
        </w:tc>
        <w:tc>
          <w:tcPr>
            <w:tcW w:w="705" w:type="pct"/>
            <w:vAlign w:val="center"/>
          </w:tcPr>
          <w:p>
            <w:pPr>
              <w:pStyle w:val="182"/>
              <w:rPr>
                <w:color w:val="auto"/>
                <w:kern w:val="2"/>
                <w:szCs w:val="24"/>
              </w:rPr>
            </w:pPr>
            <w:r>
              <w:rPr>
                <w:rFonts w:hint="default"/>
                <w:color w:val="auto"/>
                <w:kern w:val="2"/>
                <w:szCs w:val="24"/>
              </w:rPr>
              <w:t>432-440</w:t>
            </w:r>
          </w:p>
        </w:tc>
        <w:tc>
          <w:tcPr>
            <w:tcW w:w="931" w:type="pct"/>
            <w:vAlign w:val="center"/>
          </w:tcPr>
          <w:p>
            <w:pPr>
              <w:pStyle w:val="182"/>
              <w:rPr>
                <w:color w:val="auto"/>
                <w:kern w:val="2"/>
                <w:szCs w:val="24"/>
              </w:rPr>
            </w:pPr>
            <w:r>
              <w:rPr>
                <w:rFonts w:hint="default"/>
                <w:color w:val="auto"/>
                <w:kern w:val="2"/>
                <w:szCs w:val="24"/>
              </w:rPr>
              <w:t>1.4-1.6</w:t>
            </w:r>
          </w:p>
        </w:tc>
        <w:tc>
          <w:tcPr>
            <w:tcW w:w="753" w:type="pct"/>
            <w:vAlign w:val="center"/>
          </w:tcPr>
          <w:p>
            <w:pPr>
              <w:pStyle w:val="182"/>
              <w:rPr>
                <w:color w:val="auto"/>
                <w:kern w:val="2"/>
                <w:szCs w:val="24"/>
              </w:rPr>
            </w:pPr>
            <w:r>
              <w:rPr>
                <w:rFonts w:hint="default"/>
                <w:color w:val="auto"/>
                <w:kern w:val="2"/>
                <w:szCs w:val="24"/>
              </w:rPr>
              <w:t>0.169-0.184</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标准限值</w:t>
            </w:r>
          </w:p>
        </w:tc>
        <w:tc>
          <w:tcPr>
            <w:tcW w:w="881" w:type="pct"/>
            <w:vAlign w:val="center"/>
          </w:tcPr>
          <w:p>
            <w:pPr>
              <w:pStyle w:val="182"/>
              <w:rPr>
                <w:color w:val="auto"/>
                <w:kern w:val="2"/>
                <w:szCs w:val="24"/>
              </w:rPr>
            </w:pPr>
            <w:r>
              <w:rPr>
                <w:color w:val="auto"/>
                <w:kern w:val="2"/>
                <w:szCs w:val="24"/>
              </w:rPr>
              <w:t>6.5~8.5</w:t>
            </w:r>
          </w:p>
        </w:tc>
        <w:tc>
          <w:tcPr>
            <w:tcW w:w="705" w:type="pct"/>
            <w:vAlign w:val="center"/>
          </w:tcPr>
          <w:p>
            <w:pPr>
              <w:pStyle w:val="182"/>
              <w:rPr>
                <w:color w:val="auto"/>
                <w:kern w:val="2"/>
                <w:szCs w:val="24"/>
              </w:rPr>
            </w:pPr>
            <w:r>
              <w:rPr>
                <w:color w:val="auto"/>
                <w:kern w:val="2"/>
                <w:szCs w:val="24"/>
              </w:rPr>
              <w:t>450</w:t>
            </w:r>
          </w:p>
        </w:tc>
        <w:tc>
          <w:tcPr>
            <w:tcW w:w="931" w:type="pct"/>
            <w:vAlign w:val="center"/>
          </w:tcPr>
          <w:p>
            <w:pPr>
              <w:pStyle w:val="182"/>
              <w:rPr>
                <w:color w:val="auto"/>
                <w:kern w:val="2"/>
                <w:szCs w:val="24"/>
              </w:rPr>
            </w:pPr>
            <w:r>
              <w:rPr>
                <w:color w:val="auto"/>
                <w:kern w:val="2"/>
                <w:szCs w:val="24"/>
              </w:rPr>
              <w:t>3.0</w:t>
            </w:r>
          </w:p>
        </w:tc>
        <w:tc>
          <w:tcPr>
            <w:tcW w:w="753" w:type="pct"/>
            <w:vAlign w:val="center"/>
          </w:tcPr>
          <w:p>
            <w:pPr>
              <w:pStyle w:val="182"/>
              <w:rPr>
                <w:color w:val="auto"/>
                <w:kern w:val="2"/>
                <w:szCs w:val="24"/>
              </w:rPr>
            </w:pPr>
            <w:r>
              <w:rPr>
                <w:color w:val="auto"/>
                <w:kern w:val="2"/>
                <w:szCs w:val="24"/>
              </w:rPr>
              <w:t>0.2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达标情况</w:t>
            </w:r>
          </w:p>
        </w:tc>
        <w:tc>
          <w:tcPr>
            <w:tcW w:w="881" w:type="pct"/>
            <w:vAlign w:val="center"/>
          </w:tcPr>
          <w:p>
            <w:pPr>
              <w:pStyle w:val="182"/>
              <w:rPr>
                <w:color w:val="auto"/>
                <w:kern w:val="2"/>
                <w:szCs w:val="24"/>
              </w:rPr>
            </w:pPr>
            <w:r>
              <w:rPr>
                <w:rFonts w:hint="default"/>
                <w:color w:val="auto"/>
                <w:kern w:val="2"/>
                <w:szCs w:val="24"/>
              </w:rPr>
              <w:t>达标</w:t>
            </w:r>
          </w:p>
        </w:tc>
        <w:tc>
          <w:tcPr>
            <w:tcW w:w="705" w:type="pct"/>
            <w:vAlign w:val="center"/>
          </w:tcPr>
          <w:p>
            <w:pPr>
              <w:pStyle w:val="182"/>
              <w:rPr>
                <w:color w:val="auto"/>
                <w:kern w:val="2"/>
                <w:szCs w:val="24"/>
              </w:rPr>
            </w:pPr>
            <w:r>
              <w:rPr>
                <w:rFonts w:hint="default"/>
                <w:color w:val="auto"/>
                <w:kern w:val="2"/>
                <w:szCs w:val="24"/>
              </w:rPr>
              <w:t>达标</w:t>
            </w:r>
          </w:p>
        </w:tc>
        <w:tc>
          <w:tcPr>
            <w:tcW w:w="931" w:type="pct"/>
            <w:vAlign w:val="center"/>
          </w:tcPr>
          <w:p>
            <w:pPr>
              <w:pStyle w:val="182"/>
              <w:rPr>
                <w:color w:val="auto"/>
                <w:kern w:val="2"/>
                <w:szCs w:val="24"/>
              </w:rPr>
            </w:pPr>
            <w:r>
              <w:rPr>
                <w:rFonts w:hint="default"/>
                <w:color w:val="auto"/>
                <w:kern w:val="2"/>
                <w:szCs w:val="24"/>
              </w:rPr>
              <w:t>达标</w:t>
            </w:r>
          </w:p>
        </w:tc>
        <w:tc>
          <w:tcPr>
            <w:tcW w:w="753" w:type="pct"/>
            <w:vAlign w:val="center"/>
          </w:tcPr>
          <w:p>
            <w:pPr>
              <w:pStyle w:val="182"/>
              <w:rPr>
                <w:color w:val="auto"/>
                <w:kern w:val="2"/>
                <w:szCs w:val="24"/>
              </w:rPr>
            </w:pPr>
            <w:r>
              <w:rPr>
                <w:rFonts w:hint="default"/>
                <w:color w:val="auto"/>
                <w:kern w:val="2"/>
                <w:szCs w:val="24"/>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restart"/>
            <w:vAlign w:val="center"/>
          </w:tcPr>
          <w:p>
            <w:pPr>
              <w:pStyle w:val="182"/>
              <w:rPr>
                <w:color w:val="auto"/>
                <w:kern w:val="2"/>
                <w:szCs w:val="24"/>
              </w:rPr>
            </w:pPr>
            <w:r>
              <w:rPr>
                <w:rFonts w:hint="default"/>
                <w:iCs w:val="0"/>
                <w:color w:val="auto"/>
                <w:szCs w:val="24"/>
              </w:rPr>
              <w:t>大杨庄村</w:t>
            </w:r>
          </w:p>
        </w:tc>
        <w:tc>
          <w:tcPr>
            <w:tcW w:w="792" w:type="pct"/>
            <w:vAlign w:val="center"/>
          </w:tcPr>
          <w:p>
            <w:pPr>
              <w:pStyle w:val="182"/>
              <w:rPr>
                <w:color w:val="auto"/>
                <w:kern w:val="2"/>
                <w:szCs w:val="24"/>
              </w:rPr>
            </w:pPr>
            <w:r>
              <w:rPr>
                <w:rFonts w:hint="default"/>
                <w:color w:val="auto"/>
                <w:kern w:val="2"/>
                <w:szCs w:val="24"/>
              </w:rPr>
              <w:t>浓度范围</w:t>
            </w:r>
          </w:p>
        </w:tc>
        <w:tc>
          <w:tcPr>
            <w:tcW w:w="881" w:type="pct"/>
            <w:vAlign w:val="center"/>
          </w:tcPr>
          <w:p>
            <w:pPr>
              <w:pStyle w:val="182"/>
              <w:rPr>
                <w:color w:val="auto"/>
                <w:kern w:val="2"/>
                <w:szCs w:val="24"/>
              </w:rPr>
            </w:pPr>
            <w:r>
              <w:rPr>
                <w:rFonts w:hint="default"/>
                <w:color w:val="auto"/>
                <w:kern w:val="2"/>
                <w:szCs w:val="24"/>
              </w:rPr>
              <w:t>7.4</w:t>
            </w:r>
            <w:r>
              <w:rPr>
                <w:color w:val="auto"/>
                <w:kern w:val="2"/>
                <w:szCs w:val="24"/>
              </w:rPr>
              <w:t>~</w:t>
            </w:r>
            <w:r>
              <w:rPr>
                <w:rFonts w:hint="default"/>
                <w:color w:val="auto"/>
                <w:kern w:val="2"/>
                <w:szCs w:val="24"/>
              </w:rPr>
              <w:t>7.5</w:t>
            </w:r>
          </w:p>
        </w:tc>
        <w:tc>
          <w:tcPr>
            <w:tcW w:w="705" w:type="pct"/>
            <w:vAlign w:val="center"/>
          </w:tcPr>
          <w:p>
            <w:pPr>
              <w:pStyle w:val="182"/>
              <w:rPr>
                <w:color w:val="auto"/>
                <w:kern w:val="2"/>
                <w:szCs w:val="24"/>
              </w:rPr>
            </w:pPr>
            <w:r>
              <w:rPr>
                <w:rFonts w:hint="default"/>
                <w:color w:val="auto"/>
                <w:kern w:val="2"/>
                <w:szCs w:val="24"/>
              </w:rPr>
              <w:t>406-414</w:t>
            </w:r>
          </w:p>
        </w:tc>
        <w:tc>
          <w:tcPr>
            <w:tcW w:w="931" w:type="pct"/>
            <w:vAlign w:val="center"/>
          </w:tcPr>
          <w:p>
            <w:pPr>
              <w:pStyle w:val="182"/>
              <w:rPr>
                <w:color w:val="auto"/>
                <w:kern w:val="2"/>
                <w:szCs w:val="24"/>
              </w:rPr>
            </w:pPr>
            <w:r>
              <w:rPr>
                <w:rFonts w:hint="default"/>
                <w:color w:val="auto"/>
                <w:kern w:val="2"/>
                <w:szCs w:val="24"/>
              </w:rPr>
              <w:t>1.1-1.3</w:t>
            </w:r>
          </w:p>
        </w:tc>
        <w:tc>
          <w:tcPr>
            <w:tcW w:w="753" w:type="pct"/>
            <w:vAlign w:val="center"/>
          </w:tcPr>
          <w:p>
            <w:pPr>
              <w:pStyle w:val="182"/>
              <w:rPr>
                <w:color w:val="auto"/>
                <w:kern w:val="2"/>
                <w:szCs w:val="24"/>
              </w:rPr>
            </w:pPr>
            <w:r>
              <w:rPr>
                <w:rFonts w:hint="default"/>
                <w:color w:val="auto"/>
                <w:kern w:val="2"/>
                <w:szCs w:val="24"/>
              </w:rPr>
              <w:t>0.182-0.189</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标准限值</w:t>
            </w:r>
          </w:p>
        </w:tc>
        <w:tc>
          <w:tcPr>
            <w:tcW w:w="881" w:type="pct"/>
            <w:vAlign w:val="center"/>
          </w:tcPr>
          <w:p>
            <w:pPr>
              <w:pStyle w:val="182"/>
              <w:rPr>
                <w:color w:val="auto"/>
                <w:kern w:val="2"/>
                <w:szCs w:val="24"/>
              </w:rPr>
            </w:pPr>
            <w:r>
              <w:rPr>
                <w:color w:val="auto"/>
                <w:kern w:val="2"/>
                <w:szCs w:val="24"/>
              </w:rPr>
              <w:t>6.5~8.5</w:t>
            </w:r>
          </w:p>
        </w:tc>
        <w:tc>
          <w:tcPr>
            <w:tcW w:w="705" w:type="pct"/>
            <w:vAlign w:val="center"/>
          </w:tcPr>
          <w:p>
            <w:pPr>
              <w:pStyle w:val="182"/>
              <w:rPr>
                <w:color w:val="auto"/>
                <w:kern w:val="2"/>
                <w:szCs w:val="24"/>
              </w:rPr>
            </w:pPr>
            <w:r>
              <w:rPr>
                <w:color w:val="auto"/>
                <w:kern w:val="2"/>
                <w:szCs w:val="24"/>
              </w:rPr>
              <w:t>450</w:t>
            </w:r>
          </w:p>
        </w:tc>
        <w:tc>
          <w:tcPr>
            <w:tcW w:w="931" w:type="pct"/>
            <w:vAlign w:val="center"/>
          </w:tcPr>
          <w:p>
            <w:pPr>
              <w:pStyle w:val="182"/>
              <w:rPr>
                <w:color w:val="auto"/>
                <w:kern w:val="2"/>
                <w:szCs w:val="24"/>
              </w:rPr>
            </w:pPr>
            <w:r>
              <w:rPr>
                <w:color w:val="auto"/>
                <w:kern w:val="2"/>
                <w:szCs w:val="24"/>
              </w:rPr>
              <w:t>3.0</w:t>
            </w:r>
          </w:p>
        </w:tc>
        <w:tc>
          <w:tcPr>
            <w:tcW w:w="753" w:type="pct"/>
            <w:vAlign w:val="center"/>
          </w:tcPr>
          <w:p>
            <w:pPr>
              <w:pStyle w:val="182"/>
              <w:rPr>
                <w:color w:val="auto"/>
                <w:kern w:val="2"/>
                <w:szCs w:val="24"/>
              </w:rPr>
            </w:pPr>
            <w:r>
              <w:rPr>
                <w:color w:val="auto"/>
                <w:kern w:val="2"/>
                <w:szCs w:val="24"/>
              </w:rPr>
              <w:t>0.2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达标情况</w:t>
            </w:r>
          </w:p>
        </w:tc>
        <w:tc>
          <w:tcPr>
            <w:tcW w:w="881" w:type="pct"/>
            <w:vAlign w:val="center"/>
          </w:tcPr>
          <w:p>
            <w:pPr>
              <w:pStyle w:val="182"/>
              <w:rPr>
                <w:color w:val="auto"/>
                <w:kern w:val="2"/>
                <w:szCs w:val="24"/>
              </w:rPr>
            </w:pPr>
            <w:r>
              <w:rPr>
                <w:rFonts w:hint="default"/>
                <w:color w:val="auto"/>
                <w:kern w:val="2"/>
                <w:szCs w:val="24"/>
              </w:rPr>
              <w:t>达标</w:t>
            </w:r>
          </w:p>
        </w:tc>
        <w:tc>
          <w:tcPr>
            <w:tcW w:w="705" w:type="pct"/>
            <w:vAlign w:val="center"/>
          </w:tcPr>
          <w:p>
            <w:pPr>
              <w:pStyle w:val="182"/>
              <w:rPr>
                <w:color w:val="auto"/>
                <w:kern w:val="2"/>
                <w:szCs w:val="24"/>
              </w:rPr>
            </w:pPr>
            <w:r>
              <w:rPr>
                <w:rFonts w:hint="default"/>
                <w:color w:val="auto"/>
                <w:kern w:val="2"/>
                <w:szCs w:val="24"/>
              </w:rPr>
              <w:t>达标</w:t>
            </w:r>
          </w:p>
        </w:tc>
        <w:tc>
          <w:tcPr>
            <w:tcW w:w="931" w:type="pct"/>
            <w:vAlign w:val="center"/>
          </w:tcPr>
          <w:p>
            <w:pPr>
              <w:pStyle w:val="182"/>
              <w:rPr>
                <w:color w:val="auto"/>
                <w:kern w:val="2"/>
                <w:szCs w:val="24"/>
              </w:rPr>
            </w:pPr>
            <w:r>
              <w:rPr>
                <w:rFonts w:hint="default"/>
                <w:color w:val="auto"/>
                <w:kern w:val="2"/>
                <w:szCs w:val="24"/>
              </w:rPr>
              <w:t>达标</w:t>
            </w:r>
          </w:p>
        </w:tc>
        <w:tc>
          <w:tcPr>
            <w:tcW w:w="753" w:type="pct"/>
            <w:vAlign w:val="center"/>
          </w:tcPr>
          <w:p>
            <w:pPr>
              <w:pStyle w:val="182"/>
              <w:rPr>
                <w:color w:val="auto"/>
                <w:kern w:val="2"/>
                <w:szCs w:val="24"/>
              </w:rPr>
            </w:pPr>
            <w:r>
              <w:rPr>
                <w:rFonts w:hint="default"/>
                <w:color w:val="auto"/>
                <w:kern w:val="2"/>
                <w:szCs w:val="24"/>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restart"/>
            <w:vAlign w:val="center"/>
          </w:tcPr>
          <w:p>
            <w:pPr>
              <w:pStyle w:val="182"/>
              <w:rPr>
                <w:color w:val="auto"/>
                <w:kern w:val="2"/>
                <w:szCs w:val="24"/>
              </w:rPr>
            </w:pPr>
            <w:r>
              <w:rPr>
                <w:rFonts w:hint="default"/>
                <w:iCs w:val="0"/>
                <w:color w:val="auto"/>
                <w:szCs w:val="24"/>
              </w:rPr>
              <w:t>小杨庄村</w:t>
            </w:r>
          </w:p>
        </w:tc>
        <w:tc>
          <w:tcPr>
            <w:tcW w:w="792" w:type="pct"/>
            <w:vAlign w:val="center"/>
          </w:tcPr>
          <w:p>
            <w:pPr>
              <w:pStyle w:val="182"/>
              <w:rPr>
                <w:color w:val="auto"/>
                <w:kern w:val="2"/>
                <w:szCs w:val="24"/>
              </w:rPr>
            </w:pPr>
            <w:r>
              <w:rPr>
                <w:rFonts w:hint="default"/>
                <w:color w:val="auto"/>
                <w:kern w:val="2"/>
                <w:szCs w:val="24"/>
              </w:rPr>
              <w:t>浓度范围</w:t>
            </w:r>
          </w:p>
        </w:tc>
        <w:tc>
          <w:tcPr>
            <w:tcW w:w="881" w:type="pct"/>
            <w:vAlign w:val="center"/>
          </w:tcPr>
          <w:p>
            <w:pPr>
              <w:pStyle w:val="182"/>
              <w:rPr>
                <w:color w:val="auto"/>
                <w:kern w:val="2"/>
                <w:szCs w:val="24"/>
              </w:rPr>
            </w:pPr>
            <w:r>
              <w:rPr>
                <w:rFonts w:hint="default"/>
                <w:color w:val="auto"/>
                <w:kern w:val="2"/>
                <w:szCs w:val="24"/>
              </w:rPr>
              <w:t>7.5</w:t>
            </w:r>
            <w:r>
              <w:rPr>
                <w:color w:val="auto"/>
                <w:kern w:val="2"/>
                <w:szCs w:val="24"/>
              </w:rPr>
              <w:t>~</w:t>
            </w:r>
            <w:r>
              <w:rPr>
                <w:rFonts w:hint="default"/>
                <w:color w:val="auto"/>
                <w:kern w:val="2"/>
                <w:szCs w:val="24"/>
              </w:rPr>
              <w:t>7.7</w:t>
            </w:r>
          </w:p>
        </w:tc>
        <w:tc>
          <w:tcPr>
            <w:tcW w:w="705" w:type="pct"/>
            <w:vAlign w:val="center"/>
          </w:tcPr>
          <w:p>
            <w:pPr>
              <w:pStyle w:val="182"/>
              <w:rPr>
                <w:color w:val="auto"/>
                <w:kern w:val="2"/>
                <w:szCs w:val="24"/>
              </w:rPr>
            </w:pPr>
            <w:r>
              <w:rPr>
                <w:rFonts w:hint="default"/>
                <w:color w:val="auto"/>
                <w:kern w:val="2"/>
                <w:szCs w:val="24"/>
              </w:rPr>
              <w:t>279-288</w:t>
            </w:r>
          </w:p>
        </w:tc>
        <w:tc>
          <w:tcPr>
            <w:tcW w:w="931" w:type="pct"/>
            <w:vAlign w:val="center"/>
          </w:tcPr>
          <w:p>
            <w:pPr>
              <w:pStyle w:val="182"/>
              <w:rPr>
                <w:color w:val="auto"/>
                <w:kern w:val="2"/>
                <w:szCs w:val="24"/>
              </w:rPr>
            </w:pPr>
            <w:r>
              <w:rPr>
                <w:rFonts w:hint="default"/>
                <w:color w:val="auto"/>
                <w:kern w:val="2"/>
                <w:szCs w:val="24"/>
              </w:rPr>
              <w:t>1.3-1.5</w:t>
            </w:r>
          </w:p>
        </w:tc>
        <w:tc>
          <w:tcPr>
            <w:tcW w:w="753" w:type="pct"/>
            <w:vAlign w:val="center"/>
          </w:tcPr>
          <w:p>
            <w:pPr>
              <w:pStyle w:val="182"/>
              <w:rPr>
                <w:color w:val="auto"/>
                <w:kern w:val="2"/>
                <w:szCs w:val="24"/>
              </w:rPr>
            </w:pPr>
            <w:r>
              <w:rPr>
                <w:rFonts w:hint="default"/>
                <w:color w:val="auto"/>
                <w:kern w:val="2"/>
                <w:szCs w:val="24"/>
              </w:rPr>
              <w:t>0.109-0.124</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标准限值</w:t>
            </w:r>
          </w:p>
        </w:tc>
        <w:tc>
          <w:tcPr>
            <w:tcW w:w="881" w:type="pct"/>
            <w:vAlign w:val="center"/>
          </w:tcPr>
          <w:p>
            <w:pPr>
              <w:pStyle w:val="182"/>
              <w:rPr>
                <w:color w:val="auto"/>
                <w:kern w:val="2"/>
                <w:szCs w:val="24"/>
              </w:rPr>
            </w:pPr>
            <w:r>
              <w:rPr>
                <w:color w:val="auto"/>
                <w:kern w:val="2"/>
                <w:szCs w:val="24"/>
              </w:rPr>
              <w:t>6.5~8.5</w:t>
            </w:r>
          </w:p>
        </w:tc>
        <w:tc>
          <w:tcPr>
            <w:tcW w:w="705" w:type="pct"/>
            <w:vAlign w:val="center"/>
          </w:tcPr>
          <w:p>
            <w:pPr>
              <w:pStyle w:val="182"/>
              <w:rPr>
                <w:color w:val="auto"/>
                <w:kern w:val="2"/>
                <w:szCs w:val="24"/>
              </w:rPr>
            </w:pPr>
            <w:r>
              <w:rPr>
                <w:color w:val="auto"/>
                <w:kern w:val="2"/>
                <w:szCs w:val="24"/>
              </w:rPr>
              <w:t>450</w:t>
            </w:r>
          </w:p>
        </w:tc>
        <w:tc>
          <w:tcPr>
            <w:tcW w:w="931" w:type="pct"/>
            <w:vAlign w:val="center"/>
          </w:tcPr>
          <w:p>
            <w:pPr>
              <w:pStyle w:val="182"/>
              <w:rPr>
                <w:color w:val="auto"/>
                <w:kern w:val="2"/>
                <w:szCs w:val="24"/>
              </w:rPr>
            </w:pPr>
            <w:r>
              <w:rPr>
                <w:color w:val="auto"/>
                <w:kern w:val="2"/>
                <w:szCs w:val="24"/>
              </w:rPr>
              <w:t>3.0</w:t>
            </w:r>
          </w:p>
        </w:tc>
        <w:tc>
          <w:tcPr>
            <w:tcW w:w="753" w:type="pct"/>
            <w:vAlign w:val="center"/>
          </w:tcPr>
          <w:p>
            <w:pPr>
              <w:pStyle w:val="182"/>
              <w:rPr>
                <w:color w:val="auto"/>
                <w:kern w:val="2"/>
                <w:szCs w:val="24"/>
              </w:rPr>
            </w:pPr>
            <w:r>
              <w:rPr>
                <w:color w:val="auto"/>
                <w:kern w:val="2"/>
                <w:szCs w:val="24"/>
              </w:rPr>
              <w:t>0.2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9" w:type="pct"/>
            <w:vMerge w:val="continue"/>
            <w:vAlign w:val="center"/>
          </w:tcPr>
          <w:p>
            <w:pPr>
              <w:pStyle w:val="182"/>
              <w:rPr>
                <w:color w:val="auto"/>
                <w:kern w:val="2"/>
                <w:szCs w:val="24"/>
              </w:rPr>
            </w:pPr>
          </w:p>
        </w:tc>
        <w:tc>
          <w:tcPr>
            <w:tcW w:w="792" w:type="pct"/>
            <w:vAlign w:val="center"/>
          </w:tcPr>
          <w:p>
            <w:pPr>
              <w:pStyle w:val="182"/>
              <w:rPr>
                <w:color w:val="auto"/>
                <w:kern w:val="2"/>
                <w:szCs w:val="24"/>
              </w:rPr>
            </w:pPr>
            <w:r>
              <w:rPr>
                <w:rFonts w:hint="default"/>
                <w:color w:val="auto"/>
                <w:kern w:val="2"/>
                <w:szCs w:val="24"/>
              </w:rPr>
              <w:t>达标情况</w:t>
            </w:r>
          </w:p>
        </w:tc>
        <w:tc>
          <w:tcPr>
            <w:tcW w:w="881" w:type="pct"/>
            <w:vAlign w:val="center"/>
          </w:tcPr>
          <w:p>
            <w:pPr>
              <w:pStyle w:val="182"/>
              <w:rPr>
                <w:color w:val="auto"/>
                <w:kern w:val="2"/>
                <w:szCs w:val="24"/>
              </w:rPr>
            </w:pPr>
            <w:r>
              <w:rPr>
                <w:rFonts w:hint="default"/>
                <w:color w:val="auto"/>
                <w:kern w:val="2"/>
                <w:szCs w:val="24"/>
              </w:rPr>
              <w:t>达标</w:t>
            </w:r>
          </w:p>
        </w:tc>
        <w:tc>
          <w:tcPr>
            <w:tcW w:w="705" w:type="pct"/>
            <w:vAlign w:val="center"/>
          </w:tcPr>
          <w:p>
            <w:pPr>
              <w:pStyle w:val="182"/>
              <w:rPr>
                <w:color w:val="auto"/>
                <w:kern w:val="2"/>
                <w:szCs w:val="24"/>
              </w:rPr>
            </w:pPr>
            <w:r>
              <w:rPr>
                <w:rFonts w:hint="default"/>
                <w:color w:val="auto"/>
                <w:kern w:val="2"/>
                <w:szCs w:val="24"/>
              </w:rPr>
              <w:t>达标</w:t>
            </w:r>
          </w:p>
        </w:tc>
        <w:tc>
          <w:tcPr>
            <w:tcW w:w="931" w:type="pct"/>
            <w:vAlign w:val="center"/>
          </w:tcPr>
          <w:p>
            <w:pPr>
              <w:pStyle w:val="182"/>
              <w:rPr>
                <w:color w:val="auto"/>
                <w:kern w:val="2"/>
                <w:szCs w:val="24"/>
              </w:rPr>
            </w:pPr>
            <w:r>
              <w:rPr>
                <w:rFonts w:hint="default"/>
                <w:color w:val="auto"/>
                <w:kern w:val="2"/>
                <w:szCs w:val="24"/>
              </w:rPr>
              <w:t>达标</w:t>
            </w:r>
          </w:p>
        </w:tc>
        <w:tc>
          <w:tcPr>
            <w:tcW w:w="753" w:type="pct"/>
            <w:vAlign w:val="center"/>
          </w:tcPr>
          <w:p>
            <w:pPr>
              <w:pStyle w:val="182"/>
              <w:rPr>
                <w:color w:val="auto"/>
                <w:kern w:val="2"/>
                <w:szCs w:val="24"/>
              </w:rPr>
            </w:pPr>
            <w:r>
              <w:rPr>
                <w:rFonts w:hint="default"/>
                <w:color w:val="auto"/>
                <w:kern w:val="2"/>
                <w:szCs w:val="24"/>
              </w:rPr>
              <w:t>达标</w:t>
            </w:r>
          </w:p>
        </w:tc>
      </w:tr>
    </w:tbl>
    <w:p>
      <w:pPr>
        <w:pStyle w:val="181"/>
        <w:rPr>
          <w:b/>
          <w:color w:val="auto"/>
          <w:sz w:val="24"/>
          <w:szCs w:val="24"/>
        </w:rPr>
      </w:pPr>
      <w:r>
        <w:rPr>
          <w:b/>
          <w:color w:val="auto"/>
          <w:sz w:val="24"/>
        </w:rPr>
        <w:t>表</w:t>
      </w:r>
      <w:r>
        <w:rPr>
          <w:rFonts w:hint="default"/>
          <w:b/>
          <w:color w:val="auto"/>
          <w:sz w:val="24"/>
        </w:rPr>
        <w:t>4</w:t>
      </w:r>
      <w:r>
        <w:rPr>
          <w:rFonts w:hint="eastAsia"/>
          <w:b/>
          <w:color w:val="auto"/>
          <w:sz w:val="24"/>
          <w:lang w:val="en-US" w:eastAsia="zh-CN"/>
        </w:rPr>
        <w:t>.2</w:t>
      </w:r>
      <w:r>
        <w:rPr>
          <w:rFonts w:hint="default"/>
          <w:b/>
          <w:color w:val="auto"/>
          <w:sz w:val="24"/>
        </w:rPr>
        <w:t>-1</w:t>
      </w:r>
      <w:r>
        <w:rPr>
          <w:rFonts w:hint="eastAsia"/>
          <w:b/>
          <w:color w:val="auto"/>
          <w:sz w:val="24"/>
          <w:lang w:val="en-US" w:eastAsia="zh-CN"/>
        </w:rPr>
        <w:t>4</w:t>
      </w:r>
      <w:r>
        <w:rPr>
          <w:b/>
          <w:color w:val="auto"/>
          <w:sz w:val="24"/>
        </w:rPr>
        <w:t xml:space="preserve">     </w:t>
      </w:r>
      <w:r>
        <w:rPr>
          <w:rFonts w:hint="default"/>
          <w:b/>
          <w:color w:val="auto"/>
          <w:sz w:val="24"/>
        </w:rPr>
        <w:t xml:space="preserve">  </w:t>
      </w:r>
      <w:r>
        <w:rPr>
          <w:b/>
          <w:color w:val="auto"/>
          <w:sz w:val="24"/>
        </w:rPr>
        <w:t xml:space="preserve"> </w:t>
      </w:r>
      <w:r>
        <w:rPr>
          <w:rFonts w:hint="default"/>
          <w:b/>
          <w:color w:val="auto"/>
          <w:sz w:val="24"/>
        </w:rPr>
        <w:t xml:space="preserve"> </w:t>
      </w:r>
      <w:r>
        <w:rPr>
          <w:b/>
          <w:color w:val="auto"/>
          <w:sz w:val="24"/>
        </w:rPr>
        <w:t xml:space="preserve"> 地下水现状结果统计</w:t>
      </w:r>
      <w:r>
        <w:rPr>
          <w:rFonts w:hint="default"/>
          <w:b/>
          <w:color w:val="auto"/>
          <w:sz w:val="24"/>
        </w:rPr>
        <w:t>表2</w:t>
      </w:r>
      <w:r>
        <w:rPr>
          <w:rFonts w:hint="default"/>
          <w:b/>
          <w:color w:val="auto"/>
          <w:sz w:val="24"/>
          <w:szCs w:val="24"/>
        </w:rPr>
        <w:t xml:space="preserve">           </w:t>
      </w:r>
      <w:r>
        <w:rPr>
          <w:b/>
          <w:color w:val="auto"/>
          <w:szCs w:val="24"/>
        </w:rPr>
        <w:t>单位：mg/L</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1324"/>
        <w:gridCol w:w="1657"/>
        <w:gridCol w:w="1324"/>
        <w:gridCol w:w="1324"/>
        <w:gridCol w:w="141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70" w:type="pct"/>
            <w:vMerge w:val="restart"/>
            <w:vAlign w:val="center"/>
          </w:tcPr>
          <w:p>
            <w:pPr>
              <w:pStyle w:val="182"/>
              <w:rPr>
                <w:rFonts w:cs="Times New Roman"/>
                <w:b/>
                <w:bCs/>
                <w:color w:val="auto"/>
                <w:szCs w:val="24"/>
              </w:rPr>
            </w:pPr>
            <w:r>
              <w:rPr>
                <w:rFonts w:hint="default" w:cs="Times New Roman"/>
                <w:b/>
                <w:bCs/>
                <w:color w:val="auto"/>
                <w:szCs w:val="24"/>
              </w:rPr>
              <w:t>监测点</w:t>
            </w:r>
          </w:p>
        </w:tc>
        <w:tc>
          <w:tcPr>
            <w:tcW w:w="777" w:type="pct"/>
            <w:vMerge w:val="restart"/>
            <w:vAlign w:val="center"/>
          </w:tcPr>
          <w:p>
            <w:pPr>
              <w:pStyle w:val="182"/>
              <w:rPr>
                <w:rFonts w:cs="Times New Roman"/>
                <w:b/>
                <w:bCs/>
                <w:color w:val="auto"/>
                <w:szCs w:val="24"/>
              </w:rPr>
            </w:pPr>
            <w:r>
              <w:rPr>
                <w:rFonts w:hint="default" w:cs="Times New Roman"/>
                <w:b/>
                <w:bCs/>
                <w:color w:val="auto"/>
                <w:szCs w:val="24"/>
              </w:rPr>
              <w:t>类别</w:t>
            </w:r>
          </w:p>
        </w:tc>
        <w:tc>
          <w:tcPr>
            <w:tcW w:w="3353" w:type="pct"/>
            <w:gridSpan w:val="4"/>
            <w:vAlign w:val="center"/>
          </w:tcPr>
          <w:p>
            <w:pPr>
              <w:pStyle w:val="182"/>
              <w:rPr>
                <w:rFonts w:cs="Times New Roman"/>
                <w:b/>
                <w:bCs/>
                <w:color w:val="auto"/>
                <w:szCs w:val="24"/>
              </w:rPr>
            </w:pPr>
            <w:r>
              <w:rPr>
                <w:rFonts w:hint="default" w:cs="Times New Roman"/>
                <w:b/>
                <w:bCs/>
                <w:color w:val="auto"/>
                <w:szCs w:val="24"/>
              </w:rPr>
              <w:t>监测因子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70" w:type="pct"/>
            <w:vMerge w:val="continue"/>
            <w:vAlign w:val="center"/>
          </w:tcPr>
          <w:p>
            <w:pPr>
              <w:pStyle w:val="182"/>
              <w:rPr>
                <w:rFonts w:cs="Times New Roman"/>
                <w:b/>
                <w:bCs/>
                <w:color w:val="auto"/>
                <w:szCs w:val="24"/>
              </w:rPr>
            </w:pPr>
          </w:p>
        </w:tc>
        <w:tc>
          <w:tcPr>
            <w:tcW w:w="777" w:type="pct"/>
            <w:vMerge w:val="continue"/>
            <w:vAlign w:val="center"/>
          </w:tcPr>
          <w:p>
            <w:pPr>
              <w:pStyle w:val="182"/>
              <w:rPr>
                <w:rFonts w:cs="Times New Roman"/>
                <w:b/>
                <w:bCs/>
                <w:color w:val="auto"/>
                <w:szCs w:val="24"/>
              </w:rPr>
            </w:pPr>
          </w:p>
        </w:tc>
        <w:tc>
          <w:tcPr>
            <w:tcW w:w="972" w:type="pct"/>
            <w:tcMar>
              <w:left w:w="0" w:type="dxa"/>
              <w:right w:w="0" w:type="dxa"/>
            </w:tcMar>
            <w:vAlign w:val="center"/>
          </w:tcPr>
          <w:p>
            <w:pPr>
              <w:pStyle w:val="182"/>
              <w:rPr>
                <w:rFonts w:cs="Times New Roman"/>
                <w:b/>
                <w:bCs/>
                <w:color w:val="auto"/>
                <w:szCs w:val="24"/>
              </w:rPr>
            </w:pPr>
            <w:r>
              <w:rPr>
                <w:rFonts w:cs="Times New Roman"/>
                <w:b/>
                <w:bCs/>
                <w:color w:val="auto"/>
                <w:szCs w:val="24"/>
              </w:rPr>
              <w:t>溶解性总固体</w:t>
            </w:r>
          </w:p>
        </w:tc>
        <w:tc>
          <w:tcPr>
            <w:tcW w:w="777" w:type="pct"/>
            <w:vAlign w:val="center"/>
          </w:tcPr>
          <w:p>
            <w:pPr>
              <w:pStyle w:val="182"/>
              <w:rPr>
                <w:rFonts w:cs="Times New Roman"/>
                <w:b/>
                <w:bCs/>
                <w:color w:val="auto"/>
                <w:szCs w:val="24"/>
              </w:rPr>
            </w:pPr>
            <w:r>
              <w:rPr>
                <w:rFonts w:cs="Times New Roman"/>
                <w:b/>
                <w:bCs/>
                <w:color w:val="auto"/>
                <w:szCs w:val="24"/>
              </w:rPr>
              <w:t>Cl</w:t>
            </w:r>
            <w:r>
              <w:rPr>
                <w:rFonts w:cs="Times New Roman"/>
                <w:b/>
                <w:bCs/>
                <w:color w:val="auto"/>
                <w:szCs w:val="24"/>
                <w:vertAlign w:val="superscript"/>
              </w:rPr>
              <w:t>-</w:t>
            </w:r>
          </w:p>
        </w:tc>
        <w:tc>
          <w:tcPr>
            <w:tcW w:w="777" w:type="pct"/>
            <w:vAlign w:val="center"/>
          </w:tcPr>
          <w:p>
            <w:pPr>
              <w:pStyle w:val="182"/>
              <w:rPr>
                <w:rFonts w:cs="Times New Roman"/>
                <w:b/>
                <w:bCs/>
                <w:color w:val="auto"/>
                <w:szCs w:val="24"/>
              </w:rPr>
            </w:pPr>
            <w:r>
              <w:rPr>
                <w:rFonts w:cs="Times New Roman"/>
                <w:b/>
                <w:bCs/>
                <w:color w:val="auto"/>
                <w:szCs w:val="24"/>
              </w:rPr>
              <w:t>SO</w:t>
            </w:r>
            <w:r>
              <w:rPr>
                <w:rFonts w:cs="Times New Roman"/>
                <w:b/>
                <w:bCs/>
                <w:color w:val="auto"/>
                <w:szCs w:val="24"/>
                <w:vertAlign w:val="subscript"/>
              </w:rPr>
              <w:t>4</w:t>
            </w:r>
            <w:r>
              <w:rPr>
                <w:rFonts w:cs="Times New Roman"/>
                <w:b/>
                <w:bCs/>
                <w:color w:val="auto"/>
                <w:szCs w:val="24"/>
                <w:vertAlign w:val="superscript"/>
              </w:rPr>
              <w:t>2-</w:t>
            </w:r>
          </w:p>
        </w:tc>
        <w:tc>
          <w:tcPr>
            <w:tcW w:w="827" w:type="pct"/>
            <w:vAlign w:val="center"/>
          </w:tcPr>
          <w:p>
            <w:pPr>
              <w:pStyle w:val="182"/>
              <w:rPr>
                <w:rFonts w:cs="Times New Roman"/>
                <w:b/>
                <w:bCs/>
                <w:color w:val="auto"/>
                <w:szCs w:val="24"/>
              </w:rPr>
            </w:pPr>
            <w:r>
              <w:rPr>
                <w:rFonts w:cs="Times New Roman"/>
                <w:b/>
                <w:bCs/>
                <w:color w:val="auto"/>
                <w:szCs w:val="24"/>
              </w:rPr>
              <w:t>K</w:t>
            </w:r>
            <w:r>
              <w:rPr>
                <w:rFonts w:cs="Times New Roman"/>
                <w:b/>
                <w:bCs/>
                <w:color w:val="auto"/>
                <w:szCs w:val="24"/>
                <w:vertAlign w:val="superscript"/>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restart"/>
            <w:vAlign w:val="center"/>
          </w:tcPr>
          <w:p>
            <w:pPr>
              <w:pStyle w:val="182"/>
              <w:rPr>
                <w:color w:val="auto"/>
                <w:kern w:val="2"/>
                <w:szCs w:val="24"/>
              </w:rPr>
            </w:pPr>
            <w:r>
              <w:rPr>
                <w:rFonts w:hint="default"/>
                <w:color w:val="auto"/>
                <w:kern w:val="2"/>
                <w:szCs w:val="24"/>
              </w:rPr>
              <w:t>化纤厂新厂区水井（工业用）</w:t>
            </w:r>
          </w:p>
        </w:tc>
        <w:tc>
          <w:tcPr>
            <w:tcW w:w="777" w:type="pct"/>
            <w:vAlign w:val="center"/>
          </w:tcPr>
          <w:p>
            <w:pPr>
              <w:pStyle w:val="182"/>
              <w:rPr>
                <w:color w:val="auto"/>
                <w:kern w:val="2"/>
                <w:szCs w:val="24"/>
              </w:rPr>
            </w:pPr>
            <w:r>
              <w:rPr>
                <w:rFonts w:hint="default"/>
                <w:color w:val="auto"/>
                <w:kern w:val="2"/>
                <w:szCs w:val="24"/>
              </w:rPr>
              <w:t>浓度范围</w:t>
            </w:r>
          </w:p>
        </w:tc>
        <w:tc>
          <w:tcPr>
            <w:tcW w:w="972" w:type="pct"/>
            <w:vAlign w:val="center"/>
          </w:tcPr>
          <w:p>
            <w:pPr>
              <w:pStyle w:val="182"/>
              <w:rPr>
                <w:color w:val="auto"/>
                <w:kern w:val="2"/>
                <w:szCs w:val="24"/>
              </w:rPr>
            </w:pPr>
            <w:r>
              <w:rPr>
                <w:rFonts w:hint="default"/>
                <w:color w:val="auto"/>
                <w:kern w:val="2"/>
                <w:szCs w:val="24"/>
              </w:rPr>
              <w:t>701-723</w:t>
            </w:r>
          </w:p>
        </w:tc>
        <w:tc>
          <w:tcPr>
            <w:tcW w:w="777" w:type="pct"/>
            <w:vAlign w:val="center"/>
          </w:tcPr>
          <w:p>
            <w:pPr>
              <w:pStyle w:val="182"/>
              <w:rPr>
                <w:color w:val="auto"/>
                <w:kern w:val="2"/>
                <w:szCs w:val="24"/>
              </w:rPr>
            </w:pPr>
            <w:r>
              <w:rPr>
                <w:rFonts w:hint="default"/>
                <w:color w:val="auto"/>
                <w:kern w:val="2"/>
                <w:szCs w:val="24"/>
              </w:rPr>
              <w:t>10.5-12.5</w:t>
            </w:r>
          </w:p>
        </w:tc>
        <w:tc>
          <w:tcPr>
            <w:tcW w:w="777" w:type="pct"/>
            <w:vAlign w:val="center"/>
          </w:tcPr>
          <w:p>
            <w:pPr>
              <w:pStyle w:val="182"/>
              <w:rPr>
                <w:color w:val="auto"/>
                <w:kern w:val="2"/>
                <w:szCs w:val="24"/>
              </w:rPr>
            </w:pPr>
            <w:r>
              <w:rPr>
                <w:rFonts w:hint="default"/>
                <w:color w:val="auto"/>
                <w:kern w:val="2"/>
                <w:szCs w:val="24"/>
              </w:rPr>
              <w:t>60.1-73.1</w:t>
            </w:r>
          </w:p>
        </w:tc>
        <w:tc>
          <w:tcPr>
            <w:tcW w:w="827" w:type="pct"/>
            <w:vAlign w:val="center"/>
          </w:tcPr>
          <w:p>
            <w:pPr>
              <w:pStyle w:val="182"/>
              <w:rPr>
                <w:color w:val="auto"/>
                <w:kern w:val="2"/>
                <w:szCs w:val="24"/>
              </w:rPr>
            </w:pPr>
            <w:r>
              <w:rPr>
                <w:rFonts w:hint="default"/>
                <w:color w:val="auto"/>
                <w:kern w:val="2"/>
                <w:szCs w:val="24"/>
              </w:rPr>
              <w:t>2.24-2.42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标准限值</w:t>
            </w:r>
          </w:p>
        </w:tc>
        <w:tc>
          <w:tcPr>
            <w:tcW w:w="972" w:type="pct"/>
            <w:vAlign w:val="center"/>
          </w:tcPr>
          <w:p>
            <w:pPr>
              <w:pStyle w:val="182"/>
              <w:rPr>
                <w:color w:val="auto"/>
                <w:kern w:val="2"/>
                <w:szCs w:val="24"/>
              </w:rPr>
            </w:pPr>
            <w:r>
              <w:rPr>
                <w:rFonts w:hint="default"/>
                <w:color w:val="auto"/>
                <w:kern w:val="2"/>
                <w:szCs w:val="24"/>
              </w:rPr>
              <w:t>1000</w:t>
            </w:r>
          </w:p>
        </w:tc>
        <w:tc>
          <w:tcPr>
            <w:tcW w:w="777" w:type="pct"/>
            <w:vAlign w:val="center"/>
          </w:tcPr>
          <w:p>
            <w:pPr>
              <w:pStyle w:val="182"/>
              <w:rPr>
                <w:color w:val="auto"/>
                <w:kern w:val="2"/>
                <w:szCs w:val="24"/>
              </w:rPr>
            </w:pPr>
            <w:r>
              <w:rPr>
                <w:rFonts w:hint="default"/>
                <w:color w:val="auto"/>
                <w:kern w:val="2"/>
                <w:szCs w:val="24"/>
              </w:rPr>
              <w:t>2</w:t>
            </w:r>
            <w:r>
              <w:rPr>
                <w:color w:val="auto"/>
                <w:kern w:val="2"/>
                <w:szCs w:val="24"/>
              </w:rPr>
              <w:t>50</w:t>
            </w:r>
          </w:p>
        </w:tc>
        <w:tc>
          <w:tcPr>
            <w:tcW w:w="777" w:type="pct"/>
            <w:vAlign w:val="center"/>
          </w:tcPr>
          <w:p>
            <w:pPr>
              <w:pStyle w:val="182"/>
              <w:rPr>
                <w:color w:val="auto"/>
                <w:kern w:val="2"/>
                <w:szCs w:val="24"/>
              </w:rPr>
            </w:pPr>
            <w:r>
              <w:rPr>
                <w:rFonts w:hint="default"/>
                <w:color w:val="auto"/>
                <w:kern w:val="2"/>
                <w:szCs w:val="24"/>
              </w:rPr>
              <w:t>250</w:t>
            </w:r>
          </w:p>
        </w:tc>
        <w:tc>
          <w:tcPr>
            <w:tcW w:w="827" w:type="pct"/>
            <w:vAlign w:val="center"/>
          </w:tcPr>
          <w:p>
            <w:pPr>
              <w:pStyle w:val="182"/>
              <w:rPr>
                <w:color w:val="auto"/>
                <w:kern w:val="2"/>
                <w:szCs w:val="24"/>
              </w:rPr>
            </w:pPr>
            <w:r>
              <w:rPr>
                <w:rFonts w:hint="default"/>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达标情况</w:t>
            </w:r>
          </w:p>
        </w:tc>
        <w:tc>
          <w:tcPr>
            <w:tcW w:w="972"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827" w:type="pct"/>
            <w:vAlign w:val="center"/>
          </w:tcPr>
          <w:p>
            <w:pPr>
              <w:pStyle w:val="182"/>
              <w:rPr>
                <w:color w:val="auto"/>
                <w:kern w:val="2"/>
                <w:szCs w:val="24"/>
              </w:rPr>
            </w:pPr>
            <w:r>
              <w:rPr>
                <w:rFonts w:hint="default"/>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restart"/>
            <w:vAlign w:val="center"/>
          </w:tcPr>
          <w:p>
            <w:pPr>
              <w:pStyle w:val="182"/>
              <w:rPr>
                <w:color w:val="auto"/>
                <w:kern w:val="2"/>
                <w:szCs w:val="24"/>
              </w:rPr>
            </w:pPr>
            <w:r>
              <w:rPr>
                <w:rFonts w:hint="default"/>
                <w:color w:val="auto"/>
                <w:szCs w:val="24"/>
              </w:rPr>
              <w:t>夏庄村</w:t>
            </w:r>
          </w:p>
        </w:tc>
        <w:tc>
          <w:tcPr>
            <w:tcW w:w="777" w:type="pct"/>
            <w:vAlign w:val="center"/>
          </w:tcPr>
          <w:p>
            <w:pPr>
              <w:pStyle w:val="182"/>
              <w:rPr>
                <w:color w:val="auto"/>
                <w:kern w:val="2"/>
                <w:szCs w:val="24"/>
              </w:rPr>
            </w:pPr>
            <w:r>
              <w:rPr>
                <w:rFonts w:hint="default"/>
                <w:color w:val="auto"/>
                <w:kern w:val="2"/>
                <w:szCs w:val="24"/>
              </w:rPr>
              <w:t>浓度范围</w:t>
            </w:r>
          </w:p>
        </w:tc>
        <w:tc>
          <w:tcPr>
            <w:tcW w:w="972" w:type="pct"/>
            <w:vAlign w:val="center"/>
          </w:tcPr>
          <w:p>
            <w:pPr>
              <w:pStyle w:val="182"/>
              <w:rPr>
                <w:color w:val="auto"/>
                <w:kern w:val="2"/>
                <w:szCs w:val="24"/>
              </w:rPr>
            </w:pPr>
            <w:r>
              <w:rPr>
                <w:rFonts w:hint="default"/>
                <w:color w:val="auto"/>
                <w:kern w:val="2"/>
                <w:szCs w:val="24"/>
              </w:rPr>
              <w:t>614-632</w:t>
            </w:r>
          </w:p>
        </w:tc>
        <w:tc>
          <w:tcPr>
            <w:tcW w:w="777" w:type="pct"/>
            <w:vAlign w:val="center"/>
          </w:tcPr>
          <w:p>
            <w:pPr>
              <w:pStyle w:val="182"/>
              <w:rPr>
                <w:color w:val="auto"/>
                <w:kern w:val="2"/>
                <w:szCs w:val="24"/>
              </w:rPr>
            </w:pPr>
            <w:r>
              <w:rPr>
                <w:rFonts w:hint="default"/>
                <w:color w:val="auto"/>
                <w:kern w:val="2"/>
                <w:szCs w:val="24"/>
              </w:rPr>
              <w:t>76.0-84.0</w:t>
            </w:r>
          </w:p>
        </w:tc>
        <w:tc>
          <w:tcPr>
            <w:tcW w:w="777" w:type="pct"/>
            <w:vAlign w:val="center"/>
          </w:tcPr>
          <w:p>
            <w:pPr>
              <w:pStyle w:val="182"/>
              <w:rPr>
                <w:color w:val="auto"/>
                <w:kern w:val="2"/>
                <w:szCs w:val="24"/>
              </w:rPr>
            </w:pPr>
            <w:r>
              <w:rPr>
                <w:rFonts w:hint="default"/>
                <w:color w:val="auto"/>
                <w:kern w:val="2"/>
                <w:szCs w:val="24"/>
              </w:rPr>
              <w:t>48.4-57.9</w:t>
            </w:r>
          </w:p>
        </w:tc>
        <w:tc>
          <w:tcPr>
            <w:tcW w:w="827" w:type="pct"/>
            <w:vAlign w:val="center"/>
          </w:tcPr>
          <w:p>
            <w:pPr>
              <w:pStyle w:val="182"/>
              <w:rPr>
                <w:color w:val="auto"/>
                <w:kern w:val="2"/>
                <w:szCs w:val="24"/>
              </w:rPr>
            </w:pPr>
            <w:r>
              <w:rPr>
                <w:rFonts w:hint="default"/>
                <w:color w:val="auto"/>
                <w:kern w:val="2"/>
                <w:szCs w:val="24"/>
              </w:rPr>
              <w:t>3.01-3.11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标准限值</w:t>
            </w:r>
          </w:p>
        </w:tc>
        <w:tc>
          <w:tcPr>
            <w:tcW w:w="972" w:type="pct"/>
            <w:vAlign w:val="center"/>
          </w:tcPr>
          <w:p>
            <w:pPr>
              <w:pStyle w:val="182"/>
              <w:rPr>
                <w:color w:val="auto"/>
                <w:kern w:val="2"/>
                <w:szCs w:val="24"/>
              </w:rPr>
            </w:pPr>
            <w:r>
              <w:rPr>
                <w:rFonts w:hint="default"/>
                <w:color w:val="auto"/>
                <w:kern w:val="2"/>
                <w:szCs w:val="24"/>
              </w:rPr>
              <w:t>1000</w:t>
            </w:r>
          </w:p>
        </w:tc>
        <w:tc>
          <w:tcPr>
            <w:tcW w:w="777" w:type="pct"/>
            <w:vAlign w:val="center"/>
          </w:tcPr>
          <w:p>
            <w:pPr>
              <w:pStyle w:val="182"/>
              <w:rPr>
                <w:color w:val="auto"/>
                <w:kern w:val="2"/>
                <w:szCs w:val="24"/>
              </w:rPr>
            </w:pPr>
            <w:r>
              <w:rPr>
                <w:rFonts w:hint="default"/>
                <w:color w:val="auto"/>
                <w:kern w:val="2"/>
                <w:szCs w:val="24"/>
              </w:rPr>
              <w:t>2</w:t>
            </w:r>
            <w:r>
              <w:rPr>
                <w:color w:val="auto"/>
                <w:kern w:val="2"/>
                <w:szCs w:val="24"/>
              </w:rPr>
              <w:t>50</w:t>
            </w:r>
          </w:p>
        </w:tc>
        <w:tc>
          <w:tcPr>
            <w:tcW w:w="777" w:type="pct"/>
            <w:vAlign w:val="center"/>
          </w:tcPr>
          <w:p>
            <w:pPr>
              <w:pStyle w:val="182"/>
              <w:rPr>
                <w:color w:val="auto"/>
                <w:kern w:val="2"/>
                <w:szCs w:val="24"/>
              </w:rPr>
            </w:pPr>
            <w:r>
              <w:rPr>
                <w:rFonts w:hint="default"/>
                <w:color w:val="auto"/>
                <w:kern w:val="2"/>
                <w:szCs w:val="24"/>
              </w:rPr>
              <w:t>250</w:t>
            </w:r>
          </w:p>
        </w:tc>
        <w:tc>
          <w:tcPr>
            <w:tcW w:w="827" w:type="pct"/>
            <w:vAlign w:val="center"/>
          </w:tcPr>
          <w:p>
            <w:pPr>
              <w:pStyle w:val="182"/>
              <w:rPr>
                <w:color w:val="auto"/>
                <w:kern w:val="2"/>
                <w:szCs w:val="24"/>
              </w:rPr>
            </w:pPr>
            <w:r>
              <w:rPr>
                <w:rFonts w:hint="default"/>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达标情况</w:t>
            </w:r>
          </w:p>
        </w:tc>
        <w:tc>
          <w:tcPr>
            <w:tcW w:w="972"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827" w:type="pct"/>
            <w:vAlign w:val="center"/>
          </w:tcPr>
          <w:p>
            <w:pPr>
              <w:pStyle w:val="182"/>
              <w:rPr>
                <w:color w:val="auto"/>
                <w:kern w:val="2"/>
                <w:szCs w:val="24"/>
              </w:rPr>
            </w:pPr>
            <w:r>
              <w:rPr>
                <w:rFonts w:hint="default"/>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restart"/>
            <w:vAlign w:val="center"/>
          </w:tcPr>
          <w:p>
            <w:pPr>
              <w:pStyle w:val="182"/>
              <w:rPr>
                <w:color w:val="auto"/>
                <w:kern w:val="2"/>
                <w:szCs w:val="24"/>
              </w:rPr>
            </w:pPr>
            <w:r>
              <w:rPr>
                <w:rFonts w:hint="default"/>
                <w:iCs w:val="0"/>
                <w:color w:val="auto"/>
                <w:szCs w:val="24"/>
              </w:rPr>
              <w:t>水花堡村</w:t>
            </w:r>
          </w:p>
        </w:tc>
        <w:tc>
          <w:tcPr>
            <w:tcW w:w="777" w:type="pct"/>
            <w:vAlign w:val="center"/>
          </w:tcPr>
          <w:p>
            <w:pPr>
              <w:pStyle w:val="182"/>
              <w:rPr>
                <w:color w:val="auto"/>
                <w:kern w:val="2"/>
                <w:szCs w:val="24"/>
              </w:rPr>
            </w:pPr>
            <w:r>
              <w:rPr>
                <w:rFonts w:hint="default"/>
                <w:color w:val="auto"/>
                <w:kern w:val="2"/>
                <w:szCs w:val="24"/>
              </w:rPr>
              <w:t>浓度范围</w:t>
            </w:r>
          </w:p>
        </w:tc>
        <w:tc>
          <w:tcPr>
            <w:tcW w:w="972" w:type="pct"/>
            <w:vAlign w:val="center"/>
          </w:tcPr>
          <w:p>
            <w:pPr>
              <w:pStyle w:val="182"/>
              <w:rPr>
                <w:color w:val="auto"/>
                <w:kern w:val="2"/>
                <w:szCs w:val="24"/>
              </w:rPr>
            </w:pPr>
            <w:r>
              <w:rPr>
                <w:rFonts w:hint="default"/>
                <w:color w:val="auto"/>
                <w:kern w:val="2"/>
                <w:szCs w:val="24"/>
              </w:rPr>
              <w:t>706-829</w:t>
            </w:r>
          </w:p>
        </w:tc>
        <w:tc>
          <w:tcPr>
            <w:tcW w:w="777" w:type="pct"/>
            <w:vAlign w:val="center"/>
          </w:tcPr>
          <w:p>
            <w:pPr>
              <w:pStyle w:val="182"/>
              <w:rPr>
                <w:color w:val="auto"/>
                <w:kern w:val="2"/>
                <w:szCs w:val="24"/>
              </w:rPr>
            </w:pPr>
            <w:r>
              <w:rPr>
                <w:rFonts w:hint="default"/>
                <w:color w:val="auto"/>
                <w:kern w:val="2"/>
                <w:szCs w:val="24"/>
              </w:rPr>
              <w:t>11.4-13.9</w:t>
            </w:r>
          </w:p>
        </w:tc>
        <w:tc>
          <w:tcPr>
            <w:tcW w:w="777" w:type="pct"/>
            <w:vAlign w:val="center"/>
          </w:tcPr>
          <w:p>
            <w:pPr>
              <w:pStyle w:val="182"/>
              <w:rPr>
                <w:color w:val="auto"/>
                <w:kern w:val="2"/>
                <w:szCs w:val="24"/>
              </w:rPr>
            </w:pPr>
            <w:r>
              <w:rPr>
                <w:rFonts w:hint="default"/>
                <w:color w:val="auto"/>
                <w:kern w:val="2"/>
                <w:szCs w:val="24"/>
              </w:rPr>
              <w:t>36.3-42.8</w:t>
            </w:r>
          </w:p>
        </w:tc>
        <w:tc>
          <w:tcPr>
            <w:tcW w:w="827" w:type="pct"/>
            <w:vAlign w:val="center"/>
          </w:tcPr>
          <w:p>
            <w:pPr>
              <w:pStyle w:val="182"/>
              <w:rPr>
                <w:color w:val="auto"/>
                <w:kern w:val="2"/>
                <w:szCs w:val="24"/>
              </w:rPr>
            </w:pPr>
            <w:r>
              <w:rPr>
                <w:rFonts w:hint="default"/>
                <w:color w:val="auto"/>
                <w:kern w:val="2"/>
                <w:szCs w:val="24"/>
              </w:rPr>
              <w:t>0.536-0.558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标准限值</w:t>
            </w:r>
          </w:p>
        </w:tc>
        <w:tc>
          <w:tcPr>
            <w:tcW w:w="972" w:type="pct"/>
            <w:vAlign w:val="center"/>
          </w:tcPr>
          <w:p>
            <w:pPr>
              <w:pStyle w:val="182"/>
              <w:rPr>
                <w:color w:val="auto"/>
                <w:kern w:val="2"/>
                <w:szCs w:val="24"/>
              </w:rPr>
            </w:pPr>
            <w:r>
              <w:rPr>
                <w:rFonts w:hint="default"/>
                <w:color w:val="auto"/>
                <w:kern w:val="2"/>
                <w:szCs w:val="24"/>
              </w:rPr>
              <w:t>1000</w:t>
            </w:r>
          </w:p>
        </w:tc>
        <w:tc>
          <w:tcPr>
            <w:tcW w:w="777" w:type="pct"/>
            <w:vAlign w:val="center"/>
          </w:tcPr>
          <w:p>
            <w:pPr>
              <w:pStyle w:val="182"/>
              <w:rPr>
                <w:color w:val="auto"/>
                <w:kern w:val="2"/>
                <w:szCs w:val="24"/>
              </w:rPr>
            </w:pPr>
            <w:r>
              <w:rPr>
                <w:rFonts w:hint="default"/>
                <w:color w:val="auto"/>
                <w:kern w:val="2"/>
                <w:szCs w:val="24"/>
              </w:rPr>
              <w:t>2</w:t>
            </w:r>
            <w:r>
              <w:rPr>
                <w:color w:val="auto"/>
                <w:kern w:val="2"/>
                <w:szCs w:val="24"/>
              </w:rPr>
              <w:t>50</w:t>
            </w:r>
          </w:p>
        </w:tc>
        <w:tc>
          <w:tcPr>
            <w:tcW w:w="777" w:type="pct"/>
            <w:vAlign w:val="center"/>
          </w:tcPr>
          <w:p>
            <w:pPr>
              <w:pStyle w:val="182"/>
              <w:rPr>
                <w:color w:val="auto"/>
                <w:kern w:val="2"/>
                <w:szCs w:val="24"/>
              </w:rPr>
            </w:pPr>
            <w:r>
              <w:rPr>
                <w:rFonts w:hint="default"/>
                <w:color w:val="auto"/>
                <w:kern w:val="2"/>
                <w:szCs w:val="24"/>
              </w:rPr>
              <w:t>250</w:t>
            </w:r>
          </w:p>
        </w:tc>
        <w:tc>
          <w:tcPr>
            <w:tcW w:w="827" w:type="pct"/>
            <w:vAlign w:val="center"/>
          </w:tcPr>
          <w:p>
            <w:pPr>
              <w:pStyle w:val="182"/>
              <w:rPr>
                <w:color w:val="auto"/>
                <w:kern w:val="2"/>
                <w:szCs w:val="24"/>
              </w:rPr>
            </w:pPr>
            <w:r>
              <w:rPr>
                <w:rFonts w:hint="default"/>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达标情况</w:t>
            </w:r>
          </w:p>
        </w:tc>
        <w:tc>
          <w:tcPr>
            <w:tcW w:w="972"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827" w:type="pct"/>
            <w:vAlign w:val="center"/>
          </w:tcPr>
          <w:p>
            <w:pPr>
              <w:pStyle w:val="182"/>
              <w:rPr>
                <w:color w:val="auto"/>
                <w:kern w:val="2"/>
                <w:szCs w:val="24"/>
              </w:rPr>
            </w:pPr>
            <w:r>
              <w:rPr>
                <w:rFonts w:hint="default"/>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restart"/>
            <w:vAlign w:val="center"/>
          </w:tcPr>
          <w:p>
            <w:pPr>
              <w:pStyle w:val="182"/>
              <w:rPr>
                <w:color w:val="auto"/>
                <w:kern w:val="2"/>
                <w:szCs w:val="24"/>
              </w:rPr>
            </w:pPr>
            <w:r>
              <w:rPr>
                <w:rFonts w:hint="default"/>
                <w:iCs w:val="0"/>
                <w:color w:val="auto"/>
                <w:szCs w:val="24"/>
              </w:rPr>
              <w:t>大杨庄村</w:t>
            </w:r>
          </w:p>
        </w:tc>
        <w:tc>
          <w:tcPr>
            <w:tcW w:w="777" w:type="pct"/>
            <w:vAlign w:val="center"/>
          </w:tcPr>
          <w:p>
            <w:pPr>
              <w:pStyle w:val="182"/>
              <w:rPr>
                <w:color w:val="auto"/>
                <w:kern w:val="2"/>
                <w:szCs w:val="24"/>
              </w:rPr>
            </w:pPr>
            <w:r>
              <w:rPr>
                <w:rFonts w:hint="default"/>
                <w:color w:val="auto"/>
                <w:kern w:val="2"/>
                <w:szCs w:val="24"/>
              </w:rPr>
              <w:t>浓度范围</w:t>
            </w:r>
          </w:p>
        </w:tc>
        <w:tc>
          <w:tcPr>
            <w:tcW w:w="972" w:type="pct"/>
            <w:vAlign w:val="center"/>
          </w:tcPr>
          <w:p>
            <w:pPr>
              <w:pStyle w:val="182"/>
              <w:rPr>
                <w:color w:val="auto"/>
                <w:kern w:val="2"/>
                <w:szCs w:val="24"/>
              </w:rPr>
            </w:pPr>
            <w:r>
              <w:rPr>
                <w:rFonts w:hint="default"/>
                <w:color w:val="auto"/>
                <w:kern w:val="2"/>
                <w:szCs w:val="24"/>
              </w:rPr>
              <w:t>782</w:t>
            </w:r>
            <w:r>
              <w:rPr>
                <w:color w:val="auto"/>
                <w:kern w:val="2"/>
                <w:szCs w:val="24"/>
              </w:rPr>
              <w:t>~</w:t>
            </w:r>
            <w:r>
              <w:rPr>
                <w:rFonts w:hint="default"/>
                <w:color w:val="auto"/>
                <w:kern w:val="2"/>
                <w:szCs w:val="24"/>
              </w:rPr>
              <w:t>803</w:t>
            </w:r>
          </w:p>
        </w:tc>
        <w:tc>
          <w:tcPr>
            <w:tcW w:w="777" w:type="pct"/>
            <w:vAlign w:val="center"/>
          </w:tcPr>
          <w:p>
            <w:pPr>
              <w:pStyle w:val="182"/>
              <w:rPr>
                <w:color w:val="auto"/>
                <w:kern w:val="2"/>
                <w:szCs w:val="24"/>
              </w:rPr>
            </w:pPr>
            <w:r>
              <w:rPr>
                <w:rFonts w:hint="default"/>
                <w:color w:val="auto"/>
                <w:kern w:val="2"/>
                <w:szCs w:val="24"/>
              </w:rPr>
              <w:t>33.4-36.2</w:t>
            </w:r>
          </w:p>
        </w:tc>
        <w:tc>
          <w:tcPr>
            <w:tcW w:w="777" w:type="pct"/>
            <w:vAlign w:val="center"/>
          </w:tcPr>
          <w:p>
            <w:pPr>
              <w:pStyle w:val="182"/>
              <w:rPr>
                <w:color w:val="auto"/>
                <w:kern w:val="2"/>
                <w:szCs w:val="24"/>
              </w:rPr>
            </w:pPr>
            <w:r>
              <w:rPr>
                <w:rFonts w:hint="default"/>
                <w:color w:val="auto"/>
                <w:kern w:val="2"/>
                <w:szCs w:val="24"/>
              </w:rPr>
              <w:t>59.5-76.4</w:t>
            </w:r>
          </w:p>
        </w:tc>
        <w:tc>
          <w:tcPr>
            <w:tcW w:w="827" w:type="pct"/>
            <w:vAlign w:val="center"/>
          </w:tcPr>
          <w:p>
            <w:pPr>
              <w:pStyle w:val="182"/>
              <w:rPr>
                <w:color w:val="auto"/>
                <w:kern w:val="2"/>
                <w:szCs w:val="24"/>
              </w:rPr>
            </w:pPr>
            <w:r>
              <w:rPr>
                <w:rFonts w:hint="default"/>
                <w:color w:val="auto"/>
                <w:kern w:val="2"/>
                <w:szCs w:val="24"/>
              </w:rPr>
              <w:t>0.388-0.445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标准限值</w:t>
            </w:r>
          </w:p>
        </w:tc>
        <w:tc>
          <w:tcPr>
            <w:tcW w:w="972" w:type="pct"/>
            <w:vAlign w:val="center"/>
          </w:tcPr>
          <w:p>
            <w:pPr>
              <w:pStyle w:val="182"/>
              <w:rPr>
                <w:color w:val="auto"/>
                <w:kern w:val="2"/>
                <w:szCs w:val="24"/>
              </w:rPr>
            </w:pPr>
            <w:r>
              <w:rPr>
                <w:rFonts w:hint="default"/>
                <w:color w:val="auto"/>
                <w:kern w:val="2"/>
                <w:szCs w:val="24"/>
              </w:rPr>
              <w:t>1000</w:t>
            </w:r>
          </w:p>
        </w:tc>
        <w:tc>
          <w:tcPr>
            <w:tcW w:w="777" w:type="pct"/>
            <w:vAlign w:val="center"/>
          </w:tcPr>
          <w:p>
            <w:pPr>
              <w:pStyle w:val="182"/>
              <w:rPr>
                <w:color w:val="auto"/>
                <w:kern w:val="2"/>
                <w:szCs w:val="24"/>
              </w:rPr>
            </w:pPr>
            <w:r>
              <w:rPr>
                <w:rFonts w:hint="default"/>
                <w:color w:val="auto"/>
                <w:kern w:val="2"/>
                <w:szCs w:val="24"/>
              </w:rPr>
              <w:t>2</w:t>
            </w:r>
            <w:r>
              <w:rPr>
                <w:color w:val="auto"/>
                <w:kern w:val="2"/>
                <w:szCs w:val="24"/>
              </w:rPr>
              <w:t>50</w:t>
            </w:r>
          </w:p>
        </w:tc>
        <w:tc>
          <w:tcPr>
            <w:tcW w:w="777" w:type="pct"/>
            <w:vAlign w:val="center"/>
          </w:tcPr>
          <w:p>
            <w:pPr>
              <w:pStyle w:val="182"/>
              <w:rPr>
                <w:color w:val="auto"/>
                <w:kern w:val="2"/>
                <w:szCs w:val="24"/>
              </w:rPr>
            </w:pPr>
            <w:r>
              <w:rPr>
                <w:rFonts w:hint="default"/>
                <w:color w:val="auto"/>
                <w:kern w:val="2"/>
                <w:szCs w:val="24"/>
              </w:rPr>
              <w:t>2</w:t>
            </w:r>
            <w:r>
              <w:rPr>
                <w:color w:val="auto"/>
                <w:kern w:val="2"/>
                <w:szCs w:val="24"/>
              </w:rPr>
              <w:t>50</w:t>
            </w:r>
          </w:p>
        </w:tc>
        <w:tc>
          <w:tcPr>
            <w:tcW w:w="827" w:type="pct"/>
            <w:vAlign w:val="center"/>
          </w:tcPr>
          <w:p>
            <w:pPr>
              <w:pStyle w:val="182"/>
              <w:rPr>
                <w:color w:val="auto"/>
                <w:kern w:val="2"/>
                <w:szCs w:val="24"/>
              </w:rPr>
            </w:pPr>
            <w:r>
              <w:rPr>
                <w:rFonts w:hint="default"/>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达标情况</w:t>
            </w:r>
          </w:p>
        </w:tc>
        <w:tc>
          <w:tcPr>
            <w:tcW w:w="972"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827" w:type="pct"/>
            <w:vAlign w:val="center"/>
          </w:tcPr>
          <w:p>
            <w:pPr>
              <w:pStyle w:val="182"/>
              <w:rPr>
                <w:color w:val="auto"/>
                <w:kern w:val="2"/>
                <w:szCs w:val="24"/>
              </w:rPr>
            </w:pPr>
            <w:r>
              <w:rPr>
                <w:rFonts w:hint="default"/>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restart"/>
            <w:vAlign w:val="center"/>
          </w:tcPr>
          <w:p>
            <w:pPr>
              <w:pStyle w:val="182"/>
              <w:rPr>
                <w:color w:val="auto"/>
                <w:kern w:val="2"/>
                <w:szCs w:val="24"/>
              </w:rPr>
            </w:pPr>
            <w:r>
              <w:rPr>
                <w:rFonts w:hint="default"/>
                <w:iCs w:val="0"/>
                <w:color w:val="auto"/>
                <w:szCs w:val="24"/>
              </w:rPr>
              <w:t>小杨庄村</w:t>
            </w:r>
          </w:p>
        </w:tc>
        <w:tc>
          <w:tcPr>
            <w:tcW w:w="777" w:type="pct"/>
            <w:vAlign w:val="center"/>
          </w:tcPr>
          <w:p>
            <w:pPr>
              <w:pStyle w:val="182"/>
              <w:rPr>
                <w:color w:val="auto"/>
                <w:kern w:val="2"/>
                <w:szCs w:val="24"/>
              </w:rPr>
            </w:pPr>
            <w:r>
              <w:rPr>
                <w:rFonts w:hint="default"/>
                <w:color w:val="auto"/>
                <w:kern w:val="2"/>
                <w:szCs w:val="24"/>
              </w:rPr>
              <w:t>浓度范围</w:t>
            </w:r>
          </w:p>
        </w:tc>
        <w:tc>
          <w:tcPr>
            <w:tcW w:w="972" w:type="pct"/>
            <w:vAlign w:val="center"/>
          </w:tcPr>
          <w:p>
            <w:pPr>
              <w:pStyle w:val="182"/>
              <w:rPr>
                <w:color w:val="auto"/>
                <w:kern w:val="2"/>
                <w:szCs w:val="24"/>
              </w:rPr>
            </w:pPr>
            <w:r>
              <w:rPr>
                <w:rFonts w:hint="default"/>
                <w:color w:val="auto"/>
                <w:kern w:val="2"/>
                <w:szCs w:val="24"/>
              </w:rPr>
              <w:t>602</w:t>
            </w:r>
            <w:r>
              <w:rPr>
                <w:color w:val="auto"/>
                <w:kern w:val="2"/>
                <w:szCs w:val="24"/>
              </w:rPr>
              <w:t>~</w:t>
            </w:r>
            <w:r>
              <w:rPr>
                <w:rFonts w:hint="default"/>
                <w:color w:val="auto"/>
                <w:kern w:val="2"/>
                <w:szCs w:val="24"/>
              </w:rPr>
              <w:t>635</w:t>
            </w:r>
          </w:p>
        </w:tc>
        <w:tc>
          <w:tcPr>
            <w:tcW w:w="777" w:type="pct"/>
            <w:vAlign w:val="center"/>
          </w:tcPr>
          <w:p>
            <w:pPr>
              <w:pStyle w:val="182"/>
              <w:rPr>
                <w:color w:val="auto"/>
                <w:kern w:val="2"/>
                <w:szCs w:val="24"/>
              </w:rPr>
            </w:pPr>
            <w:r>
              <w:rPr>
                <w:rFonts w:hint="default"/>
                <w:color w:val="auto"/>
                <w:kern w:val="2"/>
                <w:szCs w:val="24"/>
              </w:rPr>
              <w:t>10.6-11.1</w:t>
            </w:r>
          </w:p>
        </w:tc>
        <w:tc>
          <w:tcPr>
            <w:tcW w:w="777" w:type="pct"/>
            <w:vAlign w:val="center"/>
          </w:tcPr>
          <w:p>
            <w:pPr>
              <w:pStyle w:val="182"/>
              <w:rPr>
                <w:color w:val="auto"/>
                <w:kern w:val="2"/>
                <w:szCs w:val="24"/>
              </w:rPr>
            </w:pPr>
            <w:r>
              <w:rPr>
                <w:rFonts w:hint="default"/>
                <w:color w:val="auto"/>
                <w:kern w:val="2"/>
                <w:szCs w:val="24"/>
              </w:rPr>
              <w:t>32.3-33.9</w:t>
            </w:r>
          </w:p>
        </w:tc>
        <w:tc>
          <w:tcPr>
            <w:tcW w:w="827" w:type="pct"/>
            <w:vAlign w:val="center"/>
          </w:tcPr>
          <w:p>
            <w:pPr>
              <w:pStyle w:val="182"/>
              <w:rPr>
                <w:color w:val="auto"/>
                <w:kern w:val="2"/>
                <w:szCs w:val="24"/>
              </w:rPr>
            </w:pPr>
            <w:r>
              <w:rPr>
                <w:rFonts w:hint="default"/>
                <w:color w:val="auto"/>
                <w:kern w:val="2"/>
                <w:szCs w:val="24"/>
              </w:rPr>
              <w:t>0.462-0.474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标准限值</w:t>
            </w:r>
          </w:p>
        </w:tc>
        <w:tc>
          <w:tcPr>
            <w:tcW w:w="972" w:type="pct"/>
            <w:vAlign w:val="center"/>
          </w:tcPr>
          <w:p>
            <w:pPr>
              <w:pStyle w:val="182"/>
              <w:rPr>
                <w:color w:val="auto"/>
                <w:kern w:val="2"/>
                <w:szCs w:val="24"/>
              </w:rPr>
            </w:pPr>
            <w:r>
              <w:rPr>
                <w:rFonts w:hint="default"/>
                <w:color w:val="auto"/>
                <w:kern w:val="2"/>
                <w:szCs w:val="24"/>
              </w:rPr>
              <w:t>1000</w:t>
            </w:r>
          </w:p>
        </w:tc>
        <w:tc>
          <w:tcPr>
            <w:tcW w:w="777" w:type="pct"/>
            <w:vAlign w:val="center"/>
          </w:tcPr>
          <w:p>
            <w:pPr>
              <w:pStyle w:val="182"/>
              <w:rPr>
                <w:color w:val="auto"/>
                <w:kern w:val="2"/>
                <w:szCs w:val="24"/>
              </w:rPr>
            </w:pPr>
            <w:r>
              <w:rPr>
                <w:rFonts w:hint="default"/>
                <w:color w:val="auto"/>
                <w:kern w:val="2"/>
                <w:szCs w:val="24"/>
              </w:rPr>
              <w:t>2</w:t>
            </w:r>
            <w:r>
              <w:rPr>
                <w:color w:val="auto"/>
                <w:kern w:val="2"/>
                <w:szCs w:val="24"/>
              </w:rPr>
              <w:t>50</w:t>
            </w:r>
          </w:p>
        </w:tc>
        <w:tc>
          <w:tcPr>
            <w:tcW w:w="777" w:type="pct"/>
            <w:vAlign w:val="center"/>
          </w:tcPr>
          <w:p>
            <w:pPr>
              <w:pStyle w:val="182"/>
              <w:rPr>
                <w:color w:val="auto"/>
                <w:kern w:val="2"/>
                <w:szCs w:val="24"/>
              </w:rPr>
            </w:pPr>
            <w:r>
              <w:rPr>
                <w:rFonts w:hint="default"/>
                <w:color w:val="auto"/>
                <w:kern w:val="2"/>
                <w:szCs w:val="24"/>
              </w:rPr>
              <w:t>2</w:t>
            </w:r>
            <w:r>
              <w:rPr>
                <w:color w:val="auto"/>
                <w:kern w:val="2"/>
                <w:szCs w:val="24"/>
              </w:rPr>
              <w:t>50</w:t>
            </w:r>
          </w:p>
        </w:tc>
        <w:tc>
          <w:tcPr>
            <w:tcW w:w="827" w:type="pct"/>
            <w:vAlign w:val="center"/>
          </w:tcPr>
          <w:p>
            <w:pPr>
              <w:pStyle w:val="182"/>
              <w:rPr>
                <w:color w:val="auto"/>
                <w:kern w:val="2"/>
                <w:szCs w:val="24"/>
              </w:rPr>
            </w:pPr>
            <w:r>
              <w:rPr>
                <w:rFonts w:hint="default"/>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69" w:hRule="atLeast"/>
          <w:jc w:val="center"/>
        </w:trPr>
        <w:tc>
          <w:tcPr>
            <w:tcW w:w="870" w:type="pct"/>
            <w:vMerge w:val="continue"/>
            <w:vAlign w:val="center"/>
          </w:tcPr>
          <w:p>
            <w:pPr>
              <w:pStyle w:val="182"/>
              <w:rPr>
                <w:color w:val="auto"/>
                <w:kern w:val="2"/>
                <w:szCs w:val="24"/>
              </w:rPr>
            </w:pPr>
          </w:p>
        </w:tc>
        <w:tc>
          <w:tcPr>
            <w:tcW w:w="777" w:type="pct"/>
            <w:vAlign w:val="center"/>
          </w:tcPr>
          <w:p>
            <w:pPr>
              <w:pStyle w:val="182"/>
              <w:rPr>
                <w:color w:val="auto"/>
                <w:kern w:val="2"/>
                <w:szCs w:val="24"/>
              </w:rPr>
            </w:pPr>
            <w:r>
              <w:rPr>
                <w:rFonts w:hint="default"/>
                <w:color w:val="auto"/>
                <w:kern w:val="2"/>
                <w:szCs w:val="24"/>
              </w:rPr>
              <w:t>达标情况</w:t>
            </w:r>
          </w:p>
        </w:tc>
        <w:tc>
          <w:tcPr>
            <w:tcW w:w="972"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777" w:type="pct"/>
            <w:vAlign w:val="center"/>
          </w:tcPr>
          <w:p>
            <w:pPr>
              <w:pStyle w:val="182"/>
              <w:rPr>
                <w:color w:val="auto"/>
                <w:kern w:val="2"/>
                <w:szCs w:val="24"/>
              </w:rPr>
            </w:pPr>
            <w:r>
              <w:rPr>
                <w:rFonts w:hint="default"/>
                <w:color w:val="auto"/>
                <w:kern w:val="2"/>
                <w:szCs w:val="24"/>
              </w:rPr>
              <w:t>达标</w:t>
            </w:r>
          </w:p>
        </w:tc>
        <w:tc>
          <w:tcPr>
            <w:tcW w:w="827" w:type="pct"/>
            <w:vAlign w:val="center"/>
          </w:tcPr>
          <w:p>
            <w:pPr>
              <w:pStyle w:val="182"/>
              <w:rPr>
                <w:color w:val="auto"/>
                <w:kern w:val="2"/>
                <w:szCs w:val="24"/>
              </w:rPr>
            </w:pPr>
            <w:r>
              <w:rPr>
                <w:rFonts w:hint="default"/>
                <w:color w:val="auto"/>
                <w:kern w:val="2"/>
                <w:szCs w:val="24"/>
              </w:rPr>
              <w:t>/</w:t>
            </w:r>
          </w:p>
        </w:tc>
      </w:tr>
    </w:tbl>
    <w:p>
      <w:pPr>
        <w:pStyle w:val="181"/>
        <w:rPr>
          <w:b/>
          <w:color w:val="auto"/>
          <w:sz w:val="24"/>
          <w:szCs w:val="21"/>
        </w:rPr>
      </w:pPr>
      <w:r>
        <w:rPr>
          <w:b/>
          <w:color w:val="auto"/>
          <w:sz w:val="24"/>
        </w:rPr>
        <w:t>表</w:t>
      </w:r>
      <w:r>
        <w:rPr>
          <w:rFonts w:hint="eastAsia"/>
          <w:b/>
          <w:color w:val="auto"/>
          <w:sz w:val="24"/>
        </w:rPr>
        <w:t>4</w:t>
      </w:r>
      <w:r>
        <w:rPr>
          <w:rFonts w:hint="eastAsia"/>
          <w:b/>
          <w:color w:val="auto"/>
          <w:sz w:val="24"/>
          <w:lang w:val="en-US" w:eastAsia="zh-CN"/>
        </w:rPr>
        <w:t>.2</w:t>
      </w:r>
      <w:r>
        <w:rPr>
          <w:rFonts w:hint="eastAsia"/>
          <w:b/>
          <w:color w:val="auto"/>
          <w:sz w:val="24"/>
        </w:rPr>
        <w:t>-1</w:t>
      </w:r>
      <w:r>
        <w:rPr>
          <w:rFonts w:hint="eastAsia"/>
          <w:b/>
          <w:color w:val="auto"/>
          <w:sz w:val="24"/>
          <w:lang w:val="en-US" w:eastAsia="zh-CN"/>
        </w:rPr>
        <w:t>5</w:t>
      </w:r>
      <w:r>
        <w:rPr>
          <w:b/>
          <w:color w:val="auto"/>
          <w:sz w:val="24"/>
        </w:rPr>
        <w:t xml:space="preserve">     </w:t>
      </w:r>
      <w:r>
        <w:rPr>
          <w:rFonts w:hint="eastAsia"/>
          <w:b/>
          <w:color w:val="auto"/>
          <w:sz w:val="24"/>
        </w:rPr>
        <w:t xml:space="preserve">   </w:t>
      </w:r>
      <w:r>
        <w:rPr>
          <w:b/>
          <w:color w:val="auto"/>
          <w:sz w:val="24"/>
        </w:rPr>
        <w:t>地下水现状结果统计</w:t>
      </w:r>
      <w:r>
        <w:rPr>
          <w:rFonts w:hint="eastAsia"/>
          <w:b/>
          <w:color w:val="auto"/>
          <w:sz w:val="24"/>
        </w:rPr>
        <w:t>表3</w:t>
      </w:r>
      <w:r>
        <w:rPr>
          <w:rFonts w:hint="eastAsia"/>
          <w:b/>
          <w:color w:val="auto"/>
          <w:sz w:val="24"/>
          <w:szCs w:val="21"/>
        </w:rPr>
        <w:t xml:space="preserve">      </w:t>
      </w:r>
      <w:r>
        <w:rPr>
          <w:b/>
          <w:color w:val="auto"/>
          <w:sz w:val="24"/>
          <w:szCs w:val="21"/>
        </w:rPr>
        <w:t>单位：mg/L</w:t>
      </w:r>
    </w:p>
    <w:tbl>
      <w:tblPr>
        <w:tblStyle w:val="32"/>
        <w:tblW w:w="5000"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1433"/>
        <w:gridCol w:w="1260"/>
        <w:gridCol w:w="1208"/>
        <w:gridCol w:w="1127"/>
        <w:gridCol w:w="1116"/>
        <w:gridCol w:w="1231"/>
        <w:gridCol w:w="1147"/>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841" w:type="pct"/>
            <w:vMerge w:val="restart"/>
            <w:vAlign w:val="center"/>
          </w:tcPr>
          <w:p>
            <w:pPr>
              <w:pStyle w:val="182"/>
              <w:rPr>
                <w:rFonts w:cs="Times New Roman"/>
                <w:b/>
                <w:bCs/>
                <w:color w:val="auto"/>
                <w:szCs w:val="24"/>
              </w:rPr>
            </w:pPr>
            <w:r>
              <w:rPr>
                <w:rFonts w:hint="default" w:cs="Times New Roman"/>
                <w:b/>
                <w:bCs/>
                <w:color w:val="auto"/>
                <w:szCs w:val="24"/>
              </w:rPr>
              <w:t>监测点</w:t>
            </w:r>
          </w:p>
        </w:tc>
        <w:tc>
          <w:tcPr>
            <w:tcW w:w="739" w:type="pct"/>
            <w:vMerge w:val="restart"/>
            <w:vAlign w:val="center"/>
          </w:tcPr>
          <w:p>
            <w:pPr>
              <w:pStyle w:val="182"/>
              <w:rPr>
                <w:rFonts w:cs="Times New Roman"/>
                <w:b/>
                <w:bCs/>
                <w:color w:val="auto"/>
                <w:szCs w:val="24"/>
              </w:rPr>
            </w:pPr>
            <w:r>
              <w:rPr>
                <w:rFonts w:hint="default" w:cs="Times New Roman"/>
                <w:b/>
                <w:bCs/>
                <w:color w:val="auto"/>
                <w:szCs w:val="24"/>
              </w:rPr>
              <w:t>类别</w:t>
            </w:r>
          </w:p>
        </w:tc>
        <w:tc>
          <w:tcPr>
            <w:tcW w:w="3420" w:type="pct"/>
            <w:gridSpan w:val="5"/>
            <w:shd w:val="clear" w:color="auto" w:fill="auto"/>
            <w:vAlign w:val="center"/>
          </w:tcPr>
          <w:p>
            <w:pPr>
              <w:pStyle w:val="182"/>
              <w:rPr>
                <w:rFonts w:cs="Times New Roman"/>
                <w:b/>
                <w:bCs/>
                <w:color w:val="auto"/>
                <w:szCs w:val="24"/>
              </w:rPr>
            </w:pPr>
            <w:r>
              <w:rPr>
                <w:rFonts w:hint="default" w:cs="Times New Roman"/>
                <w:b/>
                <w:bCs/>
                <w:color w:val="auto"/>
                <w:szCs w:val="24"/>
              </w:rPr>
              <w:t>监测因子</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841" w:type="pct"/>
            <w:vMerge w:val="continue"/>
            <w:vAlign w:val="center"/>
          </w:tcPr>
          <w:p>
            <w:pPr>
              <w:pStyle w:val="182"/>
              <w:rPr>
                <w:rFonts w:cs="Times New Roman"/>
                <w:b/>
                <w:bCs/>
                <w:color w:val="auto"/>
                <w:szCs w:val="24"/>
              </w:rPr>
            </w:pPr>
          </w:p>
        </w:tc>
        <w:tc>
          <w:tcPr>
            <w:tcW w:w="739" w:type="pct"/>
            <w:vMerge w:val="continue"/>
            <w:vAlign w:val="center"/>
          </w:tcPr>
          <w:p>
            <w:pPr>
              <w:pStyle w:val="182"/>
              <w:rPr>
                <w:rFonts w:cs="Times New Roman"/>
                <w:b/>
                <w:bCs/>
                <w:color w:val="auto"/>
                <w:szCs w:val="24"/>
              </w:rPr>
            </w:pPr>
          </w:p>
        </w:tc>
        <w:tc>
          <w:tcPr>
            <w:tcW w:w="709" w:type="pct"/>
            <w:shd w:val="clear" w:color="auto" w:fill="auto"/>
            <w:vAlign w:val="center"/>
          </w:tcPr>
          <w:p>
            <w:pPr>
              <w:pStyle w:val="182"/>
              <w:rPr>
                <w:rFonts w:cs="Times New Roman"/>
                <w:b/>
                <w:bCs/>
                <w:color w:val="auto"/>
                <w:szCs w:val="24"/>
              </w:rPr>
            </w:pPr>
            <w:r>
              <w:rPr>
                <w:rFonts w:hint="default" w:cs="Times New Roman"/>
                <w:b/>
                <w:bCs/>
                <w:color w:val="auto"/>
                <w:szCs w:val="24"/>
              </w:rPr>
              <w:t>Na</w:t>
            </w:r>
            <w:r>
              <w:rPr>
                <w:rFonts w:hint="default" w:cs="Times New Roman"/>
                <w:b/>
                <w:bCs/>
                <w:color w:val="auto"/>
                <w:szCs w:val="24"/>
                <w:vertAlign w:val="superscript"/>
              </w:rPr>
              <w:t>+</w:t>
            </w:r>
          </w:p>
        </w:tc>
        <w:tc>
          <w:tcPr>
            <w:tcW w:w="661" w:type="pct"/>
            <w:tcMar>
              <w:left w:w="0" w:type="dxa"/>
              <w:right w:w="0" w:type="dxa"/>
            </w:tcMar>
            <w:vAlign w:val="center"/>
          </w:tcPr>
          <w:p>
            <w:pPr>
              <w:pStyle w:val="182"/>
              <w:rPr>
                <w:rFonts w:cs="Times New Roman"/>
                <w:b/>
                <w:bCs/>
                <w:color w:val="auto"/>
                <w:szCs w:val="24"/>
              </w:rPr>
            </w:pPr>
            <w:r>
              <w:rPr>
                <w:rFonts w:hint="default" w:cs="Times New Roman"/>
                <w:b/>
                <w:bCs/>
                <w:color w:val="auto"/>
                <w:szCs w:val="24"/>
              </w:rPr>
              <w:t>HCO</w:t>
            </w:r>
            <w:r>
              <w:rPr>
                <w:rFonts w:hint="default" w:cs="Times New Roman"/>
                <w:b/>
                <w:bCs/>
                <w:color w:val="auto"/>
                <w:szCs w:val="24"/>
                <w:vertAlign w:val="subscript"/>
              </w:rPr>
              <w:t>3</w:t>
            </w:r>
            <w:r>
              <w:rPr>
                <w:rFonts w:hint="default" w:cs="Times New Roman"/>
                <w:b/>
                <w:bCs/>
                <w:color w:val="auto"/>
                <w:szCs w:val="24"/>
                <w:vertAlign w:val="superscript"/>
              </w:rPr>
              <w:t>2-</w:t>
            </w:r>
          </w:p>
        </w:tc>
        <w:tc>
          <w:tcPr>
            <w:tcW w:w="655" w:type="pct"/>
            <w:vAlign w:val="center"/>
          </w:tcPr>
          <w:p>
            <w:pPr>
              <w:pStyle w:val="182"/>
              <w:rPr>
                <w:rFonts w:cs="Times New Roman"/>
                <w:b/>
                <w:bCs/>
                <w:color w:val="auto"/>
                <w:szCs w:val="24"/>
              </w:rPr>
            </w:pPr>
            <w:r>
              <w:rPr>
                <w:rFonts w:hint="default" w:cs="Times New Roman"/>
                <w:b/>
                <w:bCs/>
                <w:color w:val="auto"/>
                <w:szCs w:val="24"/>
              </w:rPr>
              <w:t>Ca</w:t>
            </w:r>
            <w:r>
              <w:rPr>
                <w:rFonts w:hint="default" w:cs="Times New Roman"/>
                <w:b/>
                <w:bCs/>
                <w:color w:val="auto"/>
                <w:szCs w:val="24"/>
                <w:vertAlign w:val="superscript"/>
              </w:rPr>
              <w:t>2+</w:t>
            </w:r>
          </w:p>
        </w:tc>
        <w:tc>
          <w:tcPr>
            <w:tcW w:w="722" w:type="pct"/>
            <w:vAlign w:val="center"/>
          </w:tcPr>
          <w:p>
            <w:pPr>
              <w:pStyle w:val="182"/>
              <w:rPr>
                <w:rFonts w:cs="Times New Roman"/>
                <w:b/>
                <w:bCs/>
                <w:color w:val="auto"/>
                <w:szCs w:val="24"/>
              </w:rPr>
            </w:pPr>
            <w:r>
              <w:rPr>
                <w:rFonts w:hint="default" w:cs="Times New Roman"/>
                <w:b/>
                <w:bCs/>
                <w:color w:val="auto"/>
                <w:szCs w:val="24"/>
              </w:rPr>
              <w:t>Mg</w:t>
            </w:r>
            <w:r>
              <w:rPr>
                <w:rFonts w:hint="default" w:cs="Times New Roman"/>
                <w:b/>
                <w:bCs/>
                <w:color w:val="auto"/>
                <w:szCs w:val="24"/>
                <w:vertAlign w:val="superscript"/>
              </w:rPr>
              <w:t>+</w:t>
            </w:r>
          </w:p>
        </w:tc>
        <w:tc>
          <w:tcPr>
            <w:tcW w:w="673" w:type="pct"/>
            <w:vAlign w:val="center"/>
          </w:tcPr>
          <w:p>
            <w:pPr>
              <w:pStyle w:val="182"/>
              <w:rPr>
                <w:rFonts w:cs="Times New Roman"/>
                <w:b/>
                <w:bCs/>
                <w:color w:val="auto"/>
                <w:szCs w:val="24"/>
              </w:rPr>
            </w:pPr>
            <w:r>
              <w:rPr>
                <w:rFonts w:hint="default" w:cs="Times New Roman"/>
                <w:b/>
                <w:bCs/>
                <w:color w:val="auto"/>
                <w:szCs w:val="24"/>
              </w:rPr>
              <w:t>CO</w:t>
            </w:r>
            <w:r>
              <w:rPr>
                <w:rFonts w:hint="default" w:cs="Times New Roman"/>
                <w:b/>
                <w:bCs/>
                <w:color w:val="auto"/>
                <w:szCs w:val="24"/>
                <w:vertAlign w:val="subscript"/>
              </w:rPr>
              <w:t>3</w:t>
            </w:r>
            <w:r>
              <w:rPr>
                <w:rFonts w:hint="default" w:cs="Times New Roman"/>
                <w:b/>
                <w:bCs/>
                <w:color w:val="auto"/>
                <w:szCs w:val="24"/>
                <w:vertAlign w:val="superscript"/>
              </w:rPr>
              <w:t>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restart"/>
            <w:vAlign w:val="center"/>
          </w:tcPr>
          <w:p>
            <w:pPr>
              <w:pStyle w:val="182"/>
              <w:rPr>
                <w:color w:val="auto"/>
                <w:kern w:val="2"/>
                <w:szCs w:val="24"/>
              </w:rPr>
            </w:pPr>
            <w:r>
              <w:rPr>
                <w:rFonts w:hint="default"/>
                <w:color w:val="auto"/>
                <w:kern w:val="2"/>
                <w:szCs w:val="24"/>
              </w:rPr>
              <w:t>化纤厂新厂区水井（工业用）</w:t>
            </w:r>
          </w:p>
        </w:tc>
        <w:tc>
          <w:tcPr>
            <w:tcW w:w="739" w:type="pct"/>
            <w:vAlign w:val="center"/>
          </w:tcPr>
          <w:p>
            <w:pPr>
              <w:pStyle w:val="182"/>
              <w:rPr>
                <w:color w:val="auto"/>
                <w:kern w:val="2"/>
                <w:szCs w:val="24"/>
              </w:rPr>
            </w:pPr>
            <w:r>
              <w:rPr>
                <w:rFonts w:hint="default"/>
                <w:color w:val="auto"/>
                <w:kern w:val="2"/>
                <w:szCs w:val="24"/>
              </w:rPr>
              <w:t>浓度范围</w:t>
            </w:r>
          </w:p>
        </w:tc>
        <w:tc>
          <w:tcPr>
            <w:tcW w:w="709" w:type="pct"/>
            <w:vAlign w:val="center"/>
          </w:tcPr>
          <w:p>
            <w:pPr>
              <w:pStyle w:val="182"/>
              <w:rPr>
                <w:color w:val="auto"/>
                <w:kern w:val="2"/>
                <w:szCs w:val="24"/>
              </w:rPr>
            </w:pPr>
            <w:r>
              <w:rPr>
                <w:rFonts w:hint="default"/>
                <w:color w:val="auto"/>
                <w:kern w:val="2"/>
                <w:szCs w:val="24"/>
              </w:rPr>
              <w:t>17.0-18.8</w:t>
            </w:r>
          </w:p>
        </w:tc>
        <w:tc>
          <w:tcPr>
            <w:tcW w:w="661" w:type="pct"/>
            <w:vAlign w:val="center"/>
          </w:tcPr>
          <w:p>
            <w:pPr>
              <w:pStyle w:val="182"/>
              <w:rPr>
                <w:color w:val="auto"/>
                <w:kern w:val="2"/>
                <w:szCs w:val="24"/>
              </w:rPr>
            </w:pPr>
            <w:r>
              <w:rPr>
                <w:rFonts w:hint="default"/>
                <w:color w:val="auto"/>
                <w:kern w:val="2"/>
                <w:szCs w:val="24"/>
              </w:rPr>
              <w:t>4.07-4.54</w:t>
            </w:r>
          </w:p>
        </w:tc>
        <w:tc>
          <w:tcPr>
            <w:tcW w:w="655" w:type="pct"/>
            <w:vAlign w:val="center"/>
          </w:tcPr>
          <w:p>
            <w:pPr>
              <w:pStyle w:val="182"/>
              <w:rPr>
                <w:color w:val="auto"/>
                <w:kern w:val="2"/>
                <w:szCs w:val="24"/>
              </w:rPr>
            </w:pPr>
            <w:r>
              <w:rPr>
                <w:rFonts w:hint="default"/>
                <w:color w:val="auto"/>
                <w:kern w:val="2"/>
                <w:szCs w:val="24"/>
              </w:rPr>
              <w:t>38.1-40.8</w:t>
            </w:r>
          </w:p>
        </w:tc>
        <w:tc>
          <w:tcPr>
            <w:tcW w:w="722" w:type="pct"/>
            <w:vAlign w:val="center"/>
          </w:tcPr>
          <w:p>
            <w:pPr>
              <w:pStyle w:val="182"/>
              <w:rPr>
                <w:color w:val="auto"/>
                <w:kern w:val="2"/>
                <w:szCs w:val="24"/>
              </w:rPr>
            </w:pPr>
            <w:r>
              <w:rPr>
                <w:rFonts w:hint="default"/>
                <w:color w:val="auto"/>
                <w:kern w:val="2"/>
                <w:szCs w:val="24"/>
              </w:rPr>
              <w:t>24.7-26.5</w:t>
            </w:r>
          </w:p>
        </w:tc>
        <w:tc>
          <w:tcPr>
            <w:tcW w:w="673" w:type="pct"/>
            <w:vAlign w:val="center"/>
          </w:tcPr>
          <w:p>
            <w:pPr>
              <w:pStyle w:val="182"/>
              <w:rPr>
                <w:color w:val="auto"/>
                <w:kern w:val="2"/>
                <w:szCs w:val="24"/>
              </w:rPr>
            </w:pPr>
            <w:r>
              <w:rPr>
                <w:rFonts w:hint="default"/>
                <w:color w:val="auto"/>
                <w:kern w:val="2"/>
                <w:szCs w:val="24"/>
              </w:rPr>
              <w:t>未检出</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标准限值</w:t>
            </w:r>
          </w:p>
        </w:tc>
        <w:tc>
          <w:tcPr>
            <w:tcW w:w="709" w:type="pct"/>
            <w:vAlign w:val="center"/>
          </w:tcPr>
          <w:p>
            <w:pPr>
              <w:pStyle w:val="182"/>
              <w:rPr>
                <w:color w:val="auto"/>
                <w:kern w:val="2"/>
                <w:szCs w:val="24"/>
              </w:rPr>
            </w:pPr>
            <w:r>
              <w:rPr>
                <w:rFonts w:hint="default"/>
                <w:color w:val="auto"/>
                <w:kern w:val="2"/>
                <w:szCs w:val="24"/>
              </w:rPr>
              <w:t>200</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达标情况</w:t>
            </w:r>
          </w:p>
        </w:tc>
        <w:tc>
          <w:tcPr>
            <w:tcW w:w="709" w:type="pct"/>
            <w:vAlign w:val="center"/>
          </w:tcPr>
          <w:p>
            <w:pPr>
              <w:pStyle w:val="182"/>
              <w:rPr>
                <w:color w:val="auto"/>
                <w:kern w:val="2"/>
                <w:szCs w:val="24"/>
              </w:rPr>
            </w:pPr>
            <w:r>
              <w:rPr>
                <w:rFonts w:hint="default"/>
                <w:color w:val="auto"/>
                <w:kern w:val="2"/>
                <w:szCs w:val="24"/>
              </w:rPr>
              <w:t>达标</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restart"/>
            <w:vAlign w:val="center"/>
          </w:tcPr>
          <w:p>
            <w:pPr>
              <w:pStyle w:val="182"/>
              <w:rPr>
                <w:color w:val="auto"/>
                <w:kern w:val="2"/>
                <w:szCs w:val="24"/>
              </w:rPr>
            </w:pPr>
            <w:r>
              <w:rPr>
                <w:rFonts w:hint="default"/>
                <w:color w:val="auto"/>
                <w:szCs w:val="24"/>
              </w:rPr>
              <w:t>夏庄村</w:t>
            </w:r>
          </w:p>
        </w:tc>
        <w:tc>
          <w:tcPr>
            <w:tcW w:w="739" w:type="pct"/>
            <w:vAlign w:val="center"/>
          </w:tcPr>
          <w:p>
            <w:pPr>
              <w:pStyle w:val="182"/>
              <w:rPr>
                <w:color w:val="auto"/>
                <w:kern w:val="2"/>
                <w:szCs w:val="24"/>
              </w:rPr>
            </w:pPr>
            <w:r>
              <w:rPr>
                <w:rFonts w:hint="default"/>
                <w:color w:val="auto"/>
                <w:kern w:val="2"/>
                <w:szCs w:val="24"/>
              </w:rPr>
              <w:t>浓度范围</w:t>
            </w:r>
          </w:p>
        </w:tc>
        <w:tc>
          <w:tcPr>
            <w:tcW w:w="709" w:type="pct"/>
            <w:vAlign w:val="center"/>
          </w:tcPr>
          <w:p>
            <w:pPr>
              <w:pStyle w:val="182"/>
              <w:rPr>
                <w:color w:val="auto"/>
                <w:kern w:val="2"/>
                <w:szCs w:val="24"/>
              </w:rPr>
            </w:pPr>
            <w:r>
              <w:rPr>
                <w:rFonts w:hint="default"/>
                <w:color w:val="auto"/>
                <w:kern w:val="2"/>
                <w:szCs w:val="24"/>
              </w:rPr>
              <w:t>26.6-27.8</w:t>
            </w:r>
          </w:p>
        </w:tc>
        <w:tc>
          <w:tcPr>
            <w:tcW w:w="661" w:type="pct"/>
            <w:vAlign w:val="center"/>
          </w:tcPr>
          <w:p>
            <w:pPr>
              <w:pStyle w:val="182"/>
              <w:rPr>
                <w:color w:val="auto"/>
                <w:kern w:val="2"/>
                <w:szCs w:val="24"/>
              </w:rPr>
            </w:pPr>
            <w:r>
              <w:rPr>
                <w:rFonts w:hint="default"/>
                <w:color w:val="auto"/>
                <w:kern w:val="2"/>
                <w:szCs w:val="24"/>
              </w:rPr>
              <w:t>6.17-7.36</w:t>
            </w:r>
          </w:p>
        </w:tc>
        <w:tc>
          <w:tcPr>
            <w:tcW w:w="655" w:type="pct"/>
            <w:vAlign w:val="center"/>
          </w:tcPr>
          <w:p>
            <w:pPr>
              <w:pStyle w:val="182"/>
              <w:rPr>
                <w:color w:val="auto"/>
                <w:kern w:val="2"/>
                <w:szCs w:val="24"/>
              </w:rPr>
            </w:pPr>
            <w:r>
              <w:rPr>
                <w:rFonts w:hint="default"/>
                <w:color w:val="auto"/>
                <w:kern w:val="2"/>
                <w:szCs w:val="24"/>
              </w:rPr>
              <w:t>78.3-97.8</w:t>
            </w:r>
          </w:p>
        </w:tc>
        <w:tc>
          <w:tcPr>
            <w:tcW w:w="722" w:type="pct"/>
            <w:vAlign w:val="center"/>
          </w:tcPr>
          <w:p>
            <w:pPr>
              <w:pStyle w:val="182"/>
              <w:rPr>
                <w:color w:val="auto"/>
                <w:kern w:val="2"/>
                <w:szCs w:val="24"/>
              </w:rPr>
            </w:pPr>
            <w:r>
              <w:rPr>
                <w:rFonts w:hint="default"/>
                <w:color w:val="auto"/>
                <w:kern w:val="2"/>
                <w:szCs w:val="24"/>
              </w:rPr>
              <w:t>35.0-37.2</w:t>
            </w:r>
          </w:p>
        </w:tc>
        <w:tc>
          <w:tcPr>
            <w:tcW w:w="673" w:type="pct"/>
            <w:vAlign w:val="center"/>
          </w:tcPr>
          <w:p>
            <w:pPr>
              <w:pStyle w:val="182"/>
              <w:rPr>
                <w:color w:val="auto"/>
                <w:kern w:val="2"/>
                <w:szCs w:val="24"/>
              </w:rPr>
            </w:pPr>
            <w:r>
              <w:rPr>
                <w:rFonts w:hint="default"/>
                <w:color w:val="auto"/>
                <w:kern w:val="2"/>
                <w:szCs w:val="24"/>
              </w:rPr>
              <w:t>未检出</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标准限值</w:t>
            </w:r>
          </w:p>
        </w:tc>
        <w:tc>
          <w:tcPr>
            <w:tcW w:w="709" w:type="pct"/>
            <w:vAlign w:val="center"/>
          </w:tcPr>
          <w:p>
            <w:pPr>
              <w:pStyle w:val="182"/>
              <w:rPr>
                <w:color w:val="auto"/>
                <w:kern w:val="2"/>
                <w:szCs w:val="24"/>
              </w:rPr>
            </w:pPr>
            <w:r>
              <w:rPr>
                <w:rFonts w:hint="default"/>
                <w:color w:val="auto"/>
                <w:kern w:val="2"/>
                <w:szCs w:val="24"/>
              </w:rPr>
              <w:t>200</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达标情况</w:t>
            </w:r>
          </w:p>
        </w:tc>
        <w:tc>
          <w:tcPr>
            <w:tcW w:w="709" w:type="pct"/>
            <w:vAlign w:val="center"/>
          </w:tcPr>
          <w:p>
            <w:pPr>
              <w:pStyle w:val="182"/>
              <w:rPr>
                <w:color w:val="auto"/>
                <w:kern w:val="2"/>
                <w:szCs w:val="24"/>
              </w:rPr>
            </w:pPr>
            <w:r>
              <w:rPr>
                <w:rFonts w:hint="default"/>
                <w:color w:val="auto"/>
                <w:kern w:val="2"/>
                <w:szCs w:val="24"/>
              </w:rPr>
              <w:t>达标</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restart"/>
            <w:vAlign w:val="center"/>
          </w:tcPr>
          <w:p>
            <w:pPr>
              <w:pStyle w:val="182"/>
              <w:rPr>
                <w:color w:val="auto"/>
                <w:kern w:val="2"/>
                <w:szCs w:val="24"/>
              </w:rPr>
            </w:pPr>
            <w:r>
              <w:rPr>
                <w:rFonts w:hint="default"/>
                <w:iCs w:val="0"/>
                <w:color w:val="auto"/>
                <w:szCs w:val="24"/>
              </w:rPr>
              <w:t>水花堡村</w:t>
            </w:r>
          </w:p>
        </w:tc>
        <w:tc>
          <w:tcPr>
            <w:tcW w:w="739" w:type="pct"/>
            <w:vAlign w:val="center"/>
          </w:tcPr>
          <w:p>
            <w:pPr>
              <w:pStyle w:val="182"/>
              <w:rPr>
                <w:color w:val="auto"/>
                <w:kern w:val="2"/>
                <w:szCs w:val="24"/>
              </w:rPr>
            </w:pPr>
            <w:r>
              <w:rPr>
                <w:rFonts w:hint="default"/>
                <w:color w:val="auto"/>
                <w:kern w:val="2"/>
                <w:szCs w:val="24"/>
              </w:rPr>
              <w:t>浓度范围</w:t>
            </w:r>
          </w:p>
        </w:tc>
        <w:tc>
          <w:tcPr>
            <w:tcW w:w="709" w:type="pct"/>
            <w:vAlign w:val="center"/>
          </w:tcPr>
          <w:p>
            <w:pPr>
              <w:pStyle w:val="182"/>
              <w:rPr>
                <w:color w:val="auto"/>
                <w:kern w:val="2"/>
                <w:szCs w:val="24"/>
              </w:rPr>
            </w:pPr>
            <w:r>
              <w:rPr>
                <w:rFonts w:hint="default"/>
                <w:color w:val="auto"/>
                <w:kern w:val="2"/>
                <w:szCs w:val="24"/>
              </w:rPr>
              <w:t>15.4-17.6</w:t>
            </w:r>
          </w:p>
        </w:tc>
        <w:tc>
          <w:tcPr>
            <w:tcW w:w="661" w:type="pct"/>
            <w:vAlign w:val="center"/>
          </w:tcPr>
          <w:p>
            <w:pPr>
              <w:pStyle w:val="182"/>
              <w:rPr>
                <w:color w:val="auto"/>
                <w:kern w:val="2"/>
                <w:szCs w:val="24"/>
              </w:rPr>
            </w:pPr>
            <w:r>
              <w:rPr>
                <w:rFonts w:hint="default"/>
                <w:color w:val="auto"/>
                <w:kern w:val="2"/>
                <w:szCs w:val="24"/>
              </w:rPr>
              <w:t>4.93-6.09</w:t>
            </w:r>
          </w:p>
        </w:tc>
        <w:tc>
          <w:tcPr>
            <w:tcW w:w="655" w:type="pct"/>
            <w:vAlign w:val="center"/>
          </w:tcPr>
          <w:p>
            <w:pPr>
              <w:pStyle w:val="182"/>
              <w:rPr>
                <w:color w:val="auto"/>
                <w:kern w:val="2"/>
                <w:szCs w:val="24"/>
              </w:rPr>
            </w:pPr>
            <w:r>
              <w:rPr>
                <w:rFonts w:hint="default"/>
                <w:color w:val="auto"/>
                <w:kern w:val="2"/>
                <w:szCs w:val="24"/>
              </w:rPr>
              <w:t>39.4-45.0</w:t>
            </w:r>
          </w:p>
        </w:tc>
        <w:tc>
          <w:tcPr>
            <w:tcW w:w="722" w:type="pct"/>
            <w:vAlign w:val="center"/>
          </w:tcPr>
          <w:p>
            <w:pPr>
              <w:pStyle w:val="182"/>
              <w:rPr>
                <w:color w:val="auto"/>
                <w:kern w:val="2"/>
                <w:szCs w:val="24"/>
              </w:rPr>
            </w:pPr>
            <w:r>
              <w:rPr>
                <w:rFonts w:hint="default"/>
                <w:color w:val="auto"/>
                <w:kern w:val="2"/>
                <w:szCs w:val="24"/>
              </w:rPr>
              <w:t>30.0-34.7</w:t>
            </w:r>
          </w:p>
        </w:tc>
        <w:tc>
          <w:tcPr>
            <w:tcW w:w="673" w:type="pct"/>
            <w:vAlign w:val="center"/>
          </w:tcPr>
          <w:p>
            <w:pPr>
              <w:pStyle w:val="182"/>
              <w:rPr>
                <w:color w:val="auto"/>
                <w:kern w:val="2"/>
                <w:szCs w:val="24"/>
              </w:rPr>
            </w:pPr>
            <w:r>
              <w:rPr>
                <w:rFonts w:hint="default"/>
                <w:color w:val="auto"/>
                <w:kern w:val="2"/>
                <w:szCs w:val="24"/>
              </w:rPr>
              <w:t>未检出</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标准限值</w:t>
            </w:r>
          </w:p>
        </w:tc>
        <w:tc>
          <w:tcPr>
            <w:tcW w:w="709" w:type="pct"/>
            <w:vAlign w:val="center"/>
          </w:tcPr>
          <w:p>
            <w:pPr>
              <w:pStyle w:val="182"/>
              <w:rPr>
                <w:color w:val="auto"/>
                <w:kern w:val="2"/>
                <w:szCs w:val="24"/>
              </w:rPr>
            </w:pPr>
            <w:r>
              <w:rPr>
                <w:rFonts w:hint="default"/>
                <w:color w:val="auto"/>
                <w:kern w:val="2"/>
                <w:szCs w:val="24"/>
              </w:rPr>
              <w:t>200</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达标情况</w:t>
            </w:r>
          </w:p>
        </w:tc>
        <w:tc>
          <w:tcPr>
            <w:tcW w:w="709" w:type="pct"/>
            <w:vAlign w:val="center"/>
          </w:tcPr>
          <w:p>
            <w:pPr>
              <w:pStyle w:val="182"/>
              <w:rPr>
                <w:color w:val="auto"/>
                <w:kern w:val="2"/>
                <w:szCs w:val="24"/>
              </w:rPr>
            </w:pPr>
            <w:r>
              <w:rPr>
                <w:rFonts w:hint="default"/>
                <w:color w:val="auto"/>
                <w:kern w:val="2"/>
                <w:szCs w:val="24"/>
              </w:rPr>
              <w:t>达标</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restart"/>
            <w:vAlign w:val="center"/>
          </w:tcPr>
          <w:p>
            <w:pPr>
              <w:pStyle w:val="182"/>
              <w:rPr>
                <w:color w:val="auto"/>
                <w:kern w:val="2"/>
                <w:szCs w:val="24"/>
              </w:rPr>
            </w:pPr>
            <w:r>
              <w:rPr>
                <w:rFonts w:hint="default"/>
                <w:iCs w:val="0"/>
                <w:color w:val="auto"/>
                <w:szCs w:val="24"/>
              </w:rPr>
              <w:t>大杨庄村</w:t>
            </w:r>
          </w:p>
        </w:tc>
        <w:tc>
          <w:tcPr>
            <w:tcW w:w="739" w:type="pct"/>
            <w:vAlign w:val="center"/>
          </w:tcPr>
          <w:p>
            <w:pPr>
              <w:pStyle w:val="182"/>
              <w:rPr>
                <w:color w:val="auto"/>
                <w:kern w:val="2"/>
                <w:szCs w:val="24"/>
              </w:rPr>
            </w:pPr>
            <w:r>
              <w:rPr>
                <w:rFonts w:hint="default"/>
                <w:color w:val="auto"/>
                <w:kern w:val="2"/>
                <w:szCs w:val="24"/>
              </w:rPr>
              <w:t>浓度范围</w:t>
            </w:r>
          </w:p>
        </w:tc>
        <w:tc>
          <w:tcPr>
            <w:tcW w:w="709" w:type="pct"/>
            <w:vAlign w:val="center"/>
          </w:tcPr>
          <w:p>
            <w:pPr>
              <w:pStyle w:val="182"/>
              <w:rPr>
                <w:color w:val="auto"/>
                <w:kern w:val="2"/>
                <w:szCs w:val="24"/>
              </w:rPr>
            </w:pPr>
            <w:r>
              <w:rPr>
                <w:rFonts w:hint="default"/>
                <w:color w:val="auto"/>
                <w:kern w:val="2"/>
                <w:szCs w:val="24"/>
              </w:rPr>
              <w:t>19.0</w:t>
            </w:r>
            <w:r>
              <w:rPr>
                <w:color w:val="auto"/>
                <w:kern w:val="2"/>
                <w:szCs w:val="24"/>
              </w:rPr>
              <w:t>~</w:t>
            </w:r>
            <w:r>
              <w:rPr>
                <w:rFonts w:hint="default"/>
                <w:color w:val="auto"/>
                <w:kern w:val="2"/>
                <w:szCs w:val="24"/>
              </w:rPr>
              <w:t>19.3</w:t>
            </w:r>
          </w:p>
        </w:tc>
        <w:tc>
          <w:tcPr>
            <w:tcW w:w="661" w:type="pct"/>
            <w:vAlign w:val="center"/>
          </w:tcPr>
          <w:p>
            <w:pPr>
              <w:pStyle w:val="182"/>
              <w:rPr>
                <w:color w:val="auto"/>
                <w:kern w:val="2"/>
                <w:szCs w:val="24"/>
              </w:rPr>
            </w:pPr>
            <w:r>
              <w:rPr>
                <w:rFonts w:hint="default"/>
                <w:color w:val="auto"/>
                <w:kern w:val="2"/>
                <w:szCs w:val="24"/>
              </w:rPr>
              <w:t>4.92-5.41</w:t>
            </w:r>
          </w:p>
        </w:tc>
        <w:tc>
          <w:tcPr>
            <w:tcW w:w="655" w:type="pct"/>
            <w:vAlign w:val="center"/>
          </w:tcPr>
          <w:p>
            <w:pPr>
              <w:pStyle w:val="182"/>
              <w:rPr>
                <w:color w:val="auto"/>
                <w:kern w:val="2"/>
                <w:szCs w:val="24"/>
              </w:rPr>
            </w:pPr>
            <w:r>
              <w:rPr>
                <w:rFonts w:hint="default"/>
                <w:color w:val="auto"/>
                <w:kern w:val="2"/>
                <w:szCs w:val="24"/>
              </w:rPr>
              <w:t>61.7-67.2</w:t>
            </w:r>
          </w:p>
        </w:tc>
        <w:tc>
          <w:tcPr>
            <w:tcW w:w="722" w:type="pct"/>
            <w:vAlign w:val="center"/>
          </w:tcPr>
          <w:p>
            <w:pPr>
              <w:pStyle w:val="182"/>
              <w:rPr>
                <w:color w:val="auto"/>
                <w:kern w:val="2"/>
                <w:szCs w:val="24"/>
              </w:rPr>
            </w:pPr>
            <w:r>
              <w:rPr>
                <w:rFonts w:hint="default"/>
                <w:color w:val="auto"/>
                <w:kern w:val="2"/>
                <w:szCs w:val="24"/>
              </w:rPr>
              <w:t>27.6-31.0</w:t>
            </w:r>
          </w:p>
        </w:tc>
        <w:tc>
          <w:tcPr>
            <w:tcW w:w="673" w:type="pct"/>
            <w:vAlign w:val="center"/>
          </w:tcPr>
          <w:p>
            <w:pPr>
              <w:pStyle w:val="182"/>
              <w:rPr>
                <w:color w:val="auto"/>
                <w:kern w:val="2"/>
                <w:szCs w:val="24"/>
              </w:rPr>
            </w:pPr>
            <w:r>
              <w:rPr>
                <w:rFonts w:hint="default"/>
                <w:color w:val="auto"/>
                <w:kern w:val="2"/>
                <w:szCs w:val="24"/>
              </w:rPr>
              <w:t>未检出</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标准限值</w:t>
            </w:r>
          </w:p>
        </w:tc>
        <w:tc>
          <w:tcPr>
            <w:tcW w:w="709" w:type="pct"/>
            <w:vAlign w:val="center"/>
          </w:tcPr>
          <w:p>
            <w:pPr>
              <w:pStyle w:val="182"/>
              <w:rPr>
                <w:color w:val="auto"/>
                <w:kern w:val="2"/>
                <w:szCs w:val="24"/>
              </w:rPr>
            </w:pPr>
            <w:r>
              <w:rPr>
                <w:rFonts w:hint="default"/>
                <w:color w:val="auto"/>
                <w:kern w:val="2"/>
                <w:szCs w:val="24"/>
              </w:rPr>
              <w:t>200</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达标情况</w:t>
            </w:r>
          </w:p>
        </w:tc>
        <w:tc>
          <w:tcPr>
            <w:tcW w:w="709" w:type="pct"/>
            <w:vAlign w:val="center"/>
          </w:tcPr>
          <w:p>
            <w:pPr>
              <w:pStyle w:val="182"/>
              <w:rPr>
                <w:color w:val="auto"/>
                <w:kern w:val="2"/>
                <w:szCs w:val="24"/>
              </w:rPr>
            </w:pPr>
            <w:r>
              <w:rPr>
                <w:rFonts w:hint="default"/>
                <w:color w:val="auto"/>
                <w:kern w:val="2"/>
                <w:szCs w:val="24"/>
              </w:rPr>
              <w:t>达标</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restart"/>
            <w:vAlign w:val="center"/>
          </w:tcPr>
          <w:p>
            <w:pPr>
              <w:pStyle w:val="182"/>
              <w:rPr>
                <w:color w:val="auto"/>
                <w:kern w:val="2"/>
                <w:szCs w:val="24"/>
              </w:rPr>
            </w:pPr>
            <w:r>
              <w:rPr>
                <w:rFonts w:hint="default"/>
                <w:iCs w:val="0"/>
                <w:color w:val="auto"/>
                <w:szCs w:val="24"/>
              </w:rPr>
              <w:t>小杨庄村</w:t>
            </w:r>
          </w:p>
        </w:tc>
        <w:tc>
          <w:tcPr>
            <w:tcW w:w="739" w:type="pct"/>
            <w:vAlign w:val="center"/>
          </w:tcPr>
          <w:p>
            <w:pPr>
              <w:pStyle w:val="182"/>
              <w:rPr>
                <w:color w:val="auto"/>
                <w:kern w:val="2"/>
                <w:szCs w:val="24"/>
              </w:rPr>
            </w:pPr>
            <w:r>
              <w:rPr>
                <w:rFonts w:hint="default"/>
                <w:color w:val="auto"/>
                <w:kern w:val="2"/>
                <w:szCs w:val="24"/>
              </w:rPr>
              <w:t>浓度范围</w:t>
            </w:r>
          </w:p>
        </w:tc>
        <w:tc>
          <w:tcPr>
            <w:tcW w:w="709" w:type="pct"/>
            <w:vAlign w:val="center"/>
          </w:tcPr>
          <w:p>
            <w:pPr>
              <w:pStyle w:val="182"/>
              <w:rPr>
                <w:color w:val="auto"/>
                <w:kern w:val="2"/>
                <w:szCs w:val="24"/>
              </w:rPr>
            </w:pPr>
            <w:r>
              <w:rPr>
                <w:rFonts w:hint="default"/>
                <w:color w:val="auto"/>
                <w:kern w:val="2"/>
                <w:szCs w:val="24"/>
              </w:rPr>
              <w:t>14.7</w:t>
            </w:r>
            <w:r>
              <w:rPr>
                <w:color w:val="auto"/>
                <w:kern w:val="2"/>
                <w:szCs w:val="24"/>
              </w:rPr>
              <w:t>~</w:t>
            </w:r>
            <w:r>
              <w:rPr>
                <w:rFonts w:hint="default"/>
                <w:color w:val="auto"/>
                <w:kern w:val="2"/>
                <w:szCs w:val="24"/>
              </w:rPr>
              <w:t>15.5</w:t>
            </w:r>
          </w:p>
        </w:tc>
        <w:tc>
          <w:tcPr>
            <w:tcW w:w="661" w:type="pct"/>
            <w:vAlign w:val="center"/>
          </w:tcPr>
          <w:p>
            <w:pPr>
              <w:pStyle w:val="182"/>
              <w:rPr>
                <w:color w:val="auto"/>
                <w:kern w:val="2"/>
                <w:szCs w:val="24"/>
              </w:rPr>
            </w:pPr>
            <w:r>
              <w:rPr>
                <w:rFonts w:hint="default"/>
                <w:color w:val="auto"/>
                <w:kern w:val="2"/>
                <w:szCs w:val="24"/>
              </w:rPr>
              <w:t>4.96-5.42</w:t>
            </w:r>
          </w:p>
        </w:tc>
        <w:tc>
          <w:tcPr>
            <w:tcW w:w="655" w:type="pct"/>
            <w:vAlign w:val="center"/>
          </w:tcPr>
          <w:p>
            <w:pPr>
              <w:pStyle w:val="182"/>
              <w:rPr>
                <w:color w:val="auto"/>
                <w:kern w:val="2"/>
                <w:szCs w:val="24"/>
              </w:rPr>
            </w:pPr>
            <w:r>
              <w:rPr>
                <w:rFonts w:hint="default"/>
                <w:color w:val="auto"/>
                <w:kern w:val="2"/>
                <w:szCs w:val="24"/>
              </w:rPr>
              <w:t>54.7-57.5</w:t>
            </w:r>
          </w:p>
        </w:tc>
        <w:tc>
          <w:tcPr>
            <w:tcW w:w="722" w:type="pct"/>
            <w:vAlign w:val="center"/>
          </w:tcPr>
          <w:p>
            <w:pPr>
              <w:pStyle w:val="182"/>
              <w:rPr>
                <w:color w:val="auto"/>
                <w:kern w:val="2"/>
                <w:szCs w:val="24"/>
              </w:rPr>
            </w:pPr>
            <w:r>
              <w:rPr>
                <w:rFonts w:hint="default"/>
                <w:color w:val="auto"/>
                <w:kern w:val="2"/>
                <w:szCs w:val="24"/>
              </w:rPr>
              <w:t>19.0-23.0</w:t>
            </w:r>
          </w:p>
        </w:tc>
        <w:tc>
          <w:tcPr>
            <w:tcW w:w="673" w:type="pct"/>
            <w:vAlign w:val="center"/>
          </w:tcPr>
          <w:p>
            <w:pPr>
              <w:pStyle w:val="182"/>
              <w:rPr>
                <w:color w:val="auto"/>
                <w:kern w:val="2"/>
                <w:szCs w:val="24"/>
              </w:rPr>
            </w:pPr>
            <w:r>
              <w:rPr>
                <w:rFonts w:hint="default"/>
                <w:color w:val="auto"/>
                <w:kern w:val="2"/>
                <w:szCs w:val="24"/>
              </w:rPr>
              <w:t>未检出</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标准限值</w:t>
            </w:r>
          </w:p>
        </w:tc>
        <w:tc>
          <w:tcPr>
            <w:tcW w:w="709" w:type="pct"/>
            <w:vAlign w:val="center"/>
          </w:tcPr>
          <w:p>
            <w:pPr>
              <w:pStyle w:val="182"/>
              <w:rPr>
                <w:color w:val="auto"/>
                <w:kern w:val="2"/>
                <w:szCs w:val="24"/>
              </w:rPr>
            </w:pPr>
            <w:r>
              <w:rPr>
                <w:rFonts w:hint="default"/>
                <w:color w:val="auto"/>
                <w:kern w:val="2"/>
                <w:szCs w:val="24"/>
              </w:rPr>
              <w:t>200</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41" w:type="pct"/>
            <w:vMerge w:val="continue"/>
            <w:vAlign w:val="center"/>
          </w:tcPr>
          <w:p>
            <w:pPr>
              <w:pStyle w:val="182"/>
              <w:rPr>
                <w:color w:val="auto"/>
                <w:kern w:val="2"/>
                <w:szCs w:val="24"/>
              </w:rPr>
            </w:pPr>
          </w:p>
        </w:tc>
        <w:tc>
          <w:tcPr>
            <w:tcW w:w="739" w:type="pct"/>
            <w:vAlign w:val="center"/>
          </w:tcPr>
          <w:p>
            <w:pPr>
              <w:pStyle w:val="182"/>
              <w:rPr>
                <w:color w:val="auto"/>
                <w:kern w:val="2"/>
                <w:szCs w:val="24"/>
              </w:rPr>
            </w:pPr>
            <w:r>
              <w:rPr>
                <w:rFonts w:hint="default"/>
                <w:color w:val="auto"/>
                <w:kern w:val="2"/>
                <w:szCs w:val="24"/>
              </w:rPr>
              <w:t>达标情况</w:t>
            </w:r>
          </w:p>
        </w:tc>
        <w:tc>
          <w:tcPr>
            <w:tcW w:w="709" w:type="pct"/>
            <w:vAlign w:val="center"/>
          </w:tcPr>
          <w:p>
            <w:pPr>
              <w:pStyle w:val="182"/>
              <w:rPr>
                <w:color w:val="auto"/>
                <w:kern w:val="2"/>
                <w:szCs w:val="24"/>
              </w:rPr>
            </w:pPr>
            <w:r>
              <w:rPr>
                <w:rFonts w:hint="default"/>
                <w:color w:val="auto"/>
                <w:kern w:val="2"/>
                <w:szCs w:val="24"/>
              </w:rPr>
              <w:t>达标</w:t>
            </w:r>
          </w:p>
        </w:tc>
        <w:tc>
          <w:tcPr>
            <w:tcW w:w="661" w:type="pct"/>
            <w:vAlign w:val="center"/>
          </w:tcPr>
          <w:p>
            <w:pPr>
              <w:pStyle w:val="182"/>
              <w:rPr>
                <w:color w:val="auto"/>
                <w:kern w:val="2"/>
                <w:szCs w:val="24"/>
              </w:rPr>
            </w:pPr>
            <w:r>
              <w:rPr>
                <w:rFonts w:hint="default"/>
                <w:color w:val="auto"/>
                <w:kern w:val="2"/>
                <w:szCs w:val="24"/>
              </w:rPr>
              <w:t>/</w:t>
            </w:r>
          </w:p>
        </w:tc>
        <w:tc>
          <w:tcPr>
            <w:tcW w:w="655" w:type="pct"/>
            <w:vAlign w:val="center"/>
          </w:tcPr>
          <w:p>
            <w:pPr>
              <w:pStyle w:val="182"/>
              <w:rPr>
                <w:color w:val="auto"/>
                <w:kern w:val="2"/>
                <w:szCs w:val="24"/>
              </w:rPr>
            </w:pPr>
            <w:r>
              <w:rPr>
                <w:rFonts w:hint="default"/>
                <w:color w:val="auto"/>
                <w:kern w:val="2"/>
                <w:szCs w:val="24"/>
              </w:rPr>
              <w:t>/</w:t>
            </w:r>
          </w:p>
        </w:tc>
        <w:tc>
          <w:tcPr>
            <w:tcW w:w="722" w:type="pct"/>
            <w:vAlign w:val="center"/>
          </w:tcPr>
          <w:p>
            <w:pPr>
              <w:pStyle w:val="182"/>
              <w:rPr>
                <w:color w:val="auto"/>
                <w:kern w:val="2"/>
                <w:szCs w:val="24"/>
              </w:rPr>
            </w:pPr>
            <w:r>
              <w:rPr>
                <w:rFonts w:hint="default"/>
                <w:color w:val="auto"/>
                <w:kern w:val="2"/>
                <w:szCs w:val="24"/>
              </w:rPr>
              <w:t>/</w:t>
            </w:r>
          </w:p>
        </w:tc>
        <w:tc>
          <w:tcPr>
            <w:tcW w:w="673" w:type="pct"/>
            <w:vAlign w:val="center"/>
          </w:tcPr>
          <w:p>
            <w:pPr>
              <w:pStyle w:val="182"/>
              <w:rPr>
                <w:color w:val="auto"/>
                <w:kern w:val="2"/>
                <w:szCs w:val="24"/>
              </w:rPr>
            </w:pPr>
            <w:r>
              <w:rPr>
                <w:rFonts w:hint="default"/>
                <w:color w:val="auto"/>
                <w:kern w:val="2"/>
                <w:szCs w:val="24"/>
              </w:rPr>
              <w:t>/</w:t>
            </w:r>
          </w:p>
        </w:tc>
      </w:tr>
    </w:tbl>
    <w:p>
      <w:pPr>
        <w:pStyle w:val="181"/>
        <w:rPr>
          <w:b/>
          <w:color w:val="auto"/>
          <w:sz w:val="24"/>
          <w:szCs w:val="21"/>
        </w:rPr>
      </w:pPr>
      <w:r>
        <w:rPr>
          <w:b/>
          <w:color w:val="auto"/>
          <w:sz w:val="24"/>
        </w:rPr>
        <w:t>表</w:t>
      </w:r>
      <w:r>
        <w:rPr>
          <w:rFonts w:hint="eastAsia"/>
          <w:b/>
          <w:color w:val="auto"/>
          <w:sz w:val="24"/>
        </w:rPr>
        <w:t>4</w:t>
      </w:r>
      <w:r>
        <w:rPr>
          <w:rFonts w:hint="eastAsia"/>
          <w:b/>
          <w:color w:val="auto"/>
          <w:sz w:val="24"/>
          <w:lang w:val="en-US" w:eastAsia="zh-CN"/>
        </w:rPr>
        <w:t>.2</w:t>
      </w:r>
      <w:r>
        <w:rPr>
          <w:rFonts w:hint="eastAsia"/>
          <w:b/>
          <w:color w:val="auto"/>
          <w:sz w:val="24"/>
        </w:rPr>
        <w:t>-1</w:t>
      </w:r>
      <w:r>
        <w:rPr>
          <w:rFonts w:hint="eastAsia"/>
          <w:b/>
          <w:color w:val="auto"/>
          <w:sz w:val="24"/>
          <w:lang w:val="en-US" w:eastAsia="zh-CN"/>
        </w:rPr>
        <w:t>6</w:t>
      </w:r>
      <w:r>
        <w:rPr>
          <w:b/>
          <w:color w:val="auto"/>
          <w:sz w:val="24"/>
        </w:rPr>
        <w:t xml:space="preserve">     </w:t>
      </w:r>
      <w:r>
        <w:rPr>
          <w:rFonts w:hint="eastAsia"/>
          <w:b/>
          <w:color w:val="auto"/>
          <w:sz w:val="24"/>
        </w:rPr>
        <w:t xml:space="preserve">   </w:t>
      </w:r>
      <w:r>
        <w:rPr>
          <w:b/>
          <w:color w:val="auto"/>
          <w:sz w:val="24"/>
        </w:rPr>
        <w:t>地下水现状结果统计</w:t>
      </w:r>
      <w:r>
        <w:rPr>
          <w:rFonts w:hint="eastAsia"/>
          <w:b/>
          <w:color w:val="auto"/>
          <w:sz w:val="24"/>
        </w:rPr>
        <w:t>表</w:t>
      </w:r>
      <w:r>
        <w:rPr>
          <w:rFonts w:hint="eastAsia"/>
          <w:b/>
          <w:color w:val="auto"/>
          <w:sz w:val="24"/>
          <w:lang w:val="en-US" w:eastAsia="zh-CN"/>
        </w:rPr>
        <w:t>4</w:t>
      </w:r>
      <w:r>
        <w:rPr>
          <w:rFonts w:hint="eastAsia"/>
          <w:b/>
          <w:color w:val="auto"/>
          <w:sz w:val="24"/>
          <w:szCs w:val="21"/>
        </w:rPr>
        <w:t xml:space="preserve">      </w:t>
      </w:r>
      <w:r>
        <w:rPr>
          <w:b/>
          <w:color w:val="auto"/>
          <w:sz w:val="24"/>
          <w:szCs w:val="21"/>
        </w:rPr>
        <w:t>单位：mg/L</w:t>
      </w:r>
    </w:p>
    <w:tbl>
      <w:tblPr>
        <w:tblStyle w:val="32"/>
        <w:tblW w:w="5000"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1635"/>
        <w:gridCol w:w="1713"/>
        <w:gridCol w:w="1783"/>
        <w:gridCol w:w="1819"/>
        <w:gridCol w:w="1572"/>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959" w:type="pct"/>
            <w:vMerge w:val="restart"/>
            <w:vAlign w:val="center"/>
          </w:tcPr>
          <w:p>
            <w:pPr>
              <w:pStyle w:val="182"/>
              <w:rPr>
                <w:rFonts w:cs="Times New Roman"/>
                <w:b/>
                <w:bCs/>
                <w:color w:val="auto"/>
                <w:szCs w:val="24"/>
                <w:u w:val="single"/>
              </w:rPr>
            </w:pPr>
            <w:r>
              <w:rPr>
                <w:rFonts w:hint="default" w:cs="Times New Roman"/>
                <w:b/>
                <w:bCs/>
                <w:color w:val="auto"/>
                <w:szCs w:val="24"/>
                <w:u w:val="single"/>
              </w:rPr>
              <w:t>监测点</w:t>
            </w:r>
          </w:p>
        </w:tc>
        <w:tc>
          <w:tcPr>
            <w:tcW w:w="1005" w:type="pct"/>
            <w:vMerge w:val="restart"/>
            <w:vAlign w:val="center"/>
          </w:tcPr>
          <w:p>
            <w:pPr>
              <w:pStyle w:val="182"/>
              <w:rPr>
                <w:rFonts w:cs="Times New Roman"/>
                <w:b/>
                <w:bCs/>
                <w:color w:val="auto"/>
                <w:szCs w:val="24"/>
                <w:u w:val="single"/>
              </w:rPr>
            </w:pPr>
            <w:r>
              <w:rPr>
                <w:rFonts w:hint="default" w:cs="Times New Roman"/>
                <w:b/>
                <w:bCs/>
                <w:color w:val="auto"/>
                <w:szCs w:val="24"/>
                <w:u w:val="single"/>
              </w:rPr>
              <w:t>类别</w:t>
            </w:r>
          </w:p>
        </w:tc>
        <w:tc>
          <w:tcPr>
            <w:tcW w:w="3035" w:type="pct"/>
            <w:gridSpan w:val="3"/>
            <w:shd w:val="clear" w:color="auto" w:fill="auto"/>
            <w:vAlign w:val="center"/>
          </w:tcPr>
          <w:p>
            <w:pPr>
              <w:pStyle w:val="182"/>
              <w:rPr>
                <w:rFonts w:cs="Times New Roman"/>
                <w:b/>
                <w:bCs/>
                <w:color w:val="auto"/>
                <w:szCs w:val="24"/>
                <w:u w:val="single"/>
              </w:rPr>
            </w:pPr>
            <w:r>
              <w:rPr>
                <w:rFonts w:hint="default" w:cs="Times New Roman"/>
                <w:b/>
                <w:bCs/>
                <w:color w:val="auto"/>
                <w:szCs w:val="24"/>
                <w:u w:val="single"/>
              </w:rPr>
              <w:t>监测因子</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959" w:type="pct"/>
            <w:vMerge w:val="continue"/>
            <w:vAlign w:val="center"/>
          </w:tcPr>
          <w:p>
            <w:pPr>
              <w:pStyle w:val="182"/>
              <w:rPr>
                <w:rFonts w:cs="Times New Roman"/>
                <w:b/>
                <w:bCs/>
                <w:color w:val="auto"/>
                <w:szCs w:val="24"/>
                <w:u w:val="single"/>
              </w:rPr>
            </w:pPr>
          </w:p>
        </w:tc>
        <w:tc>
          <w:tcPr>
            <w:tcW w:w="1005" w:type="pct"/>
            <w:vMerge w:val="continue"/>
            <w:vAlign w:val="center"/>
          </w:tcPr>
          <w:p>
            <w:pPr>
              <w:pStyle w:val="182"/>
              <w:rPr>
                <w:rFonts w:cs="Times New Roman"/>
                <w:b/>
                <w:bCs/>
                <w:color w:val="auto"/>
                <w:szCs w:val="24"/>
                <w:u w:val="single"/>
              </w:rPr>
            </w:pPr>
          </w:p>
        </w:tc>
        <w:tc>
          <w:tcPr>
            <w:tcW w:w="1046" w:type="pct"/>
            <w:shd w:val="clear" w:color="auto" w:fill="auto"/>
            <w:vAlign w:val="center"/>
          </w:tcPr>
          <w:p>
            <w:pPr>
              <w:pStyle w:val="182"/>
              <w:ind w:firstLine="0" w:firstLineChars="0"/>
              <w:rPr>
                <w:rFonts w:ascii="Times New Roman" w:hAnsi="Times New Roman" w:eastAsia="宋体" w:cs="Times New Roman"/>
                <w:b/>
                <w:bCs/>
                <w:color w:val="auto"/>
                <w:kern w:val="2"/>
                <w:sz w:val="21"/>
                <w:szCs w:val="21"/>
                <w:u w:val="single"/>
                <w:lang w:val="en-US" w:eastAsia="zh-CN" w:bidi="ar-SA"/>
              </w:rPr>
            </w:pPr>
            <w:r>
              <w:rPr>
                <w:rFonts w:hint="eastAsia"/>
                <w:b/>
                <w:bCs/>
                <w:color w:val="auto"/>
                <w:kern w:val="2"/>
                <w:szCs w:val="24"/>
                <w:u w:val="single"/>
                <w:lang w:bidi="ar"/>
              </w:rPr>
              <w:t>硫化物</w:t>
            </w:r>
          </w:p>
        </w:tc>
        <w:tc>
          <w:tcPr>
            <w:tcW w:w="1067" w:type="pct"/>
            <w:tcMar>
              <w:left w:w="0" w:type="dxa"/>
              <w:right w:w="0" w:type="dxa"/>
            </w:tcMar>
            <w:vAlign w:val="center"/>
          </w:tcPr>
          <w:p>
            <w:pPr>
              <w:pStyle w:val="182"/>
              <w:rPr>
                <w:rFonts w:cs="Times New Roman"/>
                <w:b/>
                <w:bCs/>
                <w:color w:val="auto"/>
                <w:szCs w:val="24"/>
                <w:u w:val="single"/>
              </w:rPr>
            </w:pPr>
            <w:r>
              <w:rPr>
                <w:rFonts w:hint="eastAsia"/>
                <w:b/>
                <w:bCs/>
                <w:color w:val="auto"/>
                <w:kern w:val="2"/>
                <w:szCs w:val="24"/>
                <w:u w:val="single"/>
                <w:lang w:bidi="ar"/>
              </w:rPr>
              <w:t>硝酸盐</w:t>
            </w:r>
          </w:p>
        </w:tc>
        <w:tc>
          <w:tcPr>
            <w:tcW w:w="921" w:type="pct"/>
            <w:vAlign w:val="center"/>
          </w:tcPr>
          <w:p>
            <w:pPr>
              <w:pStyle w:val="182"/>
              <w:rPr>
                <w:rFonts w:cs="Times New Roman"/>
                <w:b/>
                <w:bCs/>
                <w:color w:val="auto"/>
                <w:szCs w:val="24"/>
                <w:u w:val="single"/>
              </w:rPr>
            </w:pPr>
            <w:r>
              <w:rPr>
                <w:rFonts w:hint="eastAsia"/>
                <w:b/>
                <w:bCs/>
                <w:color w:val="auto"/>
                <w:kern w:val="2"/>
                <w:szCs w:val="24"/>
                <w:u w:val="single"/>
                <w:lang w:bidi="ar"/>
              </w:rPr>
              <w:t>亚硝酸盐</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restart"/>
            <w:vAlign w:val="center"/>
          </w:tcPr>
          <w:p>
            <w:pPr>
              <w:pStyle w:val="182"/>
              <w:rPr>
                <w:b/>
                <w:bCs/>
                <w:color w:val="auto"/>
                <w:kern w:val="2"/>
                <w:szCs w:val="24"/>
                <w:u w:val="single"/>
              </w:rPr>
            </w:pPr>
            <w:r>
              <w:rPr>
                <w:rFonts w:hint="default"/>
                <w:b/>
                <w:bCs/>
                <w:color w:val="auto"/>
                <w:kern w:val="2"/>
                <w:szCs w:val="24"/>
                <w:u w:val="single"/>
              </w:rPr>
              <w:t>化纤厂新厂区水井（工业用）</w:t>
            </w:r>
          </w:p>
        </w:tc>
        <w:tc>
          <w:tcPr>
            <w:tcW w:w="1005" w:type="pct"/>
            <w:vAlign w:val="center"/>
          </w:tcPr>
          <w:p>
            <w:pPr>
              <w:pStyle w:val="182"/>
              <w:rPr>
                <w:b/>
                <w:bCs/>
                <w:color w:val="auto"/>
                <w:kern w:val="2"/>
                <w:szCs w:val="24"/>
                <w:u w:val="single"/>
              </w:rPr>
            </w:pPr>
            <w:r>
              <w:rPr>
                <w:rFonts w:hint="default"/>
                <w:b/>
                <w:bCs/>
                <w:color w:val="auto"/>
                <w:kern w:val="2"/>
                <w:szCs w:val="24"/>
                <w:u w:val="single"/>
              </w:rPr>
              <w:t>浓度范围</w:t>
            </w:r>
          </w:p>
        </w:tc>
        <w:tc>
          <w:tcPr>
            <w:tcW w:w="1046" w:type="pct"/>
            <w:vAlign w:val="center"/>
          </w:tcPr>
          <w:p>
            <w:pPr>
              <w:pStyle w:val="182"/>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cs="Times New Roman"/>
                <w:b/>
                <w:bCs/>
                <w:color w:val="auto"/>
                <w:kern w:val="2"/>
                <w:sz w:val="21"/>
                <w:szCs w:val="21"/>
                <w:u w:val="single"/>
                <w:lang w:val="en-US" w:eastAsia="zh-CN" w:bidi="ar-SA"/>
              </w:rPr>
              <w:t>ND</w:t>
            </w:r>
          </w:p>
        </w:tc>
        <w:tc>
          <w:tcPr>
            <w:tcW w:w="1067" w:type="pct"/>
            <w:vAlign w:val="center"/>
          </w:tcPr>
          <w:p>
            <w:pPr>
              <w:pStyle w:val="182"/>
              <w:rPr>
                <w:rFonts w:hint="default" w:eastAsia="宋体"/>
                <w:b/>
                <w:bCs/>
                <w:color w:val="auto"/>
                <w:kern w:val="2"/>
                <w:szCs w:val="24"/>
                <w:u w:val="single"/>
                <w:lang w:val="en-US" w:eastAsia="zh-CN"/>
              </w:rPr>
            </w:pPr>
            <w:r>
              <w:rPr>
                <w:rFonts w:hint="eastAsia"/>
                <w:b/>
                <w:bCs/>
                <w:color w:val="auto"/>
                <w:kern w:val="2"/>
                <w:szCs w:val="24"/>
                <w:u w:val="single"/>
                <w:lang w:val="en-US" w:eastAsia="zh-CN"/>
              </w:rPr>
              <w:t>1.36</w:t>
            </w:r>
          </w:p>
        </w:tc>
        <w:tc>
          <w:tcPr>
            <w:tcW w:w="921" w:type="pct"/>
            <w:vAlign w:val="center"/>
          </w:tcPr>
          <w:p>
            <w:pPr>
              <w:pStyle w:val="182"/>
              <w:ind w:firstLine="0" w:firstLineChars="0"/>
              <w:rPr>
                <w:b/>
                <w:bCs/>
                <w:color w:val="auto"/>
                <w:kern w:val="2"/>
                <w:szCs w:val="24"/>
                <w:u w:val="single"/>
              </w:rPr>
            </w:pPr>
            <w:r>
              <w:rPr>
                <w:rFonts w:hint="eastAsia" w:cs="Times New Roman"/>
                <w:b/>
                <w:bCs/>
                <w:color w:val="auto"/>
                <w:kern w:val="2"/>
                <w:sz w:val="21"/>
                <w:szCs w:val="21"/>
                <w:u w:val="single"/>
                <w:lang w:val="en-US" w:eastAsia="zh-CN" w:bidi="ar-SA"/>
              </w:rPr>
              <w:t>ND</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标准限值</w:t>
            </w:r>
          </w:p>
        </w:tc>
        <w:tc>
          <w:tcPr>
            <w:tcW w:w="1046" w:type="pct"/>
            <w:vAlign w:val="center"/>
          </w:tcPr>
          <w:p>
            <w:pPr>
              <w:pStyle w:val="182"/>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cs="Times New Roman"/>
                <w:b/>
                <w:bCs/>
                <w:color w:val="auto"/>
                <w:kern w:val="2"/>
                <w:sz w:val="21"/>
                <w:szCs w:val="21"/>
                <w:u w:val="single"/>
                <w:lang w:val="en-US" w:eastAsia="zh-CN" w:bidi="ar-SA"/>
              </w:rPr>
              <w:t>0.02</w:t>
            </w:r>
          </w:p>
        </w:tc>
        <w:tc>
          <w:tcPr>
            <w:tcW w:w="1067" w:type="pct"/>
            <w:vAlign w:val="center"/>
          </w:tcPr>
          <w:p>
            <w:pPr>
              <w:pStyle w:val="182"/>
              <w:rPr>
                <w:rFonts w:hint="default" w:eastAsia="宋体"/>
                <w:b/>
                <w:bCs/>
                <w:color w:val="auto"/>
                <w:kern w:val="2"/>
                <w:szCs w:val="24"/>
                <w:u w:val="single"/>
                <w:lang w:val="en-US" w:eastAsia="zh-CN"/>
              </w:rPr>
            </w:pPr>
            <w:r>
              <w:rPr>
                <w:rFonts w:hint="eastAsia"/>
                <w:b/>
                <w:bCs/>
                <w:color w:val="auto"/>
                <w:kern w:val="2"/>
                <w:szCs w:val="24"/>
                <w:u w:val="single"/>
                <w:lang w:val="en-US" w:eastAsia="zh-CN"/>
              </w:rPr>
              <w:t>20.0</w:t>
            </w:r>
          </w:p>
        </w:tc>
        <w:tc>
          <w:tcPr>
            <w:tcW w:w="921" w:type="pct"/>
            <w:vAlign w:val="center"/>
          </w:tcPr>
          <w:p>
            <w:pPr>
              <w:pStyle w:val="182"/>
              <w:ind w:firstLine="0" w:firstLineChars="0"/>
              <w:rPr>
                <w:rFonts w:hint="default"/>
                <w:b/>
                <w:bCs/>
                <w:color w:val="auto"/>
                <w:kern w:val="2"/>
                <w:szCs w:val="24"/>
                <w:u w:val="single"/>
                <w:lang w:val="en-US"/>
              </w:rPr>
            </w:pPr>
            <w:r>
              <w:rPr>
                <w:rFonts w:hint="eastAsia" w:cs="Times New Roman"/>
                <w:b/>
                <w:bCs/>
                <w:color w:val="auto"/>
                <w:kern w:val="2"/>
                <w:sz w:val="21"/>
                <w:szCs w:val="21"/>
                <w:u w:val="single"/>
                <w:lang w:val="en-US" w:eastAsia="zh-CN" w:bidi="ar-SA"/>
              </w:rPr>
              <w:t>1.0</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达标情况</w:t>
            </w:r>
          </w:p>
        </w:tc>
        <w:tc>
          <w:tcPr>
            <w:tcW w:w="1046" w:type="pct"/>
            <w:vAlign w:val="center"/>
          </w:tcPr>
          <w:p>
            <w:pPr>
              <w:pStyle w:val="182"/>
              <w:rPr>
                <w:b/>
                <w:bCs/>
                <w:color w:val="auto"/>
                <w:kern w:val="2"/>
                <w:szCs w:val="24"/>
                <w:u w:val="single"/>
              </w:rPr>
            </w:pPr>
            <w:r>
              <w:rPr>
                <w:rFonts w:hint="default"/>
                <w:b/>
                <w:bCs/>
                <w:color w:val="auto"/>
                <w:kern w:val="2"/>
                <w:szCs w:val="24"/>
                <w:u w:val="single"/>
              </w:rPr>
              <w:t>达标</w:t>
            </w:r>
          </w:p>
        </w:tc>
        <w:tc>
          <w:tcPr>
            <w:tcW w:w="1067" w:type="pct"/>
            <w:vAlign w:val="center"/>
          </w:tcPr>
          <w:p>
            <w:pPr>
              <w:pStyle w:val="182"/>
              <w:rPr>
                <w:b/>
                <w:bCs/>
                <w:color w:val="auto"/>
                <w:kern w:val="2"/>
                <w:szCs w:val="24"/>
                <w:u w:val="single"/>
              </w:rPr>
            </w:pPr>
            <w:r>
              <w:rPr>
                <w:rFonts w:hint="default"/>
                <w:b/>
                <w:bCs/>
                <w:color w:val="auto"/>
                <w:kern w:val="2"/>
                <w:szCs w:val="24"/>
                <w:u w:val="single"/>
              </w:rPr>
              <w:t>达标</w:t>
            </w:r>
          </w:p>
        </w:tc>
        <w:tc>
          <w:tcPr>
            <w:tcW w:w="921" w:type="pct"/>
            <w:vAlign w:val="center"/>
          </w:tcPr>
          <w:p>
            <w:pPr>
              <w:pStyle w:val="182"/>
              <w:ind w:firstLine="0" w:firstLineChars="0"/>
              <w:rPr>
                <w:b/>
                <w:bCs/>
                <w:color w:val="auto"/>
                <w:kern w:val="2"/>
                <w:szCs w:val="24"/>
                <w:u w:val="single"/>
              </w:rPr>
            </w:pPr>
            <w:r>
              <w:rPr>
                <w:rFonts w:hint="default"/>
                <w:b/>
                <w:bCs/>
                <w:color w:val="auto"/>
                <w:kern w:val="2"/>
                <w:szCs w:val="24"/>
                <w:u w:val="singl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restart"/>
            <w:vAlign w:val="center"/>
          </w:tcPr>
          <w:p>
            <w:pPr>
              <w:pStyle w:val="182"/>
              <w:rPr>
                <w:b/>
                <w:bCs/>
                <w:color w:val="auto"/>
                <w:kern w:val="2"/>
                <w:szCs w:val="24"/>
                <w:u w:val="single"/>
              </w:rPr>
            </w:pPr>
            <w:r>
              <w:rPr>
                <w:rFonts w:hint="default"/>
                <w:b/>
                <w:bCs/>
                <w:color w:val="auto"/>
                <w:szCs w:val="24"/>
                <w:u w:val="single"/>
              </w:rPr>
              <w:t>夏庄村</w:t>
            </w:r>
          </w:p>
        </w:tc>
        <w:tc>
          <w:tcPr>
            <w:tcW w:w="1005" w:type="pct"/>
            <w:vAlign w:val="center"/>
          </w:tcPr>
          <w:p>
            <w:pPr>
              <w:pStyle w:val="182"/>
              <w:rPr>
                <w:b/>
                <w:bCs/>
                <w:color w:val="auto"/>
                <w:kern w:val="2"/>
                <w:szCs w:val="24"/>
                <w:u w:val="single"/>
              </w:rPr>
            </w:pPr>
            <w:r>
              <w:rPr>
                <w:rFonts w:hint="default"/>
                <w:b/>
                <w:bCs/>
                <w:color w:val="auto"/>
                <w:kern w:val="2"/>
                <w:szCs w:val="24"/>
                <w:u w:val="single"/>
              </w:rPr>
              <w:t>浓度范围</w:t>
            </w:r>
          </w:p>
        </w:tc>
        <w:tc>
          <w:tcPr>
            <w:tcW w:w="1046" w:type="pct"/>
            <w:vAlign w:val="center"/>
          </w:tcPr>
          <w:p>
            <w:pPr>
              <w:pStyle w:val="182"/>
              <w:ind w:firstLine="0" w:firstLineChars="0"/>
              <w:rPr>
                <w:b/>
                <w:bCs/>
                <w:color w:val="auto"/>
                <w:kern w:val="2"/>
                <w:szCs w:val="24"/>
                <w:u w:val="single"/>
              </w:rPr>
            </w:pPr>
            <w:r>
              <w:rPr>
                <w:rFonts w:hint="eastAsia" w:cs="Times New Roman"/>
                <w:b/>
                <w:bCs/>
                <w:color w:val="auto"/>
                <w:kern w:val="2"/>
                <w:sz w:val="21"/>
                <w:szCs w:val="21"/>
                <w:u w:val="single"/>
                <w:lang w:val="en-US" w:eastAsia="zh-CN" w:bidi="ar-SA"/>
              </w:rPr>
              <w:t>ND</w:t>
            </w:r>
          </w:p>
        </w:tc>
        <w:tc>
          <w:tcPr>
            <w:tcW w:w="1067" w:type="pct"/>
            <w:vAlign w:val="center"/>
          </w:tcPr>
          <w:p>
            <w:pPr>
              <w:pStyle w:val="182"/>
              <w:rPr>
                <w:rFonts w:hint="default" w:eastAsia="宋体"/>
                <w:b/>
                <w:bCs/>
                <w:color w:val="auto"/>
                <w:kern w:val="2"/>
                <w:szCs w:val="24"/>
                <w:u w:val="single"/>
                <w:lang w:val="en-US" w:eastAsia="zh-CN"/>
              </w:rPr>
            </w:pPr>
            <w:r>
              <w:rPr>
                <w:rFonts w:hint="eastAsia"/>
                <w:b/>
                <w:bCs/>
                <w:color w:val="auto"/>
                <w:kern w:val="2"/>
                <w:szCs w:val="24"/>
                <w:u w:val="single"/>
                <w:lang w:val="en-US" w:eastAsia="zh-CN"/>
              </w:rPr>
              <w:t>1.15</w:t>
            </w:r>
          </w:p>
        </w:tc>
        <w:tc>
          <w:tcPr>
            <w:tcW w:w="921" w:type="pct"/>
            <w:vAlign w:val="center"/>
          </w:tcPr>
          <w:p>
            <w:pPr>
              <w:pStyle w:val="182"/>
              <w:ind w:firstLine="0" w:firstLineChars="0"/>
              <w:rPr>
                <w:rFonts w:ascii="Times New Roman" w:hAnsi="Times New Roman" w:eastAsia="宋体" w:cs="Times New Roman"/>
                <w:b/>
                <w:bCs/>
                <w:color w:val="auto"/>
                <w:kern w:val="2"/>
                <w:sz w:val="21"/>
                <w:szCs w:val="24"/>
                <w:u w:val="single"/>
                <w:lang w:val="en-US" w:eastAsia="zh-CN" w:bidi="ar-SA"/>
              </w:rPr>
            </w:pPr>
            <w:r>
              <w:rPr>
                <w:rFonts w:hint="eastAsia" w:cs="Times New Roman"/>
                <w:b/>
                <w:bCs/>
                <w:color w:val="auto"/>
                <w:kern w:val="2"/>
                <w:sz w:val="21"/>
                <w:szCs w:val="21"/>
                <w:u w:val="single"/>
                <w:lang w:val="en-US" w:eastAsia="zh-CN" w:bidi="ar-SA"/>
              </w:rPr>
              <w:t>ND</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标准限值</w:t>
            </w:r>
          </w:p>
        </w:tc>
        <w:tc>
          <w:tcPr>
            <w:tcW w:w="1046" w:type="pct"/>
            <w:vAlign w:val="center"/>
          </w:tcPr>
          <w:p>
            <w:pPr>
              <w:pStyle w:val="182"/>
              <w:ind w:firstLine="0" w:firstLineChars="0"/>
              <w:rPr>
                <w:b/>
                <w:bCs/>
                <w:color w:val="auto"/>
                <w:kern w:val="2"/>
                <w:szCs w:val="24"/>
                <w:u w:val="single"/>
              </w:rPr>
            </w:pPr>
            <w:r>
              <w:rPr>
                <w:rFonts w:hint="eastAsia" w:cs="Times New Roman"/>
                <w:b/>
                <w:bCs/>
                <w:color w:val="auto"/>
                <w:kern w:val="2"/>
                <w:sz w:val="21"/>
                <w:szCs w:val="21"/>
                <w:u w:val="single"/>
                <w:lang w:val="en-US" w:eastAsia="zh-CN" w:bidi="ar-SA"/>
              </w:rPr>
              <w:t>0.02</w:t>
            </w:r>
          </w:p>
        </w:tc>
        <w:tc>
          <w:tcPr>
            <w:tcW w:w="1067" w:type="pct"/>
            <w:vAlign w:val="center"/>
          </w:tcPr>
          <w:p>
            <w:pPr>
              <w:pStyle w:val="182"/>
              <w:ind w:firstLine="0" w:firstLineChars="0"/>
              <w:rPr>
                <w:b/>
                <w:bCs/>
                <w:color w:val="auto"/>
                <w:kern w:val="2"/>
                <w:szCs w:val="24"/>
                <w:u w:val="single"/>
              </w:rPr>
            </w:pPr>
            <w:r>
              <w:rPr>
                <w:rFonts w:hint="eastAsia"/>
                <w:b/>
                <w:bCs/>
                <w:color w:val="auto"/>
                <w:kern w:val="2"/>
                <w:szCs w:val="24"/>
                <w:u w:val="single"/>
                <w:lang w:val="en-US" w:eastAsia="zh-CN"/>
              </w:rPr>
              <w:t>20.0</w:t>
            </w:r>
          </w:p>
        </w:tc>
        <w:tc>
          <w:tcPr>
            <w:tcW w:w="921" w:type="pct"/>
            <w:vAlign w:val="center"/>
          </w:tcPr>
          <w:p>
            <w:pPr>
              <w:pStyle w:val="182"/>
              <w:ind w:firstLine="0" w:firstLineChars="0"/>
              <w:rPr>
                <w:rFonts w:hint="default" w:ascii="Times New Roman" w:hAnsi="Times New Roman" w:eastAsia="宋体" w:cs="Times New Roman"/>
                <w:b/>
                <w:bCs/>
                <w:color w:val="auto"/>
                <w:kern w:val="2"/>
                <w:sz w:val="21"/>
                <w:szCs w:val="24"/>
                <w:u w:val="single"/>
                <w:lang w:val="en-US" w:eastAsia="zh-CN" w:bidi="ar-SA"/>
              </w:rPr>
            </w:pPr>
            <w:r>
              <w:rPr>
                <w:rFonts w:hint="eastAsia" w:cs="Times New Roman"/>
                <w:b/>
                <w:bCs/>
                <w:color w:val="auto"/>
                <w:kern w:val="2"/>
                <w:sz w:val="21"/>
                <w:szCs w:val="21"/>
                <w:u w:val="single"/>
                <w:lang w:val="en-US" w:eastAsia="zh-CN" w:bidi="ar-SA"/>
              </w:rPr>
              <w:t>1.0</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达标情况</w:t>
            </w:r>
          </w:p>
        </w:tc>
        <w:tc>
          <w:tcPr>
            <w:tcW w:w="1046" w:type="pct"/>
            <w:vAlign w:val="center"/>
          </w:tcPr>
          <w:p>
            <w:pPr>
              <w:pStyle w:val="182"/>
              <w:ind w:firstLine="0" w:firstLineChars="0"/>
              <w:rPr>
                <w:b/>
                <w:bCs/>
                <w:color w:val="auto"/>
                <w:kern w:val="2"/>
                <w:szCs w:val="24"/>
                <w:u w:val="single"/>
              </w:rPr>
            </w:pPr>
            <w:r>
              <w:rPr>
                <w:rFonts w:hint="default"/>
                <w:b/>
                <w:bCs/>
                <w:color w:val="auto"/>
                <w:kern w:val="2"/>
                <w:szCs w:val="24"/>
                <w:u w:val="single"/>
              </w:rPr>
              <w:t>达标</w:t>
            </w:r>
          </w:p>
        </w:tc>
        <w:tc>
          <w:tcPr>
            <w:tcW w:w="1067" w:type="pct"/>
            <w:vAlign w:val="center"/>
          </w:tcPr>
          <w:p>
            <w:pPr>
              <w:pStyle w:val="182"/>
              <w:ind w:firstLine="0" w:firstLineChars="0"/>
              <w:rPr>
                <w:b/>
                <w:bCs/>
                <w:color w:val="auto"/>
                <w:kern w:val="2"/>
                <w:szCs w:val="24"/>
                <w:u w:val="single"/>
              </w:rPr>
            </w:pPr>
            <w:r>
              <w:rPr>
                <w:rFonts w:hint="default"/>
                <w:b/>
                <w:bCs/>
                <w:color w:val="auto"/>
                <w:kern w:val="2"/>
                <w:szCs w:val="24"/>
                <w:u w:val="single"/>
              </w:rPr>
              <w:t>达标</w:t>
            </w:r>
          </w:p>
        </w:tc>
        <w:tc>
          <w:tcPr>
            <w:tcW w:w="921" w:type="pct"/>
            <w:vAlign w:val="center"/>
          </w:tcPr>
          <w:p>
            <w:pPr>
              <w:pStyle w:val="182"/>
              <w:ind w:firstLine="0" w:firstLineChars="0"/>
              <w:rPr>
                <w:rFonts w:ascii="Times New Roman" w:hAnsi="Times New Roman" w:eastAsia="宋体" w:cs="Times New Roman"/>
                <w:b/>
                <w:bCs/>
                <w:color w:val="auto"/>
                <w:kern w:val="2"/>
                <w:sz w:val="21"/>
                <w:szCs w:val="24"/>
                <w:u w:val="single"/>
                <w:lang w:val="en-US" w:eastAsia="zh-CN" w:bidi="ar-SA"/>
              </w:rPr>
            </w:pPr>
            <w:r>
              <w:rPr>
                <w:rFonts w:hint="default"/>
                <w:b/>
                <w:bCs/>
                <w:color w:val="auto"/>
                <w:kern w:val="2"/>
                <w:szCs w:val="24"/>
                <w:u w:val="singl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restart"/>
            <w:vAlign w:val="center"/>
          </w:tcPr>
          <w:p>
            <w:pPr>
              <w:pStyle w:val="182"/>
              <w:rPr>
                <w:b/>
                <w:bCs/>
                <w:color w:val="auto"/>
                <w:kern w:val="2"/>
                <w:szCs w:val="24"/>
                <w:u w:val="single"/>
              </w:rPr>
            </w:pPr>
            <w:r>
              <w:rPr>
                <w:rFonts w:hint="default"/>
                <w:b/>
                <w:bCs/>
                <w:iCs w:val="0"/>
                <w:color w:val="auto"/>
                <w:szCs w:val="24"/>
                <w:u w:val="single"/>
              </w:rPr>
              <w:t>水花堡村</w:t>
            </w:r>
          </w:p>
        </w:tc>
        <w:tc>
          <w:tcPr>
            <w:tcW w:w="1005" w:type="pct"/>
            <w:vAlign w:val="center"/>
          </w:tcPr>
          <w:p>
            <w:pPr>
              <w:pStyle w:val="182"/>
              <w:rPr>
                <w:b/>
                <w:bCs/>
                <w:color w:val="auto"/>
                <w:kern w:val="2"/>
                <w:szCs w:val="24"/>
                <w:u w:val="single"/>
              </w:rPr>
            </w:pPr>
            <w:r>
              <w:rPr>
                <w:rFonts w:hint="default"/>
                <w:b/>
                <w:bCs/>
                <w:color w:val="auto"/>
                <w:kern w:val="2"/>
                <w:szCs w:val="24"/>
                <w:u w:val="single"/>
              </w:rPr>
              <w:t>浓度范围</w:t>
            </w:r>
          </w:p>
        </w:tc>
        <w:tc>
          <w:tcPr>
            <w:tcW w:w="1046" w:type="pct"/>
            <w:vAlign w:val="center"/>
          </w:tcPr>
          <w:p>
            <w:pPr>
              <w:pStyle w:val="182"/>
              <w:ind w:firstLine="0" w:firstLineChars="0"/>
              <w:rPr>
                <w:b/>
                <w:bCs/>
                <w:color w:val="auto"/>
                <w:kern w:val="2"/>
                <w:szCs w:val="24"/>
                <w:u w:val="single"/>
              </w:rPr>
            </w:pPr>
            <w:r>
              <w:rPr>
                <w:rFonts w:hint="eastAsia" w:cs="Times New Roman"/>
                <w:b/>
                <w:bCs/>
                <w:color w:val="auto"/>
                <w:kern w:val="2"/>
                <w:sz w:val="21"/>
                <w:szCs w:val="21"/>
                <w:u w:val="single"/>
                <w:lang w:val="en-US" w:eastAsia="zh-CN" w:bidi="ar-SA"/>
              </w:rPr>
              <w:t>ND</w:t>
            </w:r>
          </w:p>
        </w:tc>
        <w:tc>
          <w:tcPr>
            <w:tcW w:w="1067" w:type="pct"/>
            <w:vAlign w:val="center"/>
          </w:tcPr>
          <w:p>
            <w:pPr>
              <w:pStyle w:val="182"/>
              <w:rPr>
                <w:rFonts w:hint="default" w:eastAsia="宋体"/>
                <w:b/>
                <w:bCs/>
                <w:color w:val="auto"/>
                <w:kern w:val="2"/>
                <w:szCs w:val="24"/>
                <w:u w:val="single"/>
                <w:lang w:val="en-US" w:eastAsia="zh-CN"/>
              </w:rPr>
            </w:pPr>
            <w:r>
              <w:rPr>
                <w:rFonts w:hint="eastAsia"/>
                <w:b/>
                <w:bCs/>
                <w:color w:val="auto"/>
                <w:kern w:val="2"/>
                <w:szCs w:val="24"/>
                <w:u w:val="single"/>
                <w:lang w:val="en-US" w:eastAsia="zh-CN"/>
              </w:rPr>
              <w:t>1.22</w:t>
            </w:r>
          </w:p>
        </w:tc>
        <w:tc>
          <w:tcPr>
            <w:tcW w:w="921" w:type="pct"/>
            <w:vAlign w:val="center"/>
          </w:tcPr>
          <w:p>
            <w:pPr>
              <w:pStyle w:val="182"/>
              <w:ind w:firstLine="0" w:firstLineChars="0"/>
              <w:rPr>
                <w:rFonts w:ascii="Times New Roman" w:hAnsi="Times New Roman" w:eastAsia="宋体" w:cs="Times New Roman"/>
                <w:b/>
                <w:bCs/>
                <w:color w:val="auto"/>
                <w:kern w:val="2"/>
                <w:sz w:val="21"/>
                <w:szCs w:val="24"/>
                <w:u w:val="single"/>
                <w:lang w:val="en-US" w:eastAsia="zh-CN" w:bidi="ar-SA"/>
              </w:rPr>
            </w:pPr>
            <w:r>
              <w:rPr>
                <w:rFonts w:hint="eastAsia" w:cs="Times New Roman"/>
                <w:b/>
                <w:bCs/>
                <w:color w:val="auto"/>
                <w:kern w:val="2"/>
                <w:sz w:val="21"/>
                <w:szCs w:val="21"/>
                <w:u w:val="single"/>
                <w:lang w:val="en-US" w:eastAsia="zh-CN" w:bidi="ar-SA"/>
              </w:rPr>
              <w:t>ND</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标准限值</w:t>
            </w:r>
          </w:p>
        </w:tc>
        <w:tc>
          <w:tcPr>
            <w:tcW w:w="1046" w:type="pct"/>
            <w:vAlign w:val="center"/>
          </w:tcPr>
          <w:p>
            <w:pPr>
              <w:pStyle w:val="182"/>
              <w:ind w:firstLine="0" w:firstLineChars="0"/>
              <w:rPr>
                <w:b/>
                <w:bCs/>
                <w:color w:val="auto"/>
                <w:kern w:val="2"/>
                <w:szCs w:val="24"/>
                <w:u w:val="single"/>
              </w:rPr>
            </w:pPr>
            <w:r>
              <w:rPr>
                <w:rFonts w:hint="eastAsia" w:cs="Times New Roman"/>
                <w:b/>
                <w:bCs/>
                <w:color w:val="auto"/>
                <w:kern w:val="2"/>
                <w:sz w:val="21"/>
                <w:szCs w:val="21"/>
                <w:u w:val="single"/>
                <w:lang w:val="en-US" w:eastAsia="zh-CN" w:bidi="ar-SA"/>
              </w:rPr>
              <w:t>0.02</w:t>
            </w:r>
          </w:p>
        </w:tc>
        <w:tc>
          <w:tcPr>
            <w:tcW w:w="1067" w:type="pct"/>
            <w:vAlign w:val="center"/>
          </w:tcPr>
          <w:p>
            <w:pPr>
              <w:pStyle w:val="182"/>
              <w:ind w:firstLine="0" w:firstLineChars="0"/>
              <w:rPr>
                <w:b/>
                <w:bCs/>
                <w:color w:val="auto"/>
                <w:kern w:val="2"/>
                <w:szCs w:val="24"/>
                <w:u w:val="single"/>
              </w:rPr>
            </w:pPr>
            <w:r>
              <w:rPr>
                <w:rFonts w:hint="eastAsia"/>
                <w:b/>
                <w:bCs/>
                <w:color w:val="auto"/>
                <w:kern w:val="2"/>
                <w:szCs w:val="24"/>
                <w:u w:val="single"/>
                <w:lang w:val="en-US" w:eastAsia="zh-CN"/>
              </w:rPr>
              <w:t>20.0</w:t>
            </w:r>
          </w:p>
        </w:tc>
        <w:tc>
          <w:tcPr>
            <w:tcW w:w="921" w:type="pct"/>
            <w:vAlign w:val="center"/>
          </w:tcPr>
          <w:p>
            <w:pPr>
              <w:pStyle w:val="182"/>
              <w:ind w:firstLine="0" w:firstLineChars="0"/>
              <w:rPr>
                <w:rFonts w:hint="default" w:ascii="Times New Roman" w:hAnsi="Times New Roman" w:eastAsia="宋体" w:cs="Times New Roman"/>
                <w:b/>
                <w:bCs/>
                <w:color w:val="auto"/>
                <w:kern w:val="2"/>
                <w:sz w:val="21"/>
                <w:szCs w:val="24"/>
                <w:u w:val="single"/>
                <w:lang w:val="en-US" w:eastAsia="zh-CN" w:bidi="ar-SA"/>
              </w:rPr>
            </w:pPr>
            <w:r>
              <w:rPr>
                <w:rFonts w:hint="eastAsia" w:cs="Times New Roman"/>
                <w:b/>
                <w:bCs/>
                <w:color w:val="auto"/>
                <w:kern w:val="2"/>
                <w:sz w:val="21"/>
                <w:szCs w:val="21"/>
                <w:u w:val="single"/>
                <w:lang w:val="en-US" w:eastAsia="zh-CN" w:bidi="ar-SA"/>
              </w:rPr>
              <w:t>1.0</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达标情况</w:t>
            </w:r>
          </w:p>
        </w:tc>
        <w:tc>
          <w:tcPr>
            <w:tcW w:w="1046" w:type="pct"/>
            <w:vAlign w:val="center"/>
          </w:tcPr>
          <w:p>
            <w:pPr>
              <w:pStyle w:val="182"/>
              <w:ind w:firstLine="0" w:firstLineChars="0"/>
              <w:rPr>
                <w:b/>
                <w:bCs/>
                <w:color w:val="auto"/>
                <w:kern w:val="2"/>
                <w:szCs w:val="24"/>
                <w:u w:val="single"/>
              </w:rPr>
            </w:pPr>
            <w:r>
              <w:rPr>
                <w:rFonts w:hint="default"/>
                <w:b/>
                <w:bCs/>
                <w:color w:val="auto"/>
                <w:kern w:val="2"/>
                <w:szCs w:val="24"/>
                <w:u w:val="single"/>
              </w:rPr>
              <w:t>达标</w:t>
            </w:r>
          </w:p>
        </w:tc>
        <w:tc>
          <w:tcPr>
            <w:tcW w:w="1067" w:type="pct"/>
            <w:vAlign w:val="center"/>
          </w:tcPr>
          <w:p>
            <w:pPr>
              <w:pStyle w:val="182"/>
              <w:ind w:firstLine="0" w:firstLineChars="0"/>
              <w:rPr>
                <w:b/>
                <w:bCs/>
                <w:color w:val="auto"/>
                <w:kern w:val="2"/>
                <w:szCs w:val="24"/>
                <w:u w:val="single"/>
              </w:rPr>
            </w:pPr>
            <w:r>
              <w:rPr>
                <w:rFonts w:hint="default"/>
                <w:b/>
                <w:bCs/>
                <w:color w:val="auto"/>
                <w:kern w:val="2"/>
                <w:szCs w:val="24"/>
                <w:u w:val="single"/>
              </w:rPr>
              <w:t>达标</w:t>
            </w:r>
          </w:p>
        </w:tc>
        <w:tc>
          <w:tcPr>
            <w:tcW w:w="921" w:type="pct"/>
            <w:vAlign w:val="center"/>
          </w:tcPr>
          <w:p>
            <w:pPr>
              <w:pStyle w:val="182"/>
              <w:ind w:firstLine="0" w:firstLineChars="0"/>
              <w:rPr>
                <w:rFonts w:ascii="Times New Roman" w:hAnsi="Times New Roman" w:eastAsia="宋体" w:cs="Times New Roman"/>
                <w:b/>
                <w:bCs/>
                <w:color w:val="auto"/>
                <w:kern w:val="2"/>
                <w:sz w:val="21"/>
                <w:szCs w:val="24"/>
                <w:u w:val="single"/>
                <w:lang w:val="en-US" w:eastAsia="zh-CN" w:bidi="ar-SA"/>
              </w:rPr>
            </w:pPr>
            <w:r>
              <w:rPr>
                <w:rFonts w:hint="default"/>
                <w:b/>
                <w:bCs/>
                <w:color w:val="auto"/>
                <w:kern w:val="2"/>
                <w:szCs w:val="24"/>
                <w:u w:val="singl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restart"/>
            <w:vAlign w:val="center"/>
          </w:tcPr>
          <w:p>
            <w:pPr>
              <w:pStyle w:val="182"/>
              <w:rPr>
                <w:b/>
                <w:bCs/>
                <w:color w:val="auto"/>
                <w:kern w:val="2"/>
                <w:szCs w:val="24"/>
                <w:u w:val="single"/>
              </w:rPr>
            </w:pPr>
            <w:r>
              <w:rPr>
                <w:rFonts w:hint="default"/>
                <w:b/>
                <w:bCs/>
                <w:iCs w:val="0"/>
                <w:color w:val="auto"/>
                <w:szCs w:val="24"/>
                <w:u w:val="single"/>
              </w:rPr>
              <w:t>大杨庄村</w:t>
            </w:r>
          </w:p>
        </w:tc>
        <w:tc>
          <w:tcPr>
            <w:tcW w:w="1005" w:type="pct"/>
            <w:vAlign w:val="center"/>
          </w:tcPr>
          <w:p>
            <w:pPr>
              <w:pStyle w:val="182"/>
              <w:rPr>
                <w:b/>
                <w:bCs/>
                <w:color w:val="auto"/>
                <w:kern w:val="2"/>
                <w:szCs w:val="24"/>
                <w:u w:val="single"/>
              </w:rPr>
            </w:pPr>
            <w:r>
              <w:rPr>
                <w:rFonts w:hint="default"/>
                <w:b/>
                <w:bCs/>
                <w:color w:val="auto"/>
                <w:kern w:val="2"/>
                <w:szCs w:val="24"/>
                <w:u w:val="single"/>
              </w:rPr>
              <w:t>浓度范围</w:t>
            </w:r>
          </w:p>
        </w:tc>
        <w:tc>
          <w:tcPr>
            <w:tcW w:w="1046" w:type="pct"/>
            <w:vAlign w:val="center"/>
          </w:tcPr>
          <w:p>
            <w:pPr>
              <w:pStyle w:val="182"/>
              <w:ind w:firstLine="0" w:firstLineChars="0"/>
              <w:rPr>
                <w:b/>
                <w:bCs/>
                <w:color w:val="auto"/>
                <w:kern w:val="2"/>
                <w:szCs w:val="24"/>
                <w:u w:val="single"/>
              </w:rPr>
            </w:pPr>
            <w:r>
              <w:rPr>
                <w:rFonts w:hint="eastAsia" w:cs="Times New Roman"/>
                <w:b/>
                <w:bCs/>
                <w:color w:val="auto"/>
                <w:kern w:val="2"/>
                <w:sz w:val="21"/>
                <w:szCs w:val="21"/>
                <w:u w:val="single"/>
                <w:lang w:val="en-US" w:eastAsia="zh-CN" w:bidi="ar-SA"/>
              </w:rPr>
              <w:t>ND</w:t>
            </w:r>
          </w:p>
        </w:tc>
        <w:tc>
          <w:tcPr>
            <w:tcW w:w="1067" w:type="pct"/>
            <w:vAlign w:val="center"/>
          </w:tcPr>
          <w:p>
            <w:pPr>
              <w:pStyle w:val="182"/>
              <w:rPr>
                <w:rFonts w:hint="default" w:eastAsia="宋体"/>
                <w:b/>
                <w:bCs/>
                <w:color w:val="auto"/>
                <w:kern w:val="2"/>
                <w:szCs w:val="24"/>
                <w:u w:val="single"/>
                <w:lang w:val="en-US" w:eastAsia="zh-CN"/>
              </w:rPr>
            </w:pPr>
            <w:r>
              <w:rPr>
                <w:rFonts w:hint="eastAsia"/>
                <w:b/>
                <w:bCs/>
                <w:color w:val="auto"/>
                <w:kern w:val="2"/>
                <w:szCs w:val="24"/>
                <w:u w:val="single"/>
                <w:lang w:val="en-US" w:eastAsia="zh-CN"/>
              </w:rPr>
              <w:t>1.30</w:t>
            </w:r>
          </w:p>
        </w:tc>
        <w:tc>
          <w:tcPr>
            <w:tcW w:w="921" w:type="pct"/>
            <w:vAlign w:val="center"/>
          </w:tcPr>
          <w:p>
            <w:pPr>
              <w:pStyle w:val="182"/>
              <w:ind w:firstLine="0" w:firstLineChars="0"/>
              <w:rPr>
                <w:rFonts w:ascii="Times New Roman" w:hAnsi="Times New Roman" w:eastAsia="宋体" w:cs="Times New Roman"/>
                <w:b/>
                <w:bCs/>
                <w:color w:val="auto"/>
                <w:kern w:val="2"/>
                <w:sz w:val="21"/>
                <w:szCs w:val="24"/>
                <w:u w:val="single"/>
                <w:lang w:val="en-US" w:eastAsia="zh-CN" w:bidi="ar-SA"/>
              </w:rPr>
            </w:pPr>
            <w:r>
              <w:rPr>
                <w:rFonts w:hint="eastAsia" w:cs="Times New Roman"/>
                <w:b/>
                <w:bCs/>
                <w:color w:val="auto"/>
                <w:kern w:val="2"/>
                <w:sz w:val="21"/>
                <w:szCs w:val="21"/>
                <w:u w:val="single"/>
                <w:lang w:val="en-US" w:eastAsia="zh-CN" w:bidi="ar-SA"/>
              </w:rPr>
              <w:t>ND</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标准限值</w:t>
            </w:r>
          </w:p>
        </w:tc>
        <w:tc>
          <w:tcPr>
            <w:tcW w:w="1046" w:type="pct"/>
            <w:vAlign w:val="center"/>
          </w:tcPr>
          <w:p>
            <w:pPr>
              <w:pStyle w:val="182"/>
              <w:ind w:firstLine="0" w:firstLineChars="0"/>
              <w:rPr>
                <w:b/>
                <w:bCs/>
                <w:color w:val="auto"/>
                <w:kern w:val="2"/>
                <w:szCs w:val="24"/>
                <w:u w:val="single"/>
              </w:rPr>
            </w:pPr>
            <w:r>
              <w:rPr>
                <w:rFonts w:hint="eastAsia" w:cs="Times New Roman"/>
                <w:b/>
                <w:bCs/>
                <w:color w:val="auto"/>
                <w:kern w:val="2"/>
                <w:sz w:val="21"/>
                <w:szCs w:val="21"/>
                <w:u w:val="single"/>
                <w:lang w:val="en-US" w:eastAsia="zh-CN" w:bidi="ar-SA"/>
              </w:rPr>
              <w:t>0.02</w:t>
            </w:r>
          </w:p>
        </w:tc>
        <w:tc>
          <w:tcPr>
            <w:tcW w:w="1067" w:type="pct"/>
            <w:vAlign w:val="center"/>
          </w:tcPr>
          <w:p>
            <w:pPr>
              <w:pStyle w:val="182"/>
              <w:ind w:firstLine="0" w:firstLineChars="0"/>
              <w:rPr>
                <w:b/>
                <w:bCs/>
                <w:color w:val="auto"/>
                <w:kern w:val="2"/>
                <w:szCs w:val="24"/>
                <w:u w:val="single"/>
              </w:rPr>
            </w:pPr>
            <w:r>
              <w:rPr>
                <w:rFonts w:hint="eastAsia"/>
                <w:b/>
                <w:bCs/>
                <w:color w:val="auto"/>
                <w:kern w:val="2"/>
                <w:szCs w:val="24"/>
                <w:u w:val="single"/>
                <w:lang w:val="en-US" w:eastAsia="zh-CN"/>
              </w:rPr>
              <w:t>20.0</w:t>
            </w:r>
          </w:p>
        </w:tc>
        <w:tc>
          <w:tcPr>
            <w:tcW w:w="921" w:type="pct"/>
            <w:vAlign w:val="center"/>
          </w:tcPr>
          <w:p>
            <w:pPr>
              <w:pStyle w:val="182"/>
              <w:ind w:firstLine="0" w:firstLineChars="0"/>
              <w:rPr>
                <w:rFonts w:hint="default" w:ascii="Times New Roman" w:hAnsi="Times New Roman" w:eastAsia="宋体" w:cs="Times New Roman"/>
                <w:b/>
                <w:bCs/>
                <w:color w:val="auto"/>
                <w:kern w:val="2"/>
                <w:sz w:val="21"/>
                <w:szCs w:val="24"/>
                <w:u w:val="single"/>
                <w:lang w:val="en-US" w:eastAsia="zh-CN" w:bidi="ar-SA"/>
              </w:rPr>
            </w:pPr>
            <w:r>
              <w:rPr>
                <w:rFonts w:hint="eastAsia" w:cs="Times New Roman"/>
                <w:b/>
                <w:bCs/>
                <w:color w:val="auto"/>
                <w:kern w:val="2"/>
                <w:sz w:val="21"/>
                <w:szCs w:val="21"/>
                <w:u w:val="single"/>
                <w:lang w:val="en-US" w:eastAsia="zh-CN" w:bidi="ar-SA"/>
              </w:rPr>
              <w:t>1.0</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达标情况</w:t>
            </w:r>
          </w:p>
        </w:tc>
        <w:tc>
          <w:tcPr>
            <w:tcW w:w="1046" w:type="pct"/>
            <w:vAlign w:val="center"/>
          </w:tcPr>
          <w:p>
            <w:pPr>
              <w:pStyle w:val="182"/>
              <w:ind w:firstLine="0" w:firstLineChars="0"/>
              <w:rPr>
                <w:b/>
                <w:bCs/>
                <w:color w:val="auto"/>
                <w:kern w:val="2"/>
                <w:szCs w:val="24"/>
                <w:u w:val="single"/>
              </w:rPr>
            </w:pPr>
            <w:r>
              <w:rPr>
                <w:rFonts w:hint="default"/>
                <w:b/>
                <w:bCs/>
                <w:color w:val="auto"/>
                <w:kern w:val="2"/>
                <w:szCs w:val="24"/>
                <w:u w:val="single"/>
              </w:rPr>
              <w:t>达标</w:t>
            </w:r>
          </w:p>
        </w:tc>
        <w:tc>
          <w:tcPr>
            <w:tcW w:w="1067" w:type="pct"/>
            <w:vAlign w:val="center"/>
          </w:tcPr>
          <w:p>
            <w:pPr>
              <w:pStyle w:val="182"/>
              <w:ind w:firstLine="0" w:firstLineChars="0"/>
              <w:rPr>
                <w:b/>
                <w:bCs/>
                <w:color w:val="auto"/>
                <w:kern w:val="2"/>
                <w:szCs w:val="24"/>
                <w:u w:val="single"/>
              </w:rPr>
            </w:pPr>
            <w:r>
              <w:rPr>
                <w:rFonts w:hint="default"/>
                <w:b/>
                <w:bCs/>
                <w:color w:val="auto"/>
                <w:kern w:val="2"/>
                <w:szCs w:val="24"/>
                <w:u w:val="single"/>
              </w:rPr>
              <w:t>达标</w:t>
            </w:r>
          </w:p>
        </w:tc>
        <w:tc>
          <w:tcPr>
            <w:tcW w:w="921" w:type="pct"/>
            <w:vAlign w:val="center"/>
          </w:tcPr>
          <w:p>
            <w:pPr>
              <w:pStyle w:val="182"/>
              <w:ind w:firstLine="0" w:firstLineChars="0"/>
              <w:rPr>
                <w:rFonts w:ascii="Times New Roman" w:hAnsi="Times New Roman" w:eastAsia="宋体" w:cs="Times New Roman"/>
                <w:b/>
                <w:bCs/>
                <w:color w:val="auto"/>
                <w:kern w:val="2"/>
                <w:sz w:val="21"/>
                <w:szCs w:val="24"/>
                <w:u w:val="single"/>
                <w:lang w:val="en-US" w:eastAsia="zh-CN" w:bidi="ar-SA"/>
              </w:rPr>
            </w:pPr>
            <w:r>
              <w:rPr>
                <w:rFonts w:hint="default"/>
                <w:b/>
                <w:bCs/>
                <w:color w:val="auto"/>
                <w:kern w:val="2"/>
                <w:szCs w:val="24"/>
                <w:u w:val="singl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restart"/>
            <w:vAlign w:val="center"/>
          </w:tcPr>
          <w:p>
            <w:pPr>
              <w:pStyle w:val="182"/>
              <w:rPr>
                <w:b/>
                <w:bCs/>
                <w:color w:val="auto"/>
                <w:kern w:val="2"/>
                <w:szCs w:val="24"/>
                <w:u w:val="single"/>
              </w:rPr>
            </w:pPr>
            <w:r>
              <w:rPr>
                <w:rFonts w:hint="default"/>
                <w:b/>
                <w:bCs/>
                <w:iCs w:val="0"/>
                <w:color w:val="auto"/>
                <w:szCs w:val="24"/>
                <w:u w:val="single"/>
              </w:rPr>
              <w:t>小杨庄村</w:t>
            </w:r>
          </w:p>
        </w:tc>
        <w:tc>
          <w:tcPr>
            <w:tcW w:w="1005" w:type="pct"/>
            <w:vAlign w:val="center"/>
          </w:tcPr>
          <w:p>
            <w:pPr>
              <w:pStyle w:val="182"/>
              <w:rPr>
                <w:b/>
                <w:bCs/>
                <w:color w:val="auto"/>
                <w:kern w:val="2"/>
                <w:szCs w:val="24"/>
                <w:u w:val="single"/>
              </w:rPr>
            </w:pPr>
            <w:r>
              <w:rPr>
                <w:rFonts w:hint="default"/>
                <w:b/>
                <w:bCs/>
                <w:color w:val="auto"/>
                <w:kern w:val="2"/>
                <w:szCs w:val="24"/>
                <w:u w:val="single"/>
              </w:rPr>
              <w:t>浓度范围</w:t>
            </w:r>
          </w:p>
        </w:tc>
        <w:tc>
          <w:tcPr>
            <w:tcW w:w="1046" w:type="pct"/>
            <w:vAlign w:val="center"/>
          </w:tcPr>
          <w:p>
            <w:pPr>
              <w:pStyle w:val="182"/>
              <w:ind w:firstLine="0" w:firstLineChars="0"/>
              <w:rPr>
                <w:b/>
                <w:bCs/>
                <w:color w:val="auto"/>
                <w:kern w:val="2"/>
                <w:szCs w:val="24"/>
                <w:u w:val="single"/>
              </w:rPr>
            </w:pPr>
            <w:r>
              <w:rPr>
                <w:rFonts w:hint="eastAsia" w:cs="Times New Roman"/>
                <w:b/>
                <w:bCs/>
                <w:color w:val="auto"/>
                <w:kern w:val="2"/>
                <w:sz w:val="21"/>
                <w:szCs w:val="21"/>
                <w:u w:val="single"/>
                <w:lang w:val="en-US" w:eastAsia="zh-CN" w:bidi="ar-SA"/>
              </w:rPr>
              <w:t>ND</w:t>
            </w:r>
          </w:p>
        </w:tc>
        <w:tc>
          <w:tcPr>
            <w:tcW w:w="1067" w:type="pct"/>
            <w:vAlign w:val="center"/>
          </w:tcPr>
          <w:p>
            <w:pPr>
              <w:pStyle w:val="182"/>
              <w:rPr>
                <w:rFonts w:hint="default" w:eastAsia="宋体"/>
                <w:b/>
                <w:bCs/>
                <w:color w:val="auto"/>
                <w:kern w:val="2"/>
                <w:szCs w:val="24"/>
                <w:u w:val="single"/>
                <w:lang w:val="en-US" w:eastAsia="zh-CN"/>
              </w:rPr>
            </w:pPr>
            <w:r>
              <w:rPr>
                <w:rFonts w:hint="eastAsia"/>
                <w:b/>
                <w:bCs/>
                <w:color w:val="auto"/>
                <w:kern w:val="2"/>
                <w:szCs w:val="24"/>
                <w:u w:val="single"/>
                <w:lang w:val="en-US" w:eastAsia="zh-CN"/>
              </w:rPr>
              <w:t>1.27</w:t>
            </w:r>
          </w:p>
        </w:tc>
        <w:tc>
          <w:tcPr>
            <w:tcW w:w="921" w:type="pct"/>
            <w:vAlign w:val="center"/>
          </w:tcPr>
          <w:p>
            <w:pPr>
              <w:pStyle w:val="182"/>
              <w:ind w:firstLine="0" w:firstLineChars="0"/>
              <w:rPr>
                <w:rFonts w:ascii="Times New Roman" w:hAnsi="Times New Roman" w:eastAsia="宋体" w:cs="Times New Roman"/>
                <w:b/>
                <w:bCs/>
                <w:color w:val="auto"/>
                <w:kern w:val="2"/>
                <w:sz w:val="21"/>
                <w:szCs w:val="24"/>
                <w:u w:val="single"/>
                <w:lang w:val="en-US" w:eastAsia="zh-CN" w:bidi="ar-SA"/>
              </w:rPr>
            </w:pPr>
            <w:r>
              <w:rPr>
                <w:rFonts w:hint="eastAsia" w:cs="Times New Roman"/>
                <w:b/>
                <w:bCs/>
                <w:color w:val="auto"/>
                <w:kern w:val="2"/>
                <w:sz w:val="21"/>
                <w:szCs w:val="21"/>
                <w:u w:val="single"/>
                <w:lang w:val="en-US" w:eastAsia="zh-CN" w:bidi="ar-SA"/>
              </w:rPr>
              <w:t>ND</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标准限值</w:t>
            </w:r>
          </w:p>
        </w:tc>
        <w:tc>
          <w:tcPr>
            <w:tcW w:w="1046" w:type="pct"/>
            <w:vAlign w:val="center"/>
          </w:tcPr>
          <w:p>
            <w:pPr>
              <w:pStyle w:val="182"/>
              <w:ind w:firstLine="0" w:firstLineChars="0"/>
              <w:rPr>
                <w:b/>
                <w:bCs/>
                <w:color w:val="auto"/>
                <w:kern w:val="2"/>
                <w:szCs w:val="24"/>
                <w:u w:val="single"/>
              </w:rPr>
            </w:pPr>
            <w:r>
              <w:rPr>
                <w:rFonts w:hint="eastAsia" w:cs="Times New Roman"/>
                <w:b/>
                <w:bCs/>
                <w:color w:val="auto"/>
                <w:kern w:val="2"/>
                <w:sz w:val="21"/>
                <w:szCs w:val="21"/>
                <w:u w:val="single"/>
                <w:lang w:val="en-US" w:eastAsia="zh-CN" w:bidi="ar-SA"/>
              </w:rPr>
              <w:t>0.02</w:t>
            </w:r>
          </w:p>
        </w:tc>
        <w:tc>
          <w:tcPr>
            <w:tcW w:w="1067" w:type="pct"/>
            <w:vAlign w:val="center"/>
          </w:tcPr>
          <w:p>
            <w:pPr>
              <w:pStyle w:val="182"/>
              <w:ind w:firstLine="0" w:firstLineChars="0"/>
              <w:rPr>
                <w:b/>
                <w:bCs/>
                <w:color w:val="auto"/>
                <w:kern w:val="2"/>
                <w:szCs w:val="24"/>
                <w:u w:val="single"/>
              </w:rPr>
            </w:pPr>
            <w:r>
              <w:rPr>
                <w:rFonts w:hint="eastAsia"/>
                <w:b/>
                <w:bCs/>
                <w:color w:val="auto"/>
                <w:kern w:val="2"/>
                <w:szCs w:val="24"/>
                <w:u w:val="single"/>
                <w:lang w:val="en-US" w:eastAsia="zh-CN"/>
              </w:rPr>
              <w:t>20.0</w:t>
            </w:r>
          </w:p>
        </w:tc>
        <w:tc>
          <w:tcPr>
            <w:tcW w:w="921" w:type="pct"/>
            <w:vAlign w:val="center"/>
          </w:tcPr>
          <w:p>
            <w:pPr>
              <w:pStyle w:val="182"/>
              <w:ind w:firstLine="0" w:firstLineChars="0"/>
              <w:rPr>
                <w:rFonts w:hint="default" w:ascii="Times New Roman" w:hAnsi="Times New Roman" w:eastAsia="宋体" w:cs="Times New Roman"/>
                <w:b/>
                <w:bCs/>
                <w:color w:val="auto"/>
                <w:kern w:val="2"/>
                <w:sz w:val="21"/>
                <w:szCs w:val="24"/>
                <w:u w:val="single"/>
                <w:lang w:val="en-US" w:eastAsia="zh-CN" w:bidi="ar-SA"/>
              </w:rPr>
            </w:pPr>
            <w:r>
              <w:rPr>
                <w:rFonts w:hint="eastAsia" w:cs="Times New Roman"/>
                <w:b/>
                <w:bCs/>
                <w:color w:val="auto"/>
                <w:kern w:val="2"/>
                <w:sz w:val="21"/>
                <w:szCs w:val="21"/>
                <w:u w:val="single"/>
                <w:lang w:val="en-US" w:eastAsia="zh-CN" w:bidi="ar-SA"/>
              </w:rPr>
              <w:t>1.0</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59" w:type="pct"/>
            <w:vMerge w:val="continue"/>
            <w:vAlign w:val="center"/>
          </w:tcPr>
          <w:p>
            <w:pPr>
              <w:pStyle w:val="182"/>
              <w:rPr>
                <w:b/>
                <w:bCs/>
                <w:color w:val="auto"/>
                <w:kern w:val="2"/>
                <w:szCs w:val="24"/>
                <w:u w:val="single"/>
              </w:rPr>
            </w:pPr>
          </w:p>
        </w:tc>
        <w:tc>
          <w:tcPr>
            <w:tcW w:w="1005" w:type="pct"/>
            <w:vAlign w:val="center"/>
          </w:tcPr>
          <w:p>
            <w:pPr>
              <w:pStyle w:val="182"/>
              <w:rPr>
                <w:b/>
                <w:bCs/>
                <w:color w:val="auto"/>
                <w:kern w:val="2"/>
                <w:szCs w:val="24"/>
                <w:u w:val="single"/>
              </w:rPr>
            </w:pPr>
            <w:r>
              <w:rPr>
                <w:rFonts w:hint="default"/>
                <w:b/>
                <w:bCs/>
                <w:color w:val="auto"/>
                <w:kern w:val="2"/>
                <w:szCs w:val="24"/>
                <w:u w:val="single"/>
              </w:rPr>
              <w:t>达标情况</w:t>
            </w:r>
          </w:p>
        </w:tc>
        <w:tc>
          <w:tcPr>
            <w:tcW w:w="1046" w:type="pct"/>
            <w:vAlign w:val="center"/>
          </w:tcPr>
          <w:p>
            <w:pPr>
              <w:pStyle w:val="182"/>
              <w:ind w:firstLine="0" w:firstLineChars="0"/>
              <w:rPr>
                <w:b/>
                <w:bCs/>
                <w:color w:val="auto"/>
                <w:kern w:val="2"/>
                <w:szCs w:val="24"/>
                <w:u w:val="single"/>
              </w:rPr>
            </w:pPr>
            <w:r>
              <w:rPr>
                <w:rFonts w:hint="default"/>
                <w:b/>
                <w:bCs/>
                <w:color w:val="auto"/>
                <w:kern w:val="2"/>
                <w:szCs w:val="24"/>
                <w:u w:val="single"/>
              </w:rPr>
              <w:t>达标</w:t>
            </w:r>
          </w:p>
        </w:tc>
        <w:tc>
          <w:tcPr>
            <w:tcW w:w="1067" w:type="pct"/>
            <w:vAlign w:val="center"/>
          </w:tcPr>
          <w:p>
            <w:pPr>
              <w:pStyle w:val="182"/>
              <w:ind w:firstLine="0" w:firstLineChars="0"/>
              <w:rPr>
                <w:b/>
                <w:bCs/>
                <w:color w:val="auto"/>
                <w:kern w:val="2"/>
                <w:szCs w:val="24"/>
                <w:u w:val="single"/>
              </w:rPr>
            </w:pPr>
            <w:r>
              <w:rPr>
                <w:rFonts w:hint="default"/>
                <w:b/>
                <w:bCs/>
                <w:color w:val="auto"/>
                <w:kern w:val="2"/>
                <w:szCs w:val="24"/>
                <w:u w:val="single"/>
              </w:rPr>
              <w:t>达标</w:t>
            </w:r>
          </w:p>
        </w:tc>
        <w:tc>
          <w:tcPr>
            <w:tcW w:w="921" w:type="pct"/>
            <w:vAlign w:val="center"/>
          </w:tcPr>
          <w:p>
            <w:pPr>
              <w:pStyle w:val="182"/>
              <w:ind w:firstLine="0" w:firstLineChars="0"/>
              <w:rPr>
                <w:rFonts w:ascii="Times New Roman" w:hAnsi="Times New Roman" w:eastAsia="宋体" w:cs="Times New Roman"/>
                <w:b/>
                <w:bCs/>
                <w:color w:val="auto"/>
                <w:kern w:val="2"/>
                <w:sz w:val="21"/>
                <w:szCs w:val="24"/>
                <w:u w:val="single"/>
                <w:lang w:val="en-US" w:eastAsia="zh-CN" w:bidi="ar-SA"/>
              </w:rPr>
            </w:pPr>
            <w:r>
              <w:rPr>
                <w:rFonts w:hint="default"/>
                <w:b/>
                <w:bCs/>
                <w:color w:val="auto"/>
                <w:kern w:val="2"/>
                <w:szCs w:val="24"/>
                <w:u w:val="single"/>
              </w:rPr>
              <w:t>达标</w:t>
            </w:r>
          </w:p>
        </w:tc>
      </w:tr>
    </w:tbl>
    <w:p>
      <w:pPr>
        <w:bidi w:val="0"/>
        <w:rPr>
          <w:color w:val="auto"/>
        </w:rPr>
      </w:pPr>
      <w:r>
        <w:rPr>
          <w:color w:val="auto"/>
        </w:rPr>
        <w:t>由以上监测统计结果分析可知，评价区域内五个监测点位的地下水水质因子pH、总硬度、氨氮、耗氧量、溶解性总固体、</w:t>
      </w:r>
      <w:r>
        <w:rPr>
          <w:rFonts w:hint="eastAsia"/>
          <w:b/>
          <w:bCs/>
          <w:color w:val="auto"/>
          <w:u w:val="single"/>
        </w:rPr>
        <w:t>硫化物</w:t>
      </w:r>
      <w:r>
        <w:rPr>
          <w:rFonts w:hint="eastAsia"/>
          <w:b/>
          <w:bCs/>
          <w:color w:val="auto"/>
          <w:u w:val="single"/>
          <w:lang w:eastAsia="zh-CN"/>
        </w:rPr>
        <w:t>、</w:t>
      </w:r>
      <w:r>
        <w:rPr>
          <w:rFonts w:hint="eastAsia"/>
          <w:b/>
          <w:bCs/>
          <w:color w:val="auto"/>
          <w:u w:val="single"/>
        </w:rPr>
        <w:t>硝酸盐</w:t>
      </w:r>
      <w:r>
        <w:rPr>
          <w:rFonts w:hint="eastAsia"/>
          <w:b/>
          <w:bCs/>
          <w:color w:val="auto"/>
          <w:u w:val="single"/>
          <w:lang w:eastAsia="zh-CN"/>
        </w:rPr>
        <w:t>、</w:t>
      </w:r>
      <w:r>
        <w:rPr>
          <w:rFonts w:hint="eastAsia"/>
          <w:b/>
          <w:bCs/>
          <w:color w:val="auto"/>
          <w:u w:val="single"/>
        </w:rPr>
        <w:t>亚硝酸盐</w:t>
      </w:r>
      <w:r>
        <w:rPr>
          <w:rFonts w:hint="eastAsia"/>
          <w:b/>
          <w:bCs/>
          <w:color w:val="auto"/>
          <w:u w:val="single"/>
          <w:lang w:eastAsia="zh-CN"/>
        </w:rPr>
        <w:t>、</w:t>
      </w:r>
      <w:r>
        <w:rPr>
          <w:color w:val="auto"/>
        </w:rPr>
        <w:t>Cl</w:t>
      </w:r>
      <w:r>
        <w:rPr>
          <w:color w:val="auto"/>
          <w:vertAlign w:val="superscript"/>
        </w:rPr>
        <w:t>-</w:t>
      </w:r>
      <w:r>
        <w:rPr>
          <w:color w:val="auto"/>
        </w:rPr>
        <w:t>、SO</w:t>
      </w:r>
      <w:r>
        <w:rPr>
          <w:color w:val="auto"/>
          <w:vertAlign w:val="subscript"/>
        </w:rPr>
        <w:t>4</w:t>
      </w:r>
      <w:r>
        <w:rPr>
          <w:color w:val="auto"/>
          <w:vertAlign w:val="superscript"/>
        </w:rPr>
        <w:t>2</w:t>
      </w:r>
      <w:r>
        <w:rPr>
          <w:rFonts w:hint="eastAsia"/>
          <w:color w:val="auto"/>
          <w:vertAlign w:val="superscript"/>
          <w:lang w:eastAsia="zh-CN"/>
        </w:rPr>
        <w:t>－</w:t>
      </w:r>
      <w:r>
        <w:rPr>
          <w:color w:val="auto"/>
        </w:rPr>
        <w:t>等监测因子均能满足《地下水质量标准》（GB/T</w:t>
      </w:r>
      <w:r>
        <w:rPr>
          <w:rFonts w:hint="eastAsia"/>
          <w:color w:val="auto"/>
          <w:lang w:val="en-US" w:eastAsia="zh-CN"/>
        </w:rPr>
        <w:t xml:space="preserve"> </w:t>
      </w:r>
      <w:r>
        <w:rPr>
          <w:color w:val="auto"/>
        </w:rPr>
        <w:t>1484</w:t>
      </w:r>
      <w:r>
        <w:rPr>
          <w:rFonts w:hint="eastAsia"/>
          <w:color w:val="auto"/>
          <w:lang w:val="en-US" w:eastAsia="zh-CN"/>
        </w:rPr>
        <w:t>8</w:t>
      </w:r>
      <w:r>
        <w:rPr>
          <w:color w:val="auto"/>
        </w:rPr>
        <w:t>-2017）Ⅲ类标准的要求。</w:t>
      </w:r>
    </w:p>
    <w:p>
      <w:pPr>
        <w:bidi w:val="0"/>
        <w:rPr>
          <w:color w:val="auto"/>
        </w:rPr>
      </w:pPr>
      <w:r>
        <w:rPr>
          <w:color w:val="auto"/>
        </w:rPr>
        <w:t>本次评价监测的区域地下水水位统计情况详见表4</w:t>
      </w:r>
      <w:r>
        <w:rPr>
          <w:rFonts w:hint="eastAsia"/>
          <w:color w:val="auto"/>
          <w:lang w:val="en-US" w:eastAsia="zh-CN"/>
        </w:rPr>
        <w:t>.2</w:t>
      </w:r>
      <w:r>
        <w:rPr>
          <w:color w:val="auto"/>
        </w:rPr>
        <w:t>-1</w:t>
      </w:r>
      <w:r>
        <w:rPr>
          <w:rFonts w:hint="eastAsia"/>
          <w:color w:val="auto"/>
          <w:lang w:val="en-US" w:eastAsia="zh-CN"/>
        </w:rPr>
        <w:t>7</w:t>
      </w:r>
      <w:r>
        <w:rPr>
          <w:color w:val="auto"/>
        </w:rPr>
        <w:t>。</w:t>
      </w:r>
    </w:p>
    <w:p>
      <w:pPr>
        <w:pStyle w:val="181"/>
        <w:rPr>
          <w:color w:val="auto"/>
        </w:rPr>
      </w:pPr>
      <w:r>
        <w:rPr>
          <w:color w:val="auto"/>
        </w:rPr>
        <w:t>表</w:t>
      </w:r>
      <w:r>
        <w:rPr>
          <w:rFonts w:hint="eastAsia"/>
          <w:color w:val="auto"/>
        </w:rPr>
        <w:t>4</w:t>
      </w:r>
      <w:r>
        <w:rPr>
          <w:rFonts w:hint="eastAsia"/>
          <w:color w:val="auto"/>
          <w:lang w:val="en-US" w:eastAsia="zh-CN"/>
        </w:rPr>
        <w:t>.2</w:t>
      </w:r>
      <w:r>
        <w:rPr>
          <w:color w:val="auto"/>
        </w:rPr>
        <w:t>-1</w:t>
      </w:r>
      <w:r>
        <w:rPr>
          <w:rFonts w:hint="eastAsia"/>
          <w:color w:val="auto"/>
          <w:lang w:val="en-US" w:eastAsia="zh-CN"/>
        </w:rPr>
        <w:t>7</w:t>
      </w:r>
      <w:r>
        <w:rPr>
          <w:rFonts w:hint="eastAsia"/>
          <w:color w:val="auto"/>
        </w:rPr>
        <w:t xml:space="preserve"> </w:t>
      </w:r>
      <w:r>
        <w:rPr>
          <w:color w:val="auto"/>
        </w:rPr>
        <w:t xml:space="preserve">    </w:t>
      </w:r>
      <w:r>
        <w:rPr>
          <w:rFonts w:hint="eastAsia"/>
          <w:color w:val="auto"/>
        </w:rPr>
        <w:t xml:space="preserve">  </w:t>
      </w:r>
      <w:r>
        <w:rPr>
          <w:color w:val="auto"/>
        </w:rPr>
        <w:t>地下水</w:t>
      </w:r>
      <w:r>
        <w:rPr>
          <w:rFonts w:hint="eastAsia"/>
          <w:color w:val="auto"/>
        </w:rPr>
        <w:t>水位</w:t>
      </w:r>
      <w:r>
        <w:rPr>
          <w:color w:val="auto"/>
        </w:rPr>
        <w:t>现状</w:t>
      </w:r>
      <w:r>
        <w:rPr>
          <w:rFonts w:hint="eastAsia"/>
          <w:color w:val="auto"/>
        </w:rPr>
        <w:t>监测</w:t>
      </w:r>
      <w:r>
        <w:rPr>
          <w:color w:val="auto"/>
        </w:rPr>
        <w:t>结果统计</w:t>
      </w:r>
      <w:r>
        <w:rPr>
          <w:rFonts w:hint="eastAsia"/>
          <w:color w:val="auto"/>
        </w:rPr>
        <w:t xml:space="preserve">表    </w:t>
      </w:r>
      <w:r>
        <w:rPr>
          <w:color w:val="auto"/>
        </w:rPr>
        <w:t>单位：mg/L</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2014"/>
        <w:gridCol w:w="1321"/>
        <w:gridCol w:w="1761"/>
        <w:gridCol w:w="1761"/>
        <w:gridCol w:w="166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jc w:val="center"/>
        </w:trPr>
        <w:tc>
          <w:tcPr>
            <w:tcW w:w="1182" w:type="pct"/>
            <w:tcBorders>
              <w:top w:val="single" w:color="auto" w:sz="8" w:space="0"/>
              <w:left w:val="single" w:color="auto" w:sz="8" w:space="0"/>
              <w:bottom w:val="single" w:color="auto" w:sz="6" w:space="0"/>
            </w:tcBorders>
            <w:vAlign w:val="center"/>
          </w:tcPr>
          <w:p>
            <w:pPr>
              <w:pStyle w:val="182"/>
              <w:rPr>
                <w:b/>
                <w:bCs/>
                <w:color w:val="auto"/>
              </w:rPr>
            </w:pPr>
            <w:r>
              <w:rPr>
                <w:rFonts w:hint="eastAsia"/>
                <w:b/>
                <w:bCs/>
                <w:color w:val="auto"/>
              </w:rPr>
              <w:t>监测井位</w:t>
            </w:r>
          </w:p>
        </w:tc>
        <w:tc>
          <w:tcPr>
            <w:tcW w:w="775" w:type="pct"/>
            <w:tcBorders>
              <w:top w:val="single" w:color="auto" w:sz="8" w:space="0"/>
              <w:bottom w:val="single" w:color="auto" w:sz="6" w:space="0"/>
            </w:tcBorders>
            <w:vAlign w:val="center"/>
          </w:tcPr>
          <w:p>
            <w:pPr>
              <w:pStyle w:val="182"/>
              <w:rPr>
                <w:b/>
                <w:bCs/>
                <w:color w:val="auto"/>
              </w:rPr>
            </w:pPr>
            <w:r>
              <w:rPr>
                <w:rFonts w:hint="eastAsia"/>
                <w:b/>
                <w:bCs/>
                <w:color w:val="auto"/>
              </w:rPr>
              <w:t>采样时间</w:t>
            </w:r>
          </w:p>
        </w:tc>
        <w:tc>
          <w:tcPr>
            <w:tcW w:w="1033" w:type="pct"/>
            <w:tcBorders>
              <w:top w:val="single" w:color="auto" w:sz="8" w:space="0"/>
              <w:bottom w:val="single" w:color="auto" w:sz="6" w:space="0"/>
              <w:right w:val="single" w:color="auto" w:sz="4" w:space="0"/>
            </w:tcBorders>
            <w:vAlign w:val="center"/>
          </w:tcPr>
          <w:p>
            <w:pPr>
              <w:pStyle w:val="182"/>
              <w:rPr>
                <w:b/>
                <w:bCs/>
                <w:color w:val="auto"/>
              </w:rPr>
            </w:pPr>
            <w:r>
              <w:rPr>
                <w:rFonts w:hint="eastAsia"/>
                <w:b/>
                <w:bCs/>
                <w:color w:val="auto"/>
              </w:rPr>
              <w:t>井深（m）</w:t>
            </w:r>
          </w:p>
        </w:tc>
        <w:tc>
          <w:tcPr>
            <w:tcW w:w="1033" w:type="pct"/>
            <w:tcBorders>
              <w:top w:val="single" w:color="auto" w:sz="8" w:space="0"/>
              <w:left w:val="single" w:color="auto" w:sz="4" w:space="0"/>
              <w:bottom w:val="single" w:color="auto" w:sz="6" w:space="0"/>
            </w:tcBorders>
            <w:vAlign w:val="center"/>
          </w:tcPr>
          <w:p>
            <w:pPr>
              <w:pStyle w:val="182"/>
              <w:rPr>
                <w:b/>
                <w:bCs/>
                <w:color w:val="auto"/>
              </w:rPr>
            </w:pPr>
            <w:r>
              <w:rPr>
                <w:rFonts w:hint="eastAsia"/>
                <w:b/>
                <w:bCs/>
                <w:color w:val="auto"/>
              </w:rPr>
              <w:t>水位（m）</w:t>
            </w:r>
          </w:p>
        </w:tc>
        <w:tc>
          <w:tcPr>
            <w:tcW w:w="977" w:type="pct"/>
            <w:tcBorders>
              <w:top w:val="single" w:color="auto" w:sz="8" w:space="0"/>
              <w:bottom w:val="single" w:color="auto" w:sz="6" w:space="0"/>
              <w:right w:val="single" w:color="auto" w:sz="8" w:space="0"/>
            </w:tcBorders>
            <w:vAlign w:val="center"/>
          </w:tcPr>
          <w:p>
            <w:pPr>
              <w:pStyle w:val="182"/>
              <w:rPr>
                <w:b/>
                <w:bCs/>
                <w:color w:val="auto"/>
              </w:rPr>
            </w:pPr>
            <w:r>
              <w:rPr>
                <w:rFonts w:hint="eastAsia"/>
                <w:b/>
                <w:bCs/>
                <w:color w:val="auto"/>
              </w:rPr>
              <w:t>水温（℃）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6" w:space="0"/>
            </w:tcBorders>
            <w:vAlign w:val="center"/>
          </w:tcPr>
          <w:p>
            <w:pPr>
              <w:pStyle w:val="182"/>
              <w:rPr>
                <w:color w:val="auto"/>
              </w:rPr>
            </w:pPr>
            <w:r>
              <w:rPr>
                <w:rFonts w:hint="eastAsia"/>
                <w:color w:val="auto"/>
              </w:rPr>
              <w:t>化纤厂新厂区水井</w:t>
            </w:r>
          </w:p>
        </w:tc>
        <w:tc>
          <w:tcPr>
            <w:tcW w:w="775" w:type="pct"/>
            <w:vMerge w:val="restart"/>
            <w:tcBorders>
              <w:top w:val="single" w:color="auto" w:sz="6" w:space="0"/>
              <w:bottom w:val="single" w:color="auto" w:sz="6" w:space="0"/>
            </w:tcBorders>
            <w:vAlign w:val="center"/>
          </w:tcPr>
          <w:p>
            <w:pPr>
              <w:pStyle w:val="182"/>
              <w:rPr>
                <w:color w:val="auto"/>
              </w:rPr>
            </w:pPr>
            <w:r>
              <w:rPr>
                <w:rFonts w:hint="eastAsia"/>
                <w:color w:val="auto"/>
              </w:rPr>
              <w:t>2021.9.16</w:t>
            </w:r>
          </w:p>
        </w:tc>
        <w:tc>
          <w:tcPr>
            <w:tcW w:w="1033" w:type="pct"/>
            <w:tcBorders>
              <w:top w:val="single" w:color="auto" w:sz="6" w:space="0"/>
              <w:bottom w:val="single" w:color="auto" w:sz="6" w:space="0"/>
              <w:right w:val="single" w:color="auto" w:sz="4" w:space="0"/>
            </w:tcBorders>
            <w:vAlign w:val="center"/>
          </w:tcPr>
          <w:p>
            <w:pPr>
              <w:pStyle w:val="182"/>
              <w:rPr>
                <w:color w:val="auto"/>
              </w:rPr>
            </w:pPr>
            <w:r>
              <w:rPr>
                <w:color w:val="auto"/>
              </w:rPr>
              <w:t>100.0</w:t>
            </w:r>
          </w:p>
        </w:tc>
        <w:tc>
          <w:tcPr>
            <w:tcW w:w="1033" w:type="pct"/>
            <w:tcBorders>
              <w:top w:val="single" w:color="auto" w:sz="6" w:space="0"/>
              <w:left w:val="single" w:color="auto" w:sz="4" w:space="0"/>
              <w:bottom w:val="single" w:color="auto" w:sz="6" w:space="0"/>
            </w:tcBorders>
            <w:vAlign w:val="center"/>
          </w:tcPr>
          <w:p>
            <w:pPr>
              <w:pStyle w:val="182"/>
              <w:rPr>
                <w:color w:val="auto"/>
              </w:rPr>
            </w:pPr>
            <w:r>
              <w:rPr>
                <w:rFonts w:hint="eastAsia"/>
                <w:color w:val="auto"/>
              </w:rPr>
              <w:t>63.0</w:t>
            </w:r>
          </w:p>
        </w:tc>
        <w:tc>
          <w:tcPr>
            <w:tcW w:w="977" w:type="pct"/>
            <w:tcBorders>
              <w:top w:val="single" w:color="auto" w:sz="6" w:space="0"/>
              <w:bottom w:val="single" w:color="auto" w:sz="6" w:space="0"/>
              <w:right w:val="single" w:color="auto" w:sz="8" w:space="0"/>
            </w:tcBorders>
            <w:vAlign w:val="center"/>
          </w:tcPr>
          <w:p>
            <w:pPr>
              <w:pStyle w:val="182"/>
              <w:rPr>
                <w:color w:val="auto"/>
              </w:rPr>
            </w:pPr>
            <w:r>
              <w:rPr>
                <w:color w:val="auto"/>
              </w:rPr>
              <w:t>15.5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6" w:space="0"/>
            </w:tcBorders>
            <w:vAlign w:val="center"/>
          </w:tcPr>
          <w:p>
            <w:pPr>
              <w:pStyle w:val="182"/>
              <w:rPr>
                <w:color w:val="auto"/>
              </w:rPr>
            </w:pPr>
            <w:r>
              <w:rPr>
                <w:rFonts w:hint="eastAsia"/>
                <w:color w:val="auto"/>
              </w:rPr>
              <w:t>夏庄村</w:t>
            </w:r>
          </w:p>
        </w:tc>
        <w:tc>
          <w:tcPr>
            <w:tcW w:w="775" w:type="pct"/>
            <w:vMerge w:val="continue"/>
            <w:tcBorders>
              <w:top w:val="single" w:color="auto" w:sz="6" w:space="0"/>
              <w:bottom w:val="single" w:color="auto" w:sz="6" w:space="0"/>
            </w:tcBorders>
            <w:vAlign w:val="center"/>
          </w:tcPr>
          <w:p>
            <w:pPr>
              <w:pStyle w:val="182"/>
              <w:rPr>
                <w:color w:val="auto"/>
              </w:rPr>
            </w:pPr>
          </w:p>
        </w:tc>
        <w:tc>
          <w:tcPr>
            <w:tcW w:w="1033" w:type="pct"/>
            <w:tcBorders>
              <w:top w:val="single" w:color="auto" w:sz="6" w:space="0"/>
              <w:bottom w:val="single" w:color="auto" w:sz="6" w:space="0"/>
              <w:right w:val="single" w:color="auto" w:sz="4" w:space="0"/>
            </w:tcBorders>
            <w:vAlign w:val="center"/>
          </w:tcPr>
          <w:p>
            <w:pPr>
              <w:pStyle w:val="182"/>
              <w:rPr>
                <w:color w:val="auto"/>
              </w:rPr>
            </w:pPr>
            <w:r>
              <w:rPr>
                <w:color w:val="auto"/>
              </w:rPr>
              <w:t>60.0</w:t>
            </w:r>
          </w:p>
        </w:tc>
        <w:tc>
          <w:tcPr>
            <w:tcW w:w="1033" w:type="pct"/>
            <w:tcBorders>
              <w:top w:val="single" w:color="auto" w:sz="6" w:space="0"/>
              <w:left w:val="single" w:color="auto" w:sz="4" w:space="0"/>
              <w:bottom w:val="single" w:color="auto" w:sz="6" w:space="0"/>
            </w:tcBorders>
            <w:vAlign w:val="center"/>
          </w:tcPr>
          <w:p>
            <w:pPr>
              <w:pStyle w:val="182"/>
              <w:rPr>
                <w:color w:val="auto"/>
              </w:rPr>
            </w:pPr>
            <w:r>
              <w:rPr>
                <w:rFonts w:hint="eastAsia"/>
                <w:color w:val="auto"/>
              </w:rPr>
              <w:t>62.5</w:t>
            </w:r>
          </w:p>
        </w:tc>
        <w:tc>
          <w:tcPr>
            <w:tcW w:w="977" w:type="pct"/>
            <w:tcBorders>
              <w:top w:val="single" w:color="auto" w:sz="6" w:space="0"/>
              <w:bottom w:val="single" w:color="auto" w:sz="6" w:space="0"/>
              <w:right w:val="single" w:color="auto" w:sz="8" w:space="0"/>
            </w:tcBorders>
            <w:vAlign w:val="center"/>
          </w:tcPr>
          <w:p>
            <w:pPr>
              <w:pStyle w:val="182"/>
              <w:rPr>
                <w:color w:val="auto"/>
              </w:rPr>
            </w:pPr>
            <w:r>
              <w:rPr>
                <w:color w:val="auto"/>
              </w:rPr>
              <w:t>15.7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6" w:space="0"/>
            </w:tcBorders>
            <w:vAlign w:val="center"/>
          </w:tcPr>
          <w:p>
            <w:pPr>
              <w:pStyle w:val="182"/>
              <w:rPr>
                <w:color w:val="auto"/>
              </w:rPr>
            </w:pPr>
            <w:r>
              <w:rPr>
                <w:rFonts w:hint="eastAsia"/>
                <w:color w:val="auto"/>
              </w:rPr>
              <w:t>水花堡村</w:t>
            </w:r>
          </w:p>
        </w:tc>
        <w:tc>
          <w:tcPr>
            <w:tcW w:w="775" w:type="pct"/>
            <w:vMerge w:val="continue"/>
            <w:tcBorders>
              <w:top w:val="single" w:color="auto" w:sz="6" w:space="0"/>
              <w:bottom w:val="single" w:color="auto" w:sz="6" w:space="0"/>
            </w:tcBorders>
            <w:vAlign w:val="center"/>
          </w:tcPr>
          <w:p>
            <w:pPr>
              <w:pStyle w:val="182"/>
              <w:rPr>
                <w:color w:val="auto"/>
              </w:rPr>
            </w:pPr>
          </w:p>
        </w:tc>
        <w:tc>
          <w:tcPr>
            <w:tcW w:w="1033" w:type="pct"/>
            <w:tcBorders>
              <w:top w:val="single" w:color="auto" w:sz="6" w:space="0"/>
              <w:bottom w:val="single" w:color="auto" w:sz="6" w:space="0"/>
              <w:right w:val="single" w:color="auto" w:sz="4" w:space="0"/>
            </w:tcBorders>
            <w:vAlign w:val="center"/>
          </w:tcPr>
          <w:p>
            <w:pPr>
              <w:pStyle w:val="182"/>
              <w:rPr>
                <w:color w:val="auto"/>
              </w:rPr>
            </w:pPr>
            <w:r>
              <w:rPr>
                <w:color w:val="auto"/>
              </w:rPr>
              <w:t>50.0</w:t>
            </w:r>
          </w:p>
        </w:tc>
        <w:tc>
          <w:tcPr>
            <w:tcW w:w="1033" w:type="pct"/>
            <w:tcBorders>
              <w:top w:val="single" w:color="auto" w:sz="6" w:space="0"/>
              <w:left w:val="single" w:color="auto" w:sz="4" w:space="0"/>
              <w:bottom w:val="single" w:color="auto" w:sz="6" w:space="0"/>
            </w:tcBorders>
            <w:vAlign w:val="center"/>
          </w:tcPr>
          <w:p>
            <w:pPr>
              <w:pStyle w:val="182"/>
              <w:rPr>
                <w:color w:val="auto"/>
              </w:rPr>
            </w:pPr>
            <w:r>
              <w:rPr>
                <w:rFonts w:hint="eastAsia"/>
                <w:color w:val="auto"/>
              </w:rPr>
              <w:t>60.1</w:t>
            </w:r>
          </w:p>
        </w:tc>
        <w:tc>
          <w:tcPr>
            <w:tcW w:w="977" w:type="pct"/>
            <w:tcBorders>
              <w:top w:val="single" w:color="auto" w:sz="6" w:space="0"/>
              <w:bottom w:val="single" w:color="auto" w:sz="6" w:space="0"/>
              <w:right w:val="single" w:color="auto" w:sz="8" w:space="0"/>
            </w:tcBorders>
            <w:vAlign w:val="center"/>
          </w:tcPr>
          <w:p>
            <w:pPr>
              <w:pStyle w:val="182"/>
              <w:rPr>
                <w:color w:val="auto"/>
              </w:rPr>
            </w:pPr>
            <w:r>
              <w:rPr>
                <w:color w:val="auto"/>
              </w:rPr>
              <w:t>16.2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6" w:space="0"/>
            </w:tcBorders>
            <w:vAlign w:val="center"/>
          </w:tcPr>
          <w:p>
            <w:pPr>
              <w:pStyle w:val="182"/>
              <w:rPr>
                <w:color w:val="auto"/>
              </w:rPr>
            </w:pPr>
            <w:r>
              <w:rPr>
                <w:rFonts w:hint="eastAsia"/>
                <w:color w:val="auto"/>
              </w:rPr>
              <w:t>大杨庄村</w:t>
            </w:r>
          </w:p>
        </w:tc>
        <w:tc>
          <w:tcPr>
            <w:tcW w:w="775" w:type="pct"/>
            <w:vMerge w:val="continue"/>
            <w:tcBorders>
              <w:top w:val="single" w:color="auto" w:sz="6" w:space="0"/>
              <w:bottom w:val="single" w:color="auto" w:sz="6" w:space="0"/>
            </w:tcBorders>
            <w:vAlign w:val="center"/>
          </w:tcPr>
          <w:p>
            <w:pPr>
              <w:pStyle w:val="182"/>
              <w:rPr>
                <w:color w:val="auto"/>
              </w:rPr>
            </w:pPr>
          </w:p>
        </w:tc>
        <w:tc>
          <w:tcPr>
            <w:tcW w:w="1033" w:type="pct"/>
            <w:tcBorders>
              <w:top w:val="single" w:color="auto" w:sz="6" w:space="0"/>
              <w:bottom w:val="single" w:color="auto" w:sz="6" w:space="0"/>
              <w:right w:val="single" w:color="auto" w:sz="4" w:space="0"/>
            </w:tcBorders>
            <w:vAlign w:val="center"/>
          </w:tcPr>
          <w:p>
            <w:pPr>
              <w:pStyle w:val="182"/>
              <w:rPr>
                <w:color w:val="auto"/>
              </w:rPr>
            </w:pPr>
            <w:r>
              <w:rPr>
                <w:color w:val="auto"/>
              </w:rPr>
              <w:t>60.0</w:t>
            </w:r>
          </w:p>
        </w:tc>
        <w:tc>
          <w:tcPr>
            <w:tcW w:w="1033" w:type="pct"/>
            <w:tcBorders>
              <w:top w:val="single" w:color="auto" w:sz="6" w:space="0"/>
              <w:left w:val="single" w:color="auto" w:sz="4" w:space="0"/>
              <w:bottom w:val="single" w:color="auto" w:sz="6" w:space="0"/>
            </w:tcBorders>
            <w:vAlign w:val="center"/>
          </w:tcPr>
          <w:p>
            <w:pPr>
              <w:pStyle w:val="182"/>
              <w:rPr>
                <w:color w:val="auto"/>
              </w:rPr>
            </w:pPr>
            <w:r>
              <w:rPr>
                <w:rFonts w:hint="eastAsia"/>
                <w:color w:val="auto"/>
              </w:rPr>
              <w:t>65.8</w:t>
            </w:r>
          </w:p>
        </w:tc>
        <w:tc>
          <w:tcPr>
            <w:tcW w:w="977" w:type="pct"/>
            <w:tcBorders>
              <w:top w:val="single" w:color="auto" w:sz="6" w:space="0"/>
              <w:bottom w:val="single" w:color="auto" w:sz="6" w:space="0"/>
              <w:right w:val="single" w:color="auto" w:sz="8" w:space="0"/>
            </w:tcBorders>
            <w:vAlign w:val="center"/>
          </w:tcPr>
          <w:p>
            <w:pPr>
              <w:pStyle w:val="182"/>
              <w:rPr>
                <w:color w:val="auto"/>
              </w:rPr>
            </w:pPr>
            <w:r>
              <w:rPr>
                <w:color w:val="auto"/>
              </w:rPr>
              <w:t>15.3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6" w:space="0"/>
            </w:tcBorders>
            <w:vAlign w:val="center"/>
          </w:tcPr>
          <w:p>
            <w:pPr>
              <w:pStyle w:val="182"/>
              <w:rPr>
                <w:color w:val="auto"/>
              </w:rPr>
            </w:pPr>
            <w:r>
              <w:rPr>
                <w:rFonts w:hint="eastAsia"/>
                <w:color w:val="auto"/>
              </w:rPr>
              <w:t>小杨庄村</w:t>
            </w:r>
          </w:p>
        </w:tc>
        <w:tc>
          <w:tcPr>
            <w:tcW w:w="775" w:type="pct"/>
            <w:vMerge w:val="continue"/>
            <w:tcBorders>
              <w:top w:val="single" w:color="auto" w:sz="6" w:space="0"/>
              <w:bottom w:val="single" w:color="auto" w:sz="6" w:space="0"/>
            </w:tcBorders>
            <w:vAlign w:val="center"/>
          </w:tcPr>
          <w:p>
            <w:pPr>
              <w:pStyle w:val="182"/>
              <w:rPr>
                <w:color w:val="auto"/>
              </w:rPr>
            </w:pPr>
          </w:p>
        </w:tc>
        <w:tc>
          <w:tcPr>
            <w:tcW w:w="1033" w:type="pct"/>
            <w:tcBorders>
              <w:top w:val="single" w:color="auto" w:sz="6" w:space="0"/>
              <w:bottom w:val="single" w:color="auto" w:sz="6" w:space="0"/>
              <w:right w:val="single" w:color="auto" w:sz="4" w:space="0"/>
            </w:tcBorders>
            <w:vAlign w:val="center"/>
          </w:tcPr>
          <w:p>
            <w:pPr>
              <w:pStyle w:val="182"/>
              <w:rPr>
                <w:color w:val="auto"/>
              </w:rPr>
            </w:pPr>
            <w:r>
              <w:rPr>
                <w:color w:val="auto"/>
              </w:rPr>
              <w:t>50.0</w:t>
            </w:r>
          </w:p>
        </w:tc>
        <w:tc>
          <w:tcPr>
            <w:tcW w:w="1033" w:type="pct"/>
            <w:tcBorders>
              <w:top w:val="single" w:color="auto" w:sz="6" w:space="0"/>
              <w:left w:val="single" w:color="auto" w:sz="4" w:space="0"/>
              <w:bottom w:val="single" w:color="auto" w:sz="6" w:space="0"/>
            </w:tcBorders>
            <w:vAlign w:val="center"/>
          </w:tcPr>
          <w:p>
            <w:pPr>
              <w:pStyle w:val="182"/>
              <w:rPr>
                <w:color w:val="auto"/>
              </w:rPr>
            </w:pPr>
            <w:r>
              <w:rPr>
                <w:rFonts w:hint="eastAsia"/>
                <w:color w:val="auto"/>
              </w:rPr>
              <w:t>64.7</w:t>
            </w:r>
          </w:p>
        </w:tc>
        <w:tc>
          <w:tcPr>
            <w:tcW w:w="977" w:type="pct"/>
            <w:tcBorders>
              <w:top w:val="single" w:color="auto" w:sz="6" w:space="0"/>
              <w:bottom w:val="single" w:color="auto" w:sz="6" w:space="0"/>
              <w:right w:val="single" w:color="auto" w:sz="8" w:space="0"/>
            </w:tcBorders>
            <w:vAlign w:val="center"/>
          </w:tcPr>
          <w:p>
            <w:pPr>
              <w:pStyle w:val="182"/>
              <w:rPr>
                <w:color w:val="auto"/>
              </w:rPr>
            </w:pPr>
            <w:r>
              <w:rPr>
                <w:color w:val="auto"/>
              </w:rPr>
              <w:t>16.4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6" w:space="0"/>
            </w:tcBorders>
            <w:vAlign w:val="center"/>
          </w:tcPr>
          <w:p>
            <w:pPr>
              <w:pStyle w:val="182"/>
              <w:rPr>
                <w:color w:val="auto"/>
              </w:rPr>
            </w:pPr>
            <w:r>
              <w:rPr>
                <w:rFonts w:hint="eastAsia"/>
                <w:color w:val="auto"/>
              </w:rPr>
              <w:t>姚庄村</w:t>
            </w:r>
          </w:p>
        </w:tc>
        <w:tc>
          <w:tcPr>
            <w:tcW w:w="775" w:type="pct"/>
            <w:vMerge w:val="continue"/>
            <w:tcBorders>
              <w:top w:val="single" w:color="auto" w:sz="6" w:space="0"/>
              <w:bottom w:val="single" w:color="auto" w:sz="6" w:space="0"/>
            </w:tcBorders>
            <w:vAlign w:val="center"/>
          </w:tcPr>
          <w:p>
            <w:pPr>
              <w:pStyle w:val="182"/>
              <w:rPr>
                <w:color w:val="auto"/>
              </w:rPr>
            </w:pPr>
          </w:p>
        </w:tc>
        <w:tc>
          <w:tcPr>
            <w:tcW w:w="1033" w:type="pct"/>
            <w:tcBorders>
              <w:top w:val="single" w:color="auto" w:sz="6" w:space="0"/>
              <w:bottom w:val="single" w:color="auto" w:sz="6" w:space="0"/>
              <w:right w:val="single" w:color="auto" w:sz="4" w:space="0"/>
            </w:tcBorders>
            <w:vAlign w:val="center"/>
          </w:tcPr>
          <w:p>
            <w:pPr>
              <w:pStyle w:val="182"/>
              <w:rPr>
                <w:color w:val="auto"/>
              </w:rPr>
            </w:pPr>
            <w:r>
              <w:rPr>
                <w:color w:val="auto"/>
              </w:rPr>
              <w:t>50.0</w:t>
            </w:r>
          </w:p>
        </w:tc>
        <w:tc>
          <w:tcPr>
            <w:tcW w:w="1033" w:type="pct"/>
            <w:tcBorders>
              <w:top w:val="single" w:color="auto" w:sz="6" w:space="0"/>
              <w:left w:val="single" w:color="auto" w:sz="4" w:space="0"/>
              <w:bottom w:val="single" w:color="auto" w:sz="6" w:space="0"/>
            </w:tcBorders>
            <w:vAlign w:val="center"/>
          </w:tcPr>
          <w:p>
            <w:pPr>
              <w:pStyle w:val="182"/>
              <w:rPr>
                <w:color w:val="auto"/>
              </w:rPr>
            </w:pPr>
            <w:r>
              <w:rPr>
                <w:rFonts w:hint="eastAsia"/>
                <w:color w:val="auto"/>
              </w:rPr>
              <w:t>65.4</w:t>
            </w:r>
          </w:p>
        </w:tc>
        <w:tc>
          <w:tcPr>
            <w:tcW w:w="977" w:type="pct"/>
            <w:tcBorders>
              <w:top w:val="single" w:color="auto" w:sz="6" w:space="0"/>
              <w:bottom w:val="single" w:color="auto" w:sz="6" w:space="0"/>
              <w:right w:val="single" w:color="auto" w:sz="8" w:space="0"/>
            </w:tcBorders>
            <w:vAlign w:val="center"/>
          </w:tcPr>
          <w:p>
            <w:pPr>
              <w:pStyle w:val="182"/>
              <w:rPr>
                <w:color w:val="auto"/>
              </w:rPr>
            </w:pPr>
            <w:r>
              <w:rPr>
                <w:color w:val="auto"/>
              </w:rPr>
              <w:t>15.2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6" w:space="0"/>
            </w:tcBorders>
            <w:vAlign w:val="center"/>
          </w:tcPr>
          <w:p>
            <w:pPr>
              <w:pStyle w:val="182"/>
              <w:rPr>
                <w:color w:val="auto"/>
              </w:rPr>
            </w:pPr>
            <w:r>
              <w:rPr>
                <w:rFonts w:hint="eastAsia"/>
                <w:color w:val="auto"/>
              </w:rPr>
              <w:t>汲津铺村</w:t>
            </w:r>
          </w:p>
        </w:tc>
        <w:tc>
          <w:tcPr>
            <w:tcW w:w="775" w:type="pct"/>
            <w:vMerge w:val="continue"/>
            <w:tcBorders>
              <w:top w:val="single" w:color="auto" w:sz="6" w:space="0"/>
              <w:bottom w:val="single" w:color="auto" w:sz="6" w:space="0"/>
            </w:tcBorders>
            <w:vAlign w:val="center"/>
          </w:tcPr>
          <w:p>
            <w:pPr>
              <w:pStyle w:val="182"/>
              <w:rPr>
                <w:color w:val="auto"/>
              </w:rPr>
            </w:pPr>
          </w:p>
        </w:tc>
        <w:tc>
          <w:tcPr>
            <w:tcW w:w="1033" w:type="pct"/>
            <w:tcBorders>
              <w:top w:val="single" w:color="auto" w:sz="6" w:space="0"/>
              <w:bottom w:val="single" w:color="auto" w:sz="6" w:space="0"/>
              <w:right w:val="single" w:color="auto" w:sz="4" w:space="0"/>
            </w:tcBorders>
            <w:vAlign w:val="center"/>
          </w:tcPr>
          <w:p>
            <w:pPr>
              <w:pStyle w:val="182"/>
              <w:rPr>
                <w:color w:val="auto"/>
              </w:rPr>
            </w:pPr>
            <w:r>
              <w:rPr>
                <w:color w:val="auto"/>
              </w:rPr>
              <w:t>50.0</w:t>
            </w:r>
          </w:p>
        </w:tc>
        <w:tc>
          <w:tcPr>
            <w:tcW w:w="1033" w:type="pct"/>
            <w:tcBorders>
              <w:top w:val="single" w:color="auto" w:sz="6" w:space="0"/>
              <w:left w:val="single" w:color="auto" w:sz="4" w:space="0"/>
              <w:bottom w:val="single" w:color="auto" w:sz="6" w:space="0"/>
            </w:tcBorders>
            <w:vAlign w:val="center"/>
          </w:tcPr>
          <w:p>
            <w:pPr>
              <w:pStyle w:val="182"/>
              <w:rPr>
                <w:color w:val="auto"/>
              </w:rPr>
            </w:pPr>
            <w:r>
              <w:rPr>
                <w:rFonts w:hint="eastAsia"/>
                <w:color w:val="auto"/>
              </w:rPr>
              <w:t>63.1</w:t>
            </w:r>
          </w:p>
        </w:tc>
        <w:tc>
          <w:tcPr>
            <w:tcW w:w="977" w:type="pct"/>
            <w:tcBorders>
              <w:top w:val="single" w:color="auto" w:sz="6" w:space="0"/>
              <w:bottom w:val="single" w:color="auto" w:sz="6" w:space="0"/>
              <w:right w:val="single" w:color="auto" w:sz="8" w:space="0"/>
            </w:tcBorders>
            <w:vAlign w:val="center"/>
          </w:tcPr>
          <w:p>
            <w:pPr>
              <w:pStyle w:val="182"/>
              <w:rPr>
                <w:color w:val="auto"/>
              </w:rPr>
            </w:pPr>
            <w:r>
              <w:rPr>
                <w:color w:val="auto"/>
              </w:rPr>
              <w:t>16.6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6" w:space="0"/>
            </w:tcBorders>
            <w:vAlign w:val="center"/>
          </w:tcPr>
          <w:p>
            <w:pPr>
              <w:pStyle w:val="182"/>
              <w:rPr>
                <w:color w:val="auto"/>
              </w:rPr>
            </w:pPr>
            <w:r>
              <w:rPr>
                <w:rFonts w:hint="eastAsia"/>
                <w:color w:val="auto"/>
              </w:rPr>
              <w:t>郑庄村</w:t>
            </w:r>
          </w:p>
        </w:tc>
        <w:tc>
          <w:tcPr>
            <w:tcW w:w="775" w:type="pct"/>
            <w:vMerge w:val="continue"/>
            <w:tcBorders>
              <w:top w:val="single" w:color="auto" w:sz="6" w:space="0"/>
              <w:bottom w:val="single" w:color="auto" w:sz="6" w:space="0"/>
            </w:tcBorders>
            <w:vAlign w:val="center"/>
          </w:tcPr>
          <w:p>
            <w:pPr>
              <w:pStyle w:val="182"/>
              <w:rPr>
                <w:color w:val="auto"/>
              </w:rPr>
            </w:pPr>
          </w:p>
        </w:tc>
        <w:tc>
          <w:tcPr>
            <w:tcW w:w="1033" w:type="pct"/>
            <w:tcBorders>
              <w:top w:val="single" w:color="auto" w:sz="6" w:space="0"/>
              <w:bottom w:val="single" w:color="auto" w:sz="6" w:space="0"/>
              <w:right w:val="single" w:color="auto" w:sz="4" w:space="0"/>
            </w:tcBorders>
            <w:vAlign w:val="center"/>
          </w:tcPr>
          <w:p>
            <w:pPr>
              <w:pStyle w:val="182"/>
              <w:rPr>
                <w:color w:val="auto"/>
              </w:rPr>
            </w:pPr>
            <w:r>
              <w:rPr>
                <w:color w:val="auto"/>
              </w:rPr>
              <w:t>60.0</w:t>
            </w:r>
          </w:p>
        </w:tc>
        <w:tc>
          <w:tcPr>
            <w:tcW w:w="1033" w:type="pct"/>
            <w:tcBorders>
              <w:top w:val="single" w:color="auto" w:sz="6" w:space="0"/>
              <w:left w:val="single" w:color="auto" w:sz="4" w:space="0"/>
              <w:bottom w:val="single" w:color="auto" w:sz="6" w:space="0"/>
            </w:tcBorders>
            <w:vAlign w:val="center"/>
          </w:tcPr>
          <w:p>
            <w:pPr>
              <w:pStyle w:val="182"/>
              <w:rPr>
                <w:color w:val="auto"/>
              </w:rPr>
            </w:pPr>
            <w:r>
              <w:rPr>
                <w:rFonts w:hint="eastAsia"/>
                <w:color w:val="auto"/>
              </w:rPr>
              <w:t>62.6</w:t>
            </w:r>
          </w:p>
        </w:tc>
        <w:tc>
          <w:tcPr>
            <w:tcW w:w="977" w:type="pct"/>
            <w:tcBorders>
              <w:top w:val="single" w:color="auto" w:sz="6" w:space="0"/>
              <w:bottom w:val="single" w:color="auto" w:sz="6" w:space="0"/>
              <w:right w:val="single" w:color="auto" w:sz="8" w:space="0"/>
            </w:tcBorders>
            <w:vAlign w:val="center"/>
          </w:tcPr>
          <w:p>
            <w:pPr>
              <w:pStyle w:val="182"/>
              <w:rPr>
                <w:color w:val="auto"/>
              </w:rPr>
            </w:pPr>
            <w:r>
              <w:rPr>
                <w:color w:val="auto"/>
              </w:rPr>
              <w:t>15.8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6" w:space="0"/>
            </w:tcBorders>
            <w:vAlign w:val="center"/>
          </w:tcPr>
          <w:p>
            <w:pPr>
              <w:pStyle w:val="182"/>
              <w:rPr>
                <w:color w:val="auto"/>
              </w:rPr>
            </w:pPr>
            <w:r>
              <w:rPr>
                <w:rFonts w:hint="eastAsia"/>
                <w:color w:val="auto"/>
              </w:rPr>
              <w:t>张河村</w:t>
            </w:r>
          </w:p>
        </w:tc>
        <w:tc>
          <w:tcPr>
            <w:tcW w:w="775" w:type="pct"/>
            <w:vMerge w:val="continue"/>
            <w:tcBorders>
              <w:top w:val="single" w:color="auto" w:sz="6" w:space="0"/>
              <w:bottom w:val="single" w:color="auto" w:sz="6" w:space="0"/>
            </w:tcBorders>
            <w:vAlign w:val="center"/>
          </w:tcPr>
          <w:p>
            <w:pPr>
              <w:pStyle w:val="182"/>
              <w:rPr>
                <w:color w:val="auto"/>
              </w:rPr>
            </w:pPr>
          </w:p>
        </w:tc>
        <w:tc>
          <w:tcPr>
            <w:tcW w:w="1033" w:type="pct"/>
            <w:tcBorders>
              <w:top w:val="single" w:color="auto" w:sz="6" w:space="0"/>
              <w:bottom w:val="single" w:color="auto" w:sz="6" w:space="0"/>
              <w:right w:val="single" w:color="auto" w:sz="4" w:space="0"/>
            </w:tcBorders>
            <w:vAlign w:val="center"/>
          </w:tcPr>
          <w:p>
            <w:pPr>
              <w:pStyle w:val="182"/>
              <w:rPr>
                <w:color w:val="auto"/>
              </w:rPr>
            </w:pPr>
            <w:r>
              <w:rPr>
                <w:color w:val="auto"/>
              </w:rPr>
              <w:t>50.0</w:t>
            </w:r>
          </w:p>
        </w:tc>
        <w:tc>
          <w:tcPr>
            <w:tcW w:w="1033" w:type="pct"/>
            <w:tcBorders>
              <w:top w:val="single" w:color="auto" w:sz="6" w:space="0"/>
              <w:left w:val="single" w:color="auto" w:sz="4" w:space="0"/>
              <w:bottom w:val="single" w:color="auto" w:sz="6" w:space="0"/>
            </w:tcBorders>
            <w:vAlign w:val="center"/>
          </w:tcPr>
          <w:p>
            <w:pPr>
              <w:pStyle w:val="182"/>
              <w:rPr>
                <w:color w:val="auto"/>
              </w:rPr>
            </w:pPr>
            <w:r>
              <w:rPr>
                <w:rFonts w:hint="eastAsia"/>
                <w:color w:val="auto"/>
              </w:rPr>
              <w:t>61.5</w:t>
            </w:r>
          </w:p>
        </w:tc>
        <w:tc>
          <w:tcPr>
            <w:tcW w:w="977" w:type="pct"/>
            <w:tcBorders>
              <w:top w:val="single" w:color="auto" w:sz="6" w:space="0"/>
              <w:bottom w:val="single" w:color="auto" w:sz="6" w:space="0"/>
              <w:right w:val="single" w:color="auto" w:sz="8" w:space="0"/>
            </w:tcBorders>
            <w:vAlign w:val="center"/>
          </w:tcPr>
          <w:p>
            <w:pPr>
              <w:pStyle w:val="182"/>
              <w:rPr>
                <w:color w:val="auto"/>
              </w:rPr>
            </w:pPr>
            <w:r>
              <w:rPr>
                <w:color w:val="auto"/>
              </w:rPr>
              <w:t>16.1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182" w:type="pct"/>
            <w:tcBorders>
              <w:top w:val="single" w:color="auto" w:sz="6" w:space="0"/>
              <w:left w:val="single" w:color="auto" w:sz="8" w:space="0"/>
              <w:bottom w:val="single" w:color="auto" w:sz="8" w:space="0"/>
            </w:tcBorders>
            <w:vAlign w:val="center"/>
          </w:tcPr>
          <w:p>
            <w:pPr>
              <w:pStyle w:val="182"/>
              <w:rPr>
                <w:color w:val="auto"/>
              </w:rPr>
            </w:pPr>
            <w:r>
              <w:rPr>
                <w:rFonts w:hint="eastAsia"/>
                <w:color w:val="auto"/>
              </w:rPr>
              <w:t>十八里村</w:t>
            </w:r>
          </w:p>
        </w:tc>
        <w:tc>
          <w:tcPr>
            <w:tcW w:w="775" w:type="pct"/>
            <w:vMerge w:val="continue"/>
            <w:tcBorders>
              <w:top w:val="single" w:color="auto" w:sz="6" w:space="0"/>
              <w:bottom w:val="single" w:color="auto" w:sz="8" w:space="0"/>
            </w:tcBorders>
            <w:vAlign w:val="center"/>
          </w:tcPr>
          <w:p>
            <w:pPr>
              <w:pStyle w:val="182"/>
              <w:rPr>
                <w:color w:val="auto"/>
              </w:rPr>
            </w:pPr>
          </w:p>
        </w:tc>
        <w:tc>
          <w:tcPr>
            <w:tcW w:w="1033" w:type="pct"/>
            <w:tcBorders>
              <w:top w:val="single" w:color="auto" w:sz="6" w:space="0"/>
              <w:bottom w:val="single" w:color="auto" w:sz="8" w:space="0"/>
              <w:right w:val="single" w:color="auto" w:sz="4" w:space="0"/>
            </w:tcBorders>
            <w:vAlign w:val="center"/>
          </w:tcPr>
          <w:p>
            <w:pPr>
              <w:pStyle w:val="182"/>
              <w:rPr>
                <w:color w:val="auto"/>
              </w:rPr>
            </w:pPr>
            <w:r>
              <w:rPr>
                <w:color w:val="auto"/>
              </w:rPr>
              <w:t>50.0</w:t>
            </w:r>
          </w:p>
        </w:tc>
        <w:tc>
          <w:tcPr>
            <w:tcW w:w="1033" w:type="pct"/>
            <w:tcBorders>
              <w:top w:val="single" w:color="auto" w:sz="6" w:space="0"/>
              <w:left w:val="single" w:color="auto" w:sz="4" w:space="0"/>
              <w:bottom w:val="single" w:color="auto" w:sz="8" w:space="0"/>
            </w:tcBorders>
            <w:vAlign w:val="center"/>
          </w:tcPr>
          <w:p>
            <w:pPr>
              <w:pStyle w:val="182"/>
              <w:rPr>
                <w:color w:val="auto"/>
              </w:rPr>
            </w:pPr>
            <w:r>
              <w:rPr>
                <w:rFonts w:hint="eastAsia"/>
                <w:color w:val="auto"/>
              </w:rPr>
              <w:t>62.3</w:t>
            </w:r>
          </w:p>
        </w:tc>
        <w:tc>
          <w:tcPr>
            <w:tcW w:w="977" w:type="pct"/>
            <w:tcBorders>
              <w:top w:val="single" w:color="auto" w:sz="6" w:space="0"/>
              <w:bottom w:val="single" w:color="auto" w:sz="8" w:space="0"/>
              <w:right w:val="single" w:color="auto" w:sz="8" w:space="0"/>
            </w:tcBorders>
            <w:vAlign w:val="center"/>
          </w:tcPr>
          <w:p>
            <w:pPr>
              <w:pStyle w:val="182"/>
              <w:rPr>
                <w:color w:val="auto"/>
              </w:rPr>
            </w:pPr>
            <w:r>
              <w:rPr>
                <w:color w:val="auto"/>
              </w:rPr>
              <w:t>15.9</w:t>
            </w:r>
          </w:p>
        </w:tc>
      </w:tr>
    </w:tbl>
    <w:p>
      <w:pPr>
        <w:bidi w:val="0"/>
        <w:rPr>
          <w:color w:val="auto"/>
        </w:rPr>
      </w:pPr>
      <w:r>
        <w:rPr>
          <w:rFonts w:hint="eastAsia"/>
          <w:color w:val="auto"/>
        </w:rPr>
        <w:t>根据检测数据分析，各监测点位地下水监测因子均能满足《地下水质量标准》（GB/T14848-2017）</w:t>
      </w:r>
      <w:r>
        <w:rPr>
          <w:color w:val="auto"/>
        </w:rPr>
        <w:t>Ⅲ</w:t>
      </w:r>
      <w:r>
        <w:rPr>
          <w:rFonts w:hint="eastAsia"/>
          <w:color w:val="auto"/>
        </w:rPr>
        <w:t>类的标准要求，区域地下水环境治理状况良好。</w:t>
      </w:r>
    </w:p>
    <w:p>
      <w:pPr>
        <w:pStyle w:val="10"/>
        <w:bidi w:val="0"/>
        <w:rPr>
          <w:rFonts w:hint="eastAsia"/>
          <w:b/>
          <w:bCs w:val="0"/>
          <w:color w:val="auto"/>
          <w:u w:val="single"/>
        </w:rPr>
      </w:pPr>
      <w:r>
        <w:rPr>
          <w:rFonts w:hint="eastAsia"/>
          <w:b/>
          <w:bCs w:val="0"/>
          <w:color w:val="auto"/>
          <w:u w:val="single"/>
        </w:rPr>
        <w:t>4.2.4.2包气带环境质量现状监测与评价</w:t>
      </w:r>
    </w:p>
    <w:p>
      <w:pPr>
        <w:bidi w:val="0"/>
        <w:rPr>
          <w:b/>
          <w:bCs w:val="0"/>
          <w:color w:val="auto"/>
          <w:u w:val="single"/>
        </w:rPr>
      </w:pPr>
      <w:r>
        <w:rPr>
          <w:rFonts w:hint="eastAsia"/>
          <w:b/>
          <w:bCs w:val="0"/>
          <w:color w:val="auto"/>
          <w:u w:val="single"/>
        </w:rPr>
        <w:t>根据《环境影响评价技术导则地下水环境》（</w:t>
      </w:r>
      <w:r>
        <w:rPr>
          <w:b/>
          <w:bCs w:val="0"/>
          <w:color w:val="auto"/>
          <w:u w:val="single"/>
        </w:rPr>
        <w:t>HJ 610-2016</w:t>
      </w:r>
      <w:r>
        <w:rPr>
          <w:rFonts w:hint="eastAsia"/>
          <w:b/>
          <w:bCs w:val="0"/>
          <w:color w:val="auto"/>
          <w:u w:val="single"/>
        </w:rPr>
        <w:t>），对于一、二级的改、扩建项目，应在可能造成地下水污染的主要装置或设施附近开展包气带污染现状调查。样品进行浸溶试验，测试分析浸溶液成分。因此本次评价委托河南中弘国泰检测技术有限公司2023</w:t>
      </w:r>
      <w:r>
        <w:rPr>
          <w:rFonts w:hint="eastAsia"/>
          <w:b/>
          <w:bCs w:val="0"/>
          <w:color w:val="auto"/>
          <w:u w:val="single"/>
          <w:lang w:val="en-US" w:eastAsia="zh-CN"/>
        </w:rPr>
        <w:t>年</w:t>
      </w:r>
      <w:r>
        <w:rPr>
          <w:rFonts w:hint="eastAsia"/>
          <w:b/>
          <w:bCs w:val="0"/>
          <w:color w:val="auto"/>
          <w:u w:val="single"/>
        </w:rPr>
        <w:t>01</w:t>
      </w:r>
      <w:r>
        <w:rPr>
          <w:rFonts w:hint="eastAsia"/>
          <w:b/>
          <w:bCs w:val="0"/>
          <w:color w:val="auto"/>
          <w:u w:val="single"/>
          <w:lang w:val="en-US" w:eastAsia="zh-CN"/>
        </w:rPr>
        <w:t>月</w:t>
      </w:r>
      <w:r>
        <w:rPr>
          <w:rFonts w:hint="eastAsia"/>
          <w:b/>
          <w:bCs w:val="0"/>
          <w:color w:val="auto"/>
          <w:u w:val="single"/>
        </w:rPr>
        <w:t>31日对厂区包气带进行了现状监测。</w:t>
      </w:r>
    </w:p>
    <w:p>
      <w:pPr>
        <w:bidi w:val="0"/>
        <w:rPr>
          <w:b/>
          <w:bCs w:val="0"/>
          <w:color w:val="auto"/>
          <w:u w:val="single"/>
        </w:rPr>
      </w:pPr>
      <w:r>
        <w:rPr>
          <w:rFonts w:hint="eastAsia"/>
          <w:b/>
          <w:bCs w:val="0"/>
          <w:color w:val="auto"/>
          <w:u w:val="single"/>
        </w:rPr>
        <w:t>（1）监测点位及监测因子</w:t>
      </w:r>
    </w:p>
    <w:p>
      <w:pPr>
        <w:bidi w:val="0"/>
        <w:rPr>
          <w:b/>
          <w:bCs w:val="0"/>
          <w:color w:val="auto"/>
          <w:u w:val="single"/>
        </w:rPr>
      </w:pPr>
      <w:r>
        <w:rPr>
          <w:rFonts w:hint="eastAsia"/>
          <w:b/>
          <w:bCs w:val="0"/>
          <w:color w:val="auto"/>
          <w:u w:val="single"/>
        </w:rPr>
        <w:t>根据《环境影响评价技术导则地下水环境》（</w:t>
      </w:r>
      <w:r>
        <w:rPr>
          <w:b/>
          <w:bCs w:val="0"/>
          <w:color w:val="auto"/>
          <w:u w:val="single"/>
        </w:rPr>
        <w:t>HJ 610-2016</w:t>
      </w:r>
      <w:r>
        <w:rPr>
          <w:rFonts w:hint="eastAsia"/>
          <w:b/>
          <w:bCs w:val="0"/>
          <w:color w:val="auto"/>
          <w:u w:val="single"/>
        </w:rPr>
        <w:t>）相关要求，需开展包气带污染现状调查，</w:t>
      </w:r>
      <w:r>
        <w:rPr>
          <w:b/>
          <w:bCs w:val="0"/>
          <w:color w:val="auto"/>
          <w:u w:val="single"/>
        </w:rPr>
        <w:t>结合</w:t>
      </w:r>
      <w:r>
        <w:rPr>
          <w:rFonts w:hint="eastAsia"/>
          <w:b/>
          <w:bCs w:val="0"/>
          <w:color w:val="auto"/>
          <w:u w:val="single"/>
        </w:rPr>
        <w:t>新乡化纤股份有限公司</w:t>
      </w:r>
      <w:r>
        <w:rPr>
          <w:b/>
          <w:bCs w:val="0"/>
          <w:color w:val="auto"/>
          <w:u w:val="single"/>
        </w:rPr>
        <w:t>现有工程在厂区内</w:t>
      </w:r>
      <w:r>
        <w:rPr>
          <w:rFonts w:hint="eastAsia"/>
          <w:b/>
          <w:bCs w:val="0"/>
          <w:color w:val="auto"/>
          <w:u w:val="single"/>
        </w:rPr>
        <w:t>的</w:t>
      </w:r>
      <w:r>
        <w:rPr>
          <w:b/>
          <w:bCs w:val="0"/>
          <w:color w:val="auto"/>
          <w:u w:val="single"/>
        </w:rPr>
        <w:t>布局情况，本次包气带监测点位共设置</w:t>
      </w:r>
      <w:r>
        <w:rPr>
          <w:rFonts w:hint="eastAsia"/>
          <w:b/>
          <w:bCs w:val="0"/>
          <w:color w:val="auto"/>
          <w:u w:val="single"/>
          <w:lang w:val="en-US" w:eastAsia="zh-CN"/>
        </w:rPr>
        <w:t>5</w:t>
      </w:r>
      <w:r>
        <w:rPr>
          <w:b/>
          <w:bCs w:val="0"/>
          <w:color w:val="auto"/>
          <w:u w:val="single"/>
        </w:rPr>
        <w:t>个，点位布设情况见</w:t>
      </w:r>
      <w:r>
        <w:rPr>
          <w:rFonts w:hint="eastAsia"/>
          <w:b/>
          <w:bCs w:val="0"/>
          <w:color w:val="auto"/>
          <w:u w:val="single"/>
        </w:rPr>
        <w:t>下表</w:t>
      </w:r>
      <w:r>
        <w:rPr>
          <w:b/>
          <w:bCs w:val="0"/>
          <w:color w:val="auto"/>
          <w:u w:val="single"/>
        </w:rPr>
        <w:t>。</w:t>
      </w:r>
    </w:p>
    <w:p>
      <w:pPr>
        <w:pStyle w:val="181"/>
        <w:bidi w:val="0"/>
        <w:rPr>
          <w:rFonts w:hint="eastAsia"/>
          <w:b/>
          <w:bCs w:val="0"/>
          <w:color w:val="auto"/>
          <w:u w:val="single"/>
        </w:rPr>
      </w:pPr>
      <w:r>
        <w:rPr>
          <w:rFonts w:hint="eastAsia"/>
          <w:b/>
          <w:bCs w:val="0"/>
          <w:color w:val="auto"/>
          <w:u w:val="single"/>
        </w:rPr>
        <w:t>表4</w:t>
      </w:r>
      <w:r>
        <w:rPr>
          <w:rFonts w:hint="eastAsia"/>
          <w:b/>
          <w:bCs w:val="0"/>
          <w:color w:val="auto"/>
          <w:u w:val="single"/>
          <w:lang w:val="en-US" w:eastAsia="zh-CN"/>
        </w:rPr>
        <w:t>.2</w:t>
      </w:r>
      <w:r>
        <w:rPr>
          <w:b/>
          <w:bCs w:val="0"/>
          <w:color w:val="auto"/>
          <w:u w:val="single"/>
        </w:rPr>
        <w:t>-1</w:t>
      </w:r>
      <w:r>
        <w:rPr>
          <w:rFonts w:hint="eastAsia"/>
          <w:b/>
          <w:bCs w:val="0"/>
          <w:color w:val="auto"/>
          <w:u w:val="single"/>
          <w:lang w:val="en-US" w:eastAsia="zh-CN"/>
        </w:rPr>
        <w:t>8</w:t>
      </w:r>
      <w:r>
        <w:rPr>
          <w:rFonts w:hint="eastAsia"/>
          <w:b/>
          <w:bCs w:val="0"/>
          <w:color w:val="auto"/>
          <w:u w:val="single"/>
        </w:rPr>
        <w:t xml:space="preserve">            包气带现状调查布点情况一览表</w:t>
      </w:r>
    </w:p>
    <w:tbl>
      <w:tblPr>
        <w:tblStyle w:val="32"/>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85"/>
        <w:gridCol w:w="1640"/>
        <w:gridCol w:w="1674"/>
        <w:gridCol w:w="3153"/>
        <w:gridCol w:w="13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02" w:type="pct"/>
            <w:tcBorders>
              <w:tl2br w:val="nil"/>
              <w:tr2bl w:val="nil"/>
            </w:tcBorders>
            <w:vAlign w:val="center"/>
          </w:tcPr>
          <w:p>
            <w:pPr>
              <w:pStyle w:val="182"/>
              <w:bidi w:val="0"/>
              <w:rPr>
                <w:b/>
                <w:bCs w:val="0"/>
                <w:color w:val="auto"/>
                <w:u w:val="single"/>
              </w:rPr>
            </w:pPr>
            <w:r>
              <w:rPr>
                <w:rFonts w:hint="eastAsia"/>
                <w:b/>
                <w:bCs w:val="0"/>
                <w:color w:val="auto"/>
                <w:u w:val="single"/>
              </w:rPr>
              <w:t>监测点</w:t>
            </w:r>
          </w:p>
        </w:tc>
        <w:tc>
          <w:tcPr>
            <w:tcW w:w="962" w:type="pct"/>
            <w:tcBorders>
              <w:tl2br w:val="nil"/>
              <w:tr2bl w:val="nil"/>
            </w:tcBorders>
            <w:vAlign w:val="center"/>
          </w:tcPr>
          <w:p>
            <w:pPr>
              <w:pStyle w:val="182"/>
              <w:bidi w:val="0"/>
              <w:rPr>
                <w:b/>
                <w:bCs w:val="0"/>
                <w:color w:val="auto"/>
                <w:u w:val="single"/>
              </w:rPr>
            </w:pPr>
            <w:r>
              <w:rPr>
                <w:rFonts w:hint="eastAsia"/>
                <w:b/>
                <w:bCs w:val="0"/>
                <w:color w:val="auto"/>
                <w:u w:val="single"/>
              </w:rPr>
              <w:t>采样点位</w:t>
            </w:r>
          </w:p>
        </w:tc>
        <w:tc>
          <w:tcPr>
            <w:tcW w:w="982" w:type="pct"/>
            <w:tcBorders>
              <w:tl2br w:val="nil"/>
              <w:tr2bl w:val="nil"/>
            </w:tcBorders>
            <w:vAlign w:val="center"/>
          </w:tcPr>
          <w:p>
            <w:pPr>
              <w:pStyle w:val="182"/>
              <w:bidi w:val="0"/>
              <w:rPr>
                <w:b/>
                <w:bCs w:val="0"/>
                <w:color w:val="auto"/>
                <w:u w:val="single"/>
              </w:rPr>
            </w:pPr>
            <w:r>
              <w:rPr>
                <w:rFonts w:hint="eastAsia"/>
                <w:b/>
                <w:bCs w:val="0"/>
                <w:color w:val="auto"/>
                <w:u w:val="single"/>
              </w:rPr>
              <w:t>监测因子</w:t>
            </w:r>
          </w:p>
        </w:tc>
        <w:tc>
          <w:tcPr>
            <w:tcW w:w="1850" w:type="pct"/>
            <w:tcBorders>
              <w:tl2br w:val="nil"/>
              <w:tr2bl w:val="nil"/>
            </w:tcBorders>
            <w:vAlign w:val="center"/>
          </w:tcPr>
          <w:p>
            <w:pPr>
              <w:pStyle w:val="182"/>
              <w:bidi w:val="0"/>
              <w:rPr>
                <w:b/>
                <w:bCs w:val="0"/>
                <w:color w:val="auto"/>
                <w:u w:val="single"/>
              </w:rPr>
            </w:pPr>
            <w:r>
              <w:rPr>
                <w:rFonts w:hint="eastAsia"/>
                <w:b/>
                <w:bCs w:val="0"/>
                <w:color w:val="auto"/>
                <w:u w:val="single"/>
              </w:rPr>
              <w:t>取样深度</w:t>
            </w:r>
          </w:p>
        </w:tc>
        <w:tc>
          <w:tcPr>
            <w:tcW w:w="801" w:type="pct"/>
            <w:tcBorders>
              <w:tl2br w:val="nil"/>
              <w:tr2bl w:val="nil"/>
            </w:tcBorders>
            <w:vAlign w:val="center"/>
          </w:tcPr>
          <w:p>
            <w:pPr>
              <w:pStyle w:val="182"/>
              <w:bidi w:val="0"/>
              <w:rPr>
                <w:rFonts w:hint="eastAsia" w:eastAsia="宋体"/>
                <w:b/>
                <w:bCs w:val="0"/>
                <w:color w:val="auto"/>
                <w:u w:val="single"/>
                <w:lang w:val="en-US" w:eastAsia="zh-CN"/>
              </w:rPr>
            </w:pPr>
            <w:r>
              <w:rPr>
                <w:rFonts w:hint="eastAsia"/>
                <w:b/>
                <w:bCs w:val="0"/>
                <w:color w:val="auto"/>
                <w:u w:val="single"/>
                <w:lang w:val="en-US" w:eastAsia="zh-CN"/>
              </w:rPr>
              <w:t>监测频次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02" w:type="pct"/>
            <w:tcBorders>
              <w:tl2br w:val="nil"/>
              <w:tr2bl w:val="nil"/>
            </w:tcBorders>
            <w:vAlign w:val="center"/>
          </w:tcPr>
          <w:p>
            <w:pPr>
              <w:pStyle w:val="182"/>
              <w:bidi w:val="0"/>
              <w:rPr>
                <w:b/>
                <w:bCs w:val="0"/>
                <w:color w:val="auto"/>
                <w:u w:val="single"/>
              </w:rPr>
            </w:pPr>
            <w:r>
              <w:rPr>
                <w:rFonts w:hint="eastAsia"/>
                <w:b/>
                <w:bCs w:val="0"/>
                <w:color w:val="auto"/>
                <w:u w:val="single"/>
              </w:rPr>
              <w:t>1#</w:t>
            </w:r>
          </w:p>
        </w:tc>
        <w:tc>
          <w:tcPr>
            <w:tcW w:w="962" w:type="pct"/>
            <w:tcBorders>
              <w:tl2br w:val="nil"/>
              <w:tr2bl w:val="nil"/>
            </w:tcBorders>
            <w:vAlign w:val="center"/>
          </w:tcPr>
          <w:p>
            <w:pPr>
              <w:pStyle w:val="182"/>
              <w:bidi w:val="0"/>
              <w:rPr>
                <w:rFonts w:hint="default"/>
                <w:b/>
                <w:bCs w:val="0"/>
                <w:color w:val="auto"/>
                <w:u w:val="single"/>
                <w:lang w:val="en-US" w:eastAsia="zh-CN"/>
              </w:rPr>
            </w:pPr>
            <w:r>
              <w:rPr>
                <w:rFonts w:hint="eastAsia"/>
                <w:b/>
                <w:bCs w:val="0"/>
                <w:color w:val="auto"/>
                <w:u w:val="single"/>
                <w:lang w:val="en-US" w:eastAsia="zh-CN"/>
              </w:rPr>
              <w:t>本项目建设位置北侧空地</w:t>
            </w:r>
          </w:p>
        </w:tc>
        <w:tc>
          <w:tcPr>
            <w:tcW w:w="982" w:type="pct"/>
            <w:vMerge w:val="restart"/>
            <w:tcBorders>
              <w:tl2br w:val="nil"/>
              <w:tr2bl w:val="nil"/>
            </w:tcBorders>
            <w:vAlign w:val="center"/>
          </w:tcPr>
          <w:p>
            <w:pPr>
              <w:pStyle w:val="182"/>
              <w:bidi w:val="0"/>
              <w:rPr>
                <w:b/>
                <w:bCs w:val="0"/>
                <w:color w:val="auto"/>
                <w:u w:val="single"/>
              </w:rPr>
            </w:pPr>
            <w:r>
              <w:rPr>
                <w:b/>
                <w:bCs w:val="0"/>
                <w:color w:val="auto"/>
                <w:u w:val="single"/>
              </w:rPr>
              <w:t>pH、氨氮、耗氧量</w:t>
            </w:r>
          </w:p>
        </w:tc>
        <w:tc>
          <w:tcPr>
            <w:tcW w:w="1850" w:type="pct"/>
            <w:vMerge w:val="restart"/>
            <w:tcBorders>
              <w:tl2br w:val="nil"/>
              <w:tr2bl w:val="nil"/>
            </w:tcBorders>
            <w:vAlign w:val="center"/>
          </w:tcPr>
          <w:p>
            <w:pPr>
              <w:pStyle w:val="182"/>
              <w:bidi w:val="0"/>
              <w:rPr>
                <w:b/>
                <w:bCs w:val="0"/>
                <w:color w:val="auto"/>
                <w:u w:val="single"/>
              </w:rPr>
            </w:pPr>
            <w:r>
              <w:rPr>
                <w:rFonts w:hint="eastAsia"/>
                <w:b/>
                <w:bCs w:val="0"/>
                <w:color w:val="auto"/>
                <w:u w:val="single"/>
              </w:rPr>
              <w:t>分别在各个取样点表层埋深</w:t>
            </w:r>
            <w:r>
              <w:rPr>
                <w:b/>
                <w:bCs w:val="0"/>
                <w:color w:val="auto"/>
                <w:u w:val="single"/>
              </w:rPr>
              <w:t>0-20cm、20</w:t>
            </w:r>
            <w:r>
              <w:rPr>
                <w:rFonts w:hint="eastAsia"/>
                <w:b/>
                <w:bCs w:val="0"/>
                <w:color w:val="auto"/>
                <w:u w:val="single"/>
                <w:lang w:eastAsia="zh-CN"/>
              </w:rPr>
              <w:t>—</w:t>
            </w:r>
            <w:r>
              <w:rPr>
                <w:b/>
                <w:bCs w:val="0"/>
                <w:color w:val="auto"/>
                <w:u w:val="single"/>
              </w:rPr>
              <w:t>40cm</w:t>
            </w:r>
            <w:r>
              <w:rPr>
                <w:rFonts w:hint="eastAsia"/>
                <w:b/>
                <w:bCs w:val="0"/>
                <w:color w:val="auto"/>
                <w:u w:val="single"/>
              </w:rPr>
              <w:t>、40</w:t>
            </w:r>
            <w:r>
              <w:rPr>
                <w:rFonts w:hint="eastAsia"/>
                <w:b/>
                <w:bCs w:val="0"/>
                <w:color w:val="auto"/>
                <w:u w:val="single"/>
                <w:lang w:eastAsia="zh-CN"/>
              </w:rPr>
              <w:t>—</w:t>
            </w:r>
            <w:r>
              <w:rPr>
                <w:rFonts w:hint="eastAsia"/>
                <w:b/>
                <w:bCs w:val="0"/>
                <w:color w:val="auto"/>
                <w:u w:val="single"/>
              </w:rPr>
              <w:t>60</w:t>
            </w:r>
            <w:r>
              <w:rPr>
                <w:b/>
                <w:bCs w:val="0"/>
                <w:color w:val="auto"/>
                <w:u w:val="single"/>
              </w:rPr>
              <w:t>cm</w:t>
            </w:r>
            <w:r>
              <w:rPr>
                <w:rFonts w:hint="eastAsia"/>
                <w:b/>
                <w:bCs w:val="0"/>
                <w:color w:val="auto"/>
                <w:u w:val="single"/>
              </w:rPr>
              <w:t>内取样品</w:t>
            </w:r>
          </w:p>
        </w:tc>
        <w:tc>
          <w:tcPr>
            <w:tcW w:w="801" w:type="pct"/>
            <w:vMerge w:val="restart"/>
            <w:tcBorders>
              <w:tl2br w:val="nil"/>
              <w:tr2bl w:val="nil"/>
            </w:tcBorders>
            <w:vAlign w:val="center"/>
          </w:tcPr>
          <w:p>
            <w:pPr>
              <w:pStyle w:val="182"/>
              <w:bidi w:val="0"/>
              <w:rPr>
                <w:rFonts w:hint="default" w:eastAsia="宋体"/>
                <w:b/>
                <w:bCs w:val="0"/>
                <w:color w:val="auto"/>
                <w:u w:val="single"/>
                <w:lang w:val="en-US" w:eastAsia="zh-CN"/>
              </w:rPr>
            </w:pPr>
            <w:r>
              <w:rPr>
                <w:rFonts w:hint="eastAsia"/>
                <w:b/>
                <w:bCs w:val="0"/>
                <w:color w:val="auto"/>
                <w:u w:val="single"/>
                <w:lang w:val="en-US" w:eastAsia="zh-CN"/>
              </w:rPr>
              <w:t>一次值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02" w:type="pct"/>
            <w:tcBorders>
              <w:tl2br w:val="nil"/>
              <w:tr2bl w:val="nil"/>
            </w:tcBorders>
            <w:vAlign w:val="center"/>
          </w:tcPr>
          <w:p>
            <w:pPr>
              <w:pStyle w:val="182"/>
              <w:bidi w:val="0"/>
              <w:rPr>
                <w:b/>
                <w:bCs w:val="0"/>
                <w:color w:val="auto"/>
                <w:u w:val="single"/>
              </w:rPr>
            </w:pPr>
            <w:r>
              <w:rPr>
                <w:rFonts w:hint="eastAsia"/>
                <w:b/>
                <w:bCs w:val="0"/>
                <w:color w:val="auto"/>
                <w:u w:val="single"/>
              </w:rPr>
              <w:t>2#</w:t>
            </w:r>
          </w:p>
        </w:tc>
        <w:tc>
          <w:tcPr>
            <w:tcW w:w="962" w:type="pct"/>
            <w:tcBorders>
              <w:tl2br w:val="nil"/>
              <w:tr2bl w:val="nil"/>
            </w:tcBorders>
            <w:vAlign w:val="center"/>
          </w:tcPr>
          <w:p>
            <w:pPr>
              <w:pStyle w:val="182"/>
              <w:bidi w:val="0"/>
              <w:rPr>
                <w:b/>
                <w:bCs w:val="0"/>
                <w:color w:val="auto"/>
                <w:u w:val="single"/>
              </w:rPr>
            </w:pPr>
            <w:r>
              <w:rPr>
                <w:rFonts w:hint="eastAsia"/>
                <w:b/>
                <w:bCs w:val="0"/>
                <w:color w:val="auto"/>
                <w:u w:val="single"/>
                <w:lang w:val="en-US" w:eastAsia="zh-CN"/>
              </w:rPr>
              <w:t>硫酸</w:t>
            </w:r>
            <w:r>
              <w:rPr>
                <w:rFonts w:hint="eastAsia"/>
                <w:b/>
                <w:bCs w:val="0"/>
                <w:color w:val="auto"/>
                <w:u w:val="single"/>
              </w:rPr>
              <w:t>罐区</w:t>
            </w:r>
          </w:p>
        </w:tc>
        <w:tc>
          <w:tcPr>
            <w:tcW w:w="982" w:type="pct"/>
            <w:vMerge w:val="continue"/>
            <w:tcBorders>
              <w:tl2br w:val="nil"/>
              <w:tr2bl w:val="nil"/>
            </w:tcBorders>
            <w:vAlign w:val="center"/>
          </w:tcPr>
          <w:p>
            <w:pPr>
              <w:pStyle w:val="182"/>
              <w:bidi w:val="0"/>
              <w:rPr>
                <w:b/>
                <w:bCs w:val="0"/>
                <w:color w:val="auto"/>
                <w:u w:val="single"/>
              </w:rPr>
            </w:pPr>
          </w:p>
        </w:tc>
        <w:tc>
          <w:tcPr>
            <w:tcW w:w="1850" w:type="pct"/>
            <w:vMerge w:val="continue"/>
            <w:tcBorders>
              <w:tl2br w:val="nil"/>
              <w:tr2bl w:val="nil"/>
            </w:tcBorders>
            <w:vAlign w:val="center"/>
          </w:tcPr>
          <w:p>
            <w:pPr>
              <w:pStyle w:val="182"/>
              <w:bidi w:val="0"/>
              <w:rPr>
                <w:b/>
                <w:bCs w:val="0"/>
                <w:color w:val="auto"/>
                <w:u w:val="single"/>
              </w:rPr>
            </w:pPr>
          </w:p>
        </w:tc>
        <w:tc>
          <w:tcPr>
            <w:tcW w:w="801" w:type="pct"/>
            <w:vMerge w:val="continue"/>
            <w:tcBorders>
              <w:tl2br w:val="nil"/>
              <w:tr2bl w:val="nil"/>
            </w:tcBorders>
            <w:vAlign w:val="center"/>
          </w:tcPr>
          <w:p>
            <w:pPr>
              <w:pStyle w:val="182"/>
              <w:bidi w:val="0"/>
              <w:rPr>
                <w:b/>
                <w:bCs w:val="0"/>
                <w:color w:val="auto"/>
                <w:u w:val="singl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02" w:type="pct"/>
            <w:tcBorders>
              <w:tl2br w:val="nil"/>
              <w:tr2bl w:val="nil"/>
            </w:tcBorders>
            <w:vAlign w:val="center"/>
          </w:tcPr>
          <w:p>
            <w:pPr>
              <w:pStyle w:val="182"/>
              <w:bidi w:val="0"/>
              <w:rPr>
                <w:b/>
                <w:bCs w:val="0"/>
                <w:color w:val="auto"/>
                <w:u w:val="single"/>
              </w:rPr>
            </w:pPr>
            <w:r>
              <w:rPr>
                <w:rFonts w:hint="eastAsia"/>
                <w:b/>
                <w:bCs w:val="0"/>
                <w:color w:val="auto"/>
                <w:u w:val="single"/>
              </w:rPr>
              <w:t>3#</w:t>
            </w:r>
          </w:p>
        </w:tc>
        <w:tc>
          <w:tcPr>
            <w:tcW w:w="962" w:type="pct"/>
            <w:tcBorders>
              <w:tl2br w:val="nil"/>
              <w:tr2bl w:val="nil"/>
            </w:tcBorders>
            <w:vAlign w:val="center"/>
          </w:tcPr>
          <w:p>
            <w:pPr>
              <w:pStyle w:val="182"/>
              <w:bidi w:val="0"/>
              <w:rPr>
                <w:b/>
                <w:bCs w:val="0"/>
                <w:color w:val="auto"/>
                <w:u w:val="single"/>
              </w:rPr>
            </w:pPr>
            <w:r>
              <w:rPr>
                <w:rFonts w:hint="eastAsia"/>
                <w:b/>
                <w:bCs w:val="0"/>
                <w:color w:val="auto"/>
                <w:u w:val="single"/>
              </w:rPr>
              <w:t>现有项目主厂房</w:t>
            </w:r>
          </w:p>
        </w:tc>
        <w:tc>
          <w:tcPr>
            <w:tcW w:w="982" w:type="pct"/>
            <w:vMerge w:val="continue"/>
            <w:tcBorders>
              <w:tl2br w:val="nil"/>
              <w:tr2bl w:val="nil"/>
            </w:tcBorders>
            <w:vAlign w:val="center"/>
          </w:tcPr>
          <w:p>
            <w:pPr>
              <w:pStyle w:val="182"/>
              <w:bidi w:val="0"/>
              <w:rPr>
                <w:b/>
                <w:bCs w:val="0"/>
                <w:color w:val="auto"/>
                <w:u w:val="single"/>
              </w:rPr>
            </w:pPr>
          </w:p>
        </w:tc>
        <w:tc>
          <w:tcPr>
            <w:tcW w:w="1850" w:type="pct"/>
            <w:vMerge w:val="continue"/>
            <w:tcBorders>
              <w:tl2br w:val="nil"/>
              <w:tr2bl w:val="nil"/>
            </w:tcBorders>
            <w:vAlign w:val="center"/>
          </w:tcPr>
          <w:p>
            <w:pPr>
              <w:pStyle w:val="182"/>
              <w:bidi w:val="0"/>
              <w:rPr>
                <w:b/>
                <w:bCs w:val="0"/>
                <w:color w:val="auto"/>
                <w:u w:val="single"/>
              </w:rPr>
            </w:pPr>
          </w:p>
        </w:tc>
        <w:tc>
          <w:tcPr>
            <w:tcW w:w="801" w:type="pct"/>
            <w:vMerge w:val="continue"/>
            <w:tcBorders>
              <w:tl2br w:val="nil"/>
              <w:tr2bl w:val="nil"/>
            </w:tcBorders>
            <w:vAlign w:val="center"/>
          </w:tcPr>
          <w:p>
            <w:pPr>
              <w:pStyle w:val="182"/>
              <w:bidi w:val="0"/>
              <w:rPr>
                <w:b/>
                <w:bCs w:val="0"/>
                <w:color w:val="auto"/>
                <w:u w:val="singl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02" w:type="pct"/>
            <w:tcBorders>
              <w:tl2br w:val="nil"/>
              <w:tr2bl w:val="nil"/>
            </w:tcBorders>
            <w:vAlign w:val="center"/>
          </w:tcPr>
          <w:p>
            <w:pPr>
              <w:pStyle w:val="182"/>
              <w:bidi w:val="0"/>
              <w:rPr>
                <w:b/>
                <w:bCs w:val="0"/>
                <w:color w:val="auto"/>
                <w:u w:val="single"/>
              </w:rPr>
            </w:pPr>
            <w:r>
              <w:rPr>
                <w:rFonts w:hint="eastAsia"/>
                <w:b/>
                <w:bCs w:val="0"/>
                <w:color w:val="auto"/>
                <w:u w:val="single"/>
              </w:rPr>
              <w:t>4#</w:t>
            </w:r>
          </w:p>
        </w:tc>
        <w:tc>
          <w:tcPr>
            <w:tcW w:w="962" w:type="pct"/>
            <w:tcBorders>
              <w:tl2br w:val="nil"/>
              <w:tr2bl w:val="nil"/>
            </w:tcBorders>
            <w:vAlign w:val="center"/>
          </w:tcPr>
          <w:p>
            <w:pPr>
              <w:pStyle w:val="182"/>
              <w:bidi w:val="0"/>
              <w:rPr>
                <w:rFonts w:hint="default"/>
                <w:b/>
                <w:bCs w:val="0"/>
                <w:color w:val="auto"/>
                <w:u w:val="single"/>
                <w:lang w:val="en-US" w:eastAsia="zh-CN"/>
              </w:rPr>
            </w:pPr>
            <w:r>
              <w:rPr>
                <w:rFonts w:hint="eastAsia"/>
                <w:b/>
                <w:bCs w:val="0"/>
                <w:color w:val="auto"/>
                <w:u w:val="single"/>
                <w:lang w:val="en-US" w:eastAsia="zh-CN"/>
              </w:rPr>
              <w:t>本项目用地</w:t>
            </w:r>
          </w:p>
        </w:tc>
        <w:tc>
          <w:tcPr>
            <w:tcW w:w="982" w:type="pct"/>
            <w:vMerge w:val="continue"/>
            <w:tcBorders>
              <w:tl2br w:val="nil"/>
              <w:tr2bl w:val="nil"/>
            </w:tcBorders>
            <w:vAlign w:val="center"/>
          </w:tcPr>
          <w:p>
            <w:pPr>
              <w:pStyle w:val="182"/>
              <w:bidi w:val="0"/>
              <w:rPr>
                <w:b/>
                <w:bCs w:val="0"/>
                <w:color w:val="auto"/>
                <w:u w:val="single"/>
              </w:rPr>
            </w:pPr>
          </w:p>
        </w:tc>
        <w:tc>
          <w:tcPr>
            <w:tcW w:w="1850" w:type="pct"/>
            <w:vMerge w:val="continue"/>
            <w:tcBorders>
              <w:tl2br w:val="nil"/>
              <w:tr2bl w:val="nil"/>
            </w:tcBorders>
            <w:vAlign w:val="center"/>
          </w:tcPr>
          <w:p>
            <w:pPr>
              <w:pStyle w:val="182"/>
              <w:bidi w:val="0"/>
              <w:rPr>
                <w:b/>
                <w:bCs w:val="0"/>
                <w:color w:val="auto"/>
                <w:u w:val="single"/>
              </w:rPr>
            </w:pPr>
          </w:p>
        </w:tc>
        <w:tc>
          <w:tcPr>
            <w:tcW w:w="801" w:type="pct"/>
            <w:vMerge w:val="continue"/>
            <w:tcBorders>
              <w:tl2br w:val="nil"/>
              <w:tr2bl w:val="nil"/>
            </w:tcBorders>
            <w:vAlign w:val="center"/>
          </w:tcPr>
          <w:p>
            <w:pPr>
              <w:pStyle w:val="182"/>
              <w:bidi w:val="0"/>
              <w:rPr>
                <w:b/>
                <w:bCs w:val="0"/>
                <w:color w:val="auto"/>
                <w:u w:val="singl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02" w:type="pct"/>
            <w:tcBorders>
              <w:tl2br w:val="nil"/>
              <w:tr2bl w:val="nil"/>
            </w:tcBorders>
            <w:vAlign w:val="center"/>
          </w:tcPr>
          <w:p>
            <w:pPr>
              <w:pStyle w:val="182"/>
              <w:bidi w:val="0"/>
              <w:rPr>
                <w:rFonts w:hint="eastAsia"/>
                <w:b/>
                <w:bCs w:val="0"/>
                <w:color w:val="auto"/>
                <w:u w:val="single"/>
              </w:rPr>
            </w:pPr>
            <w:r>
              <w:rPr>
                <w:rFonts w:hint="eastAsia"/>
                <w:b/>
                <w:bCs w:val="0"/>
                <w:color w:val="auto"/>
                <w:u w:val="single"/>
                <w:lang w:val="en-US" w:eastAsia="zh-CN"/>
              </w:rPr>
              <w:t>5</w:t>
            </w:r>
            <w:r>
              <w:rPr>
                <w:rFonts w:hint="eastAsia"/>
                <w:b/>
                <w:bCs w:val="0"/>
                <w:color w:val="auto"/>
                <w:u w:val="single"/>
              </w:rPr>
              <w:t>#</w:t>
            </w:r>
          </w:p>
        </w:tc>
        <w:tc>
          <w:tcPr>
            <w:tcW w:w="962" w:type="pct"/>
            <w:tcBorders>
              <w:tl2br w:val="nil"/>
              <w:tr2bl w:val="nil"/>
            </w:tcBorders>
            <w:vAlign w:val="center"/>
          </w:tcPr>
          <w:p>
            <w:pPr>
              <w:pStyle w:val="182"/>
              <w:bidi w:val="0"/>
              <w:rPr>
                <w:rFonts w:hint="default"/>
                <w:b/>
                <w:bCs w:val="0"/>
                <w:color w:val="auto"/>
                <w:u w:val="single"/>
                <w:lang w:val="en-US" w:eastAsia="zh-CN"/>
              </w:rPr>
            </w:pPr>
            <w:r>
              <w:rPr>
                <w:rFonts w:hint="eastAsia"/>
                <w:b/>
                <w:bCs w:val="0"/>
                <w:color w:val="auto"/>
                <w:u w:val="single"/>
                <w:lang w:val="en-US" w:eastAsia="zh-CN"/>
              </w:rPr>
              <w:t>污水处理设施</w:t>
            </w:r>
          </w:p>
        </w:tc>
        <w:tc>
          <w:tcPr>
            <w:tcW w:w="982" w:type="pct"/>
            <w:vMerge w:val="continue"/>
            <w:tcBorders>
              <w:tl2br w:val="nil"/>
              <w:tr2bl w:val="nil"/>
            </w:tcBorders>
            <w:vAlign w:val="center"/>
          </w:tcPr>
          <w:p>
            <w:pPr>
              <w:pStyle w:val="182"/>
              <w:bidi w:val="0"/>
              <w:rPr>
                <w:b/>
                <w:bCs w:val="0"/>
                <w:color w:val="auto"/>
                <w:u w:val="single"/>
              </w:rPr>
            </w:pPr>
          </w:p>
        </w:tc>
        <w:tc>
          <w:tcPr>
            <w:tcW w:w="1850" w:type="pct"/>
            <w:vMerge w:val="continue"/>
            <w:tcBorders>
              <w:tl2br w:val="nil"/>
              <w:tr2bl w:val="nil"/>
            </w:tcBorders>
            <w:vAlign w:val="center"/>
          </w:tcPr>
          <w:p>
            <w:pPr>
              <w:pStyle w:val="182"/>
              <w:bidi w:val="0"/>
              <w:rPr>
                <w:b/>
                <w:bCs w:val="0"/>
                <w:color w:val="auto"/>
                <w:u w:val="single"/>
              </w:rPr>
            </w:pPr>
          </w:p>
        </w:tc>
        <w:tc>
          <w:tcPr>
            <w:tcW w:w="801" w:type="pct"/>
            <w:vMerge w:val="continue"/>
            <w:tcBorders>
              <w:tl2br w:val="nil"/>
              <w:tr2bl w:val="nil"/>
            </w:tcBorders>
            <w:vAlign w:val="center"/>
          </w:tcPr>
          <w:p>
            <w:pPr>
              <w:pStyle w:val="182"/>
              <w:bidi w:val="0"/>
              <w:rPr>
                <w:b/>
                <w:bCs w:val="0"/>
                <w:color w:val="auto"/>
                <w:u w:val="single"/>
              </w:rPr>
            </w:pPr>
          </w:p>
        </w:tc>
      </w:tr>
    </w:tbl>
    <w:p>
      <w:pPr>
        <w:bidi w:val="0"/>
        <w:ind w:firstLine="0" w:firstLineChars="0"/>
        <w:jc w:val="center"/>
        <w:rPr>
          <w:color w:val="auto"/>
        </w:rPr>
      </w:pPr>
      <w:r>
        <w:rPr>
          <w:color w:val="auto"/>
        </w:rPr>
        <w:drawing>
          <wp:inline distT="0" distB="0" distL="114300" distR="114300">
            <wp:extent cx="5245100" cy="3093720"/>
            <wp:effectExtent l="0" t="0" r="1270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8"/>
                    <a:srcRect l="482"/>
                    <a:stretch>
                      <a:fillRect/>
                    </a:stretch>
                  </pic:blipFill>
                  <pic:spPr>
                    <a:xfrm>
                      <a:off x="0" y="0"/>
                      <a:ext cx="5245100" cy="3093720"/>
                    </a:xfrm>
                    <a:prstGeom prst="rect">
                      <a:avLst/>
                    </a:prstGeom>
                    <a:noFill/>
                    <a:ln>
                      <a:noFill/>
                    </a:ln>
                  </pic:spPr>
                </pic:pic>
              </a:graphicData>
            </a:graphic>
          </wp:inline>
        </w:drawing>
      </w:r>
    </w:p>
    <w:p>
      <w:pPr>
        <w:pStyle w:val="181"/>
        <w:bidi w:val="0"/>
        <w:ind w:left="0" w:leftChars="0" w:firstLine="0" w:firstLineChars="0"/>
        <w:jc w:val="center"/>
        <w:rPr>
          <w:rFonts w:hint="eastAsia"/>
          <w:color w:val="auto"/>
        </w:rPr>
      </w:pPr>
      <w:r>
        <w:rPr>
          <w:rFonts w:hint="eastAsia"/>
          <w:color w:val="auto"/>
        </w:rPr>
        <w:t>图</w:t>
      </w:r>
      <w:r>
        <w:rPr>
          <w:rFonts w:hint="eastAsia"/>
          <w:color w:val="auto"/>
          <w:lang w:val="en-US" w:eastAsia="zh-CN"/>
        </w:rPr>
        <w:t xml:space="preserve">4.2-6  </w:t>
      </w:r>
      <w:r>
        <w:rPr>
          <w:rFonts w:hint="eastAsia"/>
          <w:color w:val="auto"/>
        </w:rPr>
        <w:t>包气带监测点位分布图</w:t>
      </w:r>
    </w:p>
    <w:p>
      <w:pPr>
        <w:bidi w:val="0"/>
        <w:rPr>
          <w:b/>
          <w:bCs w:val="0"/>
          <w:color w:val="auto"/>
          <w:u w:val="single"/>
        </w:rPr>
      </w:pPr>
      <w:r>
        <w:rPr>
          <w:rFonts w:hint="eastAsia"/>
          <w:b/>
          <w:bCs w:val="0"/>
          <w:color w:val="auto"/>
          <w:u w:val="single"/>
        </w:rPr>
        <w:t>（2）监测方法及频率</w:t>
      </w:r>
    </w:p>
    <w:p>
      <w:pPr>
        <w:bidi w:val="0"/>
        <w:rPr>
          <w:b/>
          <w:bCs w:val="0"/>
          <w:color w:val="auto"/>
          <w:u w:val="single"/>
        </w:rPr>
      </w:pPr>
      <w:r>
        <w:rPr>
          <w:rFonts w:hint="eastAsia"/>
          <w:b/>
          <w:bCs w:val="0"/>
          <w:color w:val="auto"/>
          <w:u w:val="single"/>
        </w:rPr>
        <w:t>各因子的监测分析方法详见</w:t>
      </w:r>
      <w:r>
        <w:rPr>
          <w:rFonts w:hint="eastAsia"/>
          <w:b/>
          <w:bCs w:val="0"/>
          <w:color w:val="auto"/>
          <w:u w:val="single"/>
          <w:lang w:val="en-US" w:eastAsia="zh-CN"/>
        </w:rPr>
        <w:t>下</w:t>
      </w:r>
      <w:r>
        <w:rPr>
          <w:rFonts w:hint="eastAsia"/>
          <w:b/>
          <w:bCs w:val="0"/>
          <w:color w:val="auto"/>
          <w:u w:val="single"/>
        </w:rPr>
        <w:t>表。</w:t>
      </w:r>
    </w:p>
    <w:p>
      <w:pPr>
        <w:pStyle w:val="181"/>
        <w:bidi w:val="0"/>
        <w:rPr>
          <w:color w:val="auto"/>
        </w:rPr>
      </w:pPr>
      <w:r>
        <w:rPr>
          <w:rFonts w:hint="eastAsia"/>
          <w:color w:val="auto"/>
        </w:rPr>
        <w:t>表4</w:t>
      </w:r>
      <w:r>
        <w:rPr>
          <w:rFonts w:hint="eastAsia"/>
          <w:color w:val="auto"/>
          <w:lang w:val="en-US" w:eastAsia="zh-CN"/>
        </w:rPr>
        <w:t>.2</w:t>
      </w:r>
      <w:r>
        <w:rPr>
          <w:color w:val="auto"/>
        </w:rPr>
        <w:t>-1</w:t>
      </w:r>
      <w:r>
        <w:rPr>
          <w:rFonts w:hint="eastAsia"/>
          <w:color w:val="auto"/>
          <w:lang w:val="en-US" w:eastAsia="zh-CN"/>
        </w:rPr>
        <w:t>9</w:t>
      </w:r>
      <w:r>
        <w:rPr>
          <w:rFonts w:hint="eastAsia"/>
          <w:color w:val="auto"/>
        </w:rPr>
        <w:t xml:space="preserve">            </w:t>
      </w:r>
      <w:r>
        <w:rPr>
          <w:color w:val="auto"/>
        </w:rPr>
        <w:t xml:space="preserve"> </w:t>
      </w:r>
      <w:r>
        <w:rPr>
          <w:rFonts w:hint="eastAsia"/>
          <w:color w:val="auto"/>
        </w:rPr>
        <w:t>包气带污染物监测分析方法</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1209"/>
        <w:gridCol w:w="2488"/>
        <w:gridCol w:w="2073"/>
        <w:gridCol w:w="1168"/>
        <w:gridCol w:w="11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66" w:type="pct"/>
            <w:vAlign w:val="center"/>
          </w:tcPr>
          <w:p>
            <w:pPr>
              <w:pStyle w:val="182"/>
              <w:bidi w:val="0"/>
              <w:rPr>
                <w:b/>
                <w:bCs/>
                <w:color w:val="auto"/>
                <w:u w:val="single"/>
              </w:rPr>
            </w:pPr>
            <w:r>
              <w:rPr>
                <w:b/>
                <w:bCs/>
                <w:color w:val="auto"/>
                <w:u w:val="single"/>
              </w:rPr>
              <w:t>序号</w:t>
            </w:r>
          </w:p>
        </w:tc>
        <w:tc>
          <w:tcPr>
            <w:tcW w:w="713" w:type="pct"/>
            <w:vAlign w:val="center"/>
          </w:tcPr>
          <w:p>
            <w:pPr>
              <w:pStyle w:val="182"/>
              <w:bidi w:val="0"/>
              <w:rPr>
                <w:b/>
                <w:bCs/>
                <w:color w:val="auto"/>
                <w:u w:val="single"/>
              </w:rPr>
            </w:pPr>
            <w:r>
              <w:rPr>
                <w:b/>
                <w:bCs/>
                <w:color w:val="auto"/>
                <w:u w:val="single"/>
              </w:rPr>
              <w:t>检测因子</w:t>
            </w:r>
          </w:p>
        </w:tc>
        <w:tc>
          <w:tcPr>
            <w:tcW w:w="1463" w:type="pct"/>
            <w:vAlign w:val="center"/>
          </w:tcPr>
          <w:p>
            <w:pPr>
              <w:pStyle w:val="182"/>
              <w:bidi w:val="0"/>
              <w:rPr>
                <w:b/>
                <w:bCs/>
                <w:color w:val="auto"/>
                <w:u w:val="single"/>
              </w:rPr>
            </w:pPr>
            <w:r>
              <w:rPr>
                <w:b/>
                <w:bCs/>
                <w:color w:val="auto"/>
                <w:u w:val="single"/>
              </w:rPr>
              <w:t>检测方法及编号</w:t>
            </w:r>
          </w:p>
        </w:tc>
        <w:tc>
          <w:tcPr>
            <w:tcW w:w="1220" w:type="pct"/>
            <w:vAlign w:val="center"/>
          </w:tcPr>
          <w:p>
            <w:pPr>
              <w:pStyle w:val="182"/>
              <w:bidi w:val="0"/>
              <w:rPr>
                <w:b/>
                <w:bCs/>
                <w:color w:val="auto"/>
                <w:u w:val="single"/>
              </w:rPr>
            </w:pPr>
            <w:r>
              <w:rPr>
                <w:b/>
                <w:bCs/>
                <w:color w:val="auto"/>
                <w:u w:val="single"/>
              </w:rPr>
              <w:t>检测仪器型号及编号</w:t>
            </w:r>
          </w:p>
        </w:tc>
        <w:tc>
          <w:tcPr>
            <w:tcW w:w="668" w:type="pct"/>
            <w:vAlign w:val="center"/>
          </w:tcPr>
          <w:p>
            <w:pPr>
              <w:pStyle w:val="182"/>
              <w:bidi w:val="0"/>
              <w:rPr>
                <w:b/>
                <w:bCs/>
                <w:color w:val="auto"/>
                <w:u w:val="single"/>
              </w:rPr>
            </w:pPr>
            <w:r>
              <w:rPr>
                <w:b/>
                <w:bCs/>
                <w:color w:val="auto"/>
                <w:u w:val="single"/>
              </w:rPr>
              <w:t>检出限</w:t>
            </w:r>
          </w:p>
        </w:tc>
        <w:tc>
          <w:tcPr>
            <w:tcW w:w="670" w:type="pct"/>
            <w:vAlign w:val="center"/>
          </w:tcPr>
          <w:p>
            <w:pPr>
              <w:pStyle w:val="182"/>
              <w:bidi w:val="0"/>
              <w:rPr>
                <w:b/>
                <w:bCs/>
                <w:color w:val="auto"/>
                <w:u w:val="single"/>
              </w:rPr>
            </w:pPr>
            <w:r>
              <w:rPr>
                <w:b/>
                <w:bCs/>
                <w:color w:val="auto"/>
                <w:u w:val="single"/>
              </w:rPr>
              <w:t>最低检</w:t>
            </w:r>
          </w:p>
          <w:p>
            <w:pPr>
              <w:pStyle w:val="182"/>
              <w:bidi w:val="0"/>
              <w:rPr>
                <w:b/>
                <w:bCs/>
                <w:color w:val="auto"/>
                <w:u w:val="single"/>
              </w:rPr>
            </w:pPr>
            <w:r>
              <w:rPr>
                <w:b/>
                <w:bCs/>
                <w:color w:val="auto"/>
                <w:u w:val="single"/>
              </w:rPr>
              <w:t>出浓度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bidi w:val="0"/>
              <w:rPr>
                <w:b/>
                <w:bCs/>
                <w:color w:val="auto"/>
                <w:u w:val="single"/>
              </w:rPr>
            </w:pPr>
            <w:r>
              <w:rPr>
                <w:rFonts w:hint="eastAsia"/>
                <w:b/>
                <w:bCs/>
                <w:color w:val="auto"/>
                <w:u w:val="single"/>
              </w:rPr>
              <w:t>1</w:t>
            </w:r>
          </w:p>
        </w:tc>
        <w:tc>
          <w:tcPr>
            <w:tcW w:w="713" w:type="pct"/>
            <w:tcBorders>
              <w:tl2br w:val="nil"/>
              <w:tr2bl w:val="nil"/>
            </w:tcBorders>
            <w:vAlign w:val="center"/>
          </w:tcPr>
          <w:p>
            <w:pPr>
              <w:pStyle w:val="182"/>
              <w:bidi w:val="0"/>
              <w:rPr>
                <w:b/>
                <w:bCs/>
                <w:color w:val="auto"/>
                <w:u w:val="single"/>
              </w:rPr>
            </w:pPr>
            <w:r>
              <w:rPr>
                <w:b/>
                <w:bCs/>
                <w:color w:val="auto"/>
                <w:u w:val="single"/>
              </w:rPr>
              <w:t>pH</w:t>
            </w:r>
            <w:r>
              <w:rPr>
                <w:rFonts w:hint="eastAsia"/>
                <w:b/>
                <w:bCs/>
                <w:color w:val="auto"/>
                <w:u w:val="single"/>
              </w:rPr>
              <w:t>值</w:t>
            </w:r>
          </w:p>
        </w:tc>
        <w:tc>
          <w:tcPr>
            <w:tcW w:w="1463" w:type="pct"/>
            <w:tcBorders>
              <w:tl2br w:val="nil"/>
              <w:tr2bl w:val="nil"/>
            </w:tcBorders>
            <w:vAlign w:val="center"/>
          </w:tcPr>
          <w:p>
            <w:pPr>
              <w:pStyle w:val="182"/>
              <w:bidi w:val="0"/>
              <w:rPr>
                <w:b/>
                <w:bCs/>
                <w:color w:val="auto"/>
                <w:u w:val="single"/>
              </w:rPr>
            </w:pPr>
            <w:r>
              <w:rPr>
                <w:b/>
                <w:bCs/>
                <w:color w:val="auto"/>
                <w:u w:val="single"/>
              </w:rPr>
              <w:t>《水质</w:t>
            </w:r>
            <w:r>
              <w:rPr>
                <w:rFonts w:hint="eastAsia"/>
                <w:b/>
                <w:bCs/>
                <w:color w:val="auto"/>
                <w:u w:val="single"/>
                <w:lang w:val="en-US" w:eastAsia="zh-CN"/>
              </w:rPr>
              <w:t xml:space="preserve"> </w:t>
            </w:r>
            <w:r>
              <w:rPr>
                <w:b/>
                <w:bCs/>
                <w:color w:val="auto"/>
                <w:u w:val="single"/>
              </w:rPr>
              <w:t>pH值的测定</w:t>
            </w:r>
            <w:r>
              <w:rPr>
                <w:rFonts w:hint="eastAsia"/>
                <w:b/>
                <w:bCs/>
                <w:color w:val="auto"/>
                <w:u w:val="single"/>
                <w:lang w:val="en-US" w:eastAsia="zh-CN"/>
              </w:rPr>
              <w:t xml:space="preserve"> </w:t>
            </w:r>
            <w:r>
              <w:rPr>
                <w:b/>
                <w:bCs/>
                <w:color w:val="auto"/>
                <w:u w:val="single"/>
              </w:rPr>
              <w:t>电极法》HJ 1147-2020</w:t>
            </w:r>
          </w:p>
        </w:tc>
        <w:tc>
          <w:tcPr>
            <w:tcW w:w="1220" w:type="pct"/>
            <w:tcBorders>
              <w:tl2br w:val="nil"/>
              <w:tr2bl w:val="nil"/>
            </w:tcBorders>
            <w:vAlign w:val="center"/>
          </w:tcPr>
          <w:p>
            <w:pPr>
              <w:pStyle w:val="182"/>
              <w:bidi w:val="0"/>
              <w:rPr>
                <w:rFonts w:hint="eastAsia"/>
                <w:b/>
                <w:bCs/>
                <w:color w:val="auto"/>
                <w:u w:val="single"/>
              </w:rPr>
            </w:pPr>
            <w:r>
              <w:rPr>
                <w:rFonts w:hint="eastAsia"/>
                <w:b/>
                <w:bCs/>
                <w:color w:val="auto"/>
                <w:u w:val="single"/>
              </w:rPr>
              <w:t>pH计</w:t>
            </w:r>
          </w:p>
          <w:p>
            <w:pPr>
              <w:pStyle w:val="182"/>
              <w:bidi w:val="0"/>
              <w:rPr>
                <w:b/>
                <w:bCs/>
                <w:color w:val="auto"/>
                <w:u w:val="single"/>
              </w:rPr>
            </w:pPr>
            <w:r>
              <w:rPr>
                <w:rFonts w:hint="eastAsia"/>
                <w:b/>
                <w:bCs/>
                <w:color w:val="auto"/>
                <w:u w:val="single"/>
              </w:rPr>
              <w:t>PHS-3C</w:t>
            </w:r>
          </w:p>
        </w:tc>
        <w:tc>
          <w:tcPr>
            <w:tcW w:w="668" w:type="pct"/>
            <w:tcBorders>
              <w:tl2br w:val="nil"/>
              <w:tr2bl w:val="nil"/>
            </w:tcBorders>
            <w:vAlign w:val="center"/>
          </w:tcPr>
          <w:p>
            <w:pPr>
              <w:pStyle w:val="182"/>
              <w:bidi w:val="0"/>
              <w:rPr>
                <w:b/>
                <w:bCs/>
                <w:color w:val="auto"/>
                <w:u w:val="single"/>
              </w:rPr>
            </w:pPr>
            <w:r>
              <w:rPr>
                <w:b/>
                <w:bCs/>
                <w:color w:val="auto"/>
                <w:u w:val="single"/>
              </w:rPr>
              <w:t>/</w:t>
            </w:r>
          </w:p>
        </w:tc>
        <w:tc>
          <w:tcPr>
            <w:tcW w:w="670" w:type="pct"/>
            <w:tcBorders>
              <w:tl2br w:val="nil"/>
              <w:tr2bl w:val="nil"/>
            </w:tcBorders>
            <w:vAlign w:val="center"/>
          </w:tcPr>
          <w:p>
            <w:pPr>
              <w:pStyle w:val="182"/>
              <w:bidi w:val="0"/>
              <w:rPr>
                <w:b/>
                <w:bCs/>
                <w:color w:val="auto"/>
                <w:u w:val="single"/>
              </w:rPr>
            </w:pPr>
            <w:r>
              <w:rPr>
                <w:rFonts w:hint="eastAsia"/>
                <w:b/>
                <w:bCs/>
                <w:color w:val="auto"/>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bidi w:val="0"/>
              <w:rPr>
                <w:b/>
                <w:bCs/>
                <w:color w:val="auto"/>
                <w:u w:val="single"/>
              </w:rPr>
            </w:pPr>
            <w:r>
              <w:rPr>
                <w:rFonts w:hint="eastAsia"/>
                <w:b/>
                <w:bCs/>
                <w:color w:val="auto"/>
                <w:u w:val="single"/>
              </w:rPr>
              <w:t>2</w:t>
            </w:r>
          </w:p>
        </w:tc>
        <w:tc>
          <w:tcPr>
            <w:tcW w:w="713" w:type="pct"/>
            <w:tcBorders>
              <w:tl2br w:val="nil"/>
              <w:tr2bl w:val="nil"/>
            </w:tcBorders>
            <w:vAlign w:val="center"/>
          </w:tcPr>
          <w:p>
            <w:pPr>
              <w:pStyle w:val="182"/>
              <w:bidi w:val="0"/>
              <w:rPr>
                <w:b/>
                <w:bCs/>
                <w:color w:val="auto"/>
                <w:u w:val="single"/>
              </w:rPr>
            </w:pPr>
            <w:r>
              <w:rPr>
                <w:b/>
                <w:bCs/>
                <w:color w:val="auto"/>
                <w:u w:val="single"/>
              </w:rPr>
              <w:t>氨氮</w:t>
            </w:r>
          </w:p>
        </w:tc>
        <w:tc>
          <w:tcPr>
            <w:tcW w:w="1463" w:type="pct"/>
            <w:tcBorders>
              <w:tl2br w:val="nil"/>
              <w:tr2bl w:val="nil"/>
            </w:tcBorders>
            <w:vAlign w:val="center"/>
          </w:tcPr>
          <w:p>
            <w:pPr>
              <w:pStyle w:val="182"/>
              <w:bidi w:val="0"/>
              <w:rPr>
                <w:b/>
                <w:bCs/>
                <w:color w:val="auto"/>
                <w:u w:val="single"/>
              </w:rPr>
            </w:pPr>
            <w:r>
              <w:rPr>
                <w:b/>
                <w:bCs/>
                <w:color w:val="auto"/>
                <w:u w:val="single"/>
              </w:rPr>
              <w:t>《水质</w:t>
            </w:r>
            <w:r>
              <w:rPr>
                <w:rFonts w:hint="eastAsia"/>
                <w:b/>
                <w:bCs/>
                <w:color w:val="auto"/>
                <w:u w:val="single"/>
                <w:lang w:val="en-US" w:eastAsia="zh-CN"/>
              </w:rPr>
              <w:t xml:space="preserve"> </w:t>
            </w:r>
            <w:r>
              <w:rPr>
                <w:b/>
                <w:bCs/>
                <w:color w:val="auto"/>
                <w:u w:val="single"/>
              </w:rPr>
              <w:t>氨氮的测定</w:t>
            </w:r>
            <w:r>
              <w:rPr>
                <w:rFonts w:hint="eastAsia"/>
                <w:b/>
                <w:bCs/>
                <w:color w:val="auto"/>
                <w:u w:val="single"/>
                <w:lang w:val="en-US" w:eastAsia="zh-CN"/>
              </w:rPr>
              <w:t xml:space="preserve"> </w:t>
            </w:r>
            <w:r>
              <w:rPr>
                <w:b/>
                <w:bCs/>
                <w:color w:val="auto"/>
                <w:u w:val="single"/>
              </w:rPr>
              <w:t>纳氏试剂分光光度法》HJ 535-2009</w:t>
            </w:r>
          </w:p>
        </w:tc>
        <w:tc>
          <w:tcPr>
            <w:tcW w:w="1220" w:type="pct"/>
            <w:tcBorders>
              <w:tl2br w:val="nil"/>
              <w:tr2bl w:val="nil"/>
            </w:tcBorders>
            <w:vAlign w:val="center"/>
          </w:tcPr>
          <w:p>
            <w:pPr>
              <w:pStyle w:val="182"/>
              <w:bidi w:val="0"/>
              <w:rPr>
                <w:b/>
                <w:bCs/>
                <w:color w:val="auto"/>
                <w:u w:val="single"/>
              </w:rPr>
            </w:pPr>
            <w:r>
              <w:rPr>
                <w:b/>
                <w:bCs/>
                <w:color w:val="auto"/>
                <w:u w:val="single"/>
              </w:rPr>
              <w:t>紫外可见分光光度计</w:t>
            </w:r>
            <w:r>
              <w:rPr>
                <w:rFonts w:hint="eastAsia"/>
                <w:b/>
                <w:bCs/>
                <w:color w:val="auto"/>
                <w:u w:val="single"/>
              </w:rPr>
              <w:t>/</w:t>
            </w:r>
            <w:r>
              <w:rPr>
                <w:b/>
                <w:bCs/>
                <w:color w:val="auto"/>
                <w:u w:val="single"/>
              </w:rPr>
              <w:t>T6新世纪</w:t>
            </w:r>
          </w:p>
        </w:tc>
        <w:tc>
          <w:tcPr>
            <w:tcW w:w="668" w:type="pct"/>
            <w:tcBorders>
              <w:tl2br w:val="nil"/>
              <w:tr2bl w:val="nil"/>
            </w:tcBorders>
            <w:vAlign w:val="center"/>
          </w:tcPr>
          <w:p>
            <w:pPr>
              <w:pStyle w:val="182"/>
              <w:bidi w:val="0"/>
              <w:rPr>
                <w:b/>
                <w:bCs/>
                <w:color w:val="auto"/>
                <w:u w:val="single"/>
              </w:rPr>
            </w:pPr>
            <w:r>
              <w:rPr>
                <w:b/>
                <w:bCs/>
                <w:color w:val="auto"/>
                <w:u w:val="single"/>
              </w:rPr>
              <w:t>0.025mg/L</w:t>
            </w:r>
          </w:p>
        </w:tc>
        <w:tc>
          <w:tcPr>
            <w:tcW w:w="670" w:type="pct"/>
            <w:tcBorders>
              <w:tl2br w:val="nil"/>
              <w:tr2bl w:val="nil"/>
            </w:tcBorders>
            <w:vAlign w:val="center"/>
          </w:tcPr>
          <w:p>
            <w:pPr>
              <w:pStyle w:val="182"/>
              <w:bidi w:val="0"/>
              <w:rPr>
                <w:b/>
                <w:bCs/>
                <w:color w:val="auto"/>
                <w:u w:val="single"/>
              </w:rPr>
            </w:pPr>
            <w:r>
              <w:rPr>
                <w:b/>
                <w:bCs/>
                <w:color w:val="auto"/>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 w:type="pct"/>
            <w:vAlign w:val="center"/>
          </w:tcPr>
          <w:p>
            <w:pPr>
              <w:pStyle w:val="182"/>
              <w:bidi w:val="0"/>
              <w:rPr>
                <w:b/>
                <w:bCs/>
                <w:color w:val="auto"/>
                <w:u w:val="single"/>
              </w:rPr>
            </w:pPr>
            <w:r>
              <w:rPr>
                <w:rFonts w:hint="eastAsia"/>
                <w:b/>
                <w:bCs/>
                <w:color w:val="auto"/>
                <w:u w:val="single"/>
              </w:rPr>
              <w:t>3</w:t>
            </w:r>
          </w:p>
        </w:tc>
        <w:tc>
          <w:tcPr>
            <w:tcW w:w="713" w:type="pct"/>
            <w:tcBorders>
              <w:tl2br w:val="nil"/>
              <w:tr2bl w:val="nil"/>
            </w:tcBorders>
            <w:vAlign w:val="center"/>
          </w:tcPr>
          <w:p>
            <w:pPr>
              <w:pStyle w:val="182"/>
              <w:bidi w:val="0"/>
              <w:rPr>
                <w:b/>
                <w:bCs/>
                <w:color w:val="auto"/>
                <w:u w:val="single"/>
              </w:rPr>
            </w:pPr>
            <w:r>
              <w:rPr>
                <w:rFonts w:hint="eastAsia"/>
                <w:b/>
                <w:bCs/>
                <w:color w:val="auto"/>
                <w:u w:val="single"/>
              </w:rPr>
              <w:t>耗氧量</w:t>
            </w:r>
          </w:p>
        </w:tc>
        <w:tc>
          <w:tcPr>
            <w:tcW w:w="1463" w:type="pct"/>
            <w:tcBorders>
              <w:tl2br w:val="nil"/>
              <w:tr2bl w:val="nil"/>
            </w:tcBorders>
            <w:vAlign w:val="center"/>
          </w:tcPr>
          <w:p>
            <w:pPr>
              <w:pStyle w:val="182"/>
              <w:bidi w:val="0"/>
              <w:rPr>
                <w:b/>
                <w:bCs/>
                <w:color w:val="auto"/>
                <w:u w:val="single"/>
              </w:rPr>
            </w:pPr>
            <w:r>
              <w:rPr>
                <w:b/>
                <w:bCs/>
                <w:color w:val="auto"/>
                <w:u w:val="single"/>
              </w:rPr>
              <w:t>《</w:t>
            </w:r>
            <w:r>
              <w:rPr>
                <w:rFonts w:hint="eastAsia"/>
                <w:b/>
                <w:bCs/>
                <w:color w:val="auto"/>
                <w:u w:val="single"/>
                <w:lang w:eastAsia="zh-CN"/>
              </w:rPr>
              <w:t>生活饮用水标准检验方法 有机物综合指标</w:t>
            </w:r>
            <w:r>
              <w:rPr>
                <w:b/>
                <w:bCs/>
                <w:color w:val="auto"/>
                <w:u w:val="single"/>
              </w:rPr>
              <w:t>》GB/T 5750.7-2006</w:t>
            </w:r>
          </w:p>
        </w:tc>
        <w:tc>
          <w:tcPr>
            <w:tcW w:w="1220" w:type="pct"/>
            <w:tcBorders>
              <w:tl2br w:val="nil"/>
              <w:tr2bl w:val="nil"/>
            </w:tcBorders>
            <w:vAlign w:val="center"/>
          </w:tcPr>
          <w:p>
            <w:pPr>
              <w:pStyle w:val="182"/>
              <w:bidi w:val="0"/>
              <w:rPr>
                <w:b/>
                <w:bCs/>
                <w:color w:val="auto"/>
                <w:u w:val="single"/>
              </w:rPr>
            </w:pPr>
            <w:r>
              <w:rPr>
                <w:b/>
                <w:bCs/>
                <w:color w:val="auto"/>
                <w:u w:val="single"/>
              </w:rPr>
              <w:t>滴定管</w:t>
            </w:r>
          </w:p>
        </w:tc>
        <w:tc>
          <w:tcPr>
            <w:tcW w:w="668" w:type="pct"/>
            <w:tcBorders>
              <w:tl2br w:val="nil"/>
              <w:tr2bl w:val="nil"/>
            </w:tcBorders>
            <w:vAlign w:val="center"/>
          </w:tcPr>
          <w:p>
            <w:pPr>
              <w:pStyle w:val="182"/>
              <w:bidi w:val="0"/>
              <w:rPr>
                <w:b/>
                <w:bCs/>
                <w:color w:val="auto"/>
                <w:u w:val="single"/>
              </w:rPr>
            </w:pPr>
            <w:r>
              <w:rPr>
                <w:b/>
                <w:bCs/>
                <w:color w:val="auto"/>
                <w:u w:val="single"/>
              </w:rPr>
              <w:t>/</w:t>
            </w:r>
          </w:p>
        </w:tc>
        <w:tc>
          <w:tcPr>
            <w:tcW w:w="670" w:type="pct"/>
            <w:tcBorders>
              <w:tl2br w:val="nil"/>
              <w:tr2bl w:val="nil"/>
            </w:tcBorders>
            <w:vAlign w:val="center"/>
          </w:tcPr>
          <w:p>
            <w:pPr>
              <w:pStyle w:val="182"/>
              <w:bidi w:val="0"/>
              <w:rPr>
                <w:b/>
                <w:bCs/>
                <w:color w:val="auto"/>
                <w:u w:val="single"/>
              </w:rPr>
            </w:pPr>
            <w:r>
              <w:rPr>
                <w:b/>
                <w:bCs/>
                <w:color w:val="auto"/>
                <w:u w:val="single"/>
              </w:rPr>
              <w:t>0.05</w:t>
            </w:r>
            <w:r>
              <w:rPr>
                <w:rFonts w:hint="eastAsia"/>
                <w:b/>
                <w:bCs/>
                <w:color w:val="auto"/>
                <w:u w:val="single"/>
              </w:rPr>
              <w:t xml:space="preserve"> </w:t>
            </w:r>
            <w:r>
              <w:rPr>
                <w:b/>
                <w:bCs/>
                <w:color w:val="auto"/>
                <w:u w:val="single"/>
              </w:rPr>
              <w:t>mg/L</w:t>
            </w:r>
          </w:p>
        </w:tc>
      </w:tr>
    </w:tbl>
    <w:p>
      <w:pPr>
        <w:bidi w:val="0"/>
        <w:rPr>
          <w:b/>
          <w:bCs/>
          <w:color w:val="auto"/>
          <w:u w:val="single"/>
        </w:rPr>
      </w:pPr>
      <w:r>
        <w:rPr>
          <w:rFonts w:hint="eastAsia"/>
          <w:b/>
          <w:bCs/>
          <w:color w:val="auto"/>
          <w:u w:val="single"/>
        </w:rPr>
        <w:t>（3）监测结果分析</w:t>
      </w:r>
    </w:p>
    <w:p>
      <w:pPr>
        <w:bidi w:val="0"/>
        <w:rPr>
          <w:b/>
          <w:bCs/>
          <w:color w:val="auto"/>
          <w:u w:val="single"/>
        </w:rPr>
      </w:pPr>
      <w:r>
        <w:rPr>
          <w:rFonts w:hint="eastAsia"/>
          <w:b/>
          <w:bCs/>
          <w:color w:val="auto"/>
          <w:u w:val="single"/>
        </w:rPr>
        <w:t>包气带现状监测结果统计见</w:t>
      </w:r>
      <w:r>
        <w:rPr>
          <w:rFonts w:hint="eastAsia"/>
          <w:b/>
          <w:bCs/>
          <w:color w:val="auto"/>
          <w:u w:val="single"/>
          <w:lang w:val="en-US" w:eastAsia="zh-CN"/>
        </w:rPr>
        <w:t>下</w:t>
      </w:r>
      <w:r>
        <w:rPr>
          <w:rFonts w:hint="eastAsia"/>
          <w:b/>
          <w:bCs/>
          <w:color w:val="auto"/>
          <w:u w:val="single"/>
        </w:rPr>
        <w:t>表。</w:t>
      </w:r>
    </w:p>
    <w:p>
      <w:pPr>
        <w:pStyle w:val="181"/>
        <w:bidi w:val="0"/>
        <w:rPr>
          <w:b/>
          <w:bCs/>
          <w:color w:val="auto"/>
          <w:u w:val="single"/>
        </w:rPr>
      </w:pPr>
      <w:r>
        <w:rPr>
          <w:rFonts w:hint="eastAsia"/>
          <w:b/>
          <w:bCs/>
          <w:color w:val="auto"/>
          <w:u w:val="single"/>
        </w:rPr>
        <w:t>表4</w:t>
      </w:r>
      <w:r>
        <w:rPr>
          <w:rFonts w:hint="eastAsia"/>
          <w:b/>
          <w:bCs/>
          <w:color w:val="auto"/>
          <w:u w:val="single"/>
          <w:lang w:val="en-US" w:eastAsia="zh-CN"/>
        </w:rPr>
        <w:t>.2</w:t>
      </w:r>
      <w:r>
        <w:rPr>
          <w:b/>
          <w:bCs/>
          <w:color w:val="auto"/>
          <w:u w:val="single"/>
        </w:rPr>
        <w:t>-</w:t>
      </w:r>
      <w:r>
        <w:rPr>
          <w:rFonts w:hint="eastAsia"/>
          <w:b/>
          <w:bCs/>
          <w:color w:val="auto"/>
          <w:u w:val="single"/>
          <w:lang w:val="en-US" w:eastAsia="zh-CN"/>
        </w:rPr>
        <w:t>20</w:t>
      </w:r>
      <w:r>
        <w:rPr>
          <w:rFonts w:hint="eastAsia"/>
          <w:b/>
          <w:bCs/>
          <w:color w:val="auto"/>
          <w:u w:val="single"/>
        </w:rPr>
        <w:t xml:space="preserve">         </w:t>
      </w:r>
      <w:r>
        <w:rPr>
          <w:b/>
          <w:bCs/>
          <w:color w:val="auto"/>
          <w:u w:val="single"/>
        </w:rPr>
        <w:t xml:space="preserve">  </w:t>
      </w:r>
      <w:r>
        <w:rPr>
          <w:rFonts w:hint="eastAsia"/>
          <w:b/>
          <w:bCs/>
          <w:color w:val="auto"/>
          <w:u w:val="single"/>
        </w:rPr>
        <w:t>本项目包气带现状调查统计结果         单位：</w:t>
      </w:r>
      <w:r>
        <w:rPr>
          <w:b/>
          <w:bCs/>
          <w:color w:val="auto"/>
          <w:u w:val="single"/>
        </w:rPr>
        <w:t>mg/L</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161"/>
        <w:gridCol w:w="999"/>
        <w:gridCol w:w="1202"/>
        <w:gridCol w:w="919"/>
        <w:gridCol w:w="1265"/>
        <w:gridCol w:w="1442"/>
        <w:gridCol w:w="153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681" w:type="pct"/>
            <w:vMerge w:val="restart"/>
            <w:vAlign w:val="center"/>
          </w:tcPr>
          <w:p>
            <w:pPr>
              <w:pStyle w:val="182"/>
              <w:bidi w:val="0"/>
              <w:rPr>
                <w:b/>
                <w:bCs/>
                <w:color w:val="auto"/>
                <w:u w:val="single"/>
              </w:rPr>
            </w:pPr>
            <w:r>
              <w:rPr>
                <w:b/>
                <w:bCs/>
                <w:color w:val="auto"/>
                <w:u w:val="single"/>
              </w:rPr>
              <w:t>采样</w:t>
            </w:r>
            <w:r>
              <w:rPr>
                <w:rFonts w:hint="eastAsia"/>
                <w:b/>
                <w:bCs/>
                <w:color w:val="auto"/>
                <w:u w:val="single"/>
              </w:rPr>
              <w:t>时间</w:t>
            </w:r>
          </w:p>
        </w:tc>
        <w:tc>
          <w:tcPr>
            <w:tcW w:w="586" w:type="pct"/>
            <w:vMerge w:val="restart"/>
            <w:vAlign w:val="center"/>
          </w:tcPr>
          <w:p>
            <w:pPr>
              <w:pStyle w:val="182"/>
              <w:bidi w:val="0"/>
              <w:rPr>
                <w:b/>
                <w:bCs/>
                <w:color w:val="auto"/>
                <w:u w:val="single"/>
              </w:rPr>
            </w:pPr>
            <w:r>
              <w:rPr>
                <w:b/>
                <w:bCs/>
                <w:color w:val="auto"/>
                <w:u w:val="single"/>
              </w:rPr>
              <w:t>采样点位</w:t>
            </w:r>
          </w:p>
        </w:tc>
        <w:tc>
          <w:tcPr>
            <w:tcW w:w="705" w:type="pct"/>
            <w:vMerge w:val="restart"/>
            <w:vAlign w:val="center"/>
          </w:tcPr>
          <w:p>
            <w:pPr>
              <w:pStyle w:val="182"/>
              <w:bidi w:val="0"/>
              <w:rPr>
                <w:b/>
                <w:bCs/>
                <w:color w:val="auto"/>
                <w:u w:val="single"/>
              </w:rPr>
            </w:pPr>
            <w:r>
              <w:rPr>
                <w:rFonts w:hint="eastAsia"/>
                <w:b/>
                <w:bCs/>
                <w:color w:val="auto"/>
                <w:u w:val="single"/>
              </w:rPr>
              <w:t>监测</w:t>
            </w:r>
            <w:r>
              <w:rPr>
                <w:b/>
                <w:bCs/>
                <w:color w:val="auto"/>
                <w:u w:val="single"/>
              </w:rPr>
              <w:t>因子</w:t>
            </w:r>
          </w:p>
        </w:tc>
        <w:tc>
          <w:tcPr>
            <w:tcW w:w="539" w:type="pct"/>
            <w:vMerge w:val="restart"/>
            <w:vAlign w:val="center"/>
          </w:tcPr>
          <w:p>
            <w:pPr>
              <w:pStyle w:val="182"/>
              <w:bidi w:val="0"/>
              <w:rPr>
                <w:b/>
                <w:bCs/>
                <w:color w:val="auto"/>
                <w:u w:val="single"/>
              </w:rPr>
            </w:pPr>
            <w:r>
              <w:rPr>
                <w:b/>
                <w:bCs/>
                <w:color w:val="auto"/>
                <w:u w:val="single"/>
              </w:rPr>
              <w:t>单位</w:t>
            </w:r>
          </w:p>
        </w:tc>
        <w:tc>
          <w:tcPr>
            <w:tcW w:w="2488" w:type="pct"/>
            <w:gridSpan w:val="3"/>
            <w:vAlign w:val="center"/>
          </w:tcPr>
          <w:p>
            <w:pPr>
              <w:pStyle w:val="182"/>
              <w:bidi w:val="0"/>
              <w:rPr>
                <w:b/>
                <w:bCs/>
                <w:color w:val="auto"/>
                <w:u w:val="single"/>
              </w:rPr>
            </w:pPr>
            <w:r>
              <w:rPr>
                <w:rFonts w:hint="eastAsia"/>
                <w:b/>
                <w:bCs/>
                <w:color w:val="auto"/>
                <w:u w:val="single"/>
              </w:rPr>
              <w:t>监测结果</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Merge w:val="continue"/>
            <w:vAlign w:val="center"/>
          </w:tcPr>
          <w:p>
            <w:pPr>
              <w:pStyle w:val="182"/>
              <w:bidi w:val="0"/>
              <w:rPr>
                <w:b/>
                <w:bCs/>
                <w:color w:val="auto"/>
                <w:u w:val="single"/>
              </w:rPr>
            </w:pPr>
          </w:p>
        </w:tc>
        <w:tc>
          <w:tcPr>
            <w:tcW w:w="539" w:type="pct"/>
            <w:vMerge w:val="continue"/>
            <w:vAlign w:val="center"/>
          </w:tcPr>
          <w:p>
            <w:pPr>
              <w:pStyle w:val="182"/>
              <w:bidi w:val="0"/>
              <w:rPr>
                <w:b/>
                <w:bCs/>
                <w:color w:val="auto"/>
                <w:u w:val="single"/>
              </w:rPr>
            </w:pPr>
          </w:p>
        </w:tc>
        <w:tc>
          <w:tcPr>
            <w:tcW w:w="742" w:type="pct"/>
            <w:vAlign w:val="center"/>
          </w:tcPr>
          <w:p>
            <w:pPr>
              <w:pStyle w:val="182"/>
              <w:bidi w:val="0"/>
              <w:rPr>
                <w:b/>
                <w:bCs/>
                <w:color w:val="auto"/>
                <w:u w:val="single"/>
              </w:rPr>
            </w:pPr>
            <w:r>
              <w:rPr>
                <w:rFonts w:hint="eastAsia"/>
                <w:b/>
                <w:bCs/>
                <w:color w:val="auto"/>
                <w:u w:val="single"/>
              </w:rPr>
              <w:t>（0~0.2）m</w:t>
            </w:r>
          </w:p>
        </w:tc>
        <w:tc>
          <w:tcPr>
            <w:tcW w:w="846" w:type="pct"/>
            <w:vAlign w:val="center"/>
          </w:tcPr>
          <w:p>
            <w:pPr>
              <w:pStyle w:val="182"/>
              <w:bidi w:val="0"/>
              <w:rPr>
                <w:b/>
                <w:bCs/>
                <w:color w:val="auto"/>
                <w:u w:val="single"/>
              </w:rPr>
            </w:pPr>
            <w:r>
              <w:rPr>
                <w:rFonts w:hint="eastAsia"/>
                <w:b/>
                <w:bCs/>
                <w:color w:val="auto"/>
                <w:u w:val="single"/>
              </w:rPr>
              <w:t>（0.2~0.4）m</w:t>
            </w:r>
          </w:p>
        </w:tc>
        <w:tc>
          <w:tcPr>
            <w:tcW w:w="898" w:type="pct"/>
            <w:vAlign w:val="center"/>
          </w:tcPr>
          <w:p>
            <w:pPr>
              <w:pStyle w:val="182"/>
              <w:bidi w:val="0"/>
              <w:rPr>
                <w:b/>
                <w:bCs/>
                <w:color w:val="auto"/>
                <w:u w:val="single"/>
              </w:rPr>
            </w:pPr>
            <w:r>
              <w:rPr>
                <w:rFonts w:hint="eastAsia"/>
                <w:b/>
                <w:bCs/>
                <w:color w:val="auto"/>
                <w:u w:val="single"/>
              </w:rPr>
              <w:t>（0.4~0.6）m</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restart"/>
            <w:vAlign w:val="center"/>
          </w:tcPr>
          <w:p>
            <w:pPr>
              <w:pStyle w:val="182"/>
              <w:bidi w:val="0"/>
              <w:rPr>
                <w:rFonts w:hint="default" w:eastAsia="宋体"/>
                <w:b/>
                <w:bCs/>
                <w:color w:val="auto"/>
                <w:u w:val="single"/>
                <w:lang w:val="en-US" w:eastAsia="zh-CN"/>
              </w:rPr>
            </w:pPr>
            <w:r>
              <w:rPr>
                <w:rFonts w:hint="eastAsia"/>
                <w:b/>
                <w:bCs/>
                <w:color w:val="auto"/>
                <w:u w:val="single"/>
              </w:rPr>
              <w:t>202</w:t>
            </w:r>
            <w:r>
              <w:rPr>
                <w:rFonts w:hint="eastAsia"/>
                <w:b/>
                <w:bCs/>
                <w:color w:val="auto"/>
                <w:u w:val="single"/>
                <w:lang w:val="en-US" w:eastAsia="zh-CN"/>
              </w:rPr>
              <w:t>3</w:t>
            </w:r>
            <w:r>
              <w:rPr>
                <w:rFonts w:hint="eastAsia"/>
                <w:b/>
                <w:bCs/>
                <w:color w:val="auto"/>
                <w:u w:val="single"/>
              </w:rPr>
              <w:t>.</w:t>
            </w:r>
            <w:r>
              <w:rPr>
                <w:rFonts w:hint="eastAsia"/>
                <w:b/>
                <w:bCs/>
                <w:color w:val="auto"/>
                <w:u w:val="single"/>
                <w:lang w:val="en-US" w:eastAsia="zh-CN"/>
              </w:rPr>
              <w:t>01</w:t>
            </w:r>
            <w:r>
              <w:rPr>
                <w:rFonts w:hint="eastAsia"/>
                <w:b/>
                <w:bCs/>
                <w:color w:val="auto"/>
                <w:u w:val="single"/>
              </w:rPr>
              <w:t>.</w:t>
            </w:r>
            <w:r>
              <w:rPr>
                <w:rFonts w:hint="eastAsia"/>
                <w:b/>
                <w:bCs/>
                <w:color w:val="auto"/>
                <w:u w:val="single"/>
                <w:lang w:val="en-US" w:eastAsia="zh-CN"/>
              </w:rPr>
              <w:t>31</w:t>
            </w:r>
          </w:p>
        </w:tc>
        <w:tc>
          <w:tcPr>
            <w:tcW w:w="586" w:type="pct"/>
            <w:vMerge w:val="restart"/>
            <w:vAlign w:val="center"/>
          </w:tcPr>
          <w:p>
            <w:pPr>
              <w:pStyle w:val="182"/>
              <w:bidi w:val="0"/>
              <w:rPr>
                <w:rFonts w:hint="eastAsia" w:eastAsia="宋体"/>
                <w:b/>
                <w:bCs/>
                <w:color w:val="auto"/>
                <w:u w:val="single"/>
                <w:lang w:eastAsia="zh-CN"/>
              </w:rPr>
            </w:pPr>
            <w:r>
              <w:rPr>
                <w:rFonts w:hint="eastAsia"/>
                <w:b/>
                <w:bCs/>
                <w:color w:val="auto"/>
                <w:u w:val="single"/>
              </w:rPr>
              <w:t>本项目建设位置北侧空地</w:t>
            </w:r>
            <w:r>
              <w:rPr>
                <w:rFonts w:hint="eastAsia"/>
                <w:b/>
                <w:bCs/>
                <w:color w:val="auto"/>
                <w:u w:val="single"/>
                <w:lang w:eastAsia="zh-CN"/>
              </w:rPr>
              <w:t>（</w:t>
            </w:r>
            <w:r>
              <w:rPr>
                <w:rFonts w:hint="eastAsia"/>
                <w:b/>
                <w:bCs/>
                <w:color w:val="auto"/>
                <w:u w:val="single"/>
                <w:lang w:val="en-US" w:eastAsia="zh-CN"/>
              </w:rPr>
              <w:t>对照</w:t>
            </w:r>
            <w:r>
              <w:rPr>
                <w:rFonts w:hint="eastAsia"/>
                <w:b/>
                <w:bCs/>
                <w:color w:val="auto"/>
                <w:u w:val="single"/>
                <w:lang w:eastAsia="zh-CN"/>
              </w:rPr>
              <w:t>）</w:t>
            </w:r>
          </w:p>
        </w:tc>
        <w:tc>
          <w:tcPr>
            <w:tcW w:w="705" w:type="pct"/>
            <w:vAlign w:val="center"/>
          </w:tcPr>
          <w:p>
            <w:pPr>
              <w:pStyle w:val="182"/>
              <w:bidi w:val="0"/>
              <w:rPr>
                <w:b/>
                <w:bCs/>
                <w:color w:val="auto"/>
                <w:u w:val="single"/>
              </w:rPr>
            </w:pPr>
            <w:r>
              <w:rPr>
                <w:rFonts w:hint="eastAsia"/>
                <w:b/>
                <w:bCs/>
                <w:color w:val="auto"/>
                <w:u w:val="single"/>
              </w:rPr>
              <w:t>pH</w:t>
            </w:r>
          </w:p>
        </w:tc>
        <w:tc>
          <w:tcPr>
            <w:tcW w:w="539" w:type="pct"/>
            <w:vAlign w:val="center"/>
          </w:tcPr>
          <w:p>
            <w:pPr>
              <w:pStyle w:val="182"/>
              <w:bidi w:val="0"/>
              <w:rPr>
                <w:b/>
                <w:bCs/>
                <w:color w:val="auto"/>
                <w:u w:val="single"/>
              </w:rPr>
            </w:pPr>
            <w:r>
              <w:rPr>
                <w:rFonts w:hint="eastAsia"/>
                <w:b/>
                <w:bCs/>
                <w:color w:val="auto"/>
                <w:u w:val="single"/>
              </w:rPr>
              <w:t>无量纲</w:t>
            </w:r>
          </w:p>
        </w:tc>
        <w:tc>
          <w:tcPr>
            <w:tcW w:w="74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7.3</w:t>
            </w:r>
          </w:p>
        </w:tc>
        <w:tc>
          <w:tcPr>
            <w:tcW w:w="846"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7.5</w:t>
            </w:r>
          </w:p>
        </w:tc>
        <w:tc>
          <w:tcPr>
            <w:tcW w:w="89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rPr>
                <w:b/>
                <w:bCs/>
                <w:color w:val="auto"/>
                <w:u w:val="single"/>
              </w:rPr>
            </w:pPr>
            <w:r>
              <w:rPr>
                <w:rFonts w:hint="eastAsia"/>
                <w:b/>
                <w:bCs/>
                <w:color w:val="auto"/>
                <w:u w:val="single"/>
              </w:rPr>
              <w:t>氨氮</w:t>
            </w:r>
          </w:p>
        </w:tc>
        <w:tc>
          <w:tcPr>
            <w:tcW w:w="539" w:type="pct"/>
            <w:vAlign w:val="center"/>
          </w:tcPr>
          <w:p>
            <w:pPr>
              <w:pStyle w:val="182"/>
              <w:bidi w:val="0"/>
              <w:rPr>
                <w:b/>
                <w:bCs/>
                <w:color w:val="auto"/>
                <w:u w:val="single"/>
              </w:rPr>
            </w:pPr>
            <w:r>
              <w:rPr>
                <w:b/>
                <w:bCs/>
                <w:color w:val="auto"/>
                <w:u w:val="single"/>
              </w:rPr>
              <w:t>mg/L</w:t>
            </w:r>
          </w:p>
        </w:tc>
        <w:tc>
          <w:tcPr>
            <w:tcW w:w="74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0.097</w:t>
            </w:r>
          </w:p>
        </w:tc>
        <w:tc>
          <w:tcPr>
            <w:tcW w:w="846"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0.085</w:t>
            </w:r>
          </w:p>
        </w:tc>
        <w:tc>
          <w:tcPr>
            <w:tcW w:w="89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0.082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rPr>
                <w:b/>
                <w:bCs/>
                <w:color w:val="auto"/>
                <w:u w:val="single"/>
              </w:rPr>
            </w:pPr>
            <w:r>
              <w:rPr>
                <w:rFonts w:hint="eastAsia"/>
                <w:b/>
                <w:bCs/>
                <w:color w:val="auto"/>
                <w:u w:val="single"/>
              </w:rPr>
              <w:t>耗氧量</w:t>
            </w:r>
          </w:p>
        </w:tc>
        <w:tc>
          <w:tcPr>
            <w:tcW w:w="539" w:type="pct"/>
            <w:vAlign w:val="center"/>
          </w:tcPr>
          <w:p>
            <w:pPr>
              <w:pStyle w:val="182"/>
              <w:bidi w:val="0"/>
              <w:rPr>
                <w:b/>
                <w:bCs/>
                <w:color w:val="auto"/>
                <w:u w:val="single"/>
              </w:rPr>
            </w:pPr>
            <w:r>
              <w:rPr>
                <w:b/>
                <w:bCs/>
                <w:color w:val="auto"/>
                <w:u w:val="single"/>
              </w:rPr>
              <w:t>mg/L</w:t>
            </w:r>
          </w:p>
        </w:tc>
        <w:tc>
          <w:tcPr>
            <w:tcW w:w="74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1.26</w:t>
            </w:r>
          </w:p>
        </w:tc>
        <w:tc>
          <w:tcPr>
            <w:tcW w:w="846"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1.18</w:t>
            </w:r>
          </w:p>
        </w:tc>
        <w:tc>
          <w:tcPr>
            <w:tcW w:w="89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1.15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restart"/>
            <w:vAlign w:val="center"/>
          </w:tcPr>
          <w:p>
            <w:pPr>
              <w:pStyle w:val="182"/>
              <w:bidi w:val="0"/>
              <w:rPr>
                <w:b/>
                <w:bCs/>
                <w:color w:val="auto"/>
                <w:u w:val="single"/>
              </w:rPr>
            </w:pPr>
            <w:r>
              <w:rPr>
                <w:rFonts w:hint="eastAsia"/>
                <w:b/>
                <w:bCs/>
                <w:color w:val="auto"/>
                <w:szCs w:val="21"/>
                <w:u w:val="single"/>
                <w:lang w:val="en-US" w:eastAsia="zh-CN"/>
              </w:rPr>
              <w:t>硫酸</w:t>
            </w:r>
            <w:r>
              <w:rPr>
                <w:rFonts w:hint="eastAsia"/>
                <w:b/>
                <w:bCs/>
                <w:color w:val="auto"/>
                <w:szCs w:val="21"/>
                <w:u w:val="single"/>
              </w:rPr>
              <w:t>罐区</w:t>
            </w:r>
          </w:p>
        </w:tc>
        <w:tc>
          <w:tcPr>
            <w:tcW w:w="705" w:type="pct"/>
            <w:vAlign w:val="center"/>
          </w:tcPr>
          <w:p>
            <w:pPr>
              <w:pStyle w:val="182"/>
              <w:bidi w:val="0"/>
              <w:rPr>
                <w:b/>
                <w:bCs/>
                <w:color w:val="auto"/>
                <w:u w:val="single"/>
              </w:rPr>
            </w:pPr>
            <w:r>
              <w:rPr>
                <w:rFonts w:hint="eastAsia"/>
                <w:b/>
                <w:bCs/>
                <w:color w:val="auto"/>
                <w:u w:val="single"/>
              </w:rPr>
              <w:t>pH</w:t>
            </w:r>
          </w:p>
        </w:tc>
        <w:tc>
          <w:tcPr>
            <w:tcW w:w="539" w:type="pct"/>
            <w:vAlign w:val="center"/>
          </w:tcPr>
          <w:p>
            <w:pPr>
              <w:pStyle w:val="182"/>
              <w:bidi w:val="0"/>
              <w:rPr>
                <w:b/>
                <w:bCs/>
                <w:color w:val="auto"/>
                <w:u w:val="single"/>
              </w:rPr>
            </w:pPr>
            <w:r>
              <w:rPr>
                <w:rFonts w:hint="eastAsia"/>
                <w:b/>
                <w:bCs/>
                <w:color w:val="auto"/>
                <w:u w:val="single"/>
              </w:rPr>
              <w:t>无量纲</w:t>
            </w:r>
          </w:p>
        </w:tc>
        <w:tc>
          <w:tcPr>
            <w:tcW w:w="74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7.2</w:t>
            </w:r>
          </w:p>
        </w:tc>
        <w:tc>
          <w:tcPr>
            <w:tcW w:w="846"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6.9</w:t>
            </w:r>
          </w:p>
        </w:tc>
        <w:tc>
          <w:tcPr>
            <w:tcW w:w="89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rPr>
                <w:b/>
                <w:bCs/>
                <w:color w:val="auto"/>
                <w:u w:val="single"/>
              </w:rPr>
            </w:pPr>
            <w:r>
              <w:rPr>
                <w:rFonts w:hint="eastAsia"/>
                <w:b/>
                <w:bCs/>
                <w:color w:val="auto"/>
                <w:u w:val="single"/>
              </w:rPr>
              <w:t>氨氮</w:t>
            </w:r>
          </w:p>
        </w:tc>
        <w:tc>
          <w:tcPr>
            <w:tcW w:w="539" w:type="pct"/>
            <w:vAlign w:val="center"/>
          </w:tcPr>
          <w:p>
            <w:pPr>
              <w:pStyle w:val="182"/>
              <w:bidi w:val="0"/>
              <w:rPr>
                <w:b/>
                <w:bCs/>
                <w:color w:val="auto"/>
                <w:u w:val="single"/>
              </w:rPr>
            </w:pPr>
            <w:r>
              <w:rPr>
                <w:b/>
                <w:bCs/>
                <w:color w:val="auto"/>
                <w:u w:val="single"/>
              </w:rPr>
              <w:t>mg/L</w:t>
            </w:r>
          </w:p>
        </w:tc>
        <w:tc>
          <w:tcPr>
            <w:tcW w:w="74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0.091</w:t>
            </w:r>
          </w:p>
        </w:tc>
        <w:tc>
          <w:tcPr>
            <w:tcW w:w="846"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0.083</w:t>
            </w:r>
          </w:p>
        </w:tc>
        <w:tc>
          <w:tcPr>
            <w:tcW w:w="89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0.070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rPr>
                <w:b/>
                <w:bCs/>
                <w:color w:val="auto"/>
                <w:u w:val="single"/>
              </w:rPr>
            </w:pPr>
            <w:r>
              <w:rPr>
                <w:rFonts w:hint="eastAsia"/>
                <w:b/>
                <w:bCs/>
                <w:color w:val="auto"/>
                <w:u w:val="single"/>
              </w:rPr>
              <w:t>耗氧量</w:t>
            </w:r>
          </w:p>
        </w:tc>
        <w:tc>
          <w:tcPr>
            <w:tcW w:w="539" w:type="pct"/>
            <w:vAlign w:val="center"/>
          </w:tcPr>
          <w:p>
            <w:pPr>
              <w:pStyle w:val="182"/>
              <w:bidi w:val="0"/>
              <w:rPr>
                <w:b/>
                <w:bCs/>
                <w:color w:val="auto"/>
                <w:u w:val="single"/>
              </w:rPr>
            </w:pPr>
            <w:r>
              <w:rPr>
                <w:b/>
                <w:bCs/>
                <w:color w:val="auto"/>
                <w:u w:val="single"/>
              </w:rPr>
              <w:t>mg/L</w:t>
            </w:r>
          </w:p>
        </w:tc>
        <w:tc>
          <w:tcPr>
            <w:tcW w:w="74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1.23</w:t>
            </w:r>
          </w:p>
        </w:tc>
        <w:tc>
          <w:tcPr>
            <w:tcW w:w="846"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1.14</w:t>
            </w:r>
          </w:p>
        </w:tc>
        <w:tc>
          <w:tcPr>
            <w:tcW w:w="89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1.03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restart"/>
            <w:vAlign w:val="center"/>
          </w:tcPr>
          <w:p>
            <w:pPr>
              <w:pStyle w:val="182"/>
              <w:bidi w:val="0"/>
              <w:rPr>
                <w:b/>
                <w:bCs/>
                <w:color w:val="auto"/>
                <w:u w:val="single"/>
              </w:rPr>
            </w:pPr>
            <w:r>
              <w:rPr>
                <w:rFonts w:hint="eastAsia"/>
                <w:b/>
                <w:bCs/>
                <w:color w:val="auto"/>
                <w:szCs w:val="21"/>
                <w:u w:val="single"/>
              </w:rPr>
              <w:t>现有项目主厂房</w:t>
            </w:r>
          </w:p>
        </w:tc>
        <w:tc>
          <w:tcPr>
            <w:tcW w:w="705" w:type="pct"/>
            <w:vAlign w:val="center"/>
          </w:tcPr>
          <w:p>
            <w:pPr>
              <w:pStyle w:val="182"/>
              <w:bidi w:val="0"/>
              <w:rPr>
                <w:b/>
                <w:bCs/>
                <w:color w:val="auto"/>
                <w:u w:val="single"/>
              </w:rPr>
            </w:pPr>
            <w:r>
              <w:rPr>
                <w:rFonts w:hint="eastAsia"/>
                <w:b/>
                <w:bCs/>
                <w:color w:val="auto"/>
                <w:u w:val="single"/>
              </w:rPr>
              <w:t>pH</w:t>
            </w:r>
          </w:p>
        </w:tc>
        <w:tc>
          <w:tcPr>
            <w:tcW w:w="539" w:type="pct"/>
            <w:vAlign w:val="center"/>
          </w:tcPr>
          <w:p>
            <w:pPr>
              <w:pStyle w:val="182"/>
              <w:bidi w:val="0"/>
              <w:rPr>
                <w:b/>
                <w:bCs/>
                <w:color w:val="auto"/>
                <w:u w:val="single"/>
              </w:rPr>
            </w:pPr>
            <w:r>
              <w:rPr>
                <w:rFonts w:hint="eastAsia"/>
                <w:b/>
                <w:bCs/>
                <w:color w:val="auto"/>
                <w:u w:val="single"/>
              </w:rPr>
              <w:t>无量纲</w:t>
            </w:r>
          </w:p>
        </w:tc>
        <w:tc>
          <w:tcPr>
            <w:tcW w:w="742" w:type="pct"/>
            <w:vAlign w:val="center"/>
          </w:tcPr>
          <w:p>
            <w:pPr>
              <w:pStyle w:val="182"/>
              <w:bidi w:val="0"/>
              <w:rPr>
                <w:b/>
                <w:bCs/>
                <w:color w:val="auto"/>
                <w:u w:val="single"/>
              </w:rPr>
            </w:pPr>
            <w:r>
              <w:rPr>
                <w:rFonts w:hint="eastAsia"/>
                <w:b/>
                <w:bCs/>
                <w:color w:val="auto"/>
                <w:u w:val="single"/>
              </w:rPr>
              <w:t>6.9</w:t>
            </w:r>
          </w:p>
        </w:tc>
        <w:tc>
          <w:tcPr>
            <w:tcW w:w="846" w:type="pct"/>
            <w:vAlign w:val="center"/>
          </w:tcPr>
          <w:p>
            <w:pPr>
              <w:pStyle w:val="182"/>
              <w:bidi w:val="0"/>
              <w:rPr>
                <w:b/>
                <w:bCs/>
                <w:color w:val="auto"/>
                <w:u w:val="single"/>
              </w:rPr>
            </w:pPr>
            <w:r>
              <w:rPr>
                <w:rFonts w:hint="eastAsia"/>
                <w:b/>
                <w:bCs/>
                <w:color w:val="auto"/>
                <w:u w:val="single"/>
                <w:lang w:val="en-US" w:eastAsia="zh-CN"/>
              </w:rPr>
              <w:t>7</w:t>
            </w:r>
            <w:r>
              <w:rPr>
                <w:rFonts w:hint="eastAsia"/>
                <w:b/>
                <w:bCs/>
                <w:color w:val="auto"/>
                <w:u w:val="single"/>
              </w:rPr>
              <w:t>.0</w:t>
            </w:r>
          </w:p>
        </w:tc>
        <w:tc>
          <w:tcPr>
            <w:tcW w:w="898" w:type="pct"/>
            <w:vAlign w:val="center"/>
          </w:tcPr>
          <w:p>
            <w:pPr>
              <w:pStyle w:val="182"/>
              <w:bidi w:val="0"/>
              <w:rPr>
                <w:b/>
                <w:bCs/>
                <w:color w:val="auto"/>
                <w:u w:val="single"/>
              </w:rPr>
            </w:pPr>
            <w:r>
              <w:rPr>
                <w:rFonts w:hint="eastAsia"/>
                <w:b/>
                <w:bCs/>
                <w:color w:val="auto"/>
                <w:u w:val="single"/>
              </w:rPr>
              <w:t>7.6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rPr>
                <w:b/>
                <w:bCs/>
                <w:color w:val="auto"/>
                <w:u w:val="single"/>
              </w:rPr>
            </w:pPr>
            <w:r>
              <w:rPr>
                <w:rFonts w:hint="eastAsia"/>
                <w:b/>
                <w:bCs/>
                <w:color w:val="auto"/>
                <w:u w:val="single"/>
              </w:rPr>
              <w:t>氨氮</w:t>
            </w:r>
          </w:p>
        </w:tc>
        <w:tc>
          <w:tcPr>
            <w:tcW w:w="539" w:type="pct"/>
            <w:vAlign w:val="center"/>
          </w:tcPr>
          <w:p>
            <w:pPr>
              <w:pStyle w:val="182"/>
              <w:bidi w:val="0"/>
              <w:rPr>
                <w:b/>
                <w:bCs/>
                <w:color w:val="auto"/>
                <w:u w:val="single"/>
              </w:rPr>
            </w:pPr>
            <w:r>
              <w:rPr>
                <w:b/>
                <w:bCs/>
                <w:color w:val="auto"/>
                <w:u w:val="single"/>
              </w:rPr>
              <w:t>mg/L</w:t>
            </w:r>
          </w:p>
        </w:tc>
        <w:tc>
          <w:tcPr>
            <w:tcW w:w="742" w:type="pct"/>
            <w:vAlign w:val="center"/>
          </w:tcPr>
          <w:p>
            <w:pPr>
              <w:pStyle w:val="182"/>
              <w:bidi w:val="0"/>
              <w:rPr>
                <w:b/>
                <w:bCs/>
                <w:color w:val="auto"/>
                <w:u w:val="single"/>
              </w:rPr>
            </w:pPr>
            <w:r>
              <w:rPr>
                <w:rFonts w:hint="eastAsia"/>
                <w:b/>
                <w:bCs/>
                <w:color w:val="auto"/>
                <w:u w:val="single"/>
              </w:rPr>
              <w:t>0.094</w:t>
            </w:r>
          </w:p>
        </w:tc>
        <w:tc>
          <w:tcPr>
            <w:tcW w:w="846" w:type="pct"/>
            <w:vAlign w:val="center"/>
          </w:tcPr>
          <w:p>
            <w:pPr>
              <w:pStyle w:val="182"/>
              <w:bidi w:val="0"/>
              <w:rPr>
                <w:b/>
                <w:bCs/>
                <w:color w:val="auto"/>
                <w:u w:val="single"/>
              </w:rPr>
            </w:pPr>
            <w:r>
              <w:rPr>
                <w:rFonts w:hint="eastAsia"/>
                <w:b/>
                <w:bCs/>
                <w:color w:val="auto"/>
                <w:u w:val="single"/>
              </w:rPr>
              <w:t>0.087</w:t>
            </w:r>
          </w:p>
        </w:tc>
        <w:tc>
          <w:tcPr>
            <w:tcW w:w="898" w:type="pct"/>
            <w:vAlign w:val="center"/>
          </w:tcPr>
          <w:p>
            <w:pPr>
              <w:pStyle w:val="182"/>
              <w:bidi w:val="0"/>
              <w:rPr>
                <w:b/>
                <w:bCs/>
                <w:color w:val="auto"/>
                <w:u w:val="single"/>
              </w:rPr>
            </w:pPr>
            <w:r>
              <w:rPr>
                <w:rFonts w:hint="eastAsia"/>
                <w:b/>
                <w:bCs/>
                <w:color w:val="auto"/>
                <w:u w:val="single"/>
              </w:rPr>
              <w:t>0.075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rPr>
                <w:b/>
                <w:bCs/>
                <w:color w:val="auto"/>
                <w:u w:val="single"/>
              </w:rPr>
            </w:pPr>
            <w:r>
              <w:rPr>
                <w:rFonts w:hint="eastAsia"/>
                <w:b/>
                <w:bCs/>
                <w:color w:val="auto"/>
                <w:u w:val="single"/>
              </w:rPr>
              <w:t>耗氧量</w:t>
            </w:r>
          </w:p>
        </w:tc>
        <w:tc>
          <w:tcPr>
            <w:tcW w:w="539" w:type="pct"/>
            <w:vAlign w:val="center"/>
          </w:tcPr>
          <w:p>
            <w:pPr>
              <w:pStyle w:val="182"/>
              <w:bidi w:val="0"/>
              <w:rPr>
                <w:b/>
                <w:bCs/>
                <w:color w:val="auto"/>
                <w:u w:val="single"/>
              </w:rPr>
            </w:pPr>
            <w:r>
              <w:rPr>
                <w:b/>
                <w:bCs/>
                <w:color w:val="auto"/>
                <w:u w:val="single"/>
              </w:rPr>
              <w:t>mg/L</w:t>
            </w:r>
          </w:p>
        </w:tc>
        <w:tc>
          <w:tcPr>
            <w:tcW w:w="742" w:type="pct"/>
            <w:vAlign w:val="center"/>
          </w:tcPr>
          <w:p>
            <w:pPr>
              <w:pStyle w:val="182"/>
              <w:bidi w:val="0"/>
              <w:rPr>
                <w:b/>
                <w:bCs/>
                <w:color w:val="auto"/>
                <w:u w:val="single"/>
              </w:rPr>
            </w:pPr>
            <w:r>
              <w:rPr>
                <w:rFonts w:hint="eastAsia"/>
                <w:b/>
                <w:bCs/>
                <w:color w:val="auto"/>
                <w:u w:val="single"/>
              </w:rPr>
              <w:t>1.21</w:t>
            </w:r>
          </w:p>
        </w:tc>
        <w:tc>
          <w:tcPr>
            <w:tcW w:w="846" w:type="pct"/>
            <w:vAlign w:val="center"/>
          </w:tcPr>
          <w:p>
            <w:pPr>
              <w:pStyle w:val="182"/>
              <w:bidi w:val="0"/>
              <w:rPr>
                <w:b/>
                <w:bCs/>
                <w:color w:val="auto"/>
                <w:u w:val="single"/>
              </w:rPr>
            </w:pPr>
            <w:r>
              <w:rPr>
                <w:rFonts w:hint="eastAsia"/>
                <w:b/>
                <w:bCs/>
                <w:color w:val="auto"/>
                <w:u w:val="single"/>
              </w:rPr>
              <w:t>1.12</w:t>
            </w:r>
          </w:p>
        </w:tc>
        <w:tc>
          <w:tcPr>
            <w:tcW w:w="898" w:type="pct"/>
            <w:vAlign w:val="center"/>
          </w:tcPr>
          <w:p>
            <w:pPr>
              <w:pStyle w:val="182"/>
              <w:bidi w:val="0"/>
              <w:rPr>
                <w:b/>
                <w:bCs/>
                <w:color w:val="auto"/>
                <w:u w:val="single"/>
              </w:rPr>
            </w:pPr>
            <w:r>
              <w:rPr>
                <w:rFonts w:hint="eastAsia"/>
                <w:b/>
                <w:bCs/>
                <w:color w:val="auto"/>
                <w:u w:val="single"/>
              </w:rPr>
              <w:t>1.01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restart"/>
            <w:vAlign w:val="center"/>
          </w:tcPr>
          <w:p>
            <w:pPr>
              <w:pStyle w:val="182"/>
              <w:bidi w:val="0"/>
              <w:rPr>
                <w:b/>
                <w:bCs/>
                <w:color w:val="auto"/>
                <w:u w:val="single"/>
              </w:rPr>
            </w:pPr>
            <w:r>
              <w:rPr>
                <w:rFonts w:hint="eastAsia"/>
                <w:b/>
                <w:bCs/>
                <w:color w:val="auto"/>
                <w:szCs w:val="21"/>
                <w:u w:val="single"/>
                <w:lang w:val="en-US" w:eastAsia="zh-CN"/>
              </w:rPr>
              <w:t>本项目用地</w:t>
            </w:r>
          </w:p>
        </w:tc>
        <w:tc>
          <w:tcPr>
            <w:tcW w:w="705" w:type="pct"/>
            <w:vAlign w:val="center"/>
          </w:tcPr>
          <w:p>
            <w:pPr>
              <w:pStyle w:val="182"/>
              <w:bidi w:val="0"/>
              <w:rPr>
                <w:b/>
                <w:bCs/>
                <w:color w:val="auto"/>
                <w:u w:val="single"/>
              </w:rPr>
            </w:pPr>
            <w:r>
              <w:rPr>
                <w:rFonts w:hint="eastAsia"/>
                <w:b/>
                <w:bCs/>
                <w:color w:val="auto"/>
                <w:u w:val="single"/>
              </w:rPr>
              <w:t>pH</w:t>
            </w:r>
          </w:p>
        </w:tc>
        <w:tc>
          <w:tcPr>
            <w:tcW w:w="539" w:type="pct"/>
            <w:vAlign w:val="center"/>
          </w:tcPr>
          <w:p>
            <w:pPr>
              <w:pStyle w:val="182"/>
              <w:bidi w:val="0"/>
              <w:rPr>
                <w:b/>
                <w:bCs/>
                <w:color w:val="auto"/>
                <w:u w:val="single"/>
              </w:rPr>
            </w:pPr>
            <w:r>
              <w:rPr>
                <w:rFonts w:hint="eastAsia"/>
                <w:b/>
                <w:bCs/>
                <w:color w:val="auto"/>
                <w:u w:val="single"/>
              </w:rPr>
              <w:t>无量纲</w:t>
            </w:r>
          </w:p>
        </w:tc>
        <w:tc>
          <w:tcPr>
            <w:tcW w:w="74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7.5</w:t>
            </w:r>
          </w:p>
        </w:tc>
        <w:tc>
          <w:tcPr>
            <w:tcW w:w="846"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7.3</w:t>
            </w:r>
          </w:p>
        </w:tc>
        <w:tc>
          <w:tcPr>
            <w:tcW w:w="89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rPr>
                <w:b/>
                <w:bCs/>
                <w:color w:val="auto"/>
                <w:u w:val="single"/>
              </w:rPr>
            </w:pPr>
            <w:r>
              <w:rPr>
                <w:rFonts w:hint="eastAsia"/>
                <w:b/>
                <w:bCs/>
                <w:color w:val="auto"/>
                <w:u w:val="single"/>
              </w:rPr>
              <w:t>氨氮</w:t>
            </w:r>
          </w:p>
        </w:tc>
        <w:tc>
          <w:tcPr>
            <w:tcW w:w="539" w:type="pct"/>
            <w:vAlign w:val="center"/>
          </w:tcPr>
          <w:p>
            <w:pPr>
              <w:pStyle w:val="182"/>
              <w:bidi w:val="0"/>
              <w:rPr>
                <w:b/>
                <w:bCs/>
                <w:color w:val="auto"/>
                <w:u w:val="single"/>
              </w:rPr>
            </w:pPr>
            <w:r>
              <w:rPr>
                <w:b/>
                <w:bCs/>
                <w:color w:val="auto"/>
                <w:u w:val="single"/>
              </w:rPr>
              <w:t>mg/L</w:t>
            </w:r>
          </w:p>
        </w:tc>
        <w:tc>
          <w:tcPr>
            <w:tcW w:w="742" w:type="pct"/>
            <w:vAlign w:val="center"/>
          </w:tcPr>
          <w:p>
            <w:pPr>
              <w:pStyle w:val="182"/>
              <w:bidi w:val="0"/>
              <w:rPr>
                <w:b/>
                <w:bCs/>
                <w:color w:val="auto"/>
                <w:u w:val="single"/>
              </w:rPr>
            </w:pPr>
            <w:r>
              <w:rPr>
                <w:rFonts w:hint="eastAsia"/>
                <w:b/>
                <w:bCs/>
                <w:color w:val="auto"/>
                <w:u w:val="single"/>
              </w:rPr>
              <w:t>0.096</w:t>
            </w:r>
          </w:p>
        </w:tc>
        <w:tc>
          <w:tcPr>
            <w:tcW w:w="846" w:type="pct"/>
            <w:vAlign w:val="center"/>
          </w:tcPr>
          <w:p>
            <w:pPr>
              <w:pStyle w:val="182"/>
              <w:bidi w:val="0"/>
              <w:rPr>
                <w:b/>
                <w:bCs/>
                <w:color w:val="auto"/>
                <w:u w:val="single"/>
              </w:rPr>
            </w:pPr>
            <w:r>
              <w:rPr>
                <w:rFonts w:hint="eastAsia"/>
                <w:b/>
                <w:bCs/>
                <w:color w:val="auto"/>
                <w:u w:val="single"/>
              </w:rPr>
              <w:t>0.082</w:t>
            </w:r>
          </w:p>
        </w:tc>
        <w:tc>
          <w:tcPr>
            <w:tcW w:w="898" w:type="pct"/>
            <w:vAlign w:val="center"/>
          </w:tcPr>
          <w:p>
            <w:pPr>
              <w:pStyle w:val="182"/>
              <w:bidi w:val="0"/>
              <w:rPr>
                <w:b/>
                <w:bCs/>
                <w:color w:val="auto"/>
                <w:u w:val="single"/>
              </w:rPr>
            </w:pPr>
            <w:r>
              <w:rPr>
                <w:rFonts w:hint="eastAsia"/>
                <w:b/>
                <w:bCs/>
                <w:color w:val="auto"/>
                <w:u w:val="single"/>
              </w:rPr>
              <w:t>0.083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rPr>
                <w:b/>
                <w:bCs/>
                <w:color w:val="auto"/>
                <w:u w:val="single"/>
              </w:rPr>
            </w:pPr>
            <w:r>
              <w:rPr>
                <w:rFonts w:hint="eastAsia"/>
                <w:b/>
                <w:bCs/>
                <w:color w:val="auto"/>
                <w:u w:val="single"/>
              </w:rPr>
              <w:t>耗氧量</w:t>
            </w:r>
          </w:p>
        </w:tc>
        <w:tc>
          <w:tcPr>
            <w:tcW w:w="539" w:type="pct"/>
            <w:vAlign w:val="center"/>
          </w:tcPr>
          <w:p>
            <w:pPr>
              <w:pStyle w:val="182"/>
              <w:bidi w:val="0"/>
              <w:rPr>
                <w:b/>
                <w:bCs/>
                <w:color w:val="auto"/>
                <w:u w:val="single"/>
              </w:rPr>
            </w:pPr>
            <w:r>
              <w:rPr>
                <w:b/>
                <w:bCs/>
                <w:color w:val="auto"/>
                <w:u w:val="single"/>
              </w:rPr>
              <w:t>mg/L</w:t>
            </w:r>
          </w:p>
        </w:tc>
        <w:tc>
          <w:tcPr>
            <w:tcW w:w="742" w:type="pct"/>
            <w:vAlign w:val="center"/>
          </w:tcPr>
          <w:p>
            <w:pPr>
              <w:pStyle w:val="182"/>
              <w:bidi w:val="0"/>
              <w:rPr>
                <w:b/>
                <w:bCs/>
                <w:color w:val="auto"/>
                <w:u w:val="single"/>
              </w:rPr>
            </w:pPr>
            <w:r>
              <w:rPr>
                <w:rFonts w:hint="eastAsia"/>
                <w:b/>
                <w:bCs/>
                <w:color w:val="auto"/>
                <w:u w:val="single"/>
              </w:rPr>
              <w:t>1.27</w:t>
            </w:r>
          </w:p>
        </w:tc>
        <w:tc>
          <w:tcPr>
            <w:tcW w:w="846" w:type="pct"/>
            <w:vAlign w:val="center"/>
          </w:tcPr>
          <w:p>
            <w:pPr>
              <w:pStyle w:val="182"/>
              <w:bidi w:val="0"/>
              <w:rPr>
                <w:b/>
                <w:bCs/>
                <w:color w:val="auto"/>
                <w:u w:val="single"/>
              </w:rPr>
            </w:pPr>
            <w:r>
              <w:rPr>
                <w:rFonts w:hint="eastAsia"/>
                <w:b/>
                <w:bCs/>
                <w:color w:val="auto"/>
                <w:u w:val="single"/>
              </w:rPr>
              <w:t>1.20</w:t>
            </w:r>
          </w:p>
        </w:tc>
        <w:tc>
          <w:tcPr>
            <w:tcW w:w="898" w:type="pct"/>
            <w:vAlign w:val="center"/>
          </w:tcPr>
          <w:p>
            <w:pPr>
              <w:pStyle w:val="182"/>
              <w:bidi w:val="0"/>
              <w:rPr>
                <w:b/>
                <w:bCs/>
                <w:color w:val="auto"/>
                <w:u w:val="single"/>
              </w:rPr>
            </w:pPr>
            <w:r>
              <w:rPr>
                <w:rFonts w:hint="eastAsia"/>
                <w:b/>
                <w:bCs/>
                <w:color w:val="auto"/>
                <w:u w:val="single"/>
              </w:rPr>
              <w:t>1.19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restart"/>
            <w:vAlign w:val="center"/>
          </w:tcPr>
          <w:p>
            <w:pPr>
              <w:pStyle w:val="182"/>
              <w:bidi w:val="0"/>
              <w:rPr>
                <w:b/>
                <w:bCs/>
                <w:color w:val="auto"/>
                <w:u w:val="single"/>
              </w:rPr>
            </w:pPr>
            <w:r>
              <w:rPr>
                <w:rFonts w:hint="eastAsia"/>
                <w:b/>
                <w:bCs/>
                <w:color w:val="auto"/>
                <w:szCs w:val="21"/>
                <w:u w:val="single"/>
                <w:lang w:val="en-US" w:eastAsia="zh-CN"/>
              </w:rPr>
              <w:t>污水处理设施</w:t>
            </w:r>
          </w:p>
        </w:tc>
        <w:tc>
          <w:tcPr>
            <w:tcW w:w="705" w:type="pct"/>
            <w:vAlign w:val="center"/>
          </w:tcPr>
          <w:p>
            <w:pPr>
              <w:pStyle w:val="182"/>
              <w:bidi w:val="0"/>
              <w:ind w:firstLine="0" w:firstLineChars="0"/>
              <w:rPr>
                <w:rFonts w:hint="eastAsia"/>
                <w:b/>
                <w:bCs/>
                <w:color w:val="auto"/>
                <w:u w:val="single"/>
              </w:rPr>
            </w:pPr>
            <w:r>
              <w:rPr>
                <w:rFonts w:hint="eastAsia"/>
                <w:b/>
                <w:bCs/>
                <w:color w:val="auto"/>
                <w:u w:val="single"/>
              </w:rPr>
              <w:t>pH</w:t>
            </w:r>
          </w:p>
        </w:tc>
        <w:tc>
          <w:tcPr>
            <w:tcW w:w="539" w:type="pct"/>
            <w:vAlign w:val="center"/>
          </w:tcPr>
          <w:p>
            <w:pPr>
              <w:pStyle w:val="182"/>
              <w:bidi w:val="0"/>
              <w:ind w:firstLine="0" w:firstLineChars="0"/>
              <w:rPr>
                <w:rFonts w:ascii="Times New Roman" w:hAnsi="Times New Roman" w:eastAsia="宋体" w:cs="Times New Roman"/>
                <w:b/>
                <w:bCs/>
                <w:color w:val="auto"/>
                <w:kern w:val="2"/>
                <w:sz w:val="21"/>
                <w:szCs w:val="21"/>
                <w:u w:val="single"/>
                <w:lang w:val="en-US" w:eastAsia="zh-CN" w:bidi="ar-SA"/>
              </w:rPr>
            </w:pPr>
            <w:r>
              <w:rPr>
                <w:rFonts w:hint="eastAsia"/>
                <w:b/>
                <w:bCs/>
                <w:color w:val="auto"/>
                <w:u w:val="single"/>
              </w:rPr>
              <w:t>无量纲</w:t>
            </w:r>
          </w:p>
        </w:tc>
        <w:tc>
          <w:tcPr>
            <w:tcW w:w="74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7.2</w:t>
            </w:r>
          </w:p>
        </w:tc>
        <w:tc>
          <w:tcPr>
            <w:tcW w:w="846"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7.1</w:t>
            </w:r>
          </w:p>
        </w:tc>
        <w:tc>
          <w:tcPr>
            <w:tcW w:w="89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ind w:firstLine="0" w:firstLineChars="0"/>
              <w:rPr>
                <w:rFonts w:hint="eastAsia"/>
                <w:b/>
                <w:bCs/>
                <w:color w:val="auto"/>
                <w:u w:val="single"/>
              </w:rPr>
            </w:pPr>
            <w:r>
              <w:rPr>
                <w:rFonts w:hint="eastAsia"/>
                <w:b/>
                <w:bCs/>
                <w:color w:val="auto"/>
                <w:u w:val="single"/>
              </w:rPr>
              <w:t>氨氮</w:t>
            </w:r>
          </w:p>
        </w:tc>
        <w:tc>
          <w:tcPr>
            <w:tcW w:w="539" w:type="pct"/>
            <w:vAlign w:val="center"/>
          </w:tcPr>
          <w:p>
            <w:pPr>
              <w:pStyle w:val="182"/>
              <w:bidi w:val="0"/>
              <w:ind w:firstLine="0" w:firstLineChars="0"/>
              <w:rPr>
                <w:rFonts w:ascii="Times New Roman" w:hAnsi="Times New Roman" w:eastAsia="宋体" w:cs="Times New Roman"/>
                <w:b/>
                <w:bCs/>
                <w:color w:val="auto"/>
                <w:kern w:val="2"/>
                <w:sz w:val="21"/>
                <w:szCs w:val="21"/>
                <w:u w:val="single"/>
                <w:lang w:val="en-US" w:eastAsia="zh-CN" w:bidi="ar-SA"/>
              </w:rPr>
            </w:pPr>
            <w:r>
              <w:rPr>
                <w:b/>
                <w:bCs/>
                <w:color w:val="auto"/>
                <w:u w:val="single"/>
              </w:rPr>
              <w:t>mg/L</w:t>
            </w:r>
          </w:p>
        </w:tc>
        <w:tc>
          <w:tcPr>
            <w:tcW w:w="742" w:type="pct"/>
            <w:vAlign w:val="center"/>
          </w:tcPr>
          <w:p>
            <w:pPr>
              <w:pStyle w:val="182"/>
              <w:bidi w:val="0"/>
              <w:rPr>
                <w:rFonts w:hint="eastAsia"/>
                <w:b/>
                <w:bCs/>
                <w:color w:val="auto"/>
                <w:u w:val="single"/>
              </w:rPr>
            </w:pPr>
            <w:r>
              <w:rPr>
                <w:rFonts w:hint="eastAsia"/>
                <w:b/>
                <w:bCs/>
                <w:color w:val="auto"/>
                <w:u w:val="single"/>
              </w:rPr>
              <w:t>0.103</w:t>
            </w:r>
          </w:p>
        </w:tc>
        <w:tc>
          <w:tcPr>
            <w:tcW w:w="846" w:type="pct"/>
            <w:vAlign w:val="center"/>
          </w:tcPr>
          <w:p>
            <w:pPr>
              <w:pStyle w:val="182"/>
              <w:bidi w:val="0"/>
              <w:rPr>
                <w:rFonts w:hint="eastAsia"/>
                <w:b/>
                <w:bCs/>
                <w:color w:val="auto"/>
                <w:u w:val="single"/>
              </w:rPr>
            </w:pPr>
            <w:r>
              <w:rPr>
                <w:rFonts w:hint="eastAsia"/>
                <w:b/>
                <w:bCs/>
                <w:color w:val="auto"/>
                <w:u w:val="single"/>
              </w:rPr>
              <w:t>0.092</w:t>
            </w:r>
          </w:p>
        </w:tc>
        <w:tc>
          <w:tcPr>
            <w:tcW w:w="898" w:type="pct"/>
            <w:vAlign w:val="center"/>
          </w:tcPr>
          <w:p>
            <w:pPr>
              <w:pStyle w:val="182"/>
              <w:bidi w:val="0"/>
              <w:rPr>
                <w:rFonts w:hint="eastAsia"/>
                <w:b/>
                <w:bCs/>
                <w:color w:val="auto"/>
                <w:u w:val="single"/>
              </w:rPr>
            </w:pPr>
            <w:r>
              <w:rPr>
                <w:rFonts w:hint="eastAsia"/>
                <w:b/>
                <w:bCs/>
                <w:color w:val="auto"/>
                <w:u w:val="single"/>
              </w:rPr>
              <w:t>0.089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1" w:type="pct"/>
            <w:vMerge w:val="continue"/>
            <w:vAlign w:val="center"/>
          </w:tcPr>
          <w:p>
            <w:pPr>
              <w:pStyle w:val="182"/>
              <w:bidi w:val="0"/>
              <w:rPr>
                <w:b/>
                <w:bCs/>
                <w:color w:val="auto"/>
                <w:u w:val="single"/>
              </w:rPr>
            </w:pPr>
          </w:p>
        </w:tc>
        <w:tc>
          <w:tcPr>
            <w:tcW w:w="586" w:type="pct"/>
            <w:vMerge w:val="continue"/>
            <w:vAlign w:val="center"/>
          </w:tcPr>
          <w:p>
            <w:pPr>
              <w:pStyle w:val="182"/>
              <w:bidi w:val="0"/>
              <w:rPr>
                <w:b/>
                <w:bCs/>
                <w:color w:val="auto"/>
                <w:u w:val="single"/>
              </w:rPr>
            </w:pPr>
          </w:p>
        </w:tc>
        <w:tc>
          <w:tcPr>
            <w:tcW w:w="705" w:type="pct"/>
            <w:vAlign w:val="center"/>
          </w:tcPr>
          <w:p>
            <w:pPr>
              <w:pStyle w:val="182"/>
              <w:bidi w:val="0"/>
              <w:ind w:firstLine="0" w:firstLineChars="0"/>
              <w:rPr>
                <w:rFonts w:hint="eastAsia"/>
                <w:b/>
                <w:bCs/>
                <w:color w:val="auto"/>
                <w:u w:val="single"/>
              </w:rPr>
            </w:pPr>
            <w:r>
              <w:rPr>
                <w:rFonts w:hint="eastAsia"/>
                <w:b/>
                <w:bCs/>
                <w:color w:val="auto"/>
                <w:u w:val="single"/>
              </w:rPr>
              <w:t>耗氧量</w:t>
            </w:r>
          </w:p>
        </w:tc>
        <w:tc>
          <w:tcPr>
            <w:tcW w:w="539" w:type="pct"/>
            <w:vAlign w:val="center"/>
          </w:tcPr>
          <w:p>
            <w:pPr>
              <w:pStyle w:val="182"/>
              <w:bidi w:val="0"/>
              <w:ind w:firstLine="0" w:firstLineChars="0"/>
              <w:rPr>
                <w:rFonts w:ascii="Times New Roman" w:hAnsi="Times New Roman" w:eastAsia="宋体" w:cs="Times New Roman"/>
                <w:b/>
                <w:bCs/>
                <w:color w:val="auto"/>
                <w:kern w:val="2"/>
                <w:sz w:val="21"/>
                <w:szCs w:val="21"/>
                <w:u w:val="single"/>
                <w:lang w:val="en-US" w:eastAsia="zh-CN" w:bidi="ar-SA"/>
              </w:rPr>
            </w:pPr>
            <w:r>
              <w:rPr>
                <w:b/>
                <w:bCs/>
                <w:color w:val="auto"/>
                <w:u w:val="single"/>
              </w:rPr>
              <w:t>mg/L</w:t>
            </w:r>
          </w:p>
        </w:tc>
        <w:tc>
          <w:tcPr>
            <w:tcW w:w="742" w:type="pct"/>
            <w:vAlign w:val="center"/>
          </w:tcPr>
          <w:p>
            <w:pPr>
              <w:pStyle w:val="182"/>
              <w:bidi w:val="0"/>
              <w:rPr>
                <w:rFonts w:hint="eastAsia"/>
                <w:b/>
                <w:bCs/>
                <w:color w:val="auto"/>
                <w:u w:val="single"/>
              </w:rPr>
            </w:pPr>
            <w:r>
              <w:rPr>
                <w:rFonts w:hint="eastAsia"/>
                <w:b/>
                <w:bCs/>
                <w:color w:val="auto"/>
                <w:u w:val="single"/>
              </w:rPr>
              <w:t>1.30</w:t>
            </w:r>
          </w:p>
        </w:tc>
        <w:tc>
          <w:tcPr>
            <w:tcW w:w="846" w:type="pct"/>
            <w:vAlign w:val="center"/>
          </w:tcPr>
          <w:p>
            <w:pPr>
              <w:pStyle w:val="182"/>
              <w:bidi w:val="0"/>
              <w:rPr>
                <w:rFonts w:hint="eastAsia"/>
                <w:b/>
                <w:bCs/>
                <w:color w:val="auto"/>
                <w:u w:val="single"/>
              </w:rPr>
            </w:pPr>
            <w:r>
              <w:rPr>
                <w:rFonts w:hint="eastAsia"/>
                <w:b/>
                <w:bCs/>
                <w:color w:val="auto"/>
                <w:u w:val="single"/>
              </w:rPr>
              <w:t>1.22</w:t>
            </w:r>
          </w:p>
        </w:tc>
        <w:tc>
          <w:tcPr>
            <w:tcW w:w="898" w:type="pct"/>
            <w:vAlign w:val="center"/>
          </w:tcPr>
          <w:p>
            <w:pPr>
              <w:pStyle w:val="182"/>
              <w:bidi w:val="0"/>
              <w:rPr>
                <w:rFonts w:hint="eastAsia"/>
                <w:b/>
                <w:bCs/>
                <w:color w:val="auto"/>
                <w:u w:val="single"/>
              </w:rPr>
            </w:pPr>
            <w:r>
              <w:rPr>
                <w:rFonts w:hint="eastAsia"/>
                <w:b/>
                <w:bCs/>
                <w:color w:val="auto"/>
                <w:u w:val="single"/>
              </w:rPr>
              <w:t>1.13</w:t>
            </w:r>
          </w:p>
        </w:tc>
      </w:tr>
    </w:tbl>
    <w:p>
      <w:pPr>
        <w:bidi w:val="0"/>
        <w:rPr>
          <w:b/>
          <w:bCs/>
          <w:color w:val="auto"/>
          <w:u w:val="single"/>
        </w:rPr>
      </w:pPr>
      <w:r>
        <w:rPr>
          <w:rFonts w:hint="eastAsia"/>
          <w:b/>
          <w:bCs/>
          <w:color w:val="auto"/>
          <w:u w:val="single"/>
        </w:rPr>
        <w:t>由</w:t>
      </w:r>
      <w:r>
        <w:rPr>
          <w:rFonts w:hint="eastAsia"/>
          <w:b/>
          <w:bCs/>
          <w:color w:val="auto"/>
          <w:u w:val="single"/>
          <w:lang w:val="en-US" w:eastAsia="zh-CN"/>
        </w:rPr>
        <w:t>上</w:t>
      </w:r>
      <w:r>
        <w:rPr>
          <w:rFonts w:hint="eastAsia"/>
          <w:b/>
          <w:bCs/>
          <w:color w:val="auto"/>
          <w:u w:val="single"/>
        </w:rPr>
        <w:t>表可知，</w:t>
      </w:r>
      <w:r>
        <w:rPr>
          <w:b/>
          <w:bCs/>
          <w:color w:val="auto"/>
          <w:u w:val="single"/>
        </w:rPr>
        <w:t>背景点</w:t>
      </w:r>
      <w:r>
        <w:rPr>
          <w:rFonts w:hint="eastAsia"/>
          <w:b/>
          <w:bCs/>
          <w:color w:val="auto"/>
          <w:u w:val="single"/>
        </w:rPr>
        <w:t>（本项目建设位置北侧空地）处：</w:t>
      </w:r>
      <w:r>
        <w:rPr>
          <w:b/>
          <w:bCs/>
          <w:color w:val="auto"/>
          <w:u w:val="single"/>
        </w:rPr>
        <w:t>pH</w:t>
      </w:r>
      <w:r>
        <w:rPr>
          <w:rFonts w:hint="eastAsia"/>
          <w:b/>
          <w:bCs/>
          <w:color w:val="auto"/>
          <w:u w:val="single"/>
        </w:rPr>
        <w:t>值为</w:t>
      </w:r>
      <w:r>
        <w:rPr>
          <w:rFonts w:hint="eastAsia"/>
          <w:b/>
          <w:bCs/>
          <w:color w:val="auto"/>
          <w:u w:val="single"/>
          <w:lang w:val="en-US" w:eastAsia="zh-CN"/>
        </w:rPr>
        <w:t>7.1</w:t>
      </w:r>
      <w:r>
        <w:rPr>
          <w:rFonts w:hint="eastAsia"/>
          <w:b/>
          <w:bCs/>
          <w:color w:val="auto"/>
          <w:u w:val="single"/>
        </w:rPr>
        <w:t>-7.</w:t>
      </w:r>
      <w:r>
        <w:rPr>
          <w:rFonts w:hint="eastAsia"/>
          <w:b/>
          <w:bCs/>
          <w:color w:val="auto"/>
          <w:u w:val="single"/>
          <w:lang w:val="en-US" w:eastAsia="zh-CN"/>
        </w:rPr>
        <w:t>5</w:t>
      </w:r>
      <w:r>
        <w:rPr>
          <w:rFonts w:hint="eastAsia"/>
          <w:b/>
          <w:bCs/>
          <w:color w:val="auto"/>
          <w:u w:val="single"/>
        </w:rPr>
        <w:t>，氨氮为0</w:t>
      </w:r>
      <w:r>
        <w:rPr>
          <w:b/>
          <w:bCs/>
          <w:color w:val="auto"/>
          <w:u w:val="single"/>
        </w:rPr>
        <w:t>.</w:t>
      </w:r>
      <w:r>
        <w:rPr>
          <w:rFonts w:hint="eastAsia"/>
          <w:b/>
          <w:bCs/>
          <w:color w:val="auto"/>
          <w:u w:val="single"/>
          <w:lang w:val="en-US" w:eastAsia="zh-CN"/>
        </w:rPr>
        <w:t>082</w:t>
      </w:r>
      <w:r>
        <w:rPr>
          <w:rFonts w:hint="eastAsia"/>
          <w:b/>
          <w:bCs/>
          <w:color w:val="auto"/>
          <w:u w:val="single"/>
        </w:rPr>
        <w:t>-0.</w:t>
      </w:r>
      <w:r>
        <w:rPr>
          <w:rFonts w:hint="eastAsia"/>
          <w:b/>
          <w:bCs/>
          <w:color w:val="auto"/>
          <w:u w:val="single"/>
          <w:lang w:val="en-US" w:eastAsia="zh-CN"/>
        </w:rPr>
        <w:t xml:space="preserve">097 </w:t>
      </w:r>
      <w:r>
        <w:rPr>
          <w:b/>
          <w:bCs/>
          <w:color w:val="auto"/>
          <w:u w:val="single"/>
        </w:rPr>
        <w:t>mg/L</w:t>
      </w:r>
      <w:r>
        <w:rPr>
          <w:rFonts w:hint="eastAsia"/>
          <w:b/>
          <w:bCs/>
          <w:color w:val="auto"/>
          <w:u w:val="single"/>
        </w:rPr>
        <w:t>，耗氧量为</w:t>
      </w:r>
      <w:r>
        <w:rPr>
          <w:rFonts w:hint="eastAsia"/>
          <w:b/>
          <w:bCs/>
          <w:color w:val="auto"/>
          <w:u w:val="single"/>
          <w:lang w:val="en-US" w:eastAsia="zh-CN"/>
        </w:rPr>
        <w:t>1.15</w:t>
      </w:r>
      <w:r>
        <w:rPr>
          <w:rFonts w:hint="eastAsia"/>
          <w:b/>
          <w:bCs/>
          <w:color w:val="auto"/>
          <w:u w:val="single"/>
        </w:rPr>
        <w:t>-</w:t>
      </w:r>
      <w:r>
        <w:rPr>
          <w:b/>
          <w:bCs/>
          <w:color w:val="auto"/>
          <w:u w:val="single"/>
        </w:rPr>
        <w:t>1.2</w:t>
      </w:r>
      <w:r>
        <w:rPr>
          <w:rFonts w:hint="eastAsia"/>
          <w:b/>
          <w:bCs/>
          <w:color w:val="auto"/>
          <w:u w:val="single"/>
          <w:lang w:val="en-US" w:eastAsia="zh-CN"/>
        </w:rPr>
        <w:t>6</w:t>
      </w:r>
      <w:r>
        <w:rPr>
          <w:b/>
          <w:bCs/>
          <w:color w:val="auto"/>
          <w:u w:val="single"/>
        </w:rPr>
        <w:t xml:space="preserve"> mg/L</w:t>
      </w:r>
      <w:r>
        <w:rPr>
          <w:rFonts w:hint="eastAsia"/>
          <w:b/>
          <w:bCs/>
          <w:color w:val="auto"/>
          <w:u w:val="single"/>
        </w:rPr>
        <w:t>。</w:t>
      </w:r>
    </w:p>
    <w:p>
      <w:pPr>
        <w:bidi w:val="0"/>
        <w:rPr>
          <w:b/>
          <w:bCs/>
          <w:color w:val="auto"/>
          <w:u w:val="single"/>
        </w:rPr>
      </w:pPr>
      <w:r>
        <w:rPr>
          <w:b/>
          <w:bCs/>
          <w:color w:val="auto"/>
          <w:u w:val="single"/>
        </w:rPr>
        <w:fldChar w:fldCharType="begin"/>
      </w:r>
      <w:r>
        <w:rPr>
          <w:b/>
          <w:bCs/>
          <w:color w:val="auto"/>
          <w:u w:val="single"/>
        </w:rPr>
        <w:instrText xml:space="preserve"> </w:instrText>
      </w:r>
      <w:r>
        <w:rPr>
          <w:rFonts w:hint="eastAsia"/>
          <w:b/>
          <w:bCs/>
          <w:color w:val="auto"/>
          <w:u w:val="single"/>
        </w:rPr>
        <w:instrText xml:space="preserve">= 1 \* GB3</w:instrText>
      </w:r>
      <w:r>
        <w:rPr>
          <w:b/>
          <w:bCs/>
          <w:color w:val="auto"/>
          <w:u w:val="single"/>
        </w:rPr>
        <w:instrText xml:space="preserve"> </w:instrText>
      </w:r>
      <w:r>
        <w:rPr>
          <w:b/>
          <w:bCs/>
          <w:color w:val="auto"/>
          <w:u w:val="single"/>
        </w:rPr>
        <w:fldChar w:fldCharType="separate"/>
      </w:r>
      <w:r>
        <w:rPr>
          <w:rFonts w:hint="eastAsia"/>
          <w:b/>
          <w:bCs/>
          <w:color w:val="auto"/>
          <w:u w:val="single"/>
        </w:rPr>
        <w:t>①</w:t>
      </w:r>
      <w:r>
        <w:rPr>
          <w:b/>
          <w:bCs/>
          <w:color w:val="auto"/>
          <w:u w:val="single"/>
        </w:rPr>
        <w:fldChar w:fldCharType="end"/>
      </w:r>
      <w:r>
        <w:rPr>
          <w:rFonts w:hint="eastAsia"/>
          <w:b/>
          <w:bCs/>
          <w:color w:val="auto"/>
          <w:u w:val="single"/>
        </w:rPr>
        <w:t>硫酸罐区：</w:t>
      </w:r>
      <w:r>
        <w:rPr>
          <w:b/>
          <w:bCs/>
          <w:color w:val="auto"/>
          <w:u w:val="single"/>
        </w:rPr>
        <w:t>pH</w:t>
      </w:r>
      <w:r>
        <w:rPr>
          <w:rFonts w:hint="eastAsia"/>
          <w:b/>
          <w:bCs/>
          <w:color w:val="auto"/>
          <w:u w:val="single"/>
        </w:rPr>
        <w:t>值为</w:t>
      </w:r>
      <w:r>
        <w:rPr>
          <w:b/>
          <w:bCs/>
          <w:color w:val="auto"/>
          <w:u w:val="single"/>
        </w:rPr>
        <w:t>6.</w:t>
      </w:r>
      <w:r>
        <w:rPr>
          <w:rFonts w:hint="eastAsia"/>
          <w:b/>
          <w:bCs/>
          <w:color w:val="auto"/>
          <w:u w:val="single"/>
          <w:lang w:val="en-US" w:eastAsia="zh-CN"/>
        </w:rPr>
        <w:t>9</w:t>
      </w:r>
      <w:r>
        <w:rPr>
          <w:rFonts w:hint="eastAsia"/>
          <w:b/>
          <w:bCs/>
          <w:color w:val="auto"/>
          <w:u w:val="single"/>
        </w:rPr>
        <w:t>-</w:t>
      </w:r>
      <w:r>
        <w:rPr>
          <w:b/>
          <w:bCs/>
          <w:color w:val="auto"/>
          <w:u w:val="single"/>
        </w:rPr>
        <w:t>7.</w:t>
      </w:r>
      <w:r>
        <w:rPr>
          <w:rFonts w:hint="eastAsia"/>
          <w:b/>
          <w:bCs/>
          <w:color w:val="auto"/>
          <w:u w:val="single"/>
          <w:lang w:val="en-US" w:eastAsia="zh-CN"/>
        </w:rPr>
        <w:t>4，</w:t>
      </w:r>
      <w:r>
        <w:rPr>
          <w:rFonts w:hint="eastAsia"/>
          <w:b/>
          <w:bCs/>
          <w:color w:val="auto"/>
          <w:u w:val="single"/>
        </w:rPr>
        <w:t>比背景点监测值略低；</w:t>
      </w:r>
      <w:r>
        <w:rPr>
          <w:b/>
          <w:bCs/>
          <w:color w:val="auto"/>
          <w:u w:val="single"/>
        </w:rPr>
        <w:t>氨氮浓度</w:t>
      </w:r>
      <w:r>
        <w:rPr>
          <w:rFonts w:hint="eastAsia"/>
          <w:b/>
          <w:bCs/>
          <w:color w:val="auto"/>
          <w:u w:val="single"/>
        </w:rPr>
        <w:t>为</w:t>
      </w:r>
      <w:r>
        <w:rPr>
          <w:b/>
          <w:bCs/>
          <w:color w:val="auto"/>
          <w:u w:val="single"/>
        </w:rPr>
        <w:t>0.</w:t>
      </w:r>
      <w:r>
        <w:rPr>
          <w:rFonts w:hint="eastAsia"/>
          <w:b/>
          <w:bCs/>
          <w:color w:val="auto"/>
          <w:u w:val="single"/>
          <w:lang w:val="en-US" w:eastAsia="zh-CN"/>
        </w:rPr>
        <w:t>070</w:t>
      </w:r>
      <w:r>
        <w:rPr>
          <w:rFonts w:hint="eastAsia"/>
          <w:b/>
          <w:bCs/>
          <w:color w:val="auto"/>
          <w:u w:val="single"/>
        </w:rPr>
        <w:t>-</w:t>
      </w:r>
      <w:r>
        <w:rPr>
          <w:b/>
          <w:bCs/>
          <w:color w:val="auto"/>
          <w:u w:val="single"/>
        </w:rPr>
        <w:t>0.</w:t>
      </w:r>
      <w:r>
        <w:rPr>
          <w:rFonts w:hint="eastAsia"/>
          <w:b/>
          <w:bCs/>
          <w:color w:val="auto"/>
          <w:u w:val="single"/>
          <w:lang w:val="en-US" w:eastAsia="zh-CN"/>
        </w:rPr>
        <w:t>091</w:t>
      </w:r>
      <w:r>
        <w:rPr>
          <w:rFonts w:hint="eastAsia"/>
          <w:b/>
          <w:bCs/>
          <w:color w:val="auto"/>
          <w:u w:val="single"/>
        </w:rPr>
        <w:t>mg/L，比背景点监测值略低；耗氧量浓度</w:t>
      </w:r>
      <w:r>
        <w:rPr>
          <w:b/>
          <w:bCs/>
          <w:color w:val="auto"/>
          <w:u w:val="single"/>
        </w:rPr>
        <w:t>1.0</w:t>
      </w:r>
      <w:r>
        <w:rPr>
          <w:rFonts w:hint="eastAsia"/>
          <w:b/>
          <w:bCs/>
          <w:color w:val="auto"/>
          <w:u w:val="single"/>
          <w:lang w:val="en-US" w:eastAsia="zh-CN"/>
        </w:rPr>
        <w:t>3</w:t>
      </w:r>
      <w:r>
        <w:rPr>
          <w:rFonts w:hint="eastAsia"/>
          <w:b/>
          <w:bCs/>
          <w:color w:val="auto"/>
          <w:u w:val="single"/>
        </w:rPr>
        <w:t>-</w:t>
      </w:r>
      <w:r>
        <w:rPr>
          <w:b/>
          <w:bCs/>
          <w:color w:val="auto"/>
          <w:u w:val="single"/>
        </w:rPr>
        <w:t>1.</w:t>
      </w:r>
      <w:r>
        <w:rPr>
          <w:rFonts w:hint="eastAsia"/>
          <w:b/>
          <w:bCs/>
          <w:color w:val="auto"/>
          <w:u w:val="single"/>
          <w:lang w:val="en-US" w:eastAsia="zh-CN"/>
        </w:rPr>
        <w:t>2</w:t>
      </w:r>
      <w:r>
        <w:rPr>
          <w:b/>
          <w:bCs/>
          <w:color w:val="auto"/>
          <w:u w:val="single"/>
        </w:rPr>
        <w:t xml:space="preserve">3 </w:t>
      </w:r>
      <w:r>
        <w:rPr>
          <w:rFonts w:hint="eastAsia"/>
          <w:b/>
          <w:bCs/>
          <w:color w:val="auto"/>
          <w:u w:val="single"/>
        </w:rPr>
        <w:t>mg/L，比背景点监测值略低</w:t>
      </w:r>
      <w:r>
        <w:rPr>
          <w:b/>
          <w:bCs/>
          <w:color w:val="auto"/>
          <w:u w:val="single"/>
        </w:rPr>
        <w:t>。</w:t>
      </w:r>
    </w:p>
    <w:p>
      <w:pPr>
        <w:bidi w:val="0"/>
        <w:rPr>
          <w:b/>
          <w:bCs/>
          <w:color w:val="auto"/>
          <w:u w:val="single"/>
        </w:rPr>
      </w:pPr>
      <w:r>
        <w:rPr>
          <w:rFonts w:hint="eastAsia"/>
          <w:b/>
          <w:bCs/>
          <w:color w:val="auto"/>
          <w:u w:val="single"/>
        </w:rPr>
        <w:t>②现有项目主厂房：</w:t>
      </w:r>
      <w:r>
        <w:rPr>
          <w:b/>
          <w:bCs/>
          <w:color w:val="auto"/>
          <w:u w:val="single"/>
        </w:rPr>
        <w:t>pH</w:t>
      </w:r>
      <w:r>
        <w:rPr>
          <w:rFonts w:hint="eastAsia"/>
          <w:b/>
          <w:bCs/>
          <w:color w:val="auto"/>
          <w:u w:val="single"/>
        </w:rPr>
        <w:t>值为</w:t>
      </w:r>
      <w:r>
        <w:rPr>
          <w:rFonts w:hint="eastAsia"/>
          <w:b/>
          <w:bCs/>
          <w:color w:val="auto"/>
          <w:u w:val="single"/>
          <w:lang w:val="en-US" w:eastAsia="zh-CN"/>
        </w:rPr>
        <w:t>6.9</w:t>
      </w:r>
      <w:r>
        <w:rPr>
          <w:rFonts w:hint="eastAsia"/>
          <w:b/>
          <w:bCs/>
          <w:color w:val="auto"/>
          <w:u w:val="single"/>
        </w:rPr>
        <w:t>-</w:t>
      </w:r>
      <w:r>
        <w:rPr>
          <w:b/>
          <w:bCs/>
          <w:color w:val="auto"/>
          <w:u w:val="single"/>
        </w:rPr>
        <w:t>7.</w:t>
      </w:r>
      <w:r>
        <w:rPr>
          <w:rFonts w:hint="eastAsia"/>
          <w:b/>
          <w:bCs/>
          <w:color w:val="auto"/>
          <w:u w:val="single"/>
          <w:lang w:val="en-US" w:eastAsia="zh-CN"/>
        </w:rPr>
        <w:t>6</w:t>
      </w:r>
      <w:r>
        <w:rPr>
          <w:rFonts w:hint="eastAsia"/>
          <w:b/>
          <w:bCs/>
          <w:color w:val="auto"/>
          <w:u w:val="single"/>
        </w:rPr>
        <w:t>，</w:t>
      </w:r>
      <w:r>
        <w:rPr>
          <w:b/>
          <w:bCs/>
          <w:color w:val="auto"/>
          <w:u w:val="single"/>
        </w:rPr>
        <w:t>和背景点基本保持一致</w:t>
      </w:r>
      <w:r>
        <w:rPr>
          <w:rFonts w:hint="eastAsia"/>
          <w:b/>
          <w:bCs/>
          <w:color w:val="auto"/>
          <w:u w:val="single"/>
        </w:rPr>
        <w:t>；</w:t>
      </w:r>
      <w:r>
        <w:rPr>
          <w:b/>
          <w:bCs/>
          <w:color w:val="auto"/>
          <w:u w:val="single"/>
        </w:rPr>
        <w:t>氨氮浓度</w:t>
      </w:r>
      <w:r>
        <w:rPr>
          <w:rFonts w:hint="eastAsia"/>
          <w:b/>
          <w:bCs/>
          <w:color w:val="auto"/>
          <w:u w:val="single"/>
        </w:rPr>
        <w:t>为</w:t>
      </w:r>
      <w:r>
        <w:rPr>
          <w:rFonts w:hint="eastAsia"/>
          <w:b/>
          <w:bCs/>
          <w:color w:val="auto"/>
          <w:u w:val="single"/>
          <w:lang w:val="en-US" w:eastAsia="zh-CN"/>
        </w:rPr>
        <w:t>0.075</w:t>
      </w:r>
      <w:r>
        <w:rPr>
          <w:rFonts w:hint="eastAsia"/>
          <w:b/>
          <w:bCs/>
          <w:color w:val="auto"/>
          <w:u w:val="single"/>
        </w:rPr>
        <w:t>-</w:t>
      </w:r>
      <w:r>
        <w:rPr>
          <w:rFonts w:hint="eastAsia"/>
          <w:b/>
          <w:bCs/>
          <w:color w:val="auto"/>
          <w:u w:val="single"/>
          <w:lang w:val="en-US" w:eastAsia="zh-CN"/>
        </w:rPr>
        <w:t>0.094</w:t>
      </w:r>
      <w:r>
        <w:rPr>
          <w:b/>
          <w:bCs/>
          <w:color w:val="auto"/>
          <w:u w:val="single"/>
        </w:rPr>
        <w:t xml:space="preserve"> </w:t>
      </w:r>
      <w:r>
        <w:rPr>
          <w:rFonts w:hint="eastAsia"/>
          <w:b/>
          <w:bCs/>
          <w:color w:val="auto"/>
          <w:u w:val="single"/>
        </w:rPr>
        <w:t>mg/L，</w:t>
      </w:r>
      <w:r>
        <w:rPr>
          <w:b/>
          <w:bCs/>
          <w:color w:val="auto"/>
          <w:u w:val="single"/>
        </w:rPr>
        <w:t>和背景点基本保持一致</w:t>
      </w:r>
      <w:r>
        <w:rPr>
          <w:rFonts w:hint="eastAsia"/>
          <w:b/>
          <w:bCs/>
          <w:color w:val="auto"/>
          <w:u w:val="single"/>
        </w:rPr>
        <w:t>；耗氧量</w:t>
      </w:r>
      <w:r>
        <w:rPr>
          <w:b/>
          <w:bCs/>
          <w:color w:val="auto"/>
          <w:u w:val="single"/>
        </w:rPr>
        <w:t>浓度1.</w:t>
      </w:r>
      <w:r>
        <w:rPr>
          <w:rFonts w:hint="eastAsia"/>
          <w:b/>
          <w:bCs/>
          <w:color w:val="auto"/>
          <w:u w:val="single"/>
          <w:lang w:val="en-US" w:eastAsia="zh-CN"/>
        </w:rPr>
        <w:t>0</w:t>
      </w:r>
      <w:r>
        <w:rPr>
          <w:b/>
          <w:bCs/>
          <w:color w:val="auto"/>
          <w:u w:val="single"/>
        </w:rPr>
        <w:t>1</w:t>
      </w:r>
      <w:r>
        <w:rPr>
          <w:rFonts w:hint="eastAsia"/>
          <w:b/>
          <w:bCs/>
          <w:color w:val="auto"/>
          <w:u w:val="single"/>
          <w:lang w:eastAsia="zh-CN"/>
        </w:rPr>
        <w:t>—</w:t>
      </w:r>
      <w:r>
        <w:rPr>
          <w:b/>
          <w:bCs/>
          <w:color w:val="auto"/>
          <w:u w:val="single"/>
        </w:rPr>
        <w:t>1.</w:t>
      </w:r>
      <w:r>
        <w:rPr>
          <w:rFonts w:hint="eastAsia"/>
          <w:b/>
          <w:bCs/>
          <w:color w:val="auto"/>
          <w:u w:val="single"/>
          <w:lang w:val="en-US" w:eastAsia="zh-CN"/>
        </w:rPr>
        <w:t>21</w:t>
      </w:r>
      <w:r>
        <w:rPr>
          <w:rFonts w:hint="eastAsia"/>
          <w:b/>
          <w:bCs/>
          <w:color w:val="auto"/>
          <w:u w:val="single"/>
        </w:rPr>
        <w:t>mg/L，</w:t>
      </w:r>
      <w:r>
        <w:rPr>
          <w:b/>
          <w:bCs/>
          <w:color w:val="auto"/>
          <w:u w:val="single"/>
        </w:rPr>
        <w:t>和背景点基本保持一致。</w:t>
      </w:r>
    </w:p>
    <w:p>
      <w:pPr>
        <w:bidi w:val="0"/>
        <w:rPr>
          <w:b/>
          <w:bCs/>
          <w:color w:val="auto"/>
          <w:u w:val="single"/>
        </w:rPr>
      </w:pPr>
      <w:r>
        <w:rPr>
          <w:rFonts w:hint="eastAsia"/>
          <w:b/>
          <w:bCs/>
          <w:color w:val="auto"/>
          <w:u w:val="single"/>
        </w:rPr>
        <w:t>③本项目用地：</w:t>
      </w:r>
      <w:r>
        <w:rPr>
          <w:b/>
          <w:bCs/>
          <w:color w:val="auto"/>
          <w:u w:val="single"/>
        </w:rPr>
        <w:t>pH</w:t>
      </w:r>
      <w:r>
        <w:rPr>
          <w:rFonts w:hint="eastAsia"/>
          <w:b/>
          <w:bCs/>
          <w:color w:val="auto"/>
          <w:u w:val="single"/>
        </w:rPr>
        <w:t>值为</w:t>
      </w:r>
      <w:r>
        <w:rPr>
          <w:b/>
          <w:bCs/>
          <w:color w:val="auto"/>
          <w:u w:val="single"/>
        </w:rPr>
        <w:t>7.3</w:t>
      </w:r>
      <w:r>
        <w:rPr>
          <w:rFonts w:hint="eastAsia"/>
          <w:b/>
          <w:bCs/>
          <w:color w:val="auto"/>
          <w:u w:val="single"/>
        </w:rPr>
        <w:t>-</w:t>
      </w:r>
      <w:r>
        <w:rPr>
          <w:b/>
          <w:bCs/>
          <w:color w:val="auto"/>
          <w:u w:val="single"/>
        </w:rPr>
        <w:t>7.</w:t>
      </w:r>
      <w:r>
        <w:rPr>
          <w:rFonts w:hint="eastAsia"/>
          <w:b/>
          <w:bCs/>
          <w:color w:val="auto"/>
          <w:u w:val="single"/>
          <w:lang w:val="en-US" w:eastAsia="zh-CN"/>
        </w:rPr>
        <w:t>6</w:t>
      </w:r>
      <w:r>
        <w:rPr>
          <w:rFonts w:hint="eastAsia"/>
          <w:b/>
          <w:bCs/>
          <w:color w:val="auto"/>
          <w:u w:val="single"/>
        </w:rPr>
        <w:t>，</w:t>
      </w:r>
      <w:r>
        <w:rPr>
          <w:b/>
          <w:bCs/>
          <w:color w:val="auto"/>
          <w:u w:val="single"/>
        </w:rPr>
        <w:t>和背景点基本保持一致</w:t>
      </w:r>
      <w:r>
        <w:rPr>
          <w:rFonts w:hint="eastAsia"/>
          <w:b/>
          <w:bCs/>
          <w:color w:val="auto"/>
          <w:u w:val="single"/>
        </w:rPr>
        <w:t>；</w:t>
      </w:r>
      <w:r>
        <w:rPr>
          <w:b/>
          <w:bCs/>
          <w:color w:val="auto"/>
          <w:u w:val="single"/>
        </w:rPr>
        <w:t>氨氮浓度</w:t>
      </w:r>
      <w:r>
        <w:rPr>
          <w:rFonts w:hint="eastAsia"/>
          <w:b/>
          <w:bCs/>
          <w:color w:val="auto"/>
          <w:u w:val="single"/>
        </w:rPr>
        <w:t>为</w:t>
      </w:r>
      <w:r>
        <w:rPr>
          <w:b/>
          <w:bCs/>
          <w:color w:val="auto"/>
          <w:u w:val="single"/>
        </w:rPr>
        <w:t>0.</w:t>
      </w:r>
      <w:r>
        <w:rPr>
          <w:rFonts w:hint="eastAsia"/>
          <w:b/>
          <w:bCs/>
          <w:color w:val="auto"/>
          <w:u w:val="single"/>
          <w:lang w:val="en-US" w:eastAsia="zh-CN"/>
        </w:rPr>
        <w:t>082</w:t>
      </w:r>
      <w:r>
        <w:rPr>
          <w:rFonts w:hint="eastAsia"/>
          <w:b/>
          <w:bCs/>
          <w:color w:val="auto"/>
          <w:u w:val="single"/>
        </w:rPr>
        <w:t>-</w:t>
      </w:r>
      <w:r>
        <w:rPr>
          <w:b/>
          <w:bCs/>
          <w:color w:val="auto"/>
          <w:u w:val="single"/>
        </w:rPr>
        <w:t>0.</w:t>
      </w:r>
      <w:r>
        <w:rPr>
          <w:rFonts w:hint="eastAsia"/>
          <w:b/>
          <w:bCs/>
          <w:color w:val="auto"/>
          <w:u w:val="single"/>
          <w:lang w:val="en-US" w:eastAsia="zh-CN"/>
        </w:rPr>
        <w:t>096</w:t>
      </w:r>
      <w:r>
        <w:rPr>
          <w:b/>
          <w:bCs/>
          <w:color w:val="auto"/>
          <w:u w:val="single"/>
        </w:rPr>
        <w:t xml:space="preserve"> </w:t>
      </w:r>
      <w:r>
        <w:rPr>
          <w:rFonts w:hint="eastAsia"/>
          <w:b/>
          <w:bCs/>
          <w:color w:val="auto"/>
          <w:u w:val="single"/>
        </w:rPr>
        <w:t>mg/L，</w:t>
      </w:r>
      <w:r>
        <w:rPr>
          <w:b/>
          <w:bCs/>
          <w:color w:val="auto"/>
          <w:u w:val="single"/>
        </w:rPr>
        <w:t>和背景点基本保持一致</w:t>
      </w:r>
      <w:r>
        <w:rPr>
          <w:rFonts w:hint="eastAsia"/>
          <w:b/>
          <w:bCs/>
          <w:color w:val="auto"/>
          <w:u w:val="single"/>
        </w:rPr>
        <w:t>；耗氧量浓度</w:t>
      </w:r>
      <w:r>
        <w:rPr>
          <w:b/>
          <w:bCs/>
          <w:color w:val="auto"/>
          <w:u w:val="single"/>
        </w:rPr>
        <w:t>1.1</w:t>
      </w:r>
      <w:r>
        <w:rPr>
          <w:rFonts w:hint="eastAsia"/>
          <w:b/>
          <w:bCs/>
          <w:color w:val="auto"/>
          <w:u w:val="single"/>
          <w:lang w:val="en-US" w:eastAsia="zh-CN"/>
        </w:rPr>
        <w:t>9</w:t>
      </w:r>
      <w:r>
        <w:rPr>
          <w:rFonts w:hint="eastAsia"/>
          <w:b/>
          <w:bCs/>
          <w:color w:val="auto"/>
          <w:u w:val="single"/>
        </w:rPr>
        <w:t>-</w:t>
      </w:r>
      <w:r>
        <w:rPr>
          <w:b/>
          <w:bCs/>
          <w:color w:val="auto"/>
          <w:u w:val="single"/>
        </w:rPr>
        <w:t>1.</w:t>
      </w:r>
      <w:r>
        <w:rPr>
          <w:rFonts w:hint="eastAsia"/>
          <w:b/>
          <w:bCs/>
          <w:color w:val="auto"/>
          <w:u w:val="single"/>
          <w:lang w:val="en-US" w:eastAsia="zh-CN"/>
        </w:rPr>
        <w:t>27</w:t>
      </w:r>
      <w:r>
        <w:rPr>
          <w:b/>
          <w:bCs/>
          <w:color w:val="auto"/>
          <w:u w:val="single"/>
        </w:rPr>
        <w:t xml:space="preserve"> </w:t>
      </w:r>
      <w:r>
        <w:rPr>
          <w:rFonts w:hint="eastAsia"/>
          <w:b/>
          <w:bCs/>
          <w:color w:val="auto"/>
          <w:u w:val="single"/>
        </w:rPr>
        <w:t>mg/L，</w:t>
      </w:r>
      <w:r>
        <w:rPr>
          <w:b/>
          <w:bCs/>
          <w:color w:val="auto"/>
          <w:u w:val="single"/>
        </w:rPr>
        <w:t>和背景点基本保持一致。</w:t>
      </w:r>
    </w:p>
    <w:p>
      <w:pPr>
        <w:bidi w:val="0"/>
        <w:rPr>
          <w:b/>
          <w:bCs/>
          <w:color w:val="auto"/>
          <w:u w:val="single"/>
        </w:rPr>
      </w:pPr>
      <w:r>
        <w:rPr>
          <w:rFonts w:hint="eastAsia"/>
          <w:b/>
          <w:bCs/>
          <w:color w:val="auto"/>
          <w:u w:val="single"/>
          <w:lang w:val="en-US" w:eastAsia="zh-CN"/>
        </w:rPr>
        <w:t>④</w:t>
      </w:r>
      <w:r>
        <w:rPr>
          <w:rFonts w:hint="eastAsia"/>
          <w:b/>
          <w:bCs/>
          <w:color w:val="auto"/>
          <w:u w:val="single"/>
        </w:rPr>
        <w:t>污水处理设施：</w:t>
      </w:r>
      <w:r>
        <w:rPr>
          <w:b/>
          <w:bCs/>
          <w:color w:val="auto"/>
          <w:u w:val="single"/>
        </w:rPr>
        <w:t>pH</w:t>
      </w:r>
      <w:r>
        <w:rPr>
          <w:rFonts w:hint="eastAsia"/>
          <w:b/>
          <w:bCs/>
          <w:color w:val="auto"/>
          <w:u w:val="single"/>
        </w:rPr>
        <w:t>值为</w:t>
      </w:r>
      <w:r>
        <w:rPr>
          <w:b/>
          <w:bCs/>
          <w:color w:val="auto"/>
          <w:u w:val="single"/>
        </w:rPr>
        <w:t>7.</w:t>
      </w:r>
      <w:r>
        <w:rPr>
          <w:rFonts w:hint="eastAsia"/>
          <w:b/>
          <w:bCs/>
          <w:color w:val="auto"/>
          <w:u w:val="single"/>
          <w:lang w:val="en-US" w:eastAsia="zh-CN"/>
        </w:rPr>
        <w:t>1</w:t>
      </w:r>
      <w:r>
        <w:rPr>
          <w:rFonts w:hint="eastAsia"/>
          <w:b/>
          <w:bCs/>
          <w:color w:val="auto"/>
          <w:u w:val="single"/>
        </w:rPr>
        <w:t>-</w:t>
      </w:r>
      <w:r>
        <w:rPr>
          <w:b/>
          <w:bCs/>
          <w:color w:val="auto"/>
          <w:u w:val="single"/>
        </w:rPr>
        <w:t>7.</w:t>
      </w:r>
      <w:r>
        <w:rPr>
          <w:rFonts w:hint="eastAsia"/>
          <w:b/>
          <w:bCs/>
          <w:color w:val="auto"/>
          <w:u w:val="single"/>
          <w:lang w:val="en-US" w:eastAsia="zh-CN"/>
        </w:rPr>
        <w:t>5</w:t>
      </w:r>
      <w:r>
        <w:rPr>
          <w:rFonts w:hint="eastAsia"/>
          <w:b/>
          <w:bCs/>
          <w:color w:val="auto"/>
          <w:u w:val="single"/>
        </w:rPr>
        <w:t>，</w:t>
      </w:r>
      <w:r>
        <w:rPr>
          <w:b/>
          <w:bCs/>
          <w:color w:val="auto"/>
          <w:u w:val="single"/>
        </w:rPr>
        <w:t>和背景点基本保持一致</w:t>
      </w:r>
      <w:r>
        <w:rPr>
          <w:rFonts w:hint="eastAsia"/>
          <w:b/>
          <w:bCs/>
          <w:color w:val="auto"/>
          <w:u w:val="single"/>
        </w:rPr>
        <w:t>；</w:t>
      </w:r>
      <w:r>
        <w:rPr>
          <w:b/>
          <w:bCs/>
          <w:color w:val="auto"/>
          <w:u w:val="single"/>
        </w:rPr>
        <w:t>氨氮浓度</w:t>
      </w:r>
      <w:r>
        <w:rPr>
          <w:rFonts w:hint="eastAsia"/>
          <w:b/>
          <w:bCs/>
          <w:color w:val="auto"/>
          <w:u w:val="single"/>
        </w:rPr>
        <w:t>为</w:t>
      </w:r>
      <w:r>
        <w:rPr>
          <w:b/>
          <w:bCs/>
          <w:color w:val="auto"/>
          <w:u w:val="single"/>
        </w:rPr>
        <w:t>0.</w:t>
      </w:r>
      <w:r>
        <w:rPr>
          <w:rFonts w:hint="eastAsia"/>
          <w:b/>
          <w:bCs/>
          <w:color w:val="auto"/>
          <w:u w:val="single"/>
          <w:lang w:val="en-US" w:eastAsia="zh-CN"/>
        </w:rPr>
        <w:t>082</w:t>
      </w:r>
      <w:r>
        <w:rPr>
          <w:rFonts w:hint="eastAsia"/>
          <w:b/>
          <w:bCs/>
          <w:color w:val="auto"/>
          <w:u w:val="single"/>
        </w:rPr>
        <w:t>-</w:t>
      </w:r>
      <w:r>
        <w:rPr>
          <w:b/>
          <w:bCs/>
          <w:color w:val="auto"/>
          <w:u w:val="single"/>
        </w:rPr>
        <w:t>0.</w:t>
      </w:r>
      <w:r>
        <w:rPr>
          <w:rFonts w:hint="eastAsia"/>
          <w:b/>
          <w:bCs/>
          <w:color w:val="auto"/>
          <w:u w:val="single"/>
          <w:lang w:val="en-US" w:eastAsia="zh-CN"/>
        </w:rPr>
        <w:t>096</w:t>
      </w:r>
      <w:r>
        <w:rPr>
          <w:b/>
          <w:bCs/>
          <w:color w:val="auto"/>
          <w:u w:val="single"/>
        </w:rPr>
        <w:t xml:space="preserve"> </w:t>
      </w:r>
      <w:r>
        <w:rPr>
          <w:rFonts w:hint="eastAsia"/>
          <w:b/>
          <w:bCs/>
          <w:color w:val="auto"/>
          <w:u w:val="single"/>
        </w:rPr>
        <w:t>mg/L，</w:t>
      </w:r>
      <w:r>
        <w:rPr>
          <w:b/>
          <w:bCs/>
          <w:color w:val="auto"/>
          <w:u w:val="single"/>
        </w:rPr>
        <w:t>和背景点基本保持一致</w:t>
      </w:r>
      <w:r>
        <w:rPr>
          <w:rFonts w:hint="eastAsia"/>
          <w:b/>
          <w:bCs/>
          <w:color w:val="auto"/>
          <w:u w:val="single"/>
        </w:rPr>
        <w:t>；耗氧量浓度</w:t>
      </w:r>
      <w:r>
        <w:rPr>
          <w:b/>
          <w:bCs/>
          <w:color w:val="auto"/>
          <w:u w:val="single"/>
        </w:rPr>
        <w:t>1.1</w:t>
      </w:r>
      <w:r>
        <w:rPr>
          <w:rFonts w:hint="eastAsia"/>
          <w:b/>
          <w:bCs/>
          <w:color w:val="auto"/>
          <w:u w:val="single"/>
          <w:lang w:val="en-US" w:eastAsia="zh-CN"/>
        </w:rPr>
        <w:t>3</w:t>
      </w:r>
      <w:r>
        <w:rPr>
          <w:rFonts w:hint="eastAsia"/>
          <w:b/>
          <w:bCs/>
          <w:color w:val="auto"/>
          <w:u w:val="single"/>
        </w:rPr>
        <w:t>-</w:t>
      </w:r>
      <w:r>
        <w:rPr>
          <w:b/>
          <w:bCs/>
          <w:color w:val="auto"/>
          <w:u w:val="single"/>
        </w:rPr>
        <w:t>1.</w:t>
      </w:r>
      <w:r>
        <w:rPr>
          <w:rFonts w:hint="eastAsia"/>
          <w:b/>
          <w:bCs/>
          <w:color w:val="auto"/>
          <w:u w:val="single"/>
          <w:lang w:val="en-US" w:eastAsia="zh-CN"/>
        </w:rPr>
        <w:t>30</w:t>
      </w:r>
      <w:r>
        <w:rPr>
          <w:b/>
          <w:bCs/>
          <w:color w:val="auto"/>
          <w:u w:val="single"/>
        </w:rPr>
        <w:t xml:space="preserve"> </w:t>
      </w:r>
      <w:r>
        <w:rPr>
          <w:rFonts w:hint="eastAsia"/>
          <w:b/>
          <w:bCs/>
          <w:color w:val="auto"/>
          <w:u w:val="single"/>
        </w:rPr>
        <w:t>mg/L，</w:t>
      </w:r>
      <w:r>
        <w:rPr>
          <w:b/>
          <w:bCs/>
          <w:color w:val="auto"/>
          <w:u w:val="single"/>
        </w:rPr>
        <w:t>和背景点基本保持一致。</w:t>
      </w:r>
    </w:p>
    <w:p>
      <w:pPr>
        <w:bidi w:val="0"/>
        <w:rPr>
          <w:b/>
          <w:bCs/>
          <w:color w:val="auto"/>
          <w:u w:val="single"/>
        </w:rPr>
      </w:pPr>
      <w:r>
        <w:rPr>
          <w:rFonts w:hint="eastAsia"/>
          <w:b/>
          <w:bCs/>
          <w:color w:val="auto"/>
          <w:u w:val="single"/>
        </w:rPr>
        <w:t>根据监测结果，各点位污染因子浓度基本相当，未发生明显数值异常升高或者超标的情况，表明建设单位通过对厂区地面进行防渗，严格按照“密闭化、管道化”的要求进行物料输送和生产，目前厂区内现有工程生产尚未对厂区内包气带造成污染。评价建议建设单位应加强厂区巡视，发生泄漏时及时清理，减少对厂区包气带的影响。</w:t>
      </w:r>
    </w:p>
    <w:p>
      <w:pPr>
        <w:pStyle w:val="9"/>
        <w:tabs>
          <w:tab w:val="left" w:pos="720"/>
          <w:tab w:val="left" w:pos="1200"/>
          <w:tab w:val="left" w:pos="1680"/>
        </w:tabs>
        <w:spacing w:before="0" w:after="0" w:line="520" w:lineRule="exact"/>
        <w:rPr>
          <w:color w:val="auto"/>
          <w:sz w:val="28"/>
          <w:szCs w:val="28"/>
        </w:rPr>
      </w:pPr>
      <w:r>
        <w:rPr>
          <w:color w:val="auto"/>
          <w:sz w:val="28"/>
          <w:szCs w:val="28"/>
        </w:rPr>
        <w:t>4.2.</w:t>
      </w:r>
      <w:r>
        <w:rPr>
          <w:rFonts w:hint="eastAsia"/>
          <w:color w:val="auto"/>
          <w:sz w:val="28"/>
          <w:szCs w:val="28"/>
        </w:rPr>
        <w:t>5</w:t>
      </w:r>
      <w:r>
        <w:rPr>
          <w:color w:val="auto"/>
          <w:sz w:val="28"/>
          <w:szCs w:val="28"/>
        </w:rPr>
        <w:t>声环境质量现状监测</w:t>
      </w:r>
      <w:bookmarkEnd w:id="274"/>
      <w:bookmarkEnd w:id="275"/>
      <w:bookmarkEnd w:id="276"/>
    </w:p>
    <w:p>
      <w:pPr>
        <w:adjustRightInd w:val="0"/>
        <w:spacing w:line="520" w:lineRule="exact"/>
        <w:jc w:val="left"/>
        <w:outlineLvl w:val="3"/>
        <w:rPr>
          <w:b/>
          <w:bCs/>
          <w:color w:val="auto"/>
        </w:rPr>
      </w:pPr>
      <w:r>
        <w:rPr>
          <w:b/>
          <w:bCs/>
          <w:color w:val="auto"/>
        </w:rPr>
        <w:t>4.2.</w:t>
      </w:r>
      <w:r>
        <w:rPr>
          <w:rFonts w:hint="eastAsia"/>
          <w:b/>
          <w:bCs/>
          <w:color w:val="auto"/>
        </w:rPr>
        <w:t>5.1</w:t>
      </w:r>
      <w:r>
        <w:rPr>
          <w:b/>
          <w:bCs/>
          <w:color w:val="auto"/>
        </w:rPr>
        <w:t>监测布点</w:t>
      </w:r>
    </w:p>
    <w:p>
      <w:pPr>
        <w:spacing w:line="520" w:lineRule="exact"/>
        <w:ind w:firstLine="480" w:firstLineChars="200"/>
        <w:rPr>
          <w:color w:val="auto"/>
        </w:rPr>
      </w:pPr>
      <w:r>
        <w:rPr>
          <w:rFonts w:hint="eastAsia"/>
          <w:color w:val="auto"/>
        </w:rPr>
        <w:t>河南中弘国泰检测技术有限公司</w:t>
      </w:r>
      <w:r>
        <w:rPr>
          <w:color w:val="auto"/>
        </w:rPr>
        <w:t>于202</w:t>
      </w:r>
      <w:r>
        <w:rPr>
          <w:rFonts w:hint="eastAsia"/>
          <w:color w:val="auto"/>
        </w:rPr>
        <w:t>2</w:t>
      </w:r>
      <w:r>
        <w:rPr>
          <w:color w:val="auto"/>
        </w:rPr>
        <w:t>年11月28日</w:t>
      </w:r>
      <w:r>
        <w:rPr>
          <w:rFonts w:hint="eastAsia"/>
          <w:color w:val="auto"/>
          <w:lang w:eastAsia="zh-CN"/>
        </w:rPr>
        <w:t>～</w:t>
      </w:r>
      <w:r>
        <w:rPr>
          <w:color w:val="auto"/>
        </w:rPr>
        <w:t>29日对企业厂界</w:t>
      </w:r>
      <w:r>
        <w:rPr>
          <w:rFonts w:hint="eastAsia"/>
          <w:color w:val="auto"/>
        </w:rPr>
        <w:t>及附近敏感点</w:t>
      </w:r>
      <w:r>
        <w:rPr>
          <w:color w:val="auto"/>
        </w:rPr>
        <w:t>噪声</w:t>
      </w:r>
      <w:r>
        <w:rPr>
          <w:rFonts w:hint="eastAsia"/>
          <w:color w:val="auto"/>
        </w:rPr>
        <w:t>现状</w:t>
      </w:r>
      <w:r>
        <w:rPr>
          <w:color w:val="auto"/>
        </w:rPr>
        <w:t>进行了监测。在评价区内共布置了</w:t>
      </w:r>
      <w:r>
        <w:rPr>
          <w:rFonts w:hint="eastAsia"/>
          <w:color w:val="auto"/>
          <w:lang w:val="en-US" w:eastAsia="zh-CN"/>
        </w:rPr>
        <w:t>4</w:t>
      </w:r>
      <w:r>
        <w:rPr>
          <w:color w:val="auto"/>
        </w:rPr>
        <w:t>个声环境质量现状监测点。</w:t>
      </w:r>
    </w:p>
    <w:p>
      <w:pPr>
        <w:pStyle w:val="10"/>
        <w:bidi w:val="0"/>
        <w:rPr>
          <w:color w:val="auto"/>
        </w:rPr>
      </w:pPr>
      <w:r>
        <w:rPr>
          <w:rFonts w:hint="eastAsia"/>
          <w:color w:val="auto"/>
        </w:rPr>
        <w:t>4.2.5.2</w:t>
      </w:r>
      <w:r>
        <w:rPr>
          <w:color w:val="auto"/>
        </w:rPr>
        <w:t>监测方法和频率</w:t>
      </w:r>
    </w:p>
    <w:p>
      <w:pPr>
        <w:bidi w:val="0"/>
        <w:rPr>
          <w:color w:val="auto"/>
        </w:rPr>
      </w:pPr>
      <w:r>
        <w:rPr>
          <w:color w:val="auto"/>
        </w:rPr>
        <w:t>监测点位及监测时间见表4</w:t>
      </w:r>
      <w:r>
        <w:rPr>
          <w:rFonts w:hint="eastAsia"/>
          <w:color w:val="auto"/>
        </w:rPr>
        <w:t>.2</w:t>
      </w:r>
      <w:r>
        <w:rPr>
          <w:color w:val="auto"/>
        </w:rPr>
        <w:t>-</w:t>
      </w:r>
      <w:r>
        <w:rPr>
          <w:rFonts w:hint="eastAsia"/>
          <w:color w:val="auto"/>
          <w:lang w:val="en-US" w:eastAsia="zh-CN"/>
        </w:rPr>
        <w:t>21</w:t>
      </w:r>
      <w:r>
        <w:rPr>
          <w:color w:val="auto"/>
        </w:rPr>
        <w:t>。</w:t>
      </w:r>
    </w:p>
    <w:p>
      <w:pPr>
        <w:pStyle w:val="181"/>
        <w:bidi w:val="0"/>
        <w:rPr>
          <w:color w:val="auto"/>
        </w:rPr>
      </w:pPr>
      <w:r>
        <w:rPr>
          <w:color w:val="auto"/>
        </w:rPr>
        <w:t>表4</w:t>
      </w:r>
      <w:r>
        <w:rPr>
          <w:rFonts w:hint="eastAsia"/>
          <w:color w:val="auto"/>
        </w:rPr>
        <w:t>.2</w:t>
      </w:r>
      <w:r>
        <w:rPr>
          <w:color w:val="auto"/>
        </w:rPr>
        <w:t>-</w:t>
      </w:r>
      <w:r>
        <w:rPr>
          <w:rFonts w:hint="eastAsia"/>
          <w:color w:val="auto"/>
          <w:lang w:val="en-US" w:eastAsia="zh-CN"/>
        </w:rPr>
        <w:t>21</w:t>
      </w:r>
      <w:r>
        <w:rPr>
          <w:color w:val="auto"/>
        </w:rPr>
        <w:t xml:space="preserve">  </w:t>
      </w:r>
      <w:r>
        <w:rPr>
          <w:rFonts w:hint="eastAsia"/>
          <w:color w:val="auto"/>
          <w:lang w:val="en-US" w:eastAsia="zh-CN"/>
        </w:rPr>
        <w:t xml:space="preserve">      </w:t>
      </w:r>
      <w:r>
        <w:rPr>
          <w:color w:val="auto"/>
        </w:rPr>
        <w:t>声环境现状监测点位及监测时间表</w:t>
      </w:r>
    </w:p>
    <w:tbl>
      <w:tblPr>
        <w:tblStyle w:val="32"/>
        <w:tblW w:w="50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2435"/>
        <w:gridCol w:w="1993"/>
        <w:gridCol w:w="1901"/>
        <w:gridCol w:w="20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pPr>
              <w:snapToGrid w:val="0"/>
              <w:spacing w:line="360" w:lineRule="exact"/>
              <w:jc w:val="center"/>
              <w:rPr>
                <w:b/>
                <w:bCs/>
                <w:color w:val="auto"/>
                <w:sz w:val="21"/>
                <w:szCs w:val="21"/>
              </w:rPr>
            </w:pPr>
            <w:r>
              <w:rPr>
                <w:rFonts w:hint="eastAsia"/>
                <w:b/>
                <w:bCs/>
                <w:color w:val="auto"/>
                <w:sz w:val="21"/>
                <w:szCs w:val="21"/>
              </w:rPr>
              <w:t>监测点位置</w:t>
            </w:r>
          </w:p>
        </w:tc>
        <w:tc>
          <w:tcPr>
            <w:tcW w:w="1189" w:type="pct"/>
            <w:vAlign w:val="center"/>
          </w:tcPr>
          <w:p>
            <w:pPr>
              <w:snapToGrid w:val="0"/>
              <w:spacing w:line="360" w:lineRule="exact"/>
              <w:jc w:val="center"/>
              <w:rPr>
                <w:b/>
                <w:bCs/>
                <w:color w:val="auto"/>
                <w:sz w:val="21"/>
                <w:szCs w:val="21"/>
              </w:rPr>
            </w:pPr>
            <w:r>
              <w:rPr>
                <w:rFonts w:hint="eastAsia"/>
                <w:b/>
                <w:bCs/>
                <w:color w:val="auto"/>
                <w:sz w:val="21"/>
                <w:szCs w:val="21"/>
              </w:rPr>
              <w:t>监测因子</w:t>
            </w:r>
          </w:p>
        </w:tc>
        <w:tc>
          <w:tcPr>
            <w:tcW w:w="1134" w:type="pct"/>
            <w:vAlign w:val="center"/>
          </w:tcPr>
          <w:p>
            <w:pPr>
              <w:snapToGrid w:val="0"/>
              <w:spacing w:line="360" w:lineRule="exact"/>
              <w:jc w:val="center"/>
              <w:rPr>
                <w:b/>
                <w:bCs/>
                <w:color w:val="auto"/>
                <w:sz w:val="21"/>
                <w:szCs w:val="21"/>
              </w:rPr>
            </w:pPr>
            <w:r>
              <w:rPr>
                <w:rFonts w:hint="eastAsia"/>
                <w:b/>
                <w:bCs/>
                <w:color w:val="auto"/>
                <w:sz w:val="21"/>
                <w:szCs w:val="21"/>
              </w:rPr>
              <w:t>监测频率</w:t>
            </w:r>
          </w:p>
        </w:tc>
        <w:tc>
          <w:tcPr>
            <w:tcW w:w="1223" w:type="pct"/>
            <w:vAlign w:val="center"/>
          </w:tcPr>
          <w:p>
            <w:pPr>
              <w:snapToGrid w:val="0"/>
              <w:spacing w:line="360" w:lineRule="exact"/>
              <w:jc w:val="center"/>
              <w:rPr>
                <w:b/>
                <w:bCs/>
                <w:color w:val="auto"/>
                <w:sz w:val="21"/>
                <w:szCs w:val="21"/>
              </w:rPr>
            </w:pPr>
            <w:r>
              <w:rPr>
                <w:rFonts w:hint="eastAsia"/>
                <w:b/>
                <w:bCs/>
                <w:color w:val="auto"/>
                <w:sz w:val="21"/>
                <w:szCs w:val="21"/>
              </w:rPr>
              <w:t>监测方法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pPr>
              <w:pStyle w:val="182"/>
              <w:rPr>
                <w:color w:val="auto"/>
              </w:rPr>
            </w:pPr>
            <w:r>
              <w:rPr>
                <w:rFonts w:hint="eastAsia"/>
                <w:color w:val="auto"/>
              </w:rPr>
              <w:t>东厂界</w:t>
            </w:r>
          </w:p>
        </w:tc>
        <w:tc>
          <w:tcPr>
            <w:tcW w:w="1189" w:type="pct"/>
            <w:vMerge w:val="restart"/>
            <w:vAlign w:val="center"/>
          </w:tcPr>
          <w:p>
            <w:pPr>
              <w:pStyle w:val="182"/>
              <w:rPr>
                <w:color w:val="auto"/>
              </w:rPr>
            </w:pPr>
            <w:r>
              <w:rPr>
                <w:rFonts w:hint="eastAsia"/>
                <w:color w:val="auto"/>
              </w:rPr>
              <w:t>等效连续A声级</w:t>
            </w:r>
          </w:p>
        </w:tc>
        <w:tc>
          <w:tcPr>
            <w:tcW w:w="1134" w:type="pct"/>
            <w:vMerge w:val="restart"/>
            <w:vAlign w:val="center"/>
          </w:tcPr>
          <w:p>
            <w:pPr>
              <w:pStyle w:val="182"/>
              <w:rPr>
                <w:color w:val="auto"/>
              </w:rPr>
            </w:pPr>
            <w:r>
              <w:rPr>
                <w:rFonts w:hint="eastAsia"/>
                <w:color w:val="auto"/>
              </w:rPr>
              <w:t>连续监测</w:t>
            </w:r>
            <w:r>
              <w:rPr>
                <w:color w:val="auto"/>
              </w:rPr>
              <w:t>2</w:t>
            </w:r>
            <w:r>
              <w:rPr>
                <w:rFonts w:hint="eastAsia"/>
                <w:color w:val="auto"/>
              </w:rPr>
              <w:t>天，每天昼夜各监测一次</w:t>
            </w:r>
          </w:p>
        </w:tc>
        <w:tc>
          <w:tcPr>
            <w:tcW w:w="1223" w:type="pct"/>
            <w:vMerge w:val="restart"/>
            <w:vAlign w:val="center"/>
          </w:tcPr>
          <w:p>
            <w:pPr>
              <w:pStyle w:val="182"/>
              <w:rPr>
                <w:color w:val="auto"/>
              </w:rPr>
            </w:pPr>
            <w:r>
              <w:rPr>
                <w:rFonts w:hint="eastAsia"/>
                <w:color w:val="auto"/>
              </w:rPr>
              <w:t>《声环境质量标准》GB3096-2008附录B《声环境功能区监测方法》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pPr>
              <w:pStyle w:val="182"/>
              <w:rPr>
                <w:color w:val="auto"/>
              </w:rPr>
            </w:pPr>
            <w:r>
              <w:rPr>
                <w:rFonts w:hint="eastAsia"/>
                <w:color w:val="auto"/>
              </w:rPr>
              <w:t>南厂界</w:t>
            </w:r>
          </w:p>
        </w:tc>
        <w:tc>
          <w:tcPr>
            <w:tcW w:w="1189" w:type="pct"/>
            <w:vMerge w:val="continue"/>
            <w:vAlign w:val="center"/>
          </w:tcPr>
          <w:p>
            <w:pPr>
              <w:pStyle w:val="182"/>
              <w:rPr>
                <w:color w:val="auto"/>
              </w:rPr>
            </w:pPr>
          </w:p>
        </w:tc>
        <w:tc>
          <w:tcPr>
            <w:tcW w:w="1134" w:type="pct"/>
            <w:vMerge w:val="continue"/>
            <w:vAlign w:val="center"/>
          </w:tcPr>
          <w:p>
            <w:pPr>
              <w:pStyle w:val="182"/>
              <w:rPr>
                <w:color w:val="auto"/>
              </w:rPr>
            </w:pPr>
          </w:p>
        </w:tc>
        <w:tc>
          <w:tcPr>
            <w:tcW w:w="1223" w:type="pct"/>
            <w:vMerge w:val="continue"/>
            <w:vAlign w:val="center"/>
          </w:tcPr>
          <w:p>
            <w:pPr>
              <w:pStyle w:val="182"/>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pPr>
              <w:pStyle w:val="182"/>
              <w:rPr>
                <w:color w:val="auto"/>
              </w:rPr>
            </w:pPr>
            <w:r>
              <w:rPr>
                <w:rFonts w:hint="eastAsia"/>
                <w:color w:val="auto"/>
              </w:rPr>
              <w:t>西厂界</w:t>
            </w:r>
          </w:p>
        </w:tc>
        <w:tc>
          <w:tcPr>
            <w:tcW w:w="1189" w:type="pct"/>
            <w:vMerge w:val="continue"/>
            <w:vAlign w:val="center"/>
          </w:tcPr>
          <w:p>
            <w:pPr>
              <w:pStyle w:val="182"/>
              <w:rPr>
                <w:color w:val="auto"/>
              </w:rPr>
            </w:pPr>
          </w:p>
        </w:tc>
        <w:tc>
          <w:tcPr>
            <w:tcW w:w="1134" w:type="pct"/>
            <w:vMerge w:val="continue"/>
            <w:vAlign w:val="center"/>
          </w:tcPr>
          <w:p>
            <w:pPr>
              <w:pStyle w:val="182"/>
              <w:rPr>
                <w:color w:val="auto"/>
              </w:rPr>
            </w:pPr>
          </w:p>
        </w:tc>
        <w:tc>
          <w:tcPr>
            <w:tcW w:w="1223" w:type="pct"/>
            <w:vMerge w:val="continue"/>
            <w:vAlign w:val="center"/>
          </w:tcPr>
          <w:p>
            <w:pPr>
              <w:pStyle w:val="182"/>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pPr>
              <w:pStyle w:val="182"/>
              <w:rPr>
                <w:color w:val="auto"/>
              </w:rPr>
            </w:pPr>
            <w:r>
              <w:rPr>
                <w:rFonts w:hint="eastAsia"/>
                <w:color w:val="auto"/>
              </w:rPr>
              <w:t>北厂界</w:t>
            </w:r>
          </w:p>
        </w:tc>
        <w:tc>
          <w:tcPr>
            <w:tcW w:w="1189" w:type="pct"/>
            <w:vMerge w:val="continue"/>
            <w:vAlign w:val="center"/>
          </w:tcPr>
          <w:p>
            <w:pPr>
              <w:pStyle w:val="182"/>
              <w:rPr>
                <w:color w:val="auto"/>
              </w:rPr>
            </w:pPr>
          </w:p>
        </w:tc>
        <w:tc>
          <w:tcPr>
            <w:tcW w:w="1134" w:type="pct"/>
            <w:vMerge w:val="continue"/>
            <w:vAlign w:val="center"/>
          </w:tcPr>
          <w:p>
            <w:pPr>
              <w:pStyle w:val="182"/>
              <w:rPr>
                <w:color w:val="auto"/>
              </w:rPr>
            </w:pPr>
          </w:p>
        </w:tc>
        <w:tc>
          <w:tcPr>
            <w:tcW w:w="1223" w:type="pct"/>
            <w:vMerge w:val="continue"/>
            <w:vAlign w:val="center"/>
          </w:tcPr>
          <w:p>
            <w:pPr>
              <w:pStyle w:val="182"/>
              <w:rPr>
                <w:color w:val="auto"/>
              </w:rPr>
            </w:pPr>
          </w:p>
        </w:tc>
      </w:tr>
    </w:tbl>
    <w:p>
      <w:pPr>
        <w:pStyle w:val="10"/>
        <w:bidi w:val="0"/>
        <w:rPr>
          <w:color w:val="auto"/>
        </w:rPr>
      </w:pPr>
      <w:r>
        <w:rPr>
          <w:rFonts w:hint="eastAsia"/>
          <w:color w:val="auto"/>
        </w:rPr>
        <w:t>4.2.5.3</w:t>
      </w:r>
      <w:r>
        <w:rPr>
          <w:color w:val="auto"/>
        </w:rPr>
        <w:t>评价标准</w:t>
      </w:r>
    </w:p>
    <w:p>
      <w:pPr>
        <w:bidi w:val="0"/>
        <w:rPr>
          <w:color w:val="auto"/>
        </w:rPr>
      </w:pPr>
      <w:r>
        <w:rPr>
          <w:color w:val="auto"/>
        </w:rPr>
        <w:t>根据新乡园区</w:t>
      </w:r>
      <w:r>
        <w:rPr>
          <w:rFonts w:hint="eastAsia"/>
          <w:color w:val="auto"/>
        </w:rPr>
        <w:t>噪声功能区规划</w:t>
      </w:r>
      <w:r>
        <w:rPr>
          <w:color w:val="auto"/>
        </w:rPr>
        <w:t>，本次声环境质量现状评价标准执行《声环境质量标准》（GB3096-2008）3类标准，即昼间65dB(A)，夜间55dB(A)。</w:t>
      </w:r>
    </w:p>
    <w:p>
      <w:pPr>
        <w:pStyle w:val="10"/>
        <w:bidi w:val="0"/>
        <w:rPr>
          <w:color w:val="auto"/>
        </w:rPr>
      </w:pPr>
      <w:r>
        <w:rPr>
          <w:rFonts w:hint="eastAsia"/>
          <w:color w:val="auto"/>
        </w:rPr>
        <w:t>4.2.5.4</w:t>
      </w:r>
      <w:r>
        <w:rPr>
          <w:color w:val="auto"/>
        </w:rPr>
        <w:t>评价方法</w:t>
      </w:r>
    </w:p>
    <w:p>
      <w:pPr>
        <w:bidi w:val="0"/>
        <w:rPr>
          <w:color w:val="auto"/>
        </w:rPr>
      </w:pPr>
      <w:r>
        <w:rPr>
          <w:color w:val="auto"/>
        </w:rPr>
        <w:t>根据噪声现状监测统计结果的等效声级，采用与评价标准直接比较的方法，对评价范围内的声环境现状进行评价。</w:t>
      </w:r>
    </w:p>
    <w:p>
      <w:pPr>
        <w:pStyle w:val="10"/>
        <w:bidi w:val="0"/>
        <w:rPr>
          <w:color w:val="auto"/>
        </w:rPr>
      </w:pPr>
      <w:r>
        <w:rPr>
          <w:rFonts w:hint="eastAsia"/>
          <w:color w:val="auto"/>
        </w:rPr>
        <w:t>4.2.5.5</w:t>
      </w:r>
      <w:r>
        <w:rPr>
          <w:color w:val="auto"/>
        </w:rPr>
        <w:t>监测结果统计和评价结果</w:t>
      </w:r>
    </w:p>
    <w:p>
      <w:pPr>
        <w:bidi w:val="0"/>
        <w:rPr>
          <w:color w:val="auto"/>
        </w:rPr>
      </w:pPr>
      <w:r>
        <w:rPr>
          <w:color w:val="auto"/>
        </w:rPr>
        <w:t>各监测点现状监测统计结果见表4</w:t>
      </w:r>
      <w:r>
        <w:rPr>
          <w:rFonts w:hint="eastAsia"/>
          <w:color w:val="auto"/>
        </w:rPr>
        <w:t>.2</w:t>
      </w:r>
      <w:r>
        <w:rPr>
          <w:color w:val="auto"/>
        </w:rPr>
        <w:t>-</w:t>
      </w:r>
      <w:r>
        <w:rPr>
          <w:rFonts w:hint="eastAsia"/>
          <w:color w:val="auto"/>
          <w:lang w:val="en-US" w:eastAsia="zh-CN"/>
        </w:rPr>
        <w:t>22</w:t>
      </w:r>
      <w:r>
        <w:rPr>
          <w:color w:val="auto"/>
        </w:rPr>
        <w:t>。</w:t>
      </w:r>
    </w:p>
    <w:p>
      <w:pPr>
        <w:pStyle w:val="181"/>
        <w:bidi w:val="0"/>
        <w:rPr>
          <w:color w:val="auto"/>
        </w:rPr>
      </w:pPr>
      <w:r>
        <w:rPr>
          <w:color w:val="auto"/>
        </w:rPr>
        <w:t>表4</w:t>
      </w:r>
      <w:r>
        <w:rPr>
          <w:rFonts w:hint="eastAsia"/>
          <w:color w:val="auto"/>
        </w:rPr>
        <w:t>.2</w:t>
      </w:r>
      <w:r>
        <w:rPr>
          <w:color w:val="auto"/>
        </w:rPr>
        <w:t>-</w:t>
      </w:r>
      <w:r>
        <w:rPr>
          <w:rFonts w:hint="eastAsia"/>
          <w:color w:val="auto"/>
          <w:lang w:val="en-US" w:eastAsia="zh-CN"/>
        </w:rPr>
        <w:t>22</w:t>
      </w:r>
      <w:r>
        <w:rPr>
          <w:color w:val="auto"/>
        </w:rPr>
        <w:t xml:space="preserve">  </w:t>
      </w:r>
      <w:r>
        <w:rPr>
          <w:rFonts w:hint="eastAsia"/>
          <w:color w:val="auto"/>
          <w:lang w:val="en-US" w:eastAsia="zh-CN"/>
        </w:rPr>
        <w:t xml:space="preserve">              </w:t>
      </w:r>
      <w:r>
        <w:rPr>
          <w:color w:val="auto"/>
        </w:rPr>
        <w:t>噪声监测结果</w:t>
      </w:r>
      <w:r>
        <w:rPr>
          <w:rFonts w:hint="eastAsia"/>
          <w:color w:val="auto"/>
        </w:rPr>
        <w:t xml:space="preserve"> </w:t>
      </w:r>
      <w:r>
        <w:rPr>
          <w:color w:val="auto"/>
        </w:rPr>
        <w:t xml:space="preserve">      单位：dB（A）</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34"/>
        <w:gridCol w:w="1900"/>
        <w:gridCol w:w="2407"/>
        <w:gridCol w:w="258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restart"/>
            <w:vAlign w:val="center"/>
          </w:tcPr>
          <w:p>
            <w:pPr>
              <w:snapToGrid w:val="0"/>
              <w:spacing w:line="360" w:lineRule="exact"/>
              <w:jc w:val="center"/>
              <w:rPr>
                <w:b/>
                <w:bCs/>
                <w:color w:val="auto"/>
                <w:sz w:val="21"/>
                <w:szCs w:val="21"/>
              </w:rPr>
            </w:pPr>
            <w:r>
              <w:rPr>
                <w:b/>
                <w:bCs/>
                <w:color w:val="auto"/>
                <w:sz w:val="21"/>
                <w:szCs w:val="21"/>
              </w:rPr>
              <w:t>采样时间</w:t>
            </w:r>
          </w:p>
        </w:tc>
        <w:tc>
          <w:tcPr>
            <w:tcW w:w="1117" w:type="pct"/>
            <w:vMerge w:val="restart"/>
            <w:vAlign w:val="center"/>
          </w:tcPr>
          <w:p>
            <w:pPr>
              <w:snapToGrid w:val="0"/>
              <w:spacing w:line="360" w:lineRule="exact"/>
              <w:jc w:val="center"/>
              <w:rPr>
                <w:b/>
                <w:bCs/>
                <w:color w:val="auto"/>
                <w:sz w:val="21"/>
                <w:szCs w:val="21"/>
              </w:rPr>
            </w:pPr>
            <w:r>
              <w:rPr>
                <w:b/>
                <w:bCs/>
                <w:color w:val="auto"/>
                <w:sz w:val="21"/>
                <w:szCs w:val="21"/>
              </w:rPr>
              <w:t>采样点位</w:t>
            </w:r>
          </w:p>
        </w:tc>
        <w:tc>
          <w:tcPr>
            <w:tcW w:w="2930" w:type="pct"/>
            <w:gridSpan w:val="2"/>
            <w:vAlign w:val="center"/>
          </w:tcPr>
          <w:p>
            <w:pPr>
              <w:snapToGrid w:val="0"/>
              <w:spacing w:line="360" w:lineRule="exact"/>
              <w:jc w:val="center"/>
              <w:rPr>
                <w:b/>
                <w:bCs/>
                <w:color w:val="auto"/>
                <w:sz w:val="21"/>
                <w:szCs w:val="21"/>
              </w:rPr>
            </w:pPr>
            <w:r>
              <w:rPr>
                <w:b/>
                <w:bCs/>
                <w:color w:val="auto"/>
                <w:sz w:val="21"/>
                <w:szCs w:val="21"/>
              </w:rPr>
              <w:t>监测结果Leq [dB（A）]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pPr>
              <w:snapToGrid w:val="0"/>
              <w:spacing w:line="360" w:lineRule="exact"/>
              <w:jc w:val="center"/>
              <w:rPr>
                <w:b/>
                <w:bCs/>
                <w:color w:val="auto"/>
                <w:sz w:val="21"/>
                <w:szCs w:val="21"/>
              </w:rPr>
            </w:pPr>
          </w:p>
        </w:tc>
        <w:tc>
          <w:tcPr>
            <w:tcW w:w="1117" w:type="pct"/>
            <w:vMerge w:val="continue"/>
            <w:vAlign w:val="center"/>
          </w:tcPr>
          <w:p>
            <w:pPr>
              <w:snapToGrid w:val="0"/>
              <w:spacing w:line="360" w:lineRule="exact"/>
              <w:jc w:val="center"/>
              <w:rPr>
                <w:b/>
                <w:bCs/>
                <w:color w:val="auto"/>
                <w:sz w:val="21"/>
                <w:szCs w:val="21"/>
              </w:rPr>
            </w:pPr>
          </w:p>
        </w:tc>
        <w:tc>
          <w:tcPr>
            <w:tcW w:w="1414" w:type="pct"/>
            <w:vAlign w:val="center"/>
          </w:tcPr>
          <w:p>
            <w:pPr>
              <w:snapToGrid w:val="0"/>
              <w:spacing w:line="360" w:lineRule="exact"/>
              <w:jc w:val="center"/>
              <w:rPr>
                <w:b/>
                <w:bCs/>
                <w:color w:val="auto"/>
                <w:sz w:val="21"/>
                <w:szCs w:val="21"/>
              </w:rPr>
            </w:pPr>
            <w:r>
              <w:rPr>
                <w:b/>
                <w:bCs/>
                <w:color w:val="auto"/>
                <w:sz w:val="21"/>
                <w:szCs w:val="21"/>
              </w:rPr>
              <w:t>昼间</w:t>
            </w:r>
          </w:p>
        </w:tc>
        <w:tc>
          <w:tcPr>
            <w:tcW w:w="1515" w:type="pct"/>
            <w:vAlign w:val="center"/>
          </w:tcPr>
          <w:p>
            <w:pPr>
              <w:snapToGrid w:val="0"/>
              <w:spacing w:line="360" w:lineRule="exact"/>
              <w:jc w:val="center"/>
              <w:rPr>
                <w:b/>
                <w:bCs/>
                <w:color w:val="auto"/>
                <w:sz w:val="21"/>
                <w:szCs w:val="21"/>
              </w:rPr>
            </w:pPr>
            <w:r>
              <w:rPr>
                <w:b/>
                <w:bCs/>
                <w:color w:val="auto"/>
                <w:sz w:val="21"/>
                <w:szCs w:val="21"/>
              </w:rPr>
              <w:t>夜间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restart"/>
            <w:vAlign w:val="center"/>
          </w:tcPr>
          <w:p>
            <w:pPr>
              <w:snapToGrid w:val="0"/>
              <w:spacing w:line="360" w:lineRule="exact"/>
              <w:jc w:val="center"/>
              <w:rPr>
                <w:color w:val="auto"/>
                <w:sz w:val="21"/>
                <w:szCs w:val="21"/>
              </w:rPr>
            </w:pPr>
            <w:r>
              <w:rPr>
                <w:rFonts w:hint="eastAsia"/>
                <w:color w:val="auto"/>
                <w:sz w:val="21"/>
                <w:szCs w:val="21"/>
              </w:rPr>
              <w:t>2022.</w:t>
            </w:r>
            <w:r>
              <w:rPr>
                <w:color w:val="auto"/>
                <w:sz w:val="21"/>
                <w:szCs w:val="21"/>
              </w:rPr>
              <w:t>11.28</w:t>
            </w:r>
          </w:p>
        </w:tc>
        <w:tc>
          <w:tcPr>
            <w:tcW w:w="1117" w:type="pct"/>
            <w:vAlign w:val="center"/>
          </w:tcPr>
          <w:p>
            <w:pPr>
              <w:snapToGrid w:val="0"/>
              <w:spacing w:line="360" w:lineRule="exact"/>
              <w:jc w:val="center"/>
              <w:rPr>
                <w:color w:val="auto"/>
                <w:sz w:val="21"/>
                <w:szCs w:val="21"/>
              </w:rPr>
            </w:pPr>
            <w:r>
              <w:rPr>
                <w:color w:val="auto"/>
                <w:sz w:val="21"/>
                <w:szCs w:val="21"/>
              </w:rPr>
              <w:t>东厂界</w:t>
            </w:r>
          </w:p>
        </w:tc>
        <w:tc>
          <w:tcPr>
            <w:tcW w:w="1414" w:type="pct"/>
            <w:vAlign w:val="center"/>
          </w:tcPr>
          <w:p>
            <w:pPr>
              <w:snapToGrid w:val="0"/>
              <w:spacing w:line="360" w:lineRule="exact"/>
              <w:jc w:val="center"/>
              <w:rPr>
                <w:color w:val="auto"/>
                <w:sz w:val="21"/>
                <w:szCs w:val="21"/>
              </w:rPr>
            </w:pPr>
            <w:r>
              <w:rPr>
                <w:rFonts w:hint="eastAsia"/>
                <w:color w:val="auto"/>
                <w:sz w:val="21"/>
                <w:szCs w:val="21"/>
              </w:rPr>
              <w:t>5</w:t>
            </w:r>
            <w:r>
              <w:rPr>
                <w:color w:val="auto"/>
                <w:sz w:val="21"/>
                <w:szCs w:val="21"/>
              </w:rPr>
              <w:t>5</w:t>
            </w:r>
          </w:p>
        </w:tc>
        <w:tc>
          <w:tcPr>
            <w:tcW w:w="1515" w:type="pct"/>
            <w:vAlign w:val="center"/>
          </w:tcPr>
          <w:p>
            <w:pPr>
              <w:snapToGrid w:val="0"/>
              <w:spacing w:line="360" w:lineRule="exact"/>
              <w:jc w:val="center"/>
              <w:rPr>
                <w:color w:val="auto"/>
                <w:sz w:val="21"/>
                <w:szCs w:val="21"/>
              </w:rPr>
            </w:pPr>
            <w:r>
              <w:rPr>
                <w:color w:val="auto"/>
                <w:sz w:val="21"/>
                <w:szCs w:val="21"/>
              </w:rPr>
              <w:t>4</w:t>
            </w:r>
            <w:r>
              <w:rPr>
                <w:rFonts w:hint="eastAsia"/>
                <w:color w:val="auto"/>
                <w:sz w:val="21"/>
                <w:szCs w:val="21"/>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pPr>
              <w:snapToGrid w:val="0"/>
              <w:spacing w:line="360" w:lineRule="exact"/>
              <w:jc w:val="center"/>
              <w:rPr>
                <w:color w:val="auto"/>
                <w:sz w:val="21"/>
                <w:szCs w:val="21"/>
              </w:rPr>
            </w:pPr>
          </w:p>
        </w:tc>
        <w:tc>
          <w:tcPr>
            <w:tcW w:w="1117" w:type="pct"/>
            <w:vAlign w:val="center"/>
          </w:tcPr>
          <w:p>
            <w:pPr>
              <w:snapToGrid w:val="0"/>
              <w:spacing w:line="360" w:lineRule="exact"/>
              <w:jc w:val="center"/>
              <w:rPr>
                <w:color w:val="auto"/>
                <w:sz w:val="21"/>
                <w:szCs w:val="21"/>
              </w:rPr>
            </w:pPr>
            <w:r>
              <w:rPr>
                <w:rFonts w:hint="eastAsia"/>
                <w:color w:val="auto"/>
                <w:sz w:val="21"/>
                <w:szCs w:val="21"/>
              </w:rPr>
              <w:t>南厂界</w:t>
            </w:r>
          </w:p>
        </w:tc>
        <w:tc>
          <w:tcPr>
            <w:tcW w:w="1414" w:type="pct"/>
            <w:vAlign w:val="center"/>
          </w:tcPr>
          <w:p>
            <w:pPr>
              <w:snapToGrid w:val="0"/>
              <w:spacing w:line="360" w:lineRule="exact"/>
              <w:jc w:val="center"/>
              <w:rPr>
                <w:color w:val="auto"/>
                <w:sz w:val="21"/>
                <w:szCs w:val="21"/>
              </w:rPr>
            </w:pPr>
            <w:r>
              <w:rPr>
                <w:rFonts w:hint="eastAsia"/>
                <w:color w:val="auto"/>
                <w:sz w:val="21"/>
                <w:szCs w:val="21"/>
              </w:rPr>
              <w:t>5</w:t>
            </w:r>
            <w:r>
              <w:rPr>
                <w:color w:val="auto"/>
                <w:sz w:val="21"/>
                <w:szCs w:val="21"/>
              </w:rPr>
              <w:t>4</w:t>
            </w:r>
          </w:p>
        </w:tc>
        <w:tc>
          <w:tcPr>
            <w:tcW w:w="1515" w:type="pct"/>
            <w:vAlign w:val="center"/>
          </w:tcPr>
          <w:p>
            <w:pPr>
              <w:snapToGrid w:val="0"/>
              <w:spacing w:line="360" w:lineRule="exact"/>
              <w:jc w:val="center"/>
              <w:rPr>
                <w:color w:val="auto"/>
                <w:sz w:val="21"/>
                <w:szCs w:val="21"/>
              </w:rPr>
            </w:pPr>
            <w:r>
              <w:rPr>
                <w:rFonts w:hint="eastAsia"/>
                <w:color w:val="auto"/>
                <w:sz w:val="21"/>
                <w:szCs w:val="21"/>
              </w:rPr>
              <w:t>4</w:t>
            </w:r>
            <w:r>
              <w:rPr>
                <w:color w:val="auto"/>
                <w:sz w:val="21"/>
                <w:szCs w:val="21"/>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pPr>
              <w:snapToGrid w:val="0"/>
              <w:spacing w:line="360" w:lineRule="exact"/>
              <w:jc w:val="center"/>
              <w:rPr>
                <w:color w:val="auto"/>
                <w:sz w:val="21"/>
                <w:szCs w:val="21"/>
              </w:rPr>
            </w:pPr>
          </w:p>
        </w:tc>
        <w:tc>
          <w:tcPr>
            <w:tcW w:w="1117" w:type="pct"/>
            <w:vAlign w:val="center"/>
          </w:tcPr>
          <w:p>
            <w:pPr>
              <w:snapToGrid w:val="0"/>
              <w:spacing w:line="360" w:lineRule="exact"/>
              <w:jc w:val="center"/>
              <w:rPr>
                <w:color w:val="auto"/>
                <w:sz w:val="21"/>
                <w:szCs w:val="21"/>
              </w:rPr>
            </w:pPr>
            <w:r>
              <w:rPr>
                <w:color w:val="auto"/>
                <w:sz w:val="21"/>
                <w:szCs w:val="21"/>
              </w:rPr>
              <w:t>西厂界</w:t>
            </w:r>
          </w:p>
        </w:tc>
        <w:tc>
          <w:tcPr>
            <w:tcW w:w="1414" w:type="pct"/>
            <w:vAlign w:val="center"/>
          </w:tcPr>
          <w:p>
            <w:pPr>
              <w:snapToGrid w:val="0"/>
              <w:spacing w:line="360" w:lineRule="exact"/>
              <w:jc w:val="center"/>
              <w:rPr>
                <w:color w:val="auto"/>
                <w:sz w:val="21"/>
                <w:szCs w:val="21"/>
              </w:rPr>
            </w:pPr>
            <w:r>
              <w:rPr>
                <w:rFonts w:hint="eastAsia"/>
                <w:color w:val="auto"/>
                <w:sz w:val="21"/>
                <w:szCs w:val="21"/>
              </w:rPr>
              <w:t>5</w:t>
            </w:r>
            <w:r>
              <w:rPr>
                <w:color w:val="auto"/>
                <w:sz w:val="21"/>
                <w:szCs w:val="21"/>
              </w:rPr>
              <w:t>5</w:t>
            </w:r>
          </w:p>
        </w:tc>
        <w:tc>
          <w:tcPr>
            <w:tcW w:w="1515" w:type="pct"/>
            <w:vAlign w:val="center"/>
          </w:tcPr>
          <w:p>
            <w:pPr>
              <w:snapToGrid w:val="0"/>
              <w:spacing w:line="360" w:lineRule="exact"/>
              <w:jc w:val="center"/>
              <w:rPr>
                <w:color w:val="auto"/>
                <w:sz w:val="21"/>
                <w:szCs w:val="21"/>
              </w:rPr>
            </w:pPr>
            <w:r>
              <w:rPr>
                <w:rFonts w:hint="eastAsia"/>
                <w:color w:val="auto"/>
                <w:sz w:val="21"/>
                <w:szCs w:val="21"/>
              </w:rPr>
              <w:t>4</w:t>
            </w:r>
            <w:r>
              <w:rPr>
                <w:color w:val="auto"/>
                <w:sz w:val="21"/>
                <w:szCs w:val="21"/>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pPr>
              <w:snapToGrid w:val="0"/>
              <w:spacing w:line="360" w:lineRule="exact"/>
              <w:jc w:val="center"/>
              <w:rPr>
                <w:color w:val="auto"/>
                <w:sz w:val="21"/>
                <w:szCs w:val="21"/>
              </w:rPr>
            </w:pPr>
          </w:p>
        </w:tc>
        <w:tc>
          <w:tcPr>
            <w:tcW w:w="1117" w:type="pct"/>
            <w:vAlign w:val="center"/>
          </w:tcPr>
          <w:p>
            <w:pPr>
              <w:snapToGrid w:val="0"/>
              <w:spacing w:line="360" w:lineRule="exact"/>
              <w:jc w:val="center"/>
              <w:rPr>
                <w:color w:val="auto"/>
                <w:sz w:val="21"/>
                <w:szCs w:val="21"/>
              </w:rPr>
            </w:pPr>
            <w:r>
              <w:rPr>
                <w:rFonts w:hint="eastAsia"/>
                <w:color w:val="auto"/>
                <w:sz w:val="21"/>
                <w:szCs w:val="21"/>
              </w:rPr>
              <w:t>北厂界</w:t>
            </w:r>
          </w:p>
        </w:tc>
        <w:tc>
          <w:tcPr>
            <w:tcW w:w="1414" w:type="pct"/>
            <w:vAlign w:val="center"/>
          </w:tcPr>
          <w:p>
            <w:pPr>
              <w:snapToGrid w:val="0"/>
              <w:spacing w:line="360" w:lineRule="exact"/>
              <w:jc w:val="center"/>
              <w:rPr>
                <w:color w:val="auto"/>
                <w:sz w:val="21"/>
                <w:szCs w:val="21"/>
              </w:rPr>
            </w:pPr>
            <w:r>
              <w:rPr>
                <w:rFonts w:hint="eastAsia"/>
                <w:color w:val="auto"/>
                <w:sz w:val="21"/>
                <w:szCs w:val="21"/>
              </w:rPr>
              <w:t>5</w:t>
            </w:r>
            <w:r>
              <w:rPr>
                <w:color w:val="auto"/>
                <w:sz w:val="21"/>
                <w:szCs w:val="21"/>
              </w:rPr>
              <w:t>4</w:t>
            </w:r>
          </w:p>
        </w:tc>
        <w:tc>
          <w:tcPr>
            <w:tcW w:w="1515" w:type="pct"/>
            <w:vAlign w:val="center"/>
          </w:tcPr>
          <w:p>
            <w:pPr>
              <w:snapToGrid w:val="0"/>
              <w:spacing w:line="360" w:lineRule="exact"/>
              <w:jc w:val="center"/>
              <w:rPr>
                <w:color w:val="auto"/>
                <w:sz w:val="21"/>
                <w:szCs w:val="21"/>
              </w:rPr>
            </w:pPr>
            <w:r>
              <w:rPr>
                <w:rFonts w:hint="eastAsia"/>
                <w:color w:val="auto"/>
                <w:sz w:val="21"/>
                <w:szCs w:val="21"/>
              </w:rPr>
              <w:t>4</w:t>
            </w:r>
            <w:r>
              <w:rPr>
                <w:color w:val="auto"/>
                <w:sz w:val="21"/>
                <w:szCs w:val="21"/>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951" w:type="pct"/>
            <w:vMerge w:val="restart"/>
            <w:vAlign w:val="center"/>
          </w:tcPr>
          <w:p>
            <w:pPr>
              <w:snapToGrid w:val="0"/>
              <w:spacing w:line="360" w:lineRule="exact"/>
              <w:jc w:val="center"/>
              <w:rPr>
                <w:color w:val="auto"/>
                <w:sz w:val="21"/>
                <w:szCs w:val="21"/>
              </w:rPr>
            </w:pPr>
            <w:r>
              <w:rPr>
                <w:rFonts w:hint="eastAsia"/>
                <w:color w:val="auto"/>
                <w:sz w:val="21"/>
                <w:szCs w:val="21"/>
              </w:rPr>
              <w:t>2022.</w:t>
            </w:r>
            <w:r>
              <w:rPr>
                <w:color w:val="auto"/>
                <w:sz w:val="21"/>
                <w:szCs w:val="21"/>
              </w:rPr>
              <w:t>11.29</w:t>
            </w:r>
          </w:p>
        </w:tc>
        <w:tc>
          <w:tcPr>
            <w:tcW w:w="1117" w:type="pct"/>
            <w:vAlign w:val="center"/>
          </w:tcPr>
          <w:p>
            <w:pPr>
              <w:snapToGrid w:val="0"/>
              <w:spacing w:line="360" w:lineRule="exact"/>
              <w:jc w:val="center"/>
              <w:rPr>
                <w:color w:val="auto"/>
                <w:sz w:val="21"/>
                <w:szCs w:val="21"/>
              </w:rPr>
            </w:pPr>
            <w:r>
              <w:rPr>
                <w:color w:val="auto"/>
                <w:sz w:val="21"/>
                <w:szCs w:val="21"/>
              </w:rPr>
              <w:t>东厂界</w:t>
            </w:r>
          </w:p>
        </w:tc>
        <w:tc>
          <w:tcPr>
            <w:tcW w:w="1414" w:type="pct"/>
            <w:vAlign w:val="center"/>
          </w:tcPr>
          <w:p>
            <w:pPr>
              <w:snapToGrid w:val="0"/>
              <w:spacing w:line="360" w:lineRule="exact"/>
              <w:jc w:val="center"/>
              <w:rPr>
                <w:color w:val="auto"/>
                <w:sz w:val="21"/>
                <w:szCs w:val="21"/>
              </w:rPr>
            </w:pPr>
            <w:r>
              <w:rPr>
                <w:rFonts w:hint="eastAsia"/>
                <w:color w:val="auto"/>
                <w:sz w:val="21"/>
                <w:szCs w:val="21"/>
              </w:rPr>
              <w:t>5</w:t>
            </w:r>
            <w:r>
              <w:rPr>
                <w:color w:val="auto"/>
                <w:sz w:val="21"/>
                <w:szCs w:val="21"/>
              </w:rPr>
              <w:t>6</w:t>
            </w:r>
          </w:p>
        </w:tc>
        <w:tc>
          <w:tcPr>
            <w:tcW w:w="1515" w:type="pct"/>
            <w:vAlign w:val="center"/>
          </w:tcPr>
          <w:p>
            <w:pPr>
              <w:snapToGrid w:val="0"/>
              <w:spacing w:line="360" w:lineRule="exact"/>
              <w:jc w:val="center"/>
              <w:rPr>
                <w:color w:val="auto"/>
                <w:sz w:val="21"/>
                <w:szCs w:val="21"/>
              </w:rPr>
            </w:pPr>
            <w:r>
              <w:rPr>
                <w:rFonts w:hint="eastAsia"/>
                <w:color w:val="auto"/>
                <w:sz w:val="21"/>
                <w:szCs w:val="21"/>
              </w:rPr>
              <w:t>4</w:t>
            </w:r>
            <w:r>
              <w:rPr>
                <w:color w:val="auto"/>
                <w:sz w:val="21"/>
                <w:szCs w:val="21"/>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pPr>
              <w:snapToGrid w:val="0"/>
              <w:spacing w:line="360" w:lineRule="exact"/>
              <w:jc w:val="center"/>
              <w:rPr>
                <w:color w:val="auto"/>
                <w:sz w:val="21"/>
                <w:szCs w:val="21"/>
              </w:rPr>
            </w:pPr>
          </w:p>
        </w:tc>
        <w:tc>
          <w:tcPr>
            <w:tcW w:w="1117" w:type="pct"/>
            <w:vAlign w:val="center"/>
          </w:tcPr>
          <w:p>
            <w:pPr>
              <w:snapToGrid w:val="0"/>
              <w:spacing w:line="360" w:lineRule="exact"/>
              <w:jc w:val="center"/>
              <w:rPr>
                <w:color w:val="auto"/>
                <w:sz w:val="21"/>
                <w:szCs w:val="21"/>
              </w:rPr>
            </w:pPr>
            <w:r>
              <w:rPr>
                <w:rFonts w:hint="eastAsia"/>
                <w:color w:val="auto"/>
                <w:sz w:val="21"/>
                <w:szCs w:val="21"/>
              </w:rPr>
              <w:t>南厂界</w:t>
            </w:r>
          </w:p>
        </w:tc>
        <w:tc>
          <w:tcPr>
            <w:tcW w:w="1414" w:type="pct"/>
            <w:vAlign w:val="center"/>
          </w:tcPr>
          <w:p>
            <w:pPr>
              <w:snapToGrid w:val="0"/>
              <w:spacing w:line="360" w:lineRule="exact"/>
              <w:jc w:val="center"/>
              <w:rPr>
                <w:color w:val="auto"/>
                <w:sz w:val="21"/>
                <w:szCs w:val="21"/>
              </w:rPr>
            </w:pPr>
            <w:r>
              <w:rPr>
                <w:rFonts w:hint="eastAsia"/>
                <w:color w:val="auto"/>
                <w:sz w:val="21"/>
                <w:szCs w:val="21"/>
              </w:rPr>
              <w:t>5</w:t>
            </w:r>
            <w:r>
              <w:rPr>
                <w:color w:val="auto"/>
                <w:sz w:val="21"/>
                <w:szCs w:val="21"/>
              </w:rPr>
              <w:t>4</w:t>
            </w:r>
          </w:p>
        </w:tc>
        <w:tc>
          <w:tcPr>
            <w:tcW w:w="1515" w:type="pct"/>
            <w:vAlign w:val="center"/>
          </w:tcPr>
          <w:p>
            <w:pPr>
              <w:snapToGrid w:val="0"/>
              <w:spacing w:line="360" w:lineRule="exact"/>
              <w:jc w:val="center"/>
              <w:rPr>
                <w:color w:val="auto"/>
                <w:sz w:val="21"/>
                <w:szCs w:val="21"/>
              </w:rPr>
            </w:pPr>
            <w:r>
              <w:rPr>
                <w:rFonts w:hint="eastAsia"/>
                <w:color w:val="auto"/>
                <w:sz w:val="21"/>
                <w:szCs w:val="21"/>
              </w:rPr>
              <w:t>4</w:t>
            </w:r>
            <w:r>
              <w:rPr>
                <w:color w:val="auto"/>
                <w:sz w:val="21"/>
                <w:szCs w:val="21"/>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pPr>
              <w:snapToGrid w:val="0"/>
              <w:spacing w:line="360" w:lineRule="exact"/>
              <w:jc w:val="center"/>
              <w:rPr>
                <w:color w:val="auto"/>
                <w:sz w:val="21"/>
                <w:szCs w:val="21"/>
              </w:rPr>
            </w:pPr>
          </w:p>
        </w:tc>
        <w:tc>
          <w:tcPr>
            <w:tcW w:w="1117" w:type="pct"/>
            <w:vAlign w:val="center"/>
          </w:tcPr>
          <w:p>
            <w:pPr>
              <w:snapToGrid w:val="0"/>
              <w:spacing w:line="360" w:lineRule="exact"/>
              <w:jc w:val="center"/>
              <w:rPr>
                <w:color w:val="auto"/>
                <w:sz w:val="21"/>
                <w:szCs w:val="21"/>
              </w:rPr>
            </w:pPr>
            <w:r>
              <w:rPr>
                <w:color w:val="auto"/>
                <w:sz w:val="21"/>
                <w:szCs w:val="21"/>
              </w:rPr>
              <w:t>西厂界</w:t>
            </w:r>
          </w:p>
        </w:tc>
        <w:tc>
          <w:tcPr>
            <w:tcW w:w="1414" w:type="pct"/>
            <w:vAlign w:val="center"/>
          </w:tcPr>
          <w:p>
            <w:pPr>
              <w:snapToGrid w:val="0"/>
              <w:spacing w:line="360" w:lineRule="exact"/>
              <w:jc w:val="center"/>
              <w:rPr>
                <w:color w:val="auto"/>
                <w:sz w:val="21"/>
                <w:szCs w:val="21"/>
              </w:rPr>
            </w:pPr>
            <w:r>
              <w:rPr>
                <w:rFonts w:hint="eastAsia"/>
                <w:color w:val="auto"/>
                <w:sz w:val="21"/>
                <w:szCs w:val="21"/>
              </w:rPr>
              <w:t>5</w:t>
            </w:r>
            <w:r>
              <w:rPr>
                <w:color w:val="auto"/>
                <w:sz w:val="21"/>
                <w:szCs w:val="21"/>
              </w:rPr>
              <w:t>3</w:t>
            </w:r>
          </w:p>
        </w:tc>
        <w:tc>
          <w:tcPr>
            <w:tcW w:w="1515" w:type="pct"/>
            <w:vAlign w:val="center"/>
          </w:tcPr>
          <w:p>
            <w:pPr>
              <w:snapToGrid w:val="0"/>
              <w:spacing w:line="360" w:lineRule="exact"/>
              <w:jc w:val="center"/>
              <w:rPr>
                <w:color w:val="auto"/>
                <w:sz w:val="21"/>
                <w:szCs w:val="21"/>
              </w:rPr>
            </w:pPr>
            <w:r>
              <w:rPr>
                <w:rFonts w:hint="eastAsia"/>
                <w:color w:val="auto"/>
                <w:sz w:val="21"/>
                <w:szCs w:val="21"/>
              </w:rPr>
              <w:t>4</w:t>
            </w:r>
            <w:r>
              <w:rPr>
                <w:color w:val="auto"/>
                <w:sz w:val="21"/>
                <w:szCs w:val="21"/>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pPr>
              <w:snapToGrid w:val="0"/>
              <w:spacing w:line="360" w:lineRule="exact"/>
              <w:jc w:val="center"/>
              <w:rPr>
                <w:color w:val="auto"/>
                <w:sz w:val="21"/>
                <w:szCs w:val="21"/>
              </w:rPr>
            </w:pPr>
          </w:p>
        </w:tc>
        <w:tc>
          <w:tcPr>
            <w:tcW w:w="1117" w:type="pct"/>
            <w:vAlign w:val="center"/>
          </w:tcPr>
          <w:p>
            <w:pPr>
              <w:snapToGrid w:val="0"/>
              <w:spacing w:line="360" w:lineRule="exact"/>
              <w:jc w:val="center"/>
              <w:rPr>
                <w:color w:val="auto"/>
                <w:sz w:val="21"/>
                <w:szCs w:val="21"/>
              </w:rPr>
            </w:pPr>
            <w:r>
              <w:rPr>
                <w:rFonts w:hint="eastAsia"/>
                <w:color w:val="auto"/>
                <w:sz w:val="21"/>
                <w:szCs w:val="21"/>
              </w:rPr>
              <w:t>北厂界</w:t>
            </w:r>
          </w:p>
        </w:tc>
        <w:tc>
          <w:tcPr>
            <w:tcW w:w="1414" w:type="pct"/>
            <w:vAlign w:val="center"/>
          </w:tcPr>
          <w:p>
            <w:pPr>
              <w:snapToGrid w:val="0"/>
              <w:spacing w:line="360" w:lineRule="exact"/>
              <w:jc w:val="center"/>
              <w:rPr>
                <w:color w:val="auto"/>
                <w:sz w:val="21"/>
                <w:szCs w:val="21"/>
              </w:rPr>
            </w:pPr>
            <w:r>
              <w:rPr>
                <w:rFonts w:hint="eastAsia"/>
                <w:color w:val="auto"/>
                <w:sz w:val="21"/>
                <w:szCs w:val="21"/>
              </w:rPr>
              <w:t>5</w:t>
            </w:r>
            <w:r>
              <w:rPr>
                <w:color w:val="auto"/>
                <w:sz w:val="21"/>
                <w:szCs w:val="21"/>
              </w:rPr>
              <w:t>5</w:t>
            </w:r>
          </w:p>
        </w:tc>
        <w:tc>
          <w:tcPr>
            <w:tcW w:w="1515" w:type="pct"/>
            <w:vAlign w:val="center"/>
          </w:tcPr>
          <w:p>
            <w:pPr>
              <w:snapToGrid w:val="0"/>
              <w:spacing w:line="360" w:lineRule="exact"/>
              <w:jc w:val="center"/>
              <w:rPr>
                <w:color w:val="auto"/>
                <w:sz w:val="21"/>
                <w:szCs w:val="21"/>
              </w:rPr>
            </w:pPr>
            <w:r>
              <w:rPr>
                <w:rFonts w:hint="eastAsia"/>
                <w:color w:val="auto"/>
                <w:sz w:val="21"/>
                <w:szCs w:val="21"/>
              </w:rPr>
              <w:t>4</w:t>
            </w:r>
            <w:r>
              <w:rPr>
                <w:color w:val="auto"/>
                <w:sz w:val="21"/>
                <w:szCs w:val="21"/>
              </w:rPr>
              <w:t>4</w:t>
            </w:r>
          </w:p>
        </w:tc>
      </w:tr>
    </w:tbl>
    <w:p>
      <w:pPr>
        <w:bidi w:val="0"/>
        <w:rPr>
          <w:color w:val="auto"/>
        </w:rPr>
      </w:pPr>
      <w:r>
        <w:rPr>
          <w:color w:val="auto"/>
        </w:rPr>
        <w:t>由监测结果可知：目前评价区域</w:t>
      </w:r>
      <w:r>
        <w:rPr>
          <w:rFonts w:hint="eastAsia"/>
          <w:color w:val="auto"/>
        </w:rPr>
        <w:t>厂界</w:t>
      </w:r>
      <w:r>
        <w:rPr>
          <w:color w:val="auto"/>
        </w:rPr>
        <w:t>噪声现状可以满足《声环境质量标准》（GB3096-2008）3类标准的要求</w:t>
      </w:r>
      <w:r>
        <w:rPr>
          <w:rFonts w:hint="eastAsia"/>
          <w:color w:val="auto"/>
        </w:rPr>
        <w:t>。</w:t>
      </w:r>
    </w:p>
    <w:p>
      <w:pPr>
        <w:pStyle w:val="9"/>
        <w:bidi w:val="0"/>
        <w:rPr>
          <w:color w:val="auto"/>
        </w:rPr>
      </w:pPr>
      <w:bookmarkStart w:id="277" w:name="_Toc535836888"/>
      <w:bookmarkStart w:id="278" w:name="_Toc429318397"/>
      <w:bookmarkStart w:id="279" w:name="_Toc428287207"/>
      <w:bookmarkStart w:id="280" w:name="_Toc428286813"/>
      <w:r>
        <w:rPr>
          <w:color w:val="auto"/>
        </w:rPr>
        <w:t>4.2.6土壤环境质量现状监测与评价</w:t>
      </w:r>
    </w:p>
    <w:bookmarkEnd w:id="277"/>
    <w:p>
      <w:pPr>
        <w:pStyle w:val="10"/>
        <w:bidi w:val="0"/>
        <w:rPr>
          <w:color w:val="auto"/>
        </w:rPr>
      </w:pPr>
      <w:r>
        <w:rPr>
          <w:color w:val="auto"/>
        </w:rPr>
        <w:t>4.2.6.1 监测布点及监测因子</w:t>
      </w:r>
    </w:p>
    <w:p>
      <w:pPr>
        <w:bidi w:val="0"/>
        <w:rPr>
          <w:color w:val="auto"/>
        </w:rPr>
      </w:pPr>
      <w:r>
        <w:rPr>
          <w:rFonts w:hint="eastAsia"/>
          <w:color w:val="auto"/>
        </w:rPr>
        <w:t>新乡化纤股份有限公司</w:t>
      </w:r>
      <w:r>
        <w:rPr>
          <w:color w:val="auto"/>
        </w:rPr>
        <w:t>于2022年11月28日委托</w:t>
      </w:r>
      <w:r>
        <w:rPr>
          <w:rFonts w:hint="eastAsia"/>
          <w:color w:val="auto"/>
        </w:rPr>
        <w:t>河南中弘国泰检测技术有限公司</w:t>
      </w:r>
      <w:r>
        <w:rPr>
          <w:color w:val="auto"/>
        </w:rPr>
        <w:t>对项目区土壤进行了取样检测。考虑项目的评价等级、工程特点及区域土壤环境现状，评价共设置3个监测</w:t>
      </w:r>
      <w:r>
        <w:rPr>
          <w:rFonts w:hint="eastAsia"/>
          <w:color w:val="auto"/>
        </w:rPr>
        <w:t>点</w:t>
      </w:r>
      <w:r>
        <w:rPr>
          <w:color w:val="auto"/>
        </w:rPr>
        <w:t>位，</w:t>
      </w:r>
      <w:r>
        <w:rPr>
          <w:rFonts w:hint="eastAsia"/>
          <w:color w:val="auto"/>
        </w:rPr>
        <w:t>均位于</w:t>
      </w:r>
      <w:r>
        <w:rPr>
          <w:color w:val="auto"/>
        </w:rPr>
        <w:t>项目厂区内，详见表4.2-</w:t>
      </w:r>
      <w:r>
        <w:rPr>
          <w:rFonts w:hint="eastAsia"/>
          <w:color w:val="auto"/>
          <w:lang w:val="en-US" w:eastAsia="zh-CN"/>
        </w:rPr>
        <w:t>23</w:t>
      </w:r>
      <w:r>
        <w:rPr>
          <w:color w:val="auto"/>
        </w:rPr>
        <w:t>。</w:t>
      </w:r>
    </w:p>
    <w:p>
      <w:pPr>
        <w:pStyle w:val="181"/>
        <w:bidi w:val="0"/>
        <w:rPr>
          <w:color w:val="auto"/>
        </w:rPr>
      </w:pPr>
      <w:r>
        <w:rPr>
          <w:color w:val="auto"/>
        </w:rPr>
        <w:t>表4.2-</w:t>
      </w:r>
      <w:r>
        <w:rPr>
          <w:rFonts w:hint="eastAsia"/>
          <w:color w:val="auto"/>
          <w:lang w:val="en-US" w:eastAsia="zh-CN"/>
        </w:rPr>
        <w:t>23</w:t>
      </w:r>
      <w:r>
        <w:rPr>
          <w:color w:val="auto"/>
        </w:rPr>
        <w:t xml:space="preserve">  </w:t>
      </w:r>
      <w:r>
        <w:rPr>
          <w:rFonts w:hint="eastAsia"/>
          <w:color w:val="auto"/>
          <w:lang w:val="en-US" w:eastAsia="zh-CN"/>
        </w:rPr>
        <w:t xml:space="preserve">  </w:t>
      </w:r>
      <w:r>
        <w:rPr>
          <w:color w:val="auto"/>
        </w:rPr>
        <w:t>土壤</w:t>
      </w:r>
      <w:r>
        <w:rPr>
          <w:rFonts w:hint="eastAsia"/>
          <w:color w:val="auto"/>
        </w:rPr>
        <w:t>环境质量现状监测点位布设情况一览表</w:t>
      </w:r>
    </w:p>
    <w:tbl>
      <w:tblPr>
        <w:tblStyle w:val="32"/>
        <w:tblW w:w="513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426"/>
        <w:gridCol w:w="1508"/>
        <w:gridCol w:w="5056"/>
        <w:gridCol w:w="10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3" w:type="pct"/>
            <w:vAlign w:val="center"/>
          </w:tcPr>
          <w:p>
            <w:pPr>
              <w:pStyle w:val="182"/>
              <w:bidi w:val="0"/>
              <w:rPr>
                <w:b/>
                <w:bCs/>
                <w:color w:val="auto"/>
              </w:rPr>
            </w:pPr>
            <w:r>
              <w:rPr>
                <w:rFonts w:hint="eastAsia"/>
                <w:b/>
                <w:bCs/>
                <w:color w:val="auto"/>
              </w:rPr>
              <w:t>序号</w:t>
            </w:r>
          </w:p>
        </w:tc>
        <w:tc>
          <w:tcPr>
            <w:tcW w:w="1088" w:type="pct"/>
            <w:gridSpan w:val="2"/>
            <w:vAlign w:val="center"/>
          </w:tcPr>
          <w:p>
            <w:pPr>
              <w:pStyle w:val="182"/>
              <w:bidi w:val="0"/>
              <w:rPr>
                <w:b/>
                <w:bCs/>
                <w:color w:val="auto"/>
              </w:rPr>
            </w:pPr>
            <w:r>
              <w:rPr>
                <w:rFonts w:hint="eastAsia"/>
                <w:b/>
                <w:bCs/>
                <w:color w:val="auto"/>
              </w:rPr>
              <w:t>监测点</w:t>
            </w:r>
          </w:p>
        </w:tc>
        <w:tc>
          <w:tcPr>
            <w:tcW w:w="2894" w:type="pct"/>
            <w:vAlign w:val="center"/>
          </w:tcPr>
          <w:p>
            <w:pPr>
              <w:pStyle w:val="182"/>
              <w:bidi w:val="0"/>
              <w:rPr>
                <w:b/>
                <w:bCs/>
                <w:color w:val="auto"/>
              </w:rPr>
            </w:pPr>
            <w:r>
              <w:rPr>
                <w:rFonts w:hint="eastAsia"/>
                <w:b/>
                <w:bCs/>
                <w:color w:val="auto"/>
              </w:rPr>
              <w:t>监测因子</w:t>
            </w:r>
          </w:p>
        </w:tc>
        <w:tc>
          <w:tcPr>
            <w:tcW w:w="615" w:type="pct"/>
            <w:vAlign w:val="center"/>
          </w:tcPr>
          <w:p>
            <w:pPr>
              <w:pStyle w:val="182"/>
              <w:bidi w:val="0"/>
              <w:rPr>
                <w:b/>
                <w:bCs/>
                <w:color w:val="auto"/>
              </w:rPr>
            </w:pPr>
            <w:r>
              <w:rPr>
                <w:rFonts w:hint="eastAsia"/>
                <w:b/>
                <w:bCs/>
                <w:color w:val="auto"/>
              </w:rPr>
              <w:t>检测频次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3" w:type="pct"/>
            <w:vAlign w:val="center"/>
          </w:tcPr>
          <w:p>
            <w:pPr>
              <w:pStyle w:val="182"/>
              <w:bidi w:val="0"/>
              <w:rPr>
                <w:color w:val="auto"/>
              </w:rPr>
            </w:pPr>
            <w:r>
              <w:rPr>
                <w:color w:val="auto"/>
              </w:rPr>
              <w:t>1</w:t>
            </w:r>
          </w:p>
        </w:tc>
        <w:tc>
          <w:tcPr>
            <w:tcW w:w="221" w:type="pct"/>
            <w:vMerge w:val="restart"/>
            <w:vAlign w:val="center"/>
          </w:tcPr>
          <w:p>
            <w:pPr>
              <w:pStyle w:val="182"/>
              <w:bidi w:val="0"/>
              <w:rPr>
                <w:color w:val="auto"/>
              </w:rPr>
            </w:pPr>
            <w:r>
              <w:rPr>
                <w:rFonts w:hint="eastAsia"/>
                <w:color w:val="auto"/>
              </w:rPr>
              <w:t>厂区内</w:t>
            </w:r>
          </w:p>
        </w:tc>
        <w:tc>
          <w:tcPr>
            <w:tcW w:w="867" w:type="pct"/>
            <w:vAlign w:val="center"/>
          </w:tcPr>
          <w:p>
            <w:pPr>
              <w:pStyle w:val="182"/>
              <w:bidi w:val="0"/>
              <w:rPr>
                <w:color w:val="auto"/>
              </w:rPr>
            </w:pPr>
            <w:r>
              <w:rPr>
                <w:rFonts w:hint="eastAsia"/>
                <w:color w:val="auto"/>
              </w:rPr>
              <w:t>S1：拟建菌草堆料库附近</w:t>
            </w:r>
          </w:p>
          <w:p>
            <w:pPr>
              <w:pStyle w:val="182"/>
              <w:bidi w:val="0"/>
              <w:rPr>
                <w:color w:val="auto"/>
              </w:rPr>
            </w:pPr>
            <w:r>
              <w:rPr>
                <w:color w:val="auto"/>
              </w:rPr>
              <w:t>（0-0.2m）</w:t>
            </w:r>
          </w:p>
        </w:tc>
        <w:tc>
          <w:tcPr>
            <w:tcW w:w="2894" w:type="pct"/>
            <w:vMerge w:val="restart"/>
            <w:vAlign w:val="center"/>
          </w:tcPr>
          <w:p>
            <w:pPr>
              <w:pStyle w:val="182"/>
              <w:bidi w:val="0"/>
              <w:rPr>
                <w:color w:val="auto"/>
              </w:rPr>
            </w:pPr>
            <w:r>
              <w:rPr>
                <w:rFonts w:hint="eastAsia"/>
                <w:color w:val="auto"/>
              </w:rPr>
              <w:t>砷、镉、铬</w:t>
            </w:r>
            <w:r>
              <w:rPr>
                <w:rFonts w:hint="eastAsia"/>
                <w:color w:val="auto"/>
                <w:lang w:eastAsia="zh-CN"/>
              </w:rPr>
              <w:t>（</w:t>
            </w:r>
            <w:r>
              <w:rPr>
                <w:rFonts w:hint="eastAsia"/>
                <w:color w:val="auto"/>
              </w:rPr>
              <w:t>六价</w:t>
            </w:r>
            <w:r>
              <w:rPr>
                <w:rFonts w:hint="eastAsia"/>
                <w:color w:val="auto"/>
                <w:lang w:eastAsia="zh-CN"/>
              </w:rPr>
              <w:t>）</w:t>
            </w:r>
            <w:r>
              <w:rPr>
                <w:rFonts w:hint="eastAsia"/>
                <w:color w:val="auto"/>
              </w:rPr>
              <w:t>、铜、铅、汞、镍、四氯化碳、氯仿、氯甲烷、1,1</w:t>
            </w:r>
            <w:r>
              <w:rPr>
                <w:rFonts w:hint="eastAsia"/>
                <w:color w:val="auto"/>
                <w:lang w:eastAsia="zh-CN"/>
              </w:rPr>
              <w:t>－</w:t>
            </w:r>
            <w:r>
              <w:rPr>
                <w:rFonts w:hint="eastAsia"/>
                <w:color w:val="auto"/>
              </w:rPr>
              <w:t>二氯乙烷、1,2</w:t>
            </w:r>
            <w:r>
              <w:rPr>
                <w:rFonts w:hint="eastAsia"/>
                <w:color w:val="auto"/>
                <w:lang w:eastAsia="zh-CN"/>
              </w:rPr>
              <w:t>－</w:t>
            </w:r>
            <w:r>
              <w:rPr>
                <w:rFonts w:hint="eastAsia"/>
                <w:color w:val="auto"/>
              </w:rPr>
              <w:t>二氯乙烷、1,1</w:t>
            </w:r>
            <w:r>
              <w:rPr>
                <w:rFonts w:hint="eastAsia"/>
                <w:color w:val="auto"/>
                <w:lang w:eastAsia="zh-CN"/>
              </w:rPr>
              <w:t>－</w:t>
            </w:r>
            <w:r>
              <w:rPr>
                <w:rFonts w:hint="eastAsia"/>
                <w:color w:val="auto"/>
              </w:rPr>
              <w:t>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w:t>
            </w:r>
            <w:r>
              <w:rPr>
                <w:color w:val="auto"/>
              </w:rPr>
              <w:t>(k)</w:t>
            </w:r>
            <w:r>
              <w:rPr>
                <w:rFonts w:hint="eastAsia"/>
                <w:color w:val="auto"/>
              </w:rPr>
              <w:t>荧蒽、䓛、二苯并</w:t>
            </w:r>
            <w:r>
              <w:rPr>
                <w:color w:val="auto"/>
              </w:rPr>
              <w:t>(a,h)</w:t>
            </w:r>
            <w:r>
              <w:rPr>
                <w:rFonts w:hint="eastAsia"/>
                <w:color w:val="auto"/>
              </w:rPr>
              <w:t>蒽、茚并(1,2,3-cd)芘、萘</w:t>
            </w:r>
          </w:p>
        </w:tc>
        <w:tc>
          <w:tcPr>
            <w:tcW w:w="615" w:type="pct"/>
            <w:vMerge w:val="restart"/>
            <w:vAlign w:val="center"/>
          </w:tcPr>
          <w:p>
            <w:pPr>
              <w:pStyle w:val="182"/>
              <w:bidi w:val="0"/>
              <w:rPr>
                <w:color w:val="auto"/>
              </w:rPr>
            </w:pPr>
            <w:r>
              <w:rPr>
                <w:rFonts w:hint="eastAsia"/>
                <w:color w:val="auto"/>
              </w:rPr>
              <w:t>检测1次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3" w:type="pct"/>
            <w:vAlign w:val="center"/>
          </w:tcPr>
          <w:p>
            <w:pPr>
              <w:pStyle w:val="182"/>
              <w:bidi w:val="0"/>
              <w:rPr>
                <w:color w:val="auto"/>
              </w:rPr>
            </w:pPr>
            <w:r>
              <w:rPr>
                <w:rFonts w:hint="eastAsia"/>
                <w:color w:val="auto"/>
              </w:rPr>
              <w:t>2</w:t>
            </w:r>
          </w:p>
        </w:tc>
        <w:tc>
          <w:tcPr>
            <w:tcW w:w="221" w:type="pct"/>
            <w:vMerge w:val="continue"/>
            <w:vAlign w:val="center"/>
          </w:tcPr>
          <w:p>
            <w:pPr>
              <w:pStyle w:val="182"/>
              <w:bidi w:val="0"/>
              <w:rPr>
                <w:color w:val="auto"/>
              </w:rPr>
            </w:pPr>
          </w:p>
        </w:tc>
        <w:tc>
          <w:tcPr>
            <w:tcW w:w="867" w:type="pct"/>
            <w:vAlign w:val="center"/>
          </w:tcPr>
          <w:p>
            <w:pPr>
              <w:pStyle w:val="182"/>
              <w:bidi w:val="0"/>
              <w:rPr>
                <w:color w:val="auto"/>
              </w:rPr>
            </w:pPr>
            <w:r>
              <w:rPr>
                <w:rFonts w:hint="eastAsia"/>
                <w:color w:val="auto"/>
              </w:rPr>
              <w:t>S2：拟建蒸煮车间</w:t>
            </w:r>
            <w:r>
              <w:rPr>
                <w:color w:val="auto"/>
              </w:rPr>
              <w:t>附近</w:t>
            </w:r>
          </w:p>
          <w:p>
            <w:pPr>
              <w:pStyle w:val="182"/>
              <w:bidi w:val="0"/>
              <w:rPr>
                <w:color w:val="auto"/>
              </w:rPr>
            </w:pPr>
            <w:r>
              <w:rPr>
                <w:color w:val="auto"/>
              </w:rPr>
              <w:t>（0-0.2m）</w:t>
            </w:r>
          </w:p>
        </w:tc>
        <w:tc>
          <w:tcPr>
            <w:tcW w:w="2894" w:type="pct"/>
            <w:vMerge w:val="continue"/>
            <w:vAlign w:val="center"/>
          </w:tcPr>
          <w:p>
            <w:pPr>
              <w:pStyle w:val="182"/>
              <w:bidi w:val="0"/>
              <w:rPr>
                <w:color w:val="auto"/>
              </w:rPr>
            </w:pPr>
          </w:p>
        </w:tc>
        <w:tc>
          <w:tcPr>
            <w:tcW w:w="615" w:type="pct"/>
            <w:vMerge w:val="continue"/>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3" w:type="pct"/>
            <w:vAlign w:val="center"/>
          </w:tcPr>
          <w:p>
            <w:pPr>
              <w:pStyle w:val="182"/>
              <w:bidi w:val="0"/>
              <w:rPr>
                <w:color w:val="auto"/>
              </w:rPr>
            </w:pPr>
            <w:r>
              <w:rPr>
                <w:rFonts w:hint="eastAsia"/>
                <w:color w:val="auto"/>
              </w:rPr>
              <w:t>3</w:t>
            </w:r>
          </w:p>
        </w:tc>
        <w:tc>
          <w:tcPr>
            <w:tcW w:w="221" w:type="pct"/>
            <w:vMerge w:val="continue"/>
            <w:vAlign w:val="center"/>
          </w:tcPr>
          <w:p>
            <w:pPr>
              <w:pStyle w:val="182"/>
              <w:bidi w:val="0"/>
              <w:rPr>
                <w:color w:val="auto"/>
              </w:rPr>
            </w:pPr>
          </w:p>
        </w:tc>
        <w:tc>
          <w:tcPr>
            <w:tcW w:w="867" w:type="pct"/>
            <w:vAlign w:val="center"/>
          </w:tcPr>
          <w:p>
            <w:pPr>
              <w:pStyle w:val="182"/>
              <w:bidi w:val="0"/>
              <w:rPr>
                <w:color w:val="auto"/>
              </w:rPr>
            </w:pPr>
            <w:r>
              <w:rPr>
                <w:rFonts w:hint="eastAsia"/>
                <w:color w:val="auto"/>
              </w:rPr>
              <w:t>S3：拟建漂白车间</w:t>
            </w:r>
            <w:r>
              <w:rPr>
                <w:color w:val="auto"/>
              </w:rPr>
              <w:t>附近</w:t>
            </w:r>
          </w:p>
          <w:p>
            <w:pPr>
              <w:pStyle w:val="182"/>
              <w:bidi w:val="0"/>
              <w:rPr>
                <w:color w:val="auto"/>
              </w:rPr>
            </w:pPr>
            <w:r>
              <w:rPr>
                <w:color w:val="auto"/>
              </w:rPr>
              <w:t>（0-0.2m）</w:t>
            </w:r>
          </w:p>
        </w:tc>
        <w:tc>
          <w:tcPr>
            <w:tcW w:w="2894" w:type="pct"/>
            <w:vMerge w:val="continue"/>
            <w:vAlign w:val="center"/>
          </w:tcPr>
          <w:p>
            <w:pPr>
              <w:pStyle w:val="182"/>
              <w:bidi w:val="0"/>
              <w:rPr>
                <w:color w:val="auto"/>
              </w:rPr>
            </w:pPr>
          </w:p>
        </w:tc>
        <w:tc>
          <w:tcPr>
            <w:tcW w:w="615" w:type="pct"/>
            <w:vMerge w:val="continue"/>
            <w:vAlign w:val="center"/>
          </w:tcPr>
          <w:p>
            <w:pPr>
              <w:pStyle w:val="182"/>
              <w:bidi w:val="0"/>
              <w:rPr>
                <w:color w:val="auto"/>
              </w:rPr>
            </w:pPr>
          </w:p>
        </w:tc>
      </w:tr>
    </w:tbl>
    <w:p>
      <w:pPr>
        <w:pStyle w:val="10"/>
        <w:bidi w:val="0"/>
        <w:rPr>
          <w:color w:val="auto"/>
        </w:rPr>
      </w:pPr>
      <w:r>
        <w:rPr>
          <w:color w:val="auto"/>
        </w:rPr>
        <w:t>4.2.6.2 评价标准</w:t>
      </w:r>
    </w:p>
    <w:p>
      <w:pPr>
        <w:bidi w:val="0"/>
        <w:rPr>
          <w:color w:val="auto"/>
        </w:rPr>
      </w:pPr>
      <w:r>
        <w:rPr>
          <w:color w:val="auto"/>
        </w:rPr>
        <w:t>根据相关要求，项目厂区内土壤执行《土壤环境质量建设用地土壤污染风险管控标准（试行）》（GB36600-2018）建设用地第二类用地风险筛选值。</w:t>
      </w:r>
      <w:r>
        <w:rPr>
          <w:rFonts w:hint="eastAsia"/>
          <w:color w:val="auto"/>
        </w:rPr>
        <w:t>具体见表</w:t>
      </w:r>
      <w:r>
        <w:rPr>
          <w:color w:val="auto"/>
        </w:rPr>
        <w:t>4.2</w:t>
      </w:r>
      <w:r>
        <w:rPr>
          <w:rFonts w:hint="eastAsia"/>
          <w:color w:val="auto"/>
        </w:rPr>
        <w:t>-</w:t>
      </w:r>
      <w:r>
        <w:rPr>
          <w:rFonts w:hint="eastAsia"/>
          <w:color w:val="auto"/>
          <w:lang w:val="en-US" w:eastAsia="zh-CN"/>
        </w:rPr>
        <w:t>24</w:t>
      </w:r>
      <w:r>
        <w:rPr>
          <w:rFonts w:hint="eastAsia"/>
          <w:color w:val="auto"/>
        </w:rPr>
        <w:t>。</w:t>
      </w:r>
    </w:p>
    <w:p>
      <w:pPr>
        <w:pStyle w:val="181"/>
        <w:bidi w:val="0"/>
        <w:rPr>
          <w:color w:val="auto"/>
        </w:rPr>
      </w:pPr>
      <w:r>
        <w:rPr>
          <w:rFonts w:hint="eastAsia"/>
          <w:color w:val="auto"/>
        </w:rPr>
        <w:t>表</w:t>
      </w:r>
      <w:r>
        <w:rPr>
          <w:color w:val="auto"/>
        </w:rPr>
        <w:t>4.2</w:t>
      </w:r>
      <w:r>
        <w:rPr>
          <w:rFonts w:hint="eastAsia"/>
          <w:color w:val="auto"/>
        </w:rPr>
        <w:t>-</w:t>
      </w:r>
      <w:r>
        <w:rPr>
          <w:rFonts w:hint="eastAsia"/>
          <w:color w:val="auto"/>
          <w:lang w:val="en-US" w:eastAsia="zh-CN"/>
        </w:rPr>
        <w:t>24</w:t>
      </w:r>
      <w:r>
        <w:rPr>
          <w:color w:val="auto"/>
        </w:rPr>
        <w:t xml:space="preserve">  </w:t>
      </w:r>
      <w:r>
        <w:rPr>
          <w:rFonts w:hint="eastAsia"/>
          <w:color w:val="auto"/>
          <w:lang w:val="en-US" w:eastAsia="zh-CN"/>
        </w:rPr>
        <w:t xml:space="preserve"> </w:t>
      </w:r>
      <w:r>
        <w:rPr>
          <w:rFonts w:hint="eastAsia"/>
          <w:color w:val="auto"/>
        </w:rPr>
        <w:t>建设用地土壤污染风险筛选值和管控值（单位：mg/kg）</w:t>
      </w:r>
    </w:p>
    <w:tbl>
      <w:tblPr>
        <w:tblStyle w:val="32"/>
        <w:tblW w:w="4998"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57" w:type="dxa"/>
          <w:bottom w:w="0" w:type="dxa"/>
          <w:right w:w="57" w:type="dxa"/>
        </w:tblCellMar>
      </w:tblPr>
      <w:tblGrid>
        <w:gridCol w:w="436"/>
        <w:gridCol w:w="1963"/>
        <w:gridCol w:w="1754"/>
        <w:gridCol w:w="1059"/>
        <w:gridCol w:w="1059"/>
        <w:gridCol w:w="1059"/>
        <w:gridCol w:w="1087"/>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tblHeader/>
          <w:jc w:val="center"/>
        </w:trPr>
        <w:tc>
          <w:tcPr>
            <w:tcW w:w="259" w:type="pct"/>
            <w:vMerge w:val="restart"/>
            <w:vAlign w:val="center"/>
          </w:tcPr>
          <w:p>
            <w:pPr>
              <w:pStyle w:val="182"/>
              <w:bidi w:val="0"/>
              <w:rPr>
                <w:b/>
                <w:bCs/>
                <w:color w:val="auto"/>
              </w:rPr>
            </w:pPr>
            <w:r>
              <w:rPr>
                <w:b/>
                <w:bCs/>
                <w:color w:val="auto"/>
              </w:rPr>
              <w:t>序号</w:t>
            </w:r>
          </w:p>
        </w:tc>
        <w:tc>
          <w:tcPr>
            <w:tcW w:w="1166" w:type="pct"/>
            <w:vMerge w:val="restart"/>
            <w:vAlign w:val="center"/>
          </w:tcPr>
          <w:p>
            <w:pPr>
              <w:pStyle w:val="182"/>
              <w:bidi w:val="0"/>
              <w:rPr>
                <w:b/>
                <w:bCs/>
                <w:color w:val="auto"/>
              </w:rPr>
            </w:pPr>
            <w:r>
              <w:rPr>
                <w:b/>
                <w:bCs/>
                <w:color w:val="auto"/>
              </w:rPr>
              <w:t>污染物项目</w:t>
            </w:r>
          </w:p>
        </w:tc>
        <w:tc>
          <w:tcPr>
            <w:tcW w:w="1042" w:type="pct"/>
            <w:vMerge w:val="restart"/>
            <w:vAlign w:val="center"/>
          </w:tcPr>
          <w:p>
            <w:pPr>
              <w:pStyle w:val="182"/>
              <w:bidi w:val="0"/>
              <w:rPr>
                <w:b/>
                <w:bCs/>
                <w:color w:val="auto"/>
              </w:rPr>
            </w:pPr>
            <w:r>
              <w:rPr>
                <w:b/>
                <w:bCs/>
                <w:color w:val="auto"/>
              </w:rPr>
              <w:t>CAS编号</w:t>
            </w:r>
          </w:p>
        </w:tc>
        <w:tc>
          <w:tcPr>
            <w:tcW w:w="1258" w:type="pct"/>
            <w:gridSpan w:val="2"/>
            <w:vAlign w:val="center"/>
          </w:tcPr>
          <w:p>
            <w:pPr>
              <w:pStyle w:val="182"/>
              <w:bidi w:val="0"/>
              <w:rPr>
                <w:b/>
                <w:bCs/>
                <w:color w:val="auto"/>
              </w:rPr>
            </w:pPr>
            <w:r>
              <w:rPr>
                <w:b/>
                <w:bCs/>
                <w:color w:val="auto"/>
              </w:rPr>
              <w:t>筛选值</w:t>
            </w:r>
          </w:p>
        </w:tc>
        <w:tc>
          <w:tcPr>
            <w:tcW w:w="1271" w:type="pct"/>
            <w:gridSpan w:val="2"/>
            <w:vAlign w:val="center"/>
          </w:tcPr>
          <w:p>
            <w:pPr>
              <w:pStyle w:val="182"/>
              <w:bidi w:val="0"/>
              <w:rPr>
                <w:b/>
                <w:bCs/>
                <w:color w:val="auto"/>
              </w:rPr>
            </w:pPr>
            <w:r>
              <w:rPr>
                <w:b/>
                <w:bCs/>
                <w:color w:val="auto"/>
              </w:rPr>
              <w:t>管制值</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tblHeader/>
          <w:jc w:val="center"/>
        </w:trPr>
        <w:tc>
          <w:tcPr>
            <w:tcW w:w="259" w:type="pct"/>
            <w:vMerge w:val="continue"/>
            <w:vAlign w:val="center"/>
          </w:tcPr>
          <w:p>
            <w:pPr>
              <w:pStyle w:val="182"/>
              <w:bidi w:val="0"/>
              <w:rPr>
                <w:b/>
                <w:bCs/>
                <w:color w:val="auto"/>
              </w:rPr>
            </w:pPr>
          </w:p>
        </w:tc>
        <w:tc>
          <w:tcPr>
            <w:tcW w:w="1166" w:type="pct"/>
            <w:vMerge w:val="continue"/>
            <w:vAlign w:val="center"/>
          </w:tcPr>
          <w:p>
            <w:pPr>
              <w:pStyle w:val="182"/>
              <w:bidi w:val="0"/>
              <w:rPr>
                <w:b/>
                <w:bCs/>
                <w:color w:val="auto"/>
              </w:rPr>
            </w:pPr>
          </w:p>
        </w:tc>
        <w:tc>
          <w:tcPr>
            <w:tcW w:w="1042" w:type="pct"/>
            <w:vMerge w:val="continue"/>
            <w:vAlign w:val="center"/>
          </w:tcPr>
          <w:p>
            <w:pPr>
              <w:pStyle w:val="182"/>
              <w:bidi w:val="0"/>
              <w:rPr>
                <w:b/>
                <w:bCs/>
                <w:color w:val="auto"/>
              </w:rPr>
            </w:pPr>
          </w:p>
        </w:tc>
        <w:tc>
          <w:tcPr>
            <w:tcW w:w="629" w:type="pct"/>
            <w:vAlign w:val="center"/>
          </w:tcPr>
          <w:p>
            <w:pPr>
              <w:pStyle w:val="182"/>
              <w:bidi w:val="0"/>
              <w:rPr>
                <w:b/>
                <w:bCs/>
                <w:color w:val="auto"/>
              </w:rPr>
            </w:pPr>
            <w:r>
              <w:rPr>
                <w:b/>
                <w:bCs/>
                <w:color w:val="auto"/>
              </w:rPr>
              <w:t>第一类用地</w:t>
            </w:r>
          </w:p>
        </w:tc>
        <w:tc>
          <w:tcPr>
            <w:tcW w:w="629" w:type="pct"/>
            <w:vAlign w:val="center"/>
          </w:tcPr>
          <w:p>
            <w:pPr>
              <w:pStyle w:val="182"/>
              <w:bidi w:val="0"/>
              <w:rPr>
                <w:b/>
                <w:bCs/>
                <w:color w:val="auto"/>
              </w:rPr>
            </w:pPr>
            <w:r>
              <w:rPr>
                <w:b/>
                <w:bCs/>
                <w:color w:val="auto"/>
              </w:rPr>
              <w:t>第二类用地</w:t>
            </w:r>
          </w:p>
        </w:tc>
        <w:tc>
          <w:tcPr>
            <w:tcW w:w="629" w:type="pct"/>
            <w:vAlign w:val="center"/>
          </w:tcPr>
          <w:p>
            <w:pPr>
              <w:pStyle w:val="182"/>
              <w:bidi w:val="0"/>
              <w:rPr>
                <w:b/>
                <w:bCs/>
                <w:color w:val="auto"/>
              </w:rPr>
            </w:pPr>
            <w:r>
              <w:rPr>
                <w:b/>
                <w:bCs/>
                <w:color w:val="auto"/>
              </w:rPr>
              <w:t>第一类用地</w:t>
            </w:r>
          </w:p>
        </w:tc>
        <w:tc>
          <w:tcPr>
            <w:tcW w:w="642" w:type="pct"/>
            <w:vAlign w:val="center"/>
          </w:tcPr>
          <w:p>
            <w:pPr>
              <w:pStyle w:val="182"/>
              <w:bidi w:val="0"/>
              <w:rPr>
                <w:b/>
                <w:bCs/>
                <w:color w:val="auto"/>
              </w:rPr>
            </w:pPr>
            <w:r>
              <w:rPr>
                <w:b/>
                <w:bCs/>
                <w:color w:val="auto"/>
              </w:rPr>
              <w:t>第二类用地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7"/>
            <w:vAlign w:val="center"/>
          </w:tcPr>
          <w:p>
            <w:pPr>
              <w:pStyle w:val="182"/>
              <w:bidi w:val="0"/>
              <w:rPr>
                <w:color w:val="auto"/>
              </w:rPr>
            </w:pPr>
            <w:r>
              <w:rPr>
                <w:color w:val="auto"/>
              </w:rPr>
              <w:t>重金属和无机物</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w:t>
            </w:r>
          </w:p>
        </w:tc>
        <w:tc>
          <w:tcPr>
            <w:tcW w:w="1166" w:type="pct"/>
            <w:vAlign w:val="center"/>
          </w:tcPr>
          <w:p>
            <w:pPr>
              <w:pStyle w:val="182"/>
              <w:bidi w:val="0"/>
              <w:rPr>
                <w:color w:val="auto"/>
              </w:rPr>
            </w:pPr>
            <w:r>
              <w:rPr>
                <w:color w:val="auto"/>
              </w:rPr>
              <w:t>砷</w:t>
            </w:r>
          </w:p>
        </w:tc>
        <w:tc>
          <w:tcPr>
            <w:tcW w:w="1042" w:type="pct"/>
            <w:vAlign w:val="center"/>
          </w:tcPr>
          <w:p>
            <w:pPr>
              <w:pStyle w:val="182"/>
              <w:bidi w:val="0"/>
              <w:rPr>
                <w:color w:val="auto"/>
              </w:rPr>
            </w:pPr>
            <w:r>
              <w:rPr>
                <w:color w:val="auto"/>
              </w:rPr>
              <w:t>7440-38-2</w:t>
            </w:r>
          </w:p>
        </w:tc>
        <w:tc>
          <w:tcPr>
            <w:tcW w:w="629" w:type="pct"/>
            <w:vAlign w:val="center"/>
          </w:tcPr>
          <w:p>
            <w:pPr>
              <w:pStyle w:val="182"/>
              <w:bidi w:val="0"/>
              <w:rPr>
                <w:color w:val="auto"/>
              </w:rPr>
            </w:pPr>
            <w:r>
              <w:rPr>
                <w:color w:val="auto"/>
              </w:rPr>
              <w:t>20</w:t>
            </w:r>
          </w:p>
        </w:tc>
        <w:tc>
          <w:tcPr>
            <w:tcW w:w="629" w:type="pct"/>
            <w:vAlign w:val="center"/>
          </w:tcPr>
          <w:p>
            <w:pPr>
              <w:pStyle w:val="182"/>
              <w:bidi w:val="0"/>
              <w:rPr>
                <w:color w:val="auto"/>
              </w:rPr>
            </w:pPr>
            <w:r>
              <w:rPr>
                <w:color w:val="auto"/>
              </w:rPr>
              <w:t>60</w:t>
            </w:r>
          </w:p>
        </w:tc>
        <w:tc>
          <w:tcPr>
            <w:tcW w:w="629" w:type="pct"/>
            <w:vAlign w:val="center"/>
          </w:tcPr>
          <w:p>
            <w:pPr>
              <w:pStyle w:val="182"/>
              <w:bidi w:val="0"/>
              <w:rPr>
                <w:color w:val="auto"/>
              </w:rPr>
            </w:pPr>
            <w:r>
              <w:rPr>
                <w:color w:val="auto"/>
              </w:rPr>
              <w:t>120</w:t>
            </w:r>
          </w:p>
        </w:tc>
        <w:tc>
          <w:tcPr>
            <w:tcW w:w="642" w:type="pct"/>
            <w:vAlign w:val="center"/>
          </w:tcPr>
          <w:p>
            <w:pPr>
              <w:pStyle w:val="182"/>
              <w:bidi w:val="0"/>
              <w:rPr>
                <w:color w:val="auto"/>
              </w:rPr>
            </w:pPr>
            <w:r>
              <w:rPr>
                <w:color w:val="auto"/>
              </w:rPr>
              <w:t>140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w:t>
            </w:r>
          </w:p>
        </w:tc>
        <w:tc>
          <w:tcPr>
            <w:tcW w:w="1166" w:type="pct"/>
            <w:vAlign w:val="center"/>
          </w:tcPr>
          <w:p>
            <w:pPr>
              <w:pStyle w:val="182"/>
              <w:bidi w:val="0"/>
              <w:rPr>
                <w:color w:val="auto"/>
              </w:rPr>
            </w:pPr>
            <w:r>
              <w:rPr>
                <w:color w:val="auto"/>
              </w:rPr>
              <w:t>镉</w:t>
            </w:r>
          </w:p>
        </w:tc>
        <w:tc>
          <w:tcPr>
            <w:tcW w:w="1042" w:type="pct"/>
            <w:vAlign w:val="center"/>
          </w:tcPr>
          <w:p>
            <w:pPr>
              <w:pStyle w:val="182"/>
              <w:bidi w:val="0"/>
              <w:rPr>
                <w:color w:val="auto"/>
              </w:rPr>
            </w:pPr>
            <w:r>
              <w:rPr>
                <w:color w:val="auto"/>
              </w:rPr>
              <w:t>7440-43-9</w:t>
            </w:r>
          </w:p>
        </w:tc>
        <w:tc>
          <w:tcPr>
            <w:tcW w:w="629" w:type="pct"/>
            <w:vAlign w:val="center"/>
          </w:tcPr>
          <w:p>
            <w:pPr>
              <w:pStyle w:val="182"/>
              <w:bidi w:val="0"/>
              <w:rPr>
                <w:color w:val="auto"/>
              </w:rPr>
            </w:pPr>
            <w:r>
              <w:rPr>
                <w:color w:val="auto"/>
              </w:rPr>
              <w:t>20</w:t>
            </w:r>
          </w:p>
        </w:tc>
        <w:tc>
          <w:tcPr>
            <w:tcW w:w="629" w:type="pct"/>
            <w:vAlign w:val="center"/>
          </w:tcPr>
          <w:p>
            <w:pPr>
              <w:pStyle w:val="182"/>
              <w:bidi w:val="0"/>
              <w:rPr>
                <w:color w:val="auto"/>
              </w:rPr>
            </w:pPr>
            <w:r>
              <w:rPr>
                <w:color w:val="auto"/>
              </w:rPr>
              <w:t>65</w:t>
            </w:r>
          </w:p>
        </w:tc>
        <w:tc>
          <w:tcPr>
            <w:tcW w:w="629" w:type="pct"/>
            <w:vAlign w:val="center"/>
          </w:tcPr>
          <w:p>
            <w:pPr>
              <w:pStyle w:val="182"/>
              <w:bidi w:val="0"/>
              <w:rPr>
                <w:color w:val="auto"/>
              </w:rPr>
            </w:pPr>
            <w:r>
              <w:rPr>
                <w:color w:val="auto"/>
              </w:rPr>
              <w:t>47</w:t>
            </w:r>
          </w:p>
        </w:tc>
        <w:tc>
          <w:tcPr>
            <w:tcW w:w="642" w:type="pct"/>
            <w:vAlign w:val="center"/>
          </w:tcPr>
          <w:p>
            <w:pPr>
              <w:pStyle w:val="182"/>
              <w:bidi w:val="0"/>
              <w:rPr>
                <w:color w:val="auto"/>
              </w:rPr>
            </w:pPr>
            <w:r>
              <w:rPr>
                <w:color w:val="auto"/>
              </w:rPr>
              <w:t>172</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w:t>
            </w:r>
          </w:p>
        </w:tc>
        <w:tc>
          <w:tcPr>
            <w:tcW w:w="1166" w:type="pct"/>
            <w:vAlign w:val="center"/>
          </w:tcPr>
          <w:p>
            <w:pPr>
              <w:pStyle w:val="182"/>
              <w:bidi w:val="0"/>
              <w:rPr>
                <w:color w:val="auto"/>
              </w:rPr>
            </w:pPr>
            <w:r>
              <w:rPr>
                <w:color w:val="auto"/>
              </w:rPr>
              <w:t>铬（六价）</w:t>
            </w:r>
          </w:p>
        </w:tc>
        <w:tc>
          <w:tcPr>
            <w:tcW w:w="1042" w:type="pct"/>
            <w:vAlign w:val="center"/>
          </w:tcPr>
          <w:p>
            <w:pPr>
              <w:pStyle w:val="182"/>
              <w:bidi w:val="0"/>
              <w:rPr>
                <w:color w:val="auto"/>
              </w:rPr>
            </w:pPr>
            <w:r>
              <w:rPr>
                <w:color w:val="auto"/>
              </w:rPr>
              <w:t>18540-29-9</w:t>
            </w:r>
          </w:p>
        </w:tc>
        <w:tc>
          <w:tcPr>
            <w:tcW w:w="629" w:type="pct"/>
            <w:vAlign w:val="center"/>
          </w:tcPr>
          <w:p>
            <w:pPr>
              <w:pStyle w:val="182"/>
              <w:bidi w:val="0"/>
              <w:rPr>
                <w:color w:val="auto"/>
              </w:rPr>
            </w:pPr>
            <w:r>
              <w:rPr>
                <w:color w:val="auto"/>
              </w:rPr>
              <w:t>3.0</w:t>
            </w:r>
          </w:p>
        </w:tc>
        <w:tc>
          <w:tcPr>
            <w:tcW w:w="629" w:type="pct"/>
            <w:vAlign w:val="center"/>
          </w:tcPr>
          <w:p>
            <w:pPr>
              <w:pStyle w:val="182"/>
              <w:bidi w:val="0"/>
              <w:rPr>
                <w:color w:val="auto"/>
              </w:rPr>
            </w:pPr>
            <w:r>
              <w:rPr>
                <w:color w:val="auto"/>
              </w:rPr>
              <w:t>5.7</w:t>
            </w:r>
          </w:p>
        </w:tc>
        <w:tc>
          <w:tcPr>
            <w:tcW w:w="629" w:type="pct"/>
            <w:vAlign w:val="center"/>
          </w:tcPr>
          <w:p>
            <w:pPr>
              <w:pStyle w:val="182"/>
              <w:bidi w:val="0"/>
              <w:rPr>
                <w:color w:val="auto"/>
              </w:rPr>
            </w:pPr>
            <w:r>
              <w:rPr>
                <w:color w:val="auto"/>
              </w:rPr>
              <w:t>30</w:t>
            </w:r>
          </w:p>
        </w:tc>
        <w:tc>
          <w:tcPr>
            <w:tcW w:w="642" w:type="pct"/>
            <w:vAlign w:val="center"/>
          </w:tcPr>
          <w:p>
            <w:pPr>
              <w:pStyle w:val="182"/>
              <w:bidi w:val="0"/>
              <w:rPr>
                <w:color w:val="auto"/>
              </w:rPr>
            </w:pPr>
            <w:r>
              <w:rPr>
                <w:color w:val="auto"/>
              </w:rPr>
              <w:t>78</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4</w:t>
            </w:r>
          </w:p>
        </w:tc>
        <w:tc>
          <w:tcPr>
            <w:tcW w:w="1166" w:type="pct"/>
            <w:vAlign w:val="center"/>
          </w:tcPr>
          <w:p>
            <w:pPr>
              <w:pStyle w:val="182"/>
              <w:bidi w:val="0"/>
              <w:rPr>
                <w:color w:val="auto"/>
              </w:rPr>
            </w:pPr>
            <w:r>
              <w:rPr>
                <w:color w:val="auto"/>
              </w:rPr>
              <w:t>铜</w:t>
            </w:r>
          </w:p>
        </w:tc>
        <w:tc>
          <w:tcPr>
            <w:tcW w:w="1042" w:type="pct"/>
            <w:vAlign w:val="center"/>
          </w:tcPr>
          <w:p>
            <w:pPr>
              <w:pStyle w:val="182"/>
              <w:bidi w:val="0"/>
              <w:rPr>
                <w:color w:val="auto"/>
              </w:rPr>
            </w:pPr>
            <w:r>
              <w:rPr>
                <w:color w:val="auto"/>
              </w:rPr>
              <w:t>7440-50-8</w:t>
            </w:r>
          </w:p>
        </w:tc>
        <w:tc>
          <w:tcPr>
            <w:tcW w:w="629" w:type="pct"/>
            <w:vAlign w:val="center"/>
          </w:tcPr>
          <w:p>
            <w:pPr>
              <w:pStyle w:val="182"/>
              <w:bidi w:val="0"/>
              <w:rPr>
                <w:color w:val="auto"/>
              </w:rPr>
            </w:pPr>
            <w:r>
              <w:rPr>
                <w:color w:val="auto"/>
              </w:rPr>
              <w:t>2000</w:t>
            </w:r>
          </w:p>
        </w:tc>
        <w:tc>
          <w:tcPr>
            <w:tcW w:w="629" w:type="pct"/>
            <w:vAlign w:val="center"/>
          </w:tcPr>
          <w:p>
            <w:pPr>
              <w:pStyle w:val="182"/>
              <w:bidi w:val="0"/>
              <w:rPr>
                <w:color w:val="auto"/>
              </w:rPr>
            </w:pPr>
            <w:r>
              <w:rPr>
                <w:color w:val="auto"/>
              </w:rPr>
              <w:t>18000</w:t>
            </w:r>
          </w:p>
        </w:tc>
        <w:tc>
          <w:tcPr>
            <w:tcW w:w="629" w:type="pct"/>
            <w:vAlign w:val="center"/>
          </w:tcPr>
          <w:p>
            <w:pPr>
              <w:pStyle w:val="182"/>
              <w:bidi w:val="0"/>
              <w:rPr>
                <w:color w:val="auto"/>
              </w:rPr>
            </w:pPr>
            <w:r>
              <w:rPr>
                <w:color w:val="auto"/>
              </w:rPr>
              <w:t>8000</w:t>
            </w:r>
          </w:p>
        </w:tc>
        <w:tc>
          <w:tcPr>
            <w:tcW w:w="642" w:type="pct"/>
            <w:vAlign w:val="center"/>
          </w:tcPr>
          <w:p>
            <w:pPr>
              <w:pStyle w:val="182"/>
              <w:bidi w:val="0"/>
              <w:rPr>
                <w:color w:val="auto"/>
              </w:rPr>
            </w:pPr>
            <w:r>
              <w:rPr>
                <w:color w:val="auto"/>
              </w:rPr>
              <w:t>36000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5</w:t>
            </w:r>
          </w:p>
        </w:tc>
        <w:tc>
          <w:tcPr>
            <w:tcW w:w="1166" w:type="pct"/>
            <w:vAlign w:val="center"/>
          </w:tcPr>
          <w:p>
            <w:pPr>
              <w:pStyle w:val="182"/>
              <w:bidi w:val="0"/>
              <w:rPr>
                <w:color w:val="auto"/>
              </w:rPr>
            </w:pPr>
            <w:r>
              <w:rPr>
                <w:color w:val="auto"/>
              </w:rPr>
              <w:t>铅</w:t>
            </w:r>
          </w:p>
        </w:tc>
        <w:tc>
          <w:tcPr>
            <w:tcW w:w="1042" w:type="pct"/>
            <w:vAlign w:val="center"/>
          </w:tcPr>
          <w:p>
            <w:pPr>
              <w:pStyle w:val="182"/>
              <w:bidi w:val="0"/>
              <w:rPr>
                <w:color w:val="auto"/>
              </w:rPr>
            </w:pPr>
            <w:r>
              <w:rPr>
                <w:color w:val="auto"/>
              </w:rPr>
              <w:t>7439-92-1</w:t>
            </w:r>
          </w:p>
        </w:tc>
        <w:tc>
          <w:tcPr>
            <w:tcW w:w="629" w:type="pct"/>
            <w:vAlign w:val="center"/>
          </w:tcPr>
          <w:p>
            <w:pPr>
              <w:pStyle w:val="182"/>
              <w:bidi w:val="0"/>
              <w:rPr>
                <w:color w:val="auto"/>
              </w:rPr>
            </w:pPr>
            <w:r>
              <w:rPr>
                <w:color w:val="auto"/>
              </w:rPr>
              <w:t>400</w:t>
            </w:r>
          </w:p>
        </w:tc>
        <w:tc>
          <w:tcPr>
            <w:tcW w:w="629" w:type="pct"/>
            <w:vAlign w:val="center"/>
          </w:tcPr>
          <w:p>
            <w:pPr>
              <w:pStyle w:val="182"/>
              <w:bidi w:val="0"/>
              <w:rPr>
                <w:color w:val="auto"/>
              </w:rPr>
            </w:pPr>
            <w:r>
              <w:rPr>
                <w:color w:val="auto"/>
              </w:rPr>
              <w:t>800</w:t>
            </w:r>
          </w:p>
        </w:tc>
        <w:tc>
          <w:tcPr>
            <w:tcW w:w="629" w:type="pct"/>
            <w:vAlign w:val="center"/>
          </w:tcPr>
          <w:p>
            <w:pPr>
              <w:pStyle w:val="182"/>
              <w:bidi w:val="0"/>
              <w:rPr>
                <w:color w:val="auto"/>
              </w:rPr>
            </w:pPr>
            <w:r>
              <w:rPr>
                <w:color w:val="auto"/>
              </w:rPr>
              <w:t>800</w:t>
            </w:r>
          </w:p>
        </w:tc>
        <w:tc>
          <w:tcPr>
            <w:tcW w:w="642" w:type="pct"/>
            <w:vAlign w:val="center"/>
          </w:tcPr>
          <w:p>
            <w:pPr>
              <w:pStyle w:val="182"/>
              <w:bidi w:val="0"/>
              <w:rPr>
                <w:color w:val="auto"/>
              </w:rPr>
            </w:pPr>
            <w:r>
              <w:rPr>
                <w:color w:val="auto"/>
              </w:rPr>
              <w:t>2500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6</w:t>
            </w:r>
          </w:p>
        </w:tc>
        <w:tc>
          <w:tcPr>
            <w:tcW w:w="1166" w:type="pct"/>
            <w:vAlign w:val="center"/>
          </w:tcPr>
          <w:p>
            <w:pPr>
              <w:pStyle w:val="182"/>
              <w:bidi w:val="0"/>
              <w:rPr>
                <w:color w:val="auto"/>
              </w:rPr>
            </w:pPr>
            <w:r>
              <w:rPr>
                <w:color w:val="auto"/>
              </w:rPr>
              <w:t>汞</w:t>
            </w:r>
          </w:p>
        </w:tc>
        <w:tc>
          <w:tcPr>
            <w:tcW w:w="1042" w:type="pct"/>
            <w:vAlign w:val="center"/>
          </w:tcPr>
          <w:p>
            <w:pPr>
              <w:pStyle w:val="182"/>
              <w:bidi w:val="0"/>
              <w:rPr>
                <w:color w:val="auto"/>
              </w:rPr>
            </w:pPr>
            <w:r>
              <w:rPr>
                <w:color w:val="auto"/>
              </w:rPr>
              <w:t>7439-97-6</w:t>
            </w:r>
          </w:p>
        </w:tc>
        <w:tc>
          <w:tcPr>
            <w:tcW w:w="629" w:type="pct"/>
            <w:vAlign w:val="center"/>
          </w:tcPr>
          <w:p>
            <w:pPr>
              <w:pStyle w:val="182"/>
              <w:bidi w:val="0"/>
              <w:rPr>
                <w:color w:val="auto"/>
              </w:rPr>
            </w:pPr>
            <w:r>
              <w:rPr>
                <w:color w:val="auto"/>
              </w:rPr>
              <w:t>8</w:t>
            </w:r>
          </w:p>
        </w:tc>
        <w:tc>
          <w:tcPr>
            <w:tcW w:w="629" w:type="pct"/>
            <w:vAlign w:val="center"/>
          </w:tcPr>
          <w:p>
            <w:pPr>
              <w:pStyle w:val="182"/>
              <w:bidi w:val="0"/>
              <w:rPr>
                <w:color w:val="auto"/>
              </w:rPr>
            </w:pPr>
            <w:r>
              <w:rPr>
                <w:color w:val="auto"/>
              </w:rPr>
              <w:t>38</w:t>
            </w:r>
          </w:p>
        </w:tc>
        <w:tc>
          <w:tcPr>
            <w:tcW w:w="629" w:type="pct"/>
            <w:vAlign w:val="center"/>
          </w:tcPr>
          <w:p>
            <w:pPr>
              <w:pStyle w:val="182"/>
              <w:bidi w:val="0"/>
              <w:rPr>
                <w:color w:val="auto"/>
              </w:rPr>
            </w:pPr>
            <w:r>
              <w:rPr>
                <w:color w:val="auto"/>
              </w:rPr>
              <w:t>33</w:t>
            </w:r>
          </w:p>
        </w:tc>
        <w:tc>
          <w:tcPr>
            <w:tcW w:w="642" w:type="pct"/>
            <w:vAlign w:val="center"/>
          </w:tcPr>
          <w:p>
            <w:pPr>
              <w:pStyle w:val="182"/>
              <w:bidi w:val="0"/>
              <w:rPr>
                <w:color w:val="auto"/>
              </w:rPr>
            </w:pPr>
            <w:r>
              <w:rPr>
                <w:color w:val="auto"/>
              </w:rPr>
              <w:t>82</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7</w:t>
            </w:r>
          </w:p>
        </w:tc>
        <w:tc>
          <w:tcPr>
            <w:tcW w:w="1166" w:type="pct"/>
            <w:vAlign w:val="center"/>
          </w:tcPr>
          <w:p>
            <w:pPr>
              <w:pStyle w:val="182"/>
              <w:bidi w:val="0"/>
              <w:rPr>
                <w:color w:val="auto"/>
              </w:rPr>
            </w:pPr>
            <w:r>
              <w:rPr>
                <w:color w:val="auto"/>
              </w:rPr>
              <w:t>镍</w:t>
            </w:r>
          </w:p>
        </w:tc>
        <w:tc>
          <w:tcPr>
            <w:tcW w:w="1042" w:type="pct"/>
            <w:vAlign w:val="center"/>
          </w:tcPr>
          <w:p>
            <w:pPr>
              <w:pStyle w:val="182"/>
              <w:bidi w:val="0"/>
              <w:rPr>
                <w:color w:val="auto"/>
              </w:rPr>
            </w:pPr>
            <w:r>
              <w:rPr>
                <w:color w:val="auto"/>
              </w:rPr>
              <w:t>7440-02-0</w:t>
            </w:r>
          </w:p>
        </w:tc>
        <w:tc>
          <w:tcPr>
            <w:tcW w:w="629" w:type="pct"/>
            <w:vAlign w:val="center"/>
          </w:tcPr>
          <w:p>
            <w:pPr>
              <w:pStyle w:val="182"/>
              <w:bidi w:val="0"/>
              <w:rPr>
                <w:color w:val="auto"/>
              </w:rPr>
            </w:pPr>
            <w:r>
              <w:rPr>
                <w:color w:val="auto"/>
              </w:rPr>
              <w:t>150</w:t>
            </w:r>
          </w:p>
        </w:tc>
        <w:tc>
          <w:tcPr>
            <w:tcW w:w="629" w:type="pct"/>
            <w:vAlign w:val="center"/>
          </w:tcPr>
          <w:p>
            <w:pPr>
              <w:pStyle w:val="182"/>
              <w:bidi w:val="0"/>
              <w:rPr>
                <w:color w:val="auto"/>
              </w:rPr>
            </w:pPr>
            <w:r>
              <w:rPr>
                <w:color w:val="auto"/>
              </w:rPr>
              <w:t>900</w:t>
            </w:r>
          </w:p>
        </w:tc>
        <w:tc>
          <w:tcPr>
            <w:tcW w:w="629" w:type="pct"/>
            <w:vAlign w:val="center"/>
          </w:tcPr>
          <w:p>
            <w:pPr>
              <w:pStyle w:val="182"/>
              <w:bidi w:val="0"/>
              <w:rPr>
                <w:color w:val="auto"/>
              </w:rPr>
            </w:pPr>
            <w:r>
              <w:rPr>
                <w:color w:val="auto"/>
              </w:rPr>
              <w:t>600</w:t>
            </w:r>
          </w:p>
        </w:tc>
        <w:tc>
          <w:tcPr>
            <w:tcW w:w="642" w:type="pct"/>
            <w:vAlign w:val="center"/>
          </w:tcPr>
          <w:p>
            <w:pPr>
              <w:pStyle w:val="182"/>
              <w:bidi w:val="0"/>
              <w:rPr>
                <w:color w:val="auto"/>
              </w:rPr>
            </w:pPr>
            <w:r>
              <w:rPr>
                <w:color w:val="auto"/>
              </w:rPr>
              <w:t>2000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7"/>
            <w:vAlign w:val="center"/>
          </w:tcPr>
          <w:p>
            <w:pPr>
              <w:pStyle w:val="182"/>
              <w:bidi w:val="0"/>
              <w:rPr>
                <w:color w:val="auto"/>
              </w:rPr>
            </w:pPr>
            <w:r>
              <w:rPr>
                <w:color w:val="auto"/>
              </w:rPr>
              <w:t>挥发性有机物</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8</w:t>
            </w:r>
          </w:p>
        </w:tc>
        <w:tc>
          <w:tcPr>
            <w:tcW w:w="1166" w:type="pct"/>
            <w:vAlign w:val="center"/>
          </w:tcPr>
          <w:p>
            <w:pPr>
              <w:pStyle w:val="182"/>
              <w:bidi w:val="0"/>
              <w:rPr>
                <w:color w:val="auto"/>
              </w:rPr>
            </w:pPr>
            <w:r>
              <w:rPr>
                <w:color w:val="auto"/>
              </w:rPr>
              <w:t>四氯化碳</w:t>
            </w:r>
          </w:p>
        </w:tc>
        <w:tc>
          <w:tcPr>
            <w:tcW w:w="1042" w:type="pct"/>
            <w:vAlign w:val="center"/>
          </w:tcPr>
          <w:p>
            <w:pPr>
              <w:pStyle w:val="182"/>
              <w:bidi w:val="0"/>
              <w:rPr>
                <w:color w:val="auto"/>
              </w:rPr>
            </w:pPr>
            <w:r>
              <w:rPr>
                <w:color w:val="auto"/>
              </w:rPr>
              <w:t>56-23-5</w:t>
            </w:r>
          </w:p>
        </w:tc>
        <w:tc>
          <w:tcPr>
            <w:tcW w:w="629" w:type="pct"/>
            <w:vAlign w:val="center"/>
          </w:tcPr>
          <w:p>
            <w:pPr>
              <w:pStyle w:val="182"/>
              <w:bidi w:val="0"/>
              <w:rPr>
                <w:color w:val="auto"/>
              </w:rPr>
            </w:pPr>
            <w:r>
              <w:rPr>
                <w:color w:val="auto"/>
              </w:rPr>
              <w:t>0.9</w:t>
            </w:r>
          </w:p>
        </w:tc>
        <w:tc>
          <w:tcPr>
            <w:tcW w:w="629" w:type="pct"/>
            <w:vAlign w:val="center"/>
          </w:tcPr>
          <w:p>
            <w:pPr>
              <w:pStyle w:val="182"/>
              <w:bidi w:val="0"/>
              <w:rPr>
                <w:color w:val="auto"/>
              </w:rPr>
            </w:pPr>
            <w:r>
              <w:rPr>
                <w:color w:val="auto"/>
              </w:rPr>
              <w:t>2.8</w:t>
            </w:r>
          </w:p>
        </w:tc>
        <w:tc>
          <w:tcPr>
            <w:tcW w:w="629" w:type="pct"/>
            <w:vAlign w:val="center"/>
          </w:tcPr>
          <w:p>
            <w:pPr>
              <w:pStyle w:val="182"/>
              <w:bidi w:val="0"/>
              <w:rPr>
                <w:color w:val="auto"/>
              </w:rPr>
            </w:pPr>
            <w:r>
              <w:rPr>
                <w:color w:val="auto"/>
              </w:rPr>
              <w:t>9</w:t>
            </w:r>
          </w:p>
        </w:tc>
        <w:tc>
          <w:tcPr>
            <w:tcW w:w="642" w:type="pct"/>
            <w:vAlign w:val="center"/>
          </w:tcPr>
          <w:p>
            <w:pPr>
              <w:pStyle w:val="182"/>
              <w:bidi w:val="0"/>
              <w:rPr>
                <w:color w:val="auto"/>
              </w:rPr>
            </w:pPr>
            <w:r>
              <w:rPr>
                <w:color w:val="auto"/>
              </w:rPr>
              <w:t>36</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9</w:t>
            </w:r>
          </w:p>
        </w:tc>
        <w:tc>
          <w:tcPr>
            <w:tcW w:w="1166" w:type="pct"/>
            <w:vAlign w:val="center"/>
          </w:tcPr>
          <w:p>
            <w:pPr>
              <w:pStyle w:val="182"/>
              <w:bidi w:val="0"/>
              <w:rPr>
                <w:color w:val="auto"/>
              </w:rPr>
            </w:pPr>
            <w:r>
              <w:rPr>
                <w:color w:val="auto"/>
              </w:rPr>
              <w:t>氯仿</w:t>
            </w:r>
          </w:p>
        </w:tc>
        <w:tc>
          <w:tcPr>
            <w:tcW w:w="1042" w:type="pct"/>
            <w:vAlign w:val="center"/>
          </w:tcPr>
          <w:p>
            <w:pPr>
              <w:pStyle w:val="182"/>
              <w:bidi w:val="0"/>
              <w:rPr>
                <w:color w:val="auto"/>
              </w:rPr>
            </w:pPr>
            <w:r>
              <w:rPr>
                <w:color w:val="auto"/>
              </w:rPr>
              <w:t>67-66-3</w:t>
            </w:r>
          </w:p>
        </w:tc>
        <w:tc>
          <w:tcPr>
            <w:tcW w:w="629" w:type="pct"/>
            <w:vAlign w:val="center"/>
          </w:tcPr>
          <w:p>
            <w:pPr>
              <w:pStyle w:val="182"/>
              <w:bidi w:val="0"/>
              <w:rPr>
                <w:color w:val="auto"/>
              </w:rPr>
            </w:pPr>
            <w:r>
              <w:rPr>
                <w:color w:val="auto"/>
              </w:rPr>
              <w:t>0.3</w:t>
            </w:r>
          </w:p>
        </w:tc>
        <w:tc>
          <w:tcPr>
            <w:tcW w:w="629" w:type="pct"/>
            <w:vAlign w:val="center"/>
          </w:tcPr>
          <w:p>
            <w:pPr>
              <w:pStyle w:val="182"/>
              <w:bidi w:val="0"/>
              <w:rPr>
                <w:color w:val="auto"/>
              </w:rPr>
            </w:pPr>
            <w:r>
              <w:rPr>
                <w:color w:val="auto"/>
              </w:rPr>
              <w:t>0.9</w:t>
            </w:r>
          </w:p>
        </w:tc>
        <w:tc>
          <w:tcPr>
            <w:tcW w:w="629" w:type="pct"/>
            <w:vAlign w:val="center"/>
          </w:tcPr>
          <w:p>
            <w:pPr>
              <w:pStyle w:val="182"/>
              <w:bidi w:val="0"/>
              <w:rPr>
                <w:color w:val="auto"/>
              </w:rPr>
            </w:pPr>
            <w:r>
              <w:rPr>
                <w:color w:val="auto"/>
              </w:rPr>
              <w:t>5</w:t>
            </w:r>
          </w:p>
        </w:tc>
        <w:tc>
          <w:tcPr>
            <w:tcW w:w="642" w:type="pct"/>
            <w:vAlign w:val="center"/>
          </w:tcPr>
          <w:p>
            <w:pPr>
              <w:pStyle w:val="182"/>
              <w:bidi w:val="0"/>
              <w:rPr>
                <w:color w:val="auto"/>
              </w:rPr>
            </w:pPr>
            <w:r>
              <w:rPr>
                <w:color w:val="auto"/>
              </w:rPr>
              <w:t>10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10</w:t>
            </w:r>
          </w:p>
        </w:tc>
        <w:tc>
          <w:tcPr>
            <w:tcW w:w="1166" w:type="pct"/>
            <w:vAlign w:val="center"/>
          </w:tcPr>
          <w:p>
            <w:pPr>
              <w:pStyle w:val="182"/>
              <w:bidi w:val="0"/>
              <w:rPr>
                <w:color w:val="auto"/>
              </w:rPr>
            </w:pPr>
            <w:r>
              <w:rPr>
                <w:color w:val="auto"/>
              </w:rPr>
              <w:t>氯甲烷</w:t>
            </w:r>
          </w:p>
        </w:tc>
        <w:tc>
          <w:tcPr>
            <w:tcW w:w="1042" w:type="pct"/>
            <w:vAlign w:val="center"/>
          </w:tcPr>
          <w:p>
            <w:pPr>
              <w:pStyle w:val="182"/>
              <w:bidi w:val="0"/>
              <w:rPr>
                <w:color w:val="auto"/>
              </w:rPr>
            </w:pPr>
            <w:r>
              <w:rPr>
                <w:color w:val="auto"/>
              </w:rPr>
              <w:t>74-87-3</w:t>
            </w:r>
          </w:p>
        </w:tc>
        <w:tc>
          <w:tcPr>
            <w:tcW w:w="629" w:type="pct"/>
            <w:vAlign w:val="center"/>
          </w:tcPr>
          <w:p>
            <w:pPr>
              <w:pStyle w:val="182"/>
              <w:bidi w:val="0"/>
              <w:rPr>
                <w:color w:val="auto"/>
              </w:rPr>
            </w:pPr>
            <w:r>
              <w:rPr>
                <w:color w:val="auto"/>
              </w:rPr>
              <w:t>12</w:t>
            </w:r>
          </w:p>
        </w:tc>
        <w:tc>
          <w:tcPr>
            <w:tcW w:w="629" w:type="pct"/>
            <w:vAlign w:val="center"/>
          </w:tcPr>
          <w:p>
            <w:pPr>
              <w:pStyle w:val="182"/>
              <w:bidi w:val="0"/>
              <w:rPr>
                <w:color w:val="auto"/>
              </w:rPr>
            </w:pPr>
            <w:r>
              <w:rPr>
                <w:color w:val="auto"/>
              </w:rPr>
              <w:t>37</w:t>
            </w:r>
          </w:p>
        </w:tc>
        <w:tc>
          <w:tcPr>
            <w:tcW w:w="629" w:type="pct"/>
            <w:vAlign w:val="center"/>
          </w:tcPr>
          <w:p>
            <w:pPr>
              <w:pStyle w:val="182"/>
              <w:bidi w:val="0"/>
              <w:rPr>
                <w:color w:val="auto"/>
              </w:rPr>
            </w:pPr>
            <w:r>
              <w:rPr>
                <w:color w:val="auto"/>
              </w:rPr>
              <w:t>21</w:t>
            </w:r>
          </w:p>
        </w:tc>
        <w:tc>
          <w:tcPr>
            <w:tcW w:w="642" w:type="pct"/>
            <w:vAlign w:val="center"/>
          </w:tcPr>
          <w:p>
            <w:pPr>
              <w:pStyle w:val="182"/>
              <w:bidi w:val="0"/>
              <w:rPr>
                <w:color w:val="auto"/>
              </w:rPr>
            </w:pPr>
            <w:r>
              <w:rPr>
                <w:color w:val="auto"/>
              </w:rPr>
              <w:t>120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11</w:t>
            </w:r>
          </w:p>
        </w:tc>
        <w:tc>
          <w:tcPr>
            <w:tcW w:w="1166" w:type="pct"/>
            <w:vAlign w:val="center"/>
          </w:tcPr>
          <w:p>
            <w:pPr>
              <w:pStyle w:val="182"/>
              <w:bidi w:val="0"/>
              <w:rPr>
                <w:color w:val="auto"/>
              </w:rPr>
            </w:pPr>
            <w:r>
              <w:rPr>
                <w:color w:val="auto"/>
              </w:rPr>
              <w:t>1，1-二氯乙烷</w:t>
            </w:r>
          </w:p>
        </w:tc>
        <w:tc>
          <w:tcPr>
            <w:tcW w:w="1042" w:type="pct"/>
            <w:vAlign w:val="center"/>
          </w:tcPr>
          <w:p>
            <w:pPr>
              <w:pStyle w:val="182"/>
              <w:bidi w:val="0"/>
              <w:rPr>
                <w:color w:val="auto"/>
              </w:rPr>
            </w:pPr>
            <w:r>
              <w:rPr>
                <w:color w:val="auto"/>
              </w:rPr>
              <w:t>75-34-3</w:t>
            </w:r>
          </w:p>
        </w:tc>
        <w:tc>
          <w:tcPr>
            <w:tcW w:w="629" w:type="pct"/>
            <w:vAlign w:val="center"/>
          </w:tcPr>
          <w:p>
            <w:pPr>
              <w:pStyle w:val="182"/>
              <w:bidi w:val="0"/>
              <w:rPr>
                <w:color w:val="auto"/>
              </w:rPr>
            </w:pPr>
            <w:r>
              <w:rPr>
                <w:color w:val="auto"/>
              </w:rPr>
              <w:t>3</w:t>
            </w:r>
          </w:p>
        </w:tc>
        <w:tc>
          <w:tcPr>
            <w:tcW w:w="629" w:type="pct"/>
            <w:vAlign w:val="center"/>
          </w:tcPr>
          <w:p>
            <w:pPr>
              <w:pStyle w:val="182"/>
              <w:bidi w:val="0"/>
              <w:rPr>
                <w:color w:val="auto"/>
              </w:rPr>
            </w:pPr>
            <w:r>
              <w:rPr>
                <w:color w:val="auto"/>
              </w:rPr>
              <w:t>9</w:t>
            </w:r>
          </w:p>
        </w:tc>
        <w:tc>
          <w:tcPr>
            <w:tcW w:w="629" w:type="pct"/>
            <w:vAlign w:val="center"/>
          </w:tcPr>
          <w:p>
            <w:pPr>
              <w:pStyle w:val="182"/>
              <w:bidi w:val="0"/>
              <w:rPr>
                <w:color w:val="auto"/>
              </w:rPr>
            </w:pPr>
            <w:r>
              <w:rPr>
                <w:color w:val="auto"/>
              </w:rPr>
              <w:t>20</w:t>
            </w:r>
          </w:p>
        </w:tc>
        <w:tc>
          <w:tcPr>
            <w:tcW w:w="642" w:type="pct"/>
            <w:vAlign w:val="center"/>
          </w:tcPr>
          <w:p>
            <w:pPr>
              <w:pStyle w:val="182"/>
              <w:bidi w:val="0"/>
              <w:rPr>
                <w:color w:val="auto"/>
              </w:rPr>
            </w:pPr>
            <w:r>
              <w:rPr>
                <w:color w:val="auto"/>
              </w:rPr>
              <w:t>100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12</w:t>
            </w:r>
          </w:p>
        </w:tc>
        <w:tc>
          <w:tcPr>
            <w:tcW w:w="1166" w:type="pct"/>
            <w:vAlign w:val="center"/>
          </w:tcPr>
          <w:p>
            <w:pPr>
              <w:pStyle w:val="182"/>
              <w:bidi w:val="0"/>
              <w:rPr>
                <w:color w:val="auto"/>
              </w:rPr>
            </w:pPr>
            <w:r>
              <w:rPr>
                <w:color w:val="auto"/>
              </w:rPr>
              <w:t>1，2-二氯乙烷</w:t>
            </w:r>
          </w:p>
        </w:tc>
        <w:tc>
          <w:tcPr>
            <w:tcW w:w="1042" w:type="pct"/>
            <w:vAlign w:val="center"/>
          </w:tcPr>
          <w:p>
            <w:pPr>
              <w:pStyle w:val="182"/>
              <w:bidi w:val="0"/>
              <w:rPr>
                <w:color w:val="auto"/>
              </w:rPr>
            </w:pPr>
            <w:r>
              <w:rPr>
                <w:color w:val="auto"/>
              </w:rPr>
              <w:t>107-06-2</w:t>
            </w:r>
          </w:p>
        </w:tc>
        <w:tc>
          <w:tcPr>
            <w:tcW w:w="629" w:type="pct"/>
            <w:vAlign w:val="center"/>
          </w:tcPr>
          <w:p>
            <w:pPr>
              <w:pStyle w:val="182"/>
              <w:bidi w:val="0"/>
              <w:rPr>
                <w:color w:val="auto"/>
              </w:rPr>
            </w:pPr>
            <w:r>
              <w:rPr>
                <w:color w:val="auto"/>
              </w:rPr>
              <w:t>0.52</w:t>
            </w:r>
          </w:p>
        </w:tc>
        <w:tc>
          <w:tcPr>
            <w:tcW w:w="629" w:type="pct"/>
            <w:vAlign w:val="center"/>
          </w:tcPr>
          <w:p>
            <w:pPr>
              <w:pStyle w:val="182"/>
              <w:bidi w:val="0"/>
              <w:rPr>
                <w:color w:val="auto"/>
              </w:rPr>
            </w:pPr>
            <w:r>
              <w:rPr>
                <w:color w:val="auto"/>
              </w:rPr>
              <w:t>5</w:t>
            </w:r>
          </w:p>
        </w:tc>
        <w:tc>
          <w:tcPr>
            <w:tcW w:w="629" w:type="pct"/>
            <w:vAlign w:val="center"/>
          </w:tcPr>
          <w:p>
            <w:pPr>
              <w:pStyle w:val="182"/>
              <w:bidi w:val="0"/>
              <w:rPr>
                <w:color w:val="auto"/>
              </w:rPr>
            </w:pPr>
            <w:r>
              <w:rPr>
                <w:color w:val="auto"/>
              </w:rPr>
              <w:t>6</w:t>
            </w:r>
          </w:p>
        </w:tc>
        <w:tc>
          <w:tcPr>
            <w:tcW w:w="642" w:type="pct"/>
            <w:vAlign w:val="center"/>
          </w:tcPr>
          <w:p>
            <w:pPr>
              <w:pStyle w:val="182"/>
              <w:bidi w:val="0"/>
              <w:rPr>
                <w:color w:val="auto"/>
              </w:rPr>
            </w:pPr>
            <w:r>
              <w:rPr>
                <w:color w:val="auto"/>
              </w:rPr>
              <w:t>21</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13</w:t>
            </w:r>
          </w:p>
        </w:tc>
        <w:tc>
          <w:tcPr>
            <w:tcW w:w="1166" w:type="pct"/>
            <w:vAlign w:val="center"/>
          </w:tcPr>
          <w:p>
            <w:pPr>
              <w:pStyle w:val="182"/>
              <w:bidi w:val="0"/>
              <w:rPr>
                <w:color w:val="auto"/>
              </w:rPr>
            </w:pPr>
            <w:r>
              <w:rPr>
                <w:color w:val="auto"/>
              </w:rPr>
              <w:t>1，1-二氯乙烯</w:t>
            </w:r>
          </w:p>
        </w:tc>
        <w:tc>
          <w:tcPr>
            <w:tcW w:w="1042" w:type="pct"/>
            <w:vAlign w:val="center"/>
          </w:tcPr>
          <w:p>
            <w:pPr>
              <w:pStyle w:val="182"/>
              <w:bidi w:val="0"/>
              <w:rPr>
                <w:color w:val="auto"/>
              </w:rPr>
            </w:pPr>
            <w:r>
              <w:rPr>
                <w:color w:val="auto"/>
              </w:rPr>
              <w:t>75-35-4</w:t>
            </w:r>
          </w:p>
        </w:tc>
        <w:tc>
          <w:tcPr>
            <w:tcW w:w="629" w:type="pct"/>
            <w:vAlign w:val="center"/>
          </w:tcPr>
          <w:p>
            <w:pPr>
              <w:pStyle w:val="182"/>
              <w:bidi w:val="0"/>
              <w:rPr>
                <w:color w:val="auto"/>
              </w:rPr>
            </w:pPr>
            <w:r>
              <w:rPr>
                <w:color w:val="auto"/>
              </w:rPr>
              <w:t>12</w:t>
            </w:r>
          </w:p>
        </w:tc>
        <w:tc>
          <w:tcPr>
            <w:tcW w:w="629" w:type="pct"/>
            <w:vAlign w:val="center"/>
          </w:tcPr>
          <w:p>
            <w:pPr>
              <w:pStyle w:val="182"/>
              <w:bidi w:val="0"/>
              <w:rPr>
                <w:color w:val="auto"/>
              </w:rPr>
            </w:pPr>
            <w:r>
              <w:rPr>
                <w:color w:val="auto"/>
              </w:rPr>
              <w:t>66</w:t>
            </w:r>
          </w:p>
        </w:tc>
        <w:tc>
          <w:tcPr>
            <w:tcW w:w="629" w:type="pct"/>
            <w:vAlign w:val="center"/>
          </w:tcPr>
          <w:p>
            <w:pPr>
              <w:pStyle w:val="182"/>
              <w:bidi w:val="0"/>
              <w:rPr>
                <w:color w:val="auto"/>
              </w:rPr>
            </w:pPr>
            <w:r>
              <w:rPr>
                <w:color w:val="auto"/>
              </w:rPr>
              <w:t>40</w:t>
            </w:r>
          </w:p>
        </w:tc>
        <w:tc>
          <w:tcPr>
            <w:tcW w:w="642" w:type="pct"/>
            <w:vAlign w:val="center"/>
          </w:tcPr>
          <w:p>
            <w:pPr>
              <w:pStyle w:val="182"/>
              <w:bidi w:val="0"/>
              <w:rPr>
                <w:color w:val="auto"/>
              </w:rPr>
            </w:pPr>
            <w:r>
              <w:rPr>
                <w:color w:val="auto"/>
              </w:rPr>
              <w:t>200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14</w:t>
            </w:r>
          </w:p>
        </w:tc>
        <w:tc>
          <w:tcPr>
            <w:tcW w:w="1166" w:type="pct"/>
            <w:vAlign w:val="center"/>
          </w:tcPr>
          <w:p>
            <w:pPr>
              <w:pStyle w:val="182"/>
              <w:bidi w:val="0"/>
              <w:rPr>
                <w:color w:val="auto"/>
              </w:rPr>
            </w:pPr>
            <w:r>
              <w:rPr>
                <w:color w:val="auto"/>
              </w:rPr>
              <w:t>顺-1，2-二氯乙烯</w:t>
            </w:r>
          </w:p>
        </w:tc>
        <w:tc>
          <w:tcPr>
            <w:tcW w:w="1042" w:type="pct"/>
            <w:vAlign w:val="center"/>
          </w:tcPr>
          <w:p>
            <w:pPr>
              <w:pStyle w:val="182"/>
              <w:bidi w:val="0"/>
              <w:rPr>
                <w:color w:val="auto"/>
              </w:rPr>
            </w:pPr>
            <w:r>
              <w:rPr>
                <w:color w:val="auto"/>
              </w:rPr>
              <w:t>156-59-2</w:t>
            </w:r>
          </w:p>
        </w:tc>
        <w:tc>
          <w:tcPr>
            <w:tcW w:w="629" w:type="pct"/>
            <w:vAlign w:val="center"/>
          </w:tcPr>
          <w:p>
            <w:pPr>
              <w:pStyle w:val="182"/>
              <w:bidi w:val="0"/>
              <w:rPr>
                <w:color w:val="auto"/>
              </w:rPr>
            </w:pPr>
            <w:r>
              <w:rPr>
                <w:color w:val="auto"/>
              </w:rPr>
              <w:t>66</w:t>
            </w:r>
          </w:p>
        </w:tc>
        <w:tc>
          <w:tcPr>
            <w:tcW w:w="629" w:type="pct"/>
            <w:vAlign w:val="center"/>
          </w:tcPr>
          <w:p>
            <w:pPr>
              <w:pStyle w:val="182"/>
              <w:bidi w:val="0"/>
              <w:rPr>
                <w:color w:val="auto"/>
              </w:rPr>
            </w:pPr>
            <w:r>
              <w:rPr>
                <w:color w:val="auto"/>
              </w:rPr>
              <w:t>596</w:t>
            </w:r>
          </w:p>
        </w:tc>
        <w:tc>
          <w:tcPr>
            <w:tcW w:w="629" w:type="pct"/>
            <w:vAlign w:val="center"/>
          </w:tcPr>
          <w:p>
            <w:pPr>
              <w:pStyle w:val="182"/>
              <w:bidi w:val="0"/>
              <w:rPr>
                <w:color w:val="auto"/>
              </w:rPr>
            </w:pPr>
            <w:r>
              <w:rPr>
                <w:color w:val="auto"/>
              </w:rPr>
              <w:t>200</w:t>
            </w:r>
          </w:p>
        </w:tc>
        <w:tc>
          <w:tcPr>
            <w:tcW w:w="642" w:type="pct"/>
            <w:vAlign w:val="center"/>
          </w:tcPr>
          <w:p>
            <w:pPr>
              <w:pStyle w:val="182"/>
              <w:bidi w:val="0"/>
              <w:rPr>
                <w:color w:val="auto"/>
              </w:rPr>
            </w:pPr>
            <w:r>
              <w:rPr>
                <w:color w:val="auto"/>
              </w:rPr>
              <w:t>2000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15</w:t>
            </w:r>
          </w:p>
        </w:tc>
        <w:tc>
          <w:tcPr>
            <w:tcW w:w="1166" w:type="pct"/>
            <w:vAlign w:val="center"/>
          </w:tcPr>
          <w:p>
            <w:pPr>
              <w:pStyle w:val="182"/>
              <w:bidi w:val="0"/>
              <w:rPr>
                <w:color w:val="auto"/>
              </w:rPr>
            </w:pPr>
            <w:r>
              <w:rPr>
                <w:color w:val="auto"/>
              </w:rPr>
              <w:t>反-1，2-二氯乙烯</w:t>
            </w:r>
          </w:p>
        </w:tc>
        <w:tc>
          <w:tcPr>
            <w:tcW w:w="1042" w:type="pct"/>
            <w:vAlign w:val="center"/>
          </w:tcPr>
          <w:p>
            <w:pPr>
              <w:pStyle w:val="182"/>
              <w:bidi w:val="0"/>
              <w:rPr>
                <w:color w:val="auto"/>
              </w:rPr>
            </w:pPr>
            <w:r>
              <w:rPr>
                <w:color w:val="auto"/>
              </w:rPr>
              <w:t>156-60-5</w:t>
            </w:r>
          </w:p>
        </w:tc>
        <w:tc>
          <w:tcPr>
            <w:tcW w:w="629" w:type="pct"/>
            <w:vAlign w:val="center"/>
          </w:tcPr>
          <w:p>
            <w:pPr>
              <w:pStyle w:val="182"/>
              <w:bidi w:val="0"/>
              <w:rPr>
                <w:color w:val="auto"/>
              </w:rPr>
            </w:pPr>
            <w:r>
              <w:rPr>
                <w:color w:val="auto"/>
              </w:rPr>
              <w:t>10</w:t>
            </w:r>
          </w:p>
        </w:tc>
        <w:tc>
          <w:tcPr>
            <w:tcW w:w="629" w:type="pct"/>
            <w:vAlign w:val="center"/>
          </w:tcPr>
          <w:p>
            <w:pPr>
              <w:pStyle w:val="182"/>
              <w:bidi w:val="0"/>
              <w:rPr>
                <w:color w:val="auto"/>
              </w:rPr>
            </w:pPr>
            <w:r>
              <w:rPr>
                <w:color w:val="auto"/>
              </w:rPr>
              <w:t>54</w:t>
            </w:r>
          </w:p>
        </w:tc>
        <w:tc>
          <w:tcPr>
            <w:tcW w:w="629" w:type="pct"/>
            <w:vAlign w:val="center"/>
          </w:tcPr>
          <w:p>
            <w:pPr>
              <w:pStyle w:val="182"/>
              <w:bidi w:val="0"/>
              <w:rPr>
                <w:color w:val="auto"/>
              </w:rPr>
            </w:pPr>
            <w:r>
              <w:rPr>
                <w:color w:val="auto"/>
              </w:rPr>
              <w:t>31</w:t>
            </w:r>
          </w:p>
        </w:tc>
        <w:tc>
          <w:tcPr>
            <w:tcW w:w="642" w:type="pct"/>
            <w:vAlign w:val="center"/>
          </w:tcPr>
          <w:p>
            <w:pPr>
              <w:pStyle w:val="182"/>
              <w:bidi w:val="0"/>
              <w:rPr>
                <w:color w:val="auto"/>
              </w:rPr>
            </w:pPr>
            <w:r>
              <w:rPr>
                <w:color w:val="auto"/>
              </w:rPr>
              <w:t>163</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16</w:t>
            </w:r>
          </w:p>
        </w:tc>
        <w:tc>
          <w:tcPr>
            <w:tcW w:w="1166" w:type="pct"/>
            <w:vAlign w:val="center"/>
          </w:tcPr>
          <w:p>
            <w:pPr>
              <w:pStyle w:val="182"/>
              <w:bidi w:val="0"/>
              <w:rPr>
                <w:color w:val="auto"/>
              </w:rPr>
            </w:pPr>
            <w:r>
              <w:rPr>
                <w:color w:val="auto"/>
              </w:rPr>
              <w:t>二氯甲烷</w:t>
            </w:r>
          </w:p>
        </w:tc>
        <w:tc>
          <w:tcPr>
            <w:tcW w:w="1042" w:type="pct"/>
            <w:vAlign w:val="center"/>
          </w:tcPr>
          <w:p>
            <w:pPr>
              <w:pStyle w:val="182"/>
              <w:bidi w:val="0"/>
              <w:rPr>
                <w:color w:val="auto"/>
              </w:rPr>
            </w:pPr>
            <w:r>
              <w:rPr>
                <w:color w:val="auto"/>
              </w:rPr>
              <w:t>75-09-2</w:t>
            </w:r>
          </w:p>
        </w:tc>
        <w:tc>
          <w:tcPr>
            <w:tcW w:w="629" w:type="pct"/>
            <w:vAlign w:val="center"/>
          </w:tcPr>
          <w:p>
            <w:pPr>
              <w:pStyle w:val="182"/>
              <w:bidi w:val="0"/>
              <w:rPr>
                <w:color w:val="auto"/>
              </w:rPr>
            </w:pPr>
            <w:r>
              <w:rPr>
                <w:color w:val="auto"/>
              </w:rPr>
              <w:t>94</w:t>
            </w:r>
          </w:p>
        </w:tc>
        <w:tc>
          <w:tcPr>
            <w:tcW w:w="629" w:type="pct"/>
            <w:vAlign w:val="center"/>
          </w:tcPr>
          <w:p>
            <w:pPr>
              <w:pStyle w:val="182"/>
              <w:bidi w:val="0"/>
              <w:rPr>
                <w:color w:val="auto"/>
              </w:rPr>
            </w:pPr>
            <w:r>
              <w:rPr>
                <w:color w:val="auto"/>
              </w:rPr>
              <w:t>616</w:t>
            </w:r>
          </w:p>
        </w:tc>
        <w:tc>
          <w:tcPr>
            <w:tcW w:w="629" w:type="pct"/>
            <w:vAlign w:val="center"/>
          </w:tcPr>
          <w:p>
            <w:pPr>
              <w:pStyle w:val="182"/>
              <w:bidi w:val="0"/>
              <w:rPr>
                <w:color w:val="auto"/>
              </w:rPr>
            </w:pPr>
            <w:r>
              <w:rPr>
                <w:color w:val="auto"/>
              </w:rPr>
              <w:t>300</w:t>
            </w:r>
          </w:p>
        </w:tc>
        <w:tc>
          <w:tcPr>
            <w:tcW w:w="642" w:type="pct"/>
            <w:vAlign w:val="center"/>
          </w:tcPr>
          <w:p>
            <w:pPr>
              <w:pStyle w:val="182"/>
              <w:bidi w:val="0"/>
              <w:rPr>
                <w:color w:val="auto"/>
              </w:rPr>
            </w:pPr>
            <w:r>
              <w:rPr>
                <w:color w:val="auto"/>
              </w:rPr>
              <w:t>2000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17</w:t>
            </w:r>
          </w:p>
        </w:tc>
        <w:tc>
          <w:tcPr>
            <w:tcW w:w="1166" w:type="pct"/>
            <w:vAlign w:val="center"/>
          </w:tcPr>
          <w:p>
            <w:pPr>
              <w:pStyle w:val="182"/>
              <w:bidi w:val="0"/>
              <w:rPr>
                <w:color w:val="auto"/>
              </w:rPr>
            </w:pPr>
            <w:r>
              <w:rPr>
                <w:color w:val="auto"/>
              </w:rPr>
              <w:t>1，2-二氯丙烷</w:t>
            </w:r>
          </w:p>
        </w:tc>
        <w:tc>
          <w:tcPr>
            <w:tcW w:w="1042" w:type="pct"/>
            <w:vAlign w:val="center"/>
          </w:tcPr>
          <w:p>
            <w:pPr>
              <w:pStyle w:val="182"/>
              <w:bidi w:val="0"/>
              <w:rPr>
                <w:color w:val="auto"/>
              </w:rPr>
            </w:pPr>
            <w:r>
              <w:rPr>
                <w:color w:val="auto"/>
              </w:rPr>
              <w:t>78-87-5</w:t>
            </w:r>
          </w:p>
        </w:tc>
        <w:tc>
          <w:tcPr>
            <w:tcW w:w="629" w:type="pct"/>
            <w:vAlign w:val="center"/>
          </w:tcPr>
          <w:p>
            <w:pPr>
              <w:pStyle w:val="182"/>
              <w:bidi w:val="0"/>
              <w:rPr>
                <w:color w:val="auto"/>
              </w:rPr>
            </w:pPr>
            <w:r>
              <w:rPr>
                <w:color w:val="auto"/>
              </w:rPr>
              <w:t>1</w:t>
            </w:r>
          </w:p>
        </w:tc>
        <w:tc>
          <w:tcPr>
            <w:tcW w:w="629" w:type="pct"/>
            <w:vAlign w:val="center"/>
          </w:tcPr>
          <w:p>
            <w:pPr>
              <w:pStyle w:val="182"/>
              <w:bidi w:val="0"/>
              <w:rPr>
                <w:color w:val="auto"/>
              </w:rPr>
            </w:pPr>
            <w:r>
              <w:rPr>
                <w:color w:val="auto"/>
              </w:rPr>
              <w:t>5</w:t>
            </w:r>
          </w:p>
        </w:tc>
        <w:tc>
          <w:tcPr>
            <w:tcW w:w="629" w:type="pct"/>
            <w:vAlign w:val="center"/>
          </w:tcPr>
          <w:p>
            <w:pPr>
              <w:pStyle w:val="182"/>
              <w:bidi w:val="0"/>
              <w:rPr>
                <w:color w:val="auto"/>
              </w:rPr>
            </w:pPr>
            <w:r>
              <w:rPr>
                <w:color w:val="auto"/>
              </w:rPr>
              <w:t>5</w:t>
            </w:r>
          </w:p>
        </w:tc>
        <w:tc>
          <w:tcPr>
            <w:tcW w:w="642" w:type="pct"/>
            <w:vAlign w:val="center"/>
          </w:tcPr>
          <w:p>
            <w:pPr>
              <w:pStyle w:val="182"/>
              <w:bidi w:val="0"/>
              <w:rPr>
                <w:color w:val="auto"/>
              </w:rPr>
            </w:pPr>
            <w:r>
              <w:rPr>
                <w:color w:val="auto"/>
              </w:rPr>
              <w:t>47</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18</w:t>
            </w:r>
          </w:p>
        </w:tc>
        <w:tc>
          <w:tcPr>
            <w:tcW w:w="1166" w:type="pct"/>
            <w:vAlign w:val="center"/>
          </w:tcPr>
          <w:p>
            <w:pPr>
              <w:pStyle w:val="182"/>
              <w:bidi w:val="0"/>
              <w:rPr>
                <w:color w:val="auto"/>
              </w:rPr>
            </w:pPr>
            <w:r>
              <w:rPr>
                <w:color w:val="auto"/>
              </w:rPr>
              <w:t>1，1，1，2-四氯乙烷</w:t>
            </w:r>
          </w:p>
        </w:tc>
        <w:tc>
          <w:tcPr>
            <w:tcW w:w="1042" w:type="pct"/>
            <w:vAlign w:val="center"/>
          </w:tcPr>
          <w:p>
            <w:pPr>
              <w:pStyle w:val="182"/>
              <w:bidi w:val="0"/>
              <w:rPr>
                <w:color w:val="auto"/>
              </w:rPr>
            </w:pPr>
            <w:r>
              <w:rPr>
                <w:color w:val="auto"/>
              </w:rPr>
              <w:t>630-20-6</w:t>
            </w:r>
          </w:p>
        </w:tc>
        <w:tc>
          <w:tcPr>
            <w:tcW w:w="629" w:type="pct"/>
            <w:vAlign w:val="center"/>
          </w:tcPr>
          <w:p>
            <w:pPr>
              <w:pStyle w:val="182"/>
              <w:bidi w:val="0"/>
              <w:rPr>
                <w:color w:val="auto"/>
              </w:rPr>
            </w:pPr>
            <w:r>
              <w:rPr>
                <w:color w:val="auto"/>
              </w:rPr>
              <w:t>2.6</w:t>
            </w:r>
          </w:p>
        </w:tc>
        <w:tc>
          <w:tcPr>
            <w:tcW w:w="629" w:type="pct"/>
            <w:vAlign w:val="center"/>
          </w:tcPr>
          <w:p>
            <w:pPr>
              <w:pStyle w:val="182"/>
              <w:bidi w:val="0"/>
              <w:rPr>
                <w:color w:val="auto"/>
              </w:rPr>
            </w:pPr>
            <w:r>
              <w:rPr>
                <w:color w:val="auto"/>
              </w:rPr>
              <w:t>10</w:t>
            </w:r>
          </w:p>
        </w:tc>
        <w:tc>
          <w:tcPr>
            <w:tcW w:w="629" w:type="pct"/>
            <w:vAlign w:val="center"/>
          </w:tcPr>
          <w:p>
            <w:pPr>
              <w:pStyle w:val="182"/>
              <w:bidi w:val="0"/>
              <w:rPr>
                <w:color w:val="auto"/>
              </w:rPr>
            </w:pPr>
            <w:r>
              <w:rPr>
                <w:color w:val="auto"/>
              </w:rPr>
              <w:t>26</w:t>
            </w:r>
          </w:p>
        </w:tc>
        <w:tc>
          <w:tcPr>
            <w:tcW w:w="642" w:type="pct"/>
            <w:vAlign w:val="center"/>
          </w:tcPr>
          <w:p>
            <w:pPr>
              <w:pStyle w:val="182"/>
              <w:bidi w:val="0"/>
              <w:rPr>
                <w:color w:val="auto"/>
              </w:rPr>
            </w:pPr>
            <w:r>
              <w:rPr>
                <w:color w:val="auto"/>
              </w:rPr>
              <w:t>100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19</w:t>
            </w:r>
          </w:p>
        </w:tc>
        <w:tc>
          <w:tcPr>
            <w:tcW w:w="1166" w:type="pct"/>
            <w:vAlign w:val="center"/>
          </w:tcPr>
          <w:p>
            <w:pPr>
              <w:pStyle w:val="182"/>
              <w:bidi w:val="0"/>
              <w:rPr>
                <w:color w:val="auto"/>
              </w:rPr>
            </w:pPr>
            <w:r>
              <w:rPr>
                <w:color w:val="auto"/>
              </w:rPr>
              <w:t>1，1，2，2-四氯乙烷</w:t>
            </w:r>
          </w:p>
        </w:tc>
        <w:tc>
          <w:tcPr>
            <w:tcW w:w="1042" w:type="pct"/>
            <w:vAlign w:val="center"/>
          </w:tcPr>
          <w:p>
            <w:pPr>
              <w:pStyle w:val="182"/>
              <w:bidi w:val="0"/>
              <w:rPr>
                <w:color w:val="auto"/>
              </w:rPr>
            </w:pPr>
            <w:r>
              <w:rPr>
                <w:color w:val="auto"/>
              </w:rPr>
              <w:t>79-34-5</w:t>
            </w:r>
          </w:p>
        </w:tc>
        <w:tc>
          <w:tcPr>
            <w:tcW w:w="629" w:type="pct"/>
            <w:vAlign w:val="center"/>
          </w:tcPr>
          <w:p>
            <w:pPr>
              <w:pStyle w:val="182"/>
              <w:bidi w:val="0"/>
              <w:rPr>
                <w:color w:val="auto"/>
              </w:rPr>
            </w:pPr>
            <w:r>
              <w:rPr>
                <w:color w:val="auto"/>
              </w:rPr>
              <w:t>1.6</w:t>
            </w:r>
          </w:p>
        </w:tc>
        <w:tc>
          <w:tcPr>
            <w:tcW w:w="629" w:type="pct"/>
            <w:vAlign w:val="center"/>
          </w:tcPr>
          <w:p>
            <w:pPr>
              <w:pStyle w:val="182"/>
              <w:bidi w:val="0"/>
              <w:rPr>
                <w:color w:val="auto"/>
              </w:rPr>
            </w:pPr>
            <w:r>
              <w:rPr>
                <w:color w:val="auto"/>
              </w:rPr>
              <w:t>6.8</w:t>
            </w:r>
          </w:p>
        </w:tc>
        <w:tc>
          <w:tcPr>
            <w:tcW w:w="629" w:type="pct"/>
            <w:vAlign w:val="center"/>
          </w:tcPr>
          <w:p>
            <w:pPr>
              <w:pStyle w:val="182"/>
              <w:bidi w:val="0"/>
              <w:rPr>
                <w:color w:val="auto"/>
              </w:rPr>
            </w:pPr>
            <w:r>
              <w:rPr>
                <w:color w:val="auto"/>
              </w:rPr>
              <w:t>14</w:t>
            </w:r>
          </w:p>
        </w:tc>
        <w:tc>
          <w:tcPr>
            <w:tcW w:w="642" w:type="pct"/>
            <w:vAlign w:val="center"/>
          </w:tcPr>
          <w:p>
            <w:pPr>
              <w:pStyle w:val="182"/>
              <w:bidi w:val="0"/>
              <w:rPr>
                <w:color w:val="auto"/>
              </w:rPr>
            </w:pPr>
            <w:r>
              <w:rPr>
                <w:color w:val="auto"/>
              </w:rPr>
              <w:t>50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20</w:t>
            </w:r>
          </w:p>
        </w:tc>
        <w:tc>
          <w:tcPr>
            <w:tcW w:w="1166" w:type="pct"/>
            <w:vAlign w:val="center"/>
          </w:tcPr>
          <w:p>
            <w:pPr>
              <w:pStyle w:val="182"/>
              <w:bidi w:val="0"/>
              <w:rPr>
                <w:color w:val="auto"/>
              </w:rPr>
            </w:pPr>
            <w:r>
              <w:rPr>
                <w:color w:val="auto"/>
              </w:rPr>
              <w:t>四氯乙烯</w:t>
            </w:r>
          </w:p>
        </w:tc>
        <w:tc>
          <w:tcPr>
            <w:tcW w:w="1042" w:type="pct"/>
            <w:vAlign w:val="center"/>
          </w:tcPr>
          <w:p>
            <w:pPr>
              <w:pStyle w:val="182"/>
              <w:bidi w:val="0"/>
              <w:rPr>
                <w:color w:val="auto"/>
              </w:rPr>
            </w:pPr>
            <w:r>
              <w:rPr>
                <w:color w:val="auto"/>
              </w:rPr>
              <w:t>127-18-4</w:t>
            </w:r>
          </w:p>
        </w:tc>
        <w:tc>
          <w:tcPr>
            <w:tcW w:w="629" w:type="pct"/>
            <w:vAlign w:val="center"/>
          </w:tcPr>
          <w:p>
            <w:pPr>
              <w:pStyle w:val="182"/>
              <w:bidi w:val="0"/>
              <w:rPr>
                <w:color w:val="auto"/>
              </w:rPr>
            </w:pPr>
            <w:r>
              <w:rPr>
                <w:color w:val="auto"/>
              </w:rPr>
              <w:t>11</w:t>
            </w:r>
          </w:p>
        </w:tc>
        <w:tc>
          <w:tcPr>
            <w:tcW w:w="629" w:type="pct"/>
            <w:vAlign w:val="center"/>
          </w:tcPr>
          <w:p>
            <w:pPr>
              <w:pStyle w:val="182"/>
              <w:bidi w:val="0"/>
              <w:rPr>
                <w:color w:val="auto"/>
              </w:rPr>
            </w:pPr>
            <w:r>
              <w:rPr>
                <w:color w:val="auto"/>
              </w:rPr>
              <w:t>53</w:t>
            </w:r>
          </w:p>
        </w:tc>
        <w:tc>
          <w:tcPr>
            <w:tcW w:w="629" w:type="pct"/>
            <w:vAlign w:val="center"/>
          </w:tcPr>
          <w:p>
            <w:pPr>
              <w:pStyle w:val="182"/>
              <w:bidi w:val="0"/>
              <w:rPr>
                <w:color w:val="auto"/>
              </w:rPr>
            </w:pPr>
            <w:r>
              <w:rPr>
                <w:color w:val="auto"/>
              </w:rPr>
              <w:t>34</w:t>
            </w:r>
          </w:p>
        </w:tc>
        <w:tc>
          <w:tcPr>
            <w:tcW w:w="642" w:type="pct"/>
            <w:vAlign w:val="center"/>
          </w:tcPr>
          <w:p>
            <w:pPr>
              <w:pStyle w:val="182"/>
              <w:bidi w:val="0"/>
              <w:rPr>
                <w:color w:val="auto"/>
              </w:rPr>
            </w:pPr>
            <w:r>
              <w:rPr>
                <w:color w:val="auto"/>
              </w:rPr>
              <w:t>183</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21</w:t>
            </w:r>
          </w:p>
        </w:tc>
        <w:tc>
          <w:tcPr>
            <w:tcW w:w="1166" w:type="pct"/>
            <w:vAlign w:val="center"/>
          </w:tcPr>
          <w:p>
            <w:pPr>
              <w:pStyle w:val="182"/>
              <w:bidi w:val="0"/>
              <w:rPr>
                <w:color w:val="auto"/>
              </w:rPr>
            </w:pPr>
            <w:r>
              <w:rPr>
                <w:color w:val="auto"/>
              </w:rPr>
              <w:t>1，1，1-三氯乙烷</w:t>
            </w:r>
          </w:p>
        </w:tc>
        <w:tc>
          <w:tcPr>
            <w:tcW w:w="1042" w:type="pct"/>
            <w:vAlign w:val="center"/>
          </w:tcPr>
          <w:p>
            <w:pPr>
              <w:pStyle w:val="182"/>
              <w:bidi w:val="0"/>
              <w:rPr>
                <w:color w:val="auto"/>
              </w:rPr>
            </w:pPr>
            <w:r>
              <w:rPr>
                <w:color w:val="auto"/>
              </w:rPr>
              <w:t>71-55-6</w:t>
            </w:r>
          </w:p>
        </w:tc>
        <w:tc>
          <w:tcPr>
            <w:tcW w:w="629" w:type="pct"/>
            <w:vAlign w:val="center"/>
          </w:tcPr>
          <w:p>
            <w:pPr>
              <w:pStyle w:val="182"/>
              <w:bidi w:val="0"/>
              <w:rPr>
                <w:color w:val="auto"/>
              </w:rPr>
            </w:pPr>
            <w:r>
              <w:rPr>
                <w:color w:val="auto"/>
              </w:rPr>
              <w:t>701</w:t>
            </w:r>
          </w:p>
        </w:tc>
        <w:tc>
          <w:tcPr>
            <w:tcW w:w="629" w:type="pct"/>
            <w:vAlign w:val="center"/>
          </w:tcPr>
          <w:p>
            <w:pPr>
              <w:pStyle w:val="182"/>
              <w:bidi w:val="0"/>
              <w:rPr>
                <w:color w:val="auto"/>
              </w:rPr>
            </w:pPr>
            <w:r>
              <w:rPr>
                <w:color w:val="auto"/>
              </w:rPr>
              <w:t>840</w:t>
            </w:r>
          </w:p>
        </w:tc>
        <w:tc>
          <w:tcPr>
            <w:tcW w:w="629" w:type="pct"/>
            <w:vAlign w:val="center"/>
          </w:tcPr>
          <w:p>
            <w:pPr>
              <w:pStyle w:val="182"/>
              <w:bidi w:val="0"/>
              <w:rPr>
                <w:color w:val="auto"/>
              </w:rPr>
            </w:pPr>
            <w:r>
              <w:rPr>
                <w:color w:val="auto"/>
              </w:rPr>
              <w:t>840</w:t>
            </w:r>
          </w:p>
        </w:tc>
        <w:tc>
          <w:tcPr>
            <w:tcW w:w="642" w:type="pct"/>
            <w:vAlign w:val="center"/>
          </w:tcPr>
          <w:p>
            <w:pPr>
              <w:pStyle w:val="182"/>
              <w:bidi w:val="0"/>
              <w:rPr>
                <w:color w:val="auto"/>
              </w:rPr>
            </w:pPr>
            <w:r>
              <w:rPr>
                <w:color w:val="auto"/>
              </w:rPr>
              <w:t>840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22</w:t>
            </w:r>
          </w:p>
        </w:tc>
        <w:tc>
          <w:tcPr>
            <w:tcW w:w="1166" w:type="pct"/>
            <w:vAlign w:val="center"/>
          </w:tcPr>
          <w:p>
            <w:pPr>
              <w:pStyle w:val="182"/>
              <w:bidi w:val="0"/>
              <w:rPr>
                <w:color w:val="auto"/>
              </w:rPr>
            </w:pPr>
            <w:r>
              <w:rPr>
                <w:color w:val="auto"/>
              </w:rPr>
              <w:t>1，1，2-三氯乙烷</w:t>
            </w:r>
          </w:p>
        </w:tc>
        <w:tc>
          <w:tcPr>
            <w:tcW w:w="1042" w:type="pct"/>
            <w:vAlign w:val="center"/>
          </w:tcPr>
          <w:p>
            <w:pPr>
              <w:pStyle w:val="182"/>
              <w:bidi w:val="0"/>
              <w:rPr>
                <w:color w:val="auto"/>
              </w:rPr>
            </w:pPr>
            <w:r>
              <w:rPr>
                <w:color w:val="auto"/>
              </w:rPr>
              <w:t>79-00-5</w:t>
            </w:r>
          </w:p>
        </w:tc>
        <w:tc>
          <w:tcPr>
            <w:tcW w:w="629" w:type="pct"/>
            <w:vAlign w:val="center"/>
          </w:tcPr>
          <w:p>
            <w:pPr>
              <w:pStyle w:val="182"/>
              <w:bidi w:val="0"/>
              <w:rPr>
                <w:color w:val="auto"/>
              </w:rPr>
            </w:pPr>
            <w:r>
              <w:rPr>
                <w:color w:val="auto"/>
              </w:rPr>
              <w:t>0.6</w:t>
            </w:r>
          </w:p>
        </w:tc>
        <w:tc>
          <w:tcPr>
            <w:tcW w:w="629" w:type="pct"/>
            <w:vAlign w:val="center"/>
          </w:tcPr>
          <w:p>
            <w:pPr>
              <w:pStyle w:val="182"/>
              <w:bidi w:val="0"/>
              <w:rPr>
                <w:color w:val="auto"/>
              </w:rPr>
            </w:pPr>
            <w:r>
              <w:rPr>
                <w:color w:val="auto"/>
              </w:rPr>
              <w:t>2.8</w:t>
            </w:r>
          </w:p>
        </w:tc>
        <w:tc>
          <w:tcPr>
            <w:tcW w:w="629" w:type="pct"/>
            <w:vAlign w:val="center"/>
          </w:tcPr>
          <w:p>
            <w:pPr>
              <w:pStyle w:val="182"/>
              <w:bidi w:val="0"/>
              <w:rPr>
                <w:color w:val="auto"/>
              </w:rPr>
            </w:pPr>
            <w:r>
              <w:rPr>
                <w:color w:val="auto"/>
              </w:rPr>
              <w:t>5</w:t>
            </w:r>
          </w:p>
        </w:tc>
        <w:tc>
          <w:tcPr>
            <w:tcW w:w="642" w:type="pct"/>
            <w:vAlign w:val="center"/>
          </w:tcPr>
          <w:p>
            <w:pPr>
              <w:pStyle w:val="182"/>
              <w:bidi w:val="0"/>
              <w:rPr>
                <w:color w:val="auto"/>
              </w:rPr>
            </w:pPr>
            <w:r>
              <w:rPr>
                <w:color w:val="auto"/>
              </w:rPr>
              <w:t>15</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23</w:t>
            </w:r>
          </w:p>
        </w:tc>
        <w:tc>
          <w:tcPr>
            <w:tcW w:w="1166" w:type="pct"/>
            <w:vAlign w:val="center"/>
          </w:tcPr>
          <w:p>
            <w:pPr>
              <w:pStyle w:val="182"/>
              <w:bidi w:val="0"/>
              <w:rPr>
                <w:color w:val="auto"/>
              </w:rPr>
            </w:pPr>
            <w:r>
              <w:rPr>
                <w:color w:val="auto"/>
              </w:rPr>
              <w:t>三氯乙烯</w:t>
            </w:r>
          </w:p>
        </w:tc>
        <w:tc>
          <w:tcPr>
            <w:tcW w:w="1042" w:type="pct"/>
            <w:vAlign w:val="center"/>
          </w:tcPr>
          <w:p>
            <w:pPr>
              <w:pStyle w:val="182"/>
              <w:bidi w:val="0"/>
              <w:rPr>
                <w:color w:val="auto"/>
              </w:rPr>
            </w:pPr>
            <w:r>
              <w:rPr>
                <w:color w:val="auto"/>
              </w:rPr>
              <w:t>79-01-6</w:t>
            </w:r>
          </w:p>
        </w:tc>
        <w:tc>
          <w:tcPr>
            <w:tcW w:w="629" w:type="pct"/>
            <w:vAlign w:val="center"/>
          </w:tcPr>
          <w:p>
            <w:pPr>
              <w:pStyle w:val="182"/>
              <w:bidi w:val="0"/>
              <w:rPr>
                <w:color w:val="auto"/>
              </w:rPr>
            </w:pPr>
            <w:r>
              <w:rPr>
                <w:color w:val="auto"/>
              </w:rPr>
              <w:t>0.7</w:t>
            </w:r>
          </w:p>
        </w:tc>
        <w:tc>
          <w:tcPr>
            <w:tcW w:w="629" w:type="pct"/>
            <w:vAlign w:val="center"/>
          </w:tcPr>
          <w:p>
            <w:pPr>
              <w:pStyle w:val="182"/>
              <w:bidi w:val="0"/>
              <w:rPr>
                <w:color w:val="auto"/>
              </w:rPr>
            </w:pPr>
            <w:r>
              <w:rPr>
                <w:color w:val="auto"/>
              </w:rPr>
              <w:t>2.8</w:t>
            </w:r>
          </w:p>
        </w:tc>
        <w:tc>
          <w:tcPr>
            <w:tcW w:w="629" w:type="pct"/>
            <w:vAlign w:val="center"/>
          </w:tcPr>
          <w:p>
            <w:pPr>
              <w:pStyle w:val="182"/>
              <w:bidi w:val="0"/>
              <w:rPr>
                <w:color w:val="auto"/>
              </w:rPr>
            </w:pPr>
            <w:r>
              <w:rPr>
                <w:color w:val="auto"/>
              </w:rPr>
              <w:t>7</w:t>
            </w:r>
          </w:p>
        </w:tc>
        <w:tc>
          <w:tcPr>
            <w:tcW w:w="642" w:type="pct"/>
            <w:vAlign w:val="center"/>
          </w:tcPr>
          <w:p>
            <w:pPr>
              <w:pStyle w:val="182"/>
              <w:bidi w:val="0"/>
              <w:rPr>
                <w:color w:val="auto"/>
              </w:rPr>
            </w:pPr>
            <w:r>
              <w:rPr>
                <w:color w:val="auto"/>
              </w:rPr>
              <w:t>20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24</w:t>
            </w:r>
          </w:p>
        </w:tc>
        <w:tc>
          <w:tcPr>
            <w:tcW w:w="1166" w:type="pct"/>
            <w:vAlign w:val="center"/>
          </w:tcPr>
          <w:p>
            <w:pPr>
              <w:pStyle w:val="182"/>
              <w:bidi w:val="0"/>
              <w:rPr>
                <w:color w:val="auto"/>
              </w:rPr>
            </w:pPr>
            <w:r>
              <w:rPr>
                <w:color w:val="auto"/>
              </w:rPr>
              <w:t>1，2，3-三氯丙烷</w:t>
            </w:r>
          </w:p>
        </w:tc>
        <w:tc>
          <w:tcPr>
            <w:tcW w:w="1042" w:type="pct"/>
            <w:vAlign w:val="center"/>
          </w:tcPr>
          <w:p>
            <w:pPr>
              <w:pStyle w:val="182"/>
              <w:bidi w:val="0"/>
              <w:rPr>
                <w:color w:val="auto"/>
              </w:rPr>
            </w:pPr>
            <w:r>
              <w:rPr>
                <w:color w:val="auto"/>
              </w:rPr>
              <w:t>96-18-4</w:t>
            </w:r>
          </w:p>
        </w:tc>
        <w:tc>
          <w:tcPr>
            <w:tcW w:w="629" w:type="pct"/>
            <w:vAlign w:val="center"/>
          </w:tcPr>
          <w:p>
            <w:pPr>
              <w:pStyle w:val="182"/>
              <w:bidi w:val="0"/>
              <w:rPr>
                <w:color w:val="auto"/>
              </w:rPr>
            </w:pPr>
            <w:r>
              <w:rPr>
                <w:color w:val="auto"/>
              </w:rPr>
              <w:t>0.05</w:t>
            </w:r>
          </w:p>
        </w:tc>
        <w:tc>
          <w:tcPr>
            <w:tcW w:w="629" w:type="pct"/>
            <w:vAlign w:val="center"/>
          </w:tcPr>
          <w:p>
            <w:pPr>
              <w:pStyle w:val="182"/>
              <w:bidi w:val="0"/>
              <w:rPr>
                <w:color w:val="auto"/>
              </w:rPr>
            </w:pPr>
            <w:r>
              <w:rPr>
                <w:color w:val="auto"/>
              </w:rPr>
              <w:t>0.5</w:t>
            </w:r>
          </w:p>
        </w:tc>
        <w:tc>
          <w:tcPr>
            <w:tcW w:w="629" w:type="pct"/>
            <w:vAlign w:val="center"/>
          </w:tcPr>
          <w:p>
            <w:pPr>
              <w:pStyle w:val="182"/>
              <w:bidi w:val="0"/>
              <w:rPr>
                <w:color w:val="auto"/>
              </w:rPr>
            </w:pPr>
            <w:r>
              <w:rPr>
                <w:color w:val="auto"/>
              </w:rPr>
              <w:t>0.5</w:t>
            </w:r>
          </w:p>
        </w:tc>
        <w:tc>
          <w:tcPr>
            <w:tcW w:w="642" w:type="pct"/>
            <w:vAlign w:val="center"/>
          </w:tcPr>
          <w:p>
            <w:pPr>
              <w:pStyle w:val="182"/>
              <w:bidi w:val="0"/>
              <w:rPr>
                <w:color w:val="auto"/>
              </w:rPr>
            </w:pPr>
            <w:r>
              <w:rPr>
                <w:color w:val="auto"/>
              </w:rPr>
              <w:t>5</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25</w:t>
            </w:r>
          </w:p>
        </w:tc>
        <w:tc>
          <w:tcPr>
            <w:tcW w:w="1166" w:type="pct"/>
            <w:vAlign w:val="center"/>
          </w:tcPr>
          <w:p>
            <w:pPr>
              <w:pStyle w:val="182"/>
              <w:bidi w:val="0"/>
              <w:rPr>
                <w:color w:val="auto"/>
              </w:rPr>
            </w:pPr>
            <w:r>
              <w:rPr>
                <w:color w:val="auto"/>
              </w:rPr>
              <w:t>氯乙烯</w:t>
            </w:r>
          </w:p>
        </w:tc>
        <w:tc>
          <w:tcPr>
            <w:tcW w:w="1042" w:type="pct"/>
            <w:vAlign w:val="center"/>
          </w:tcPr>
          <w:p>
            <w:pPr>
              <w:pStyle w:val="182"/>
              <w:bidi w:val="0"/>
              <w:rPr>
                <w:color w:val="auto"/>
              </w:rPr>
            </w:pPr>
            <w:r>
              <w:rPr>
                <w:color w:val="auto"/>
              </w:rPr>
              <w:t>75-01-4</w:t>
            </w:r>
          </w:p>
        </w:tc>
        <w:tc>
          <w:tcPr>
            <w:tcW w:w="629" w:type="pct"/>
            <w:vAlign w:val="center"/>
          </w:tcPr>
          <w:p>
            <w:pPr>
              <w:pStyle w:val="182"/>
              <w:bidi w:val="0"/>
              <w:rPr>
                <w:color w:val="auto"/>
              </w:rPr>
            </w:pPr>
            <w:r>
              <w:rPr>
                <w:color w:val="auto"/>
              </w:rPr>
              <w:t>0.12</w:t>
            </w:r>
          </w:p>
        </w:tc>
        <w:tc>
          <w:tcPr>
            <w:tcW w:w="629" w:type="pct"/>
            <w:vAlign w:val="center"/>
          </w:tcPr>
          <w:p>
            <w:pPr>
              <w:pStyle w:val="182"/>
              <w:bidi w:val="0"/>
              <w:rPr>
                <w:color w:val="auto"/>
              </w:rPr>
            </w:pPr>
            <w:r>
              <w:rPr>
                <w:color w:val="auto"/>
              </w:rPr>
              <w:t>0.43</w:t>
            </w:r>
          </w:p>
        </w:tc>
        <w:tc>
          <w:tcPr>
            <w:tcW w:w="629" w:type="pct"/>
            <w:vAlign w:val="center"/>
          </w:tcPr>
          <w:p>
            <w:pPr>
              <w:pStyle w:val="182"/>
              <w:bidi w:val="0"/>
              <w:rPr>
                <w:color w:val="auto"/>
              </w:rPr>
            </w:pPr>
            <w:r>
              <w:rPr>
                <w:color w:val="auto"/>
              </w:rPr>
              <w:t>1.2</w:t>
            </w:r>
          </w:p>
        </w:tc>
        <w:tc>
          <w:tcPr>
            <w:tcW w:w="642" w:type="pct"/>
            <w:vAlign w:val="center"/>
          </w:tcPr>
          <w:p>
            <w:pPr>
              <w:pStyle w:val="182"/>
              <w:bidi w:val="0"/>
              <w:rPr>
                <w:color w:val="auto"/>
              </w:rPr>
            </w:pPr>
            <w:r>
              <w:rPr>
                <w:color w:val="auto"/>
              </w:rPr>
              <w:t>4.3</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26</w:t>
            </w:r>
          </w:p>
        </w:tc>
        <w:tc>
          <w:tcPr>
            <w:tcW w:w="1166" w:type="pct"/>
            <w:vAlign w:val="center"/>
          </w:tcPr>
          <w:p>
            <w:pPr>
              <w:pStyle w:val="182"/>
              <w:bidi w:val="0"/>
              <w:rPr>
                <w:color w:val="auto"/>
              </w:rPr>
            </w:pPr>
            <w:r>
              <w:rPr>
                <w:color w:val="auto"/>
              </w:rPr>
              <w:t>苯</w:t>
            </w:r>
          </w:p>
        </w:tc>
        <w:tc>
          <w:tcPr>
            <w:tcW w:w="1042" w:type="pct"/>
            <w:vAlign w:val="center"/>
          </w:tcPr>
          <w:p>
            <w:pPr>
              <w:pStyle w:val="182"/>
              <w:bidi w:val="0"/>
              <w:rPr>
                <w:color w:val="auto"/>
              </w:rPr>
            </w:pPr>
            <w:r>
              <w:rPr>
                <w:color w:val="auto"/>
              </w:rPr>
              <w:t>71-43-2</w:t>
            </w:r>
          </w:p>
        </w:tc>
        <w:tc>
          <w:tcPr>
            <w:tcW w:w="629" w:type="pct"/>
            <w:vAlign w:val="center"/>
          </w:tcPr>
          <w:p>
            <w:pPr>
              <w:pStyle w:val="182"/>
              <w:bidi w:val="0"/>
              <w:rPr>
                <w:color w:val="auto"/>
              </w:rPr>
            </w:pPr>
            <w:r>
              <w:rPr>
                <w:color w:val="auto"/>
              </w:rPr>
              <w:t>1</w:t>
            </w:r>
          </w:p>
        </w:tc>
        <w:tc>
          <w:tcPr>
            <w:tcW w:w="629" w:type="pct"/>
            <w:vAlign w:val="center"/>
          </w:tcPr>
          <w:p>
            <w:pPr>
              <w:pStyle w:val="182"/>
              <w:bidi w:val="0"/>
              <w:rPr>
                <w:color w:val="auto"/>
              </w:rPr>
            </w:pPr>
            <w:r>
              <w:rPr>
                <w:color w:val="auto"/>
              </w:rPr>
              <w:t>4</w:t>
            </w:r>
          </w:p>
        </w:tc>
        <w:tc>
          <w:tcPr>
            <w:tcW w:w="629" w:type="pct"/>
            <w:vAlign w:val="center"/>
          </w:tcPr>
          <w:p>
            <w:pPr>
              <w:pStyle w:val="182"/>
              <w:bidi w:val="0"/>
              <w:rPr>
                <w:color w:val="auto"/>
              </w:rPr>
            </w:pPr>
            <w:r>
              <w:rPr>
                <w:color w:val="auto"/>
              </w:rPr>
              <w:t>10</w:t>
            </w:r>
          </w:p>
        </w:tc>
        <w:tc>
          <w:tcPr>
            <w:tcW w:w="642" w:type="pct"/>
            <w:vAlign w:val="center"/>
          </w:tcPr>
          <w:p>
            <w:pPr>
              <w:pStyle w:val="182"/>
              <w:bidi w:val="0"/>
              <w:rPr>
                <w:color w:val="auto"/>
              </w:rPr>
            </w:pPr>
            <w:r>
              <w:rPr>
                <w:color w:val="auto"/>
              </w:rPr>
              <w:t>40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27</w:t>
            </w:r>
          </w:p>
        </w:tc>
        <w:tc>
          <w:tcPr>
            <w:tcW w:w="1166" w:type="pct"/>
            <w:vAlign w:val="center"/>
          </w:tcPr>
          <w:p>
            <w:pPr>
              <w:pStyle w:val="182"/>
              <w:bidi w:val="0"/>
              <w:rPr>
                <w:color w:val="auto"/>
              </w:rPr>
            </w:pPr>
            <w:r>
              <w:rPr>
                <w:color w:val="auto"/>
              </w:rPr>
              <w:t>氯苯</w:t>
            </w:r>
          </w:p>
        </w:tc>
        <w:tc>
          <w:tcPr>
            <w:tcW w:w="1042" w:type="pct"/>
            <w:vAlign w:val="center"/>
          </w:tcPr>
          <w:p>
            <w:pPr>
              <w:pStyle w:val="182"/>
              <w:bidi w:val="0"/>
              <w:rPr>
                <w:color w:val="auto"/>
              </w:rPr>
            </w:pPr>
            <w:r>
              <w:rPr>
                <w:color w:val="auto"/>
              </w:rPr>
              <w:t>108-90-7</w:t>
            </w:r>
          </w:p>
        </w:tc>
        <w:tc>
          <w:tcPr>
            <w:tcW w:w="629" w:type="pct"/>
            <w:vAlign w:val="center"/>
          </w:tcPr>
          <w:p>
            <w:pPr>
              <w:pStyle w:val="182"/>
              <w:bidi w:val="0"/>
              <w:rPr>
                <w:color w:val="auto"/>
              </w:rPr>
            </w:pPr>
            <w:r>
              <w:rPr>
                <w:color w:val="auto"/>
              </w:rPr>
              <w:t>68</w:t>
            </w:r>
          </w:p>
        </w:tc>
        <w:tc>
          <w:tcPr>
            <w:tcW w:w="629" w:type="pct"/>
            <w:vAlign w:val="center"/>
          </w:tcPr>
          <w:p>
            <w:pPr>
              <w:pStyle w:val="182"/>
              <w:bidi w:val="0"/>
              <w:rPr>
                <w:color w:val="auto"/>
              </w:rPr>
            </w:pPr>
            <w:r>
              <w:rPr>
                <w:color w:val="auto"/>
              </w:rPr>
              <w:t>270</w:t>
            </w:r>
          </w:p>
        </w:tc>
        <w:tc>
          <w:tcPr>
            <w:tcW w:w="629" w:type="pct"/>
            <w:vAlign w:val="center"/>
          </w:tcPr>
          <w:p>
            <w:pPr>
              <w:pStyle w:val="182"/>
              <w:bidi w:val="0"/>
              <w:rPr>
                <w:color w:val="auto"/>
              </w:rPr>
            </w:pPr>
            <w:r>
              <w:rPr>
                <w:color w:val="auto"/>
              </w:rPr>
              <w:t>200</w:t>
            </w:r>
          </w:p>
        </w:tc>
        <w:tc>
          <w:tcPr>
            <w:tcW w:w="642" w:type="pct"/>
            <w:vAlign w:val="center"/>
          </w:tcPr>
          <w:p>
            <w:pPr>
              <w:pStyle w:val="182"/>
              <w:bidi w:val="0"/>
              <w:rPr>
                <w:color w:val="auto"/>
              </w:rPr>
            </w:pPr>
            <w:r>
              <w:rPr>
                <w:color w:val="auto"/>
              </w:rPr>
              <w:t>1000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28</w:t>
            </w:r>
          </w:p>
        </w:tc>
        <w:tc>
          <w:tcPr>
            <w:tcW w:w="1166" w:type="pct"/>
            <w:vAlign w:val="center"/>
          </w:tcPr>
          <w:p>
            <w:pPr>
              <w:pStyle w:val="182"/>
              <w:bidi w:val="0"/>
              <w:rPr>
                <w:color w:val="auto"/>
              </w:rPr>
            </w:pPr>
            <w:r>
              <w:rPr>
                <w:color w:val="auto"/>
              </w:rPr>
              <w:t>1，2-二氯苯</w:t>
            </w:r>
          </w:p>
        </w:tc>
        <w:tc>
          <w:tcPr>
            <w:tcW w:w="1042" w:type="pct"/>
            <w:vAlign w:val="center"/>
          </w:tcPr>
          <w:p>
            <w:pPr>
              <w:pStyle w:val="182"/>
              <w:bidi w:val="0"/>
              <w:rPr>
                <w:color w:val="auto"/>
              </w:rPr>
            </w:pPr>
            <w:r>
              <w:rPr>
                <w:color w:val="auto"/>
              </w:rPr>
              <w:t>95-50-1</w:t>
            </w:r>
          </w:p>
        </w:tc>
        <w:tc>
          <w:tcPr>
            <w:tcW w:w="629" w:type="pct"/>
            <w:vAlign w:val="center"/>
          </w:tcPr>
          <w:p>
            <w:pPr>
              <w:pStyle w:val="182"/>
              <w:bidi w:val="0"/>
              <w:rPr>
                <w:color w:val="auto"/>
              </w:rPr>
            </w:pPr>
            <w:r>
              <w:rPr>
                <w:color w:val="auto"/>
              </w:rPr>
              <w:t>560</w:t>
            </w:r>
          </w:p>
        </w:tc>
        <w:tc>
          <w:tcPr>
            <w:tcW w:w="629" w:type="pct"/>
            <w:vAlign w:val="center"/>
          </w:tcPr>
          <w:p>
            <w:pPr>
              <w:pStyle w:val="182"/>
              <w:bidi w:val="0"/>
              <w:rPr>
                <w:color w:val="auto"/>
              </w:rPr>
            </w:pPr>
            <w:r>
              <w:rPr>
                <w:color w:val="auto"/>
              </w:rPr>
              <w:t>560</w:t>
            </w:r>
          </w:p>
        </w:tc>
        <w:tc>
          <w:tcPr>
            <w:tcW w:w="629" w:type="pct"/>
            <w:vAlign w:val="center"/>
          </w:tcPr>
          <w:p>
            <w:pPr>
              <w:pStyle w:val="182"/>
              <w:bidi w:val="0"/>
              <w:rPr>
                <w:color w:val="auto"/>
              </w:rPr>
            </w:pPr>
            <w:r>
              <w:rPr>
                <w:color w:val="auto"/>
              </w:rPr>
              <w:t>560</w:t>
            </w:r>
          </w:p>
        </w:tc>
        <w:tc>
          <w:tcPr>
            <w:tcW w:w="642" w:type="pct"/>
            <w:vAlign w:val="center"/>
          </w:tcPr>
          <w:p>
            <w:pPr>
              <w:pStyle w:val="182"/>
              <w:bidi w:val="0"/>
              <w:rPr>
                <w:color w:val="auto"/>
              </w:rPr>
            </w:pPr>
            <w:r>
              <w:rPr>
                <w:color w:val="auto"/>
              </w:rPr>
              <w:t>560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29</w:t>
            </w:r>
          </w:p>
        </w:tc>
        <w:tc>
          <w:tcPr>
            <w:tcW w:w="1166" w:type="pct"/>
            <w:vAlign w:val="center"/>
          </w:tcPr>
          <w:p>
            <w:pPr>
              <w:pStyle w:val="182"/>
              <w:bidi w:val="0"/>
              <w:rPr>
                <w:color w:val="auto"/>
              </w:rPr>
            </w:pPr>
            <w:r>
              <w:rPr>
                <w:color w:val="auto"/>
              </w:rPr>
              <w:t>1，4</w:t>
            </w:r>
            <w:r>
              <w:rPr>
                <w:rFonts w:hint="eastAsia"/>
                <w:color w:val="auto"/>
                <w:lang w:eastAsia="zh-CN"/>
              </w:rPr>
              <w:t>－</w:t>
            </w:r>
            <w:r>
              <w:rPr>
                <w:color w:val="auto"/>
              </w:rPr>
              <w:t>二氯苯</w:t>
            </w:r>
          </w:p>
        </w:tc>
        <w:tc>
          <w:tcPr>
            <w:tcW w:w="1042" w:type="pct"/>
            <w:vAlign w:val="center"/>
          </w:tcPr>
          <w:p>
            <w:pPr>
              <w:pStyle w:val="182"/>
              <w:bidi w:val="0"/>
              <w:rPr>
                <w:color w:val="auto"/>
              </w:rPr>
            </w:pPr>
            <w:r>
              <w:rPr>
                <w:color w:val="auto"/>
              </w:rPr>
              <w:t>106-46-7</w:t>
            </w:r>
          </w:p>
        </w:tc>
        <w:tc>
          <w:tcPr>
            <w:tcW w:w="629" w:type="pct"/>
            <w:vAlign w:val="center"/>
          </w:tcPr>
          <w:p>
            <w:pPr>
              <w:pStyle w:val="182"/>
              <w:bidi w:val="0"/>
              <w:rPr>
                <w:color w:val="auto"/>
              </w:rPr>
            </w:pPr>
            <w:r>
              <w:rPr>
                <w:color w:val="auto"/>
              </w:rPr>
              <w:t>5.6</w:t>
            </w:r>
          </w:p>
        </w:tc>
        <w:tc>
          <w:tcPr>
            <w:tcW w:w="629" w:type="pct"/>
            <w:vAlign w:val="center"/>
          </w:tcPr>
          <w:p>
            <w:pPr>
              <w:pStyle w:val="182"/>
              <w:bidi w:val="0"/>
              <w:rPr>
                <w:color w:val="auto"/>
              </w:rPr>
            </w:pPr>
            <w:r>
              <w:rPr>
                <w:color w:val="auto"/>
              </w:rPr>
              <w:t>20</w:t>
            </w:r>
          </w:p>
        </w:tc>
        <w:tc>
          <w:tcPr>
            <w:tcW w:w="629" w:type="pct"/>
            <w:vAlign w:val="center"/>
          </w:tcPr>
          <w:p>
            <w:pPr>
              <w:pStyle w:val="182"/>
              <w:bidi w:val="0"/>
              <w:rPr>
                <w:color w:val="auto"/>
              </w:rPr>
            </w:pPr>
            <w:r>
              <w:rPr>
                <w:color w:val="auto"/>
              </w:rPr>
              <w:t>56</w:t>
            </w:r>
          </w:p>
        </w:tc>
        <w:tc>
          <w:tcPr>
            <w:tcW w:w="642" w:type="pct"/>
            <w:vAlign w:val="center"/>
          </w:tcPr>
          <w:p>
            <w:pPr>
              <w:pStyle w:val="182"/>
              <w:bidi w:val="0"/>
              <w:rPr>
                <w:color w:val="auto"/>
              </w:rPr>
            </w:pPr>
            <w:r>
              <w:rPr>
                <w:color w:val="auto"/>
              </w:rPr>
              <w:t>200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30</w:t>
            </w:r>
          </w:p>
        </w:tc>
        <w:tc>
          <w:tcPr>
            <w:tcW w:w="1166" w:type="pct"/>
            <w:vAlign w:val="center"/>
          </w:tcPr>
          <w:p>
            <w:pPr>
              <w:pStyle w:val="182"/>
              <w:bidi w:val="0"/>
              <w:rPr>
                <w:color w:val="auto"/>
              </w:rPr>
            </w:pPr>
            <w:r>
              <w:rPr>
                <w:color w:val="auto"/>
              </w:rPr>
              <w:t>乙苯</w:t>
            </w:r>
          </w:p>
        </w:tc>
        <w:tc>
          <w:tcPr>
            <w:tcW w:w="1042" w:type="pct"/>
            <w:vAlign w:val="center"/>
          </w:tcPr>
          <w:p>
            <w:pPr>
              <w:pStyle w:val="182"/>
              <w:bidi w:val="0"/>
              <w:rPr>
                <w:color w:val="auto"/>
              </w:rPr>
            </w:pPr>
            <w:r>
              <w:rPr>
                <w:color w:val="auto"/>
              </w:rPr>
              <w:t>100-41-4</w:t>
            </w:r>
          </w:p>
        </w:tc>
        <w:tc>
          <w:tcPr>
            <w:tcW w:w="629" w:type="pct"/>
            <w:vAlign w:val="center"/>
          </w:tcPr>
          <w:p>
            <w:pPr>
              <w:pStyle w:val="182"/>
              <w:bidi w:val="0"/>
              <w:rPr>
                <w:color w:val="auto"/>
              </w:rPr>
            </w:pPr>
            <w:r>
              <w:rPr>
                <w:color w:val="auto"/>
              </w:rPr>
              <w:t>7.2</w:t>
            </w:r>
          </w:p>
        </w:tc>
        <w:tc>
          <w:tcPr>
            <w:tcW w:w="629" w:type="pct"/>
            <w:vAlign w:val="center"/>
          </w:tcPr>
          <w:p>
            <w:pPr>
              <w:pStyle w:val="182"/>
              <w:bidi w:val="0"/>
              <w:rPr>
                <w:color w:val="auto"/>
              </w:rPr>
            </w:pPr>
            <w:r>
              <w:rPr>
                <w:color w:val="auto"/>
              </w:rPr>
              <w:t>28</w:t>
            </w:r>
          </w:p>
        </w:tc>
        <w:tc>
          <w:tcPr>
            <w:tcW w:w="629" w:type="pct"/>
            <w:vAlign w:val="center"/>
          </w:tcPr>
          <w:p>
            <w:pPr>
              <w:pStyle w:val="182"/>
              <w:bidi w:val="0"/>
              <w:rPr>
                <w:color w:val="auto"/>
              </w:rPr>
            </w:pPr>
            <w:r>
              <w:rPr>
                <w:color w:val="auto"/>
              </w:rPr>
              <w:t>72</w:t>
            </w:r>
          </w:p>
        </w:tc>
        <w:tc>
          <w:tcPr>
            <w:tcW w:w="642" w:type="pct"/>
            <w:vAlign w:val="center"/>
          </w:tcPr>
          <w:p>
            <w:pPr>
              <w:pStyle w:val="182"/>
              <w:bidi w:val="0"/>
              <w:rPr>
                <w:color w:val="auto"/>
              </w:rPr>
            </w:pPr>
            <w:r>
              <w:rPr>
                <w:color w:val="auto"/>
              </w:rPr>
              <w:t>280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31</w:t>
            </w:r>
          </w:p>
        </w:tc>
        <w:tc>
          <w:tcPr>
            <w:tcW w:w="1166" w:type="pct"/>
            <w:vAlign w:val="center"/>
          </w:tcPr>
          <w:p>
            <w:pPr>
              <w:pStyle w:val="182"/>
              <w:bidi w:val="0"/>
              <w:rPr>
                <w:color w:val="auto"/>
              </w:rPr>
            </w:pPr>
            <w:r>
              <w:rPr>
                <w:color w:val="auto"/>
              </w:rPr>
              <w:t>苯乙烯</w:t>
            </w:r>
          </w:p>
        </w:tc>
        <w:tc>
          <w:tcPr>
            <w:tcW w:w="1042" w:type="pct"/>
            <w:vAlign w:val="center"/>
          </w:tcPr>
          <w:p>
            <w:pPr>
              <w:pStyle w:val="182"/>
              <w:bidi w:val="0"/>
              <w:rPr>
                <w:color w:val="auto"/>
              </w:rPr>
            </w:pPr>
            <w:r>
              <w:rPr>
                <w:color w:val="auto"/>
              </w:rPr>
              <w:t>100-42-5</w:t>
            </w:r>
          </w:p>
        </w:tc>
        <w:tc>
          <w:tcPr>
            <w:tcW w:w="629" w:type="pct"/>
            <w:vAlign w:val="center"/>
          </w:tcPr>
          <w:p>
            <w:pPr>
              <w:pStyle w:val="182"/>
              <w:bidi w:val="0"/>
              <w:rPr>
                <w:color w:val="auto"/>
              </w:rPr>
            </w:pPr>
            <w:r>
              <w:rPr>
                <w:color w:val="auto"/>
              </w:rPr>
              <w:t>1290</w:t>
            </w:r>
          </w:p>
        </w:tc>
        <w:tc>
          <w:tcPr>
            <w:tcW w:w="629" w:type="pct"/>
            <w:vAlign w:val="center"/>
          </w:tcPr>
          <w:p>
            <w:pPr>
              <w:pStyle w:val="182"/>
              <w:bidi w:val="0"/>
              <w:rPr>
                <w:color w:val="auto"/>
              </w:rPr>
            </w:pPr>
            <w:r>
              <w:rPr>
                <w:color w:val="auto"/>
              </w:rPr>
              <w:t>1290</w:t>
            </w:r>
          </w:p>
        </w:tc>
        <w:tc>
          <w:tcPr>
            <w:tcW w:w="629" w:type="pct"/>
            <w:vAlign w:val="center"/>
          </w:tcPr>
          <w:p>
            <w:pPr>
              <w:pStyle w:val="182"/>
              <w:bidi w:val="0"/>
              <w:rPr>
                <w:color w:val="auto"/>
              </w:rPr>
            </w:pPr>
            <w:r>
              <w:rPr>
                <w:color w:val="auto"/>
              </w:rPr>
              <w:t>1290</w:t>
            </w:r>
          </w:p>
        </w:tc>
        <w:tc>
          <w:tcPr>
            <w:tcW w:w="642" w:type="pct"/>
            <w:vAlign w:val="center"/>
          </w:tcPr>
          <w:p>
            <w:pPr>
              <w:pStyle w:val="182"/>
              <w:bidi w:val="0"/>
              <w:rPr>
                <w:color w:val="auto"/>
              </w:rPr>
            </w:pPr>
            <w:r>
              <w:rPr>
                <w:color w:val="auto"/>
              </w:rPr>
              <w:t>1290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32</w:t>
            </w:r>
          </w:p>
        </w:tc>
        <w:tc>
          <w:tcPr>
            <w:tcW w:w="1166" w:type="pct"/>
            <w:vAlign w:val="center"/>
          </w:tcPr>
          <w:p>
            <w:pPr>
              <w:pStyle w:val="182"/>
              <w:bidi w:val="0"/>
              <w:rPr>
                <w:color w:val="auto"/>
              </w:rPr>
            </w:pPr>
            <w:r>
              <w:rPr>
                <w:color w:val="auto"/>
              </w:rPr>
              <w:t>甲苯</w:t>
            </w:r>
          </w:p>
        </w:tc>
        <w:tc>
          <w:tcPr>
            <w:tcW w:w="1042" w:type="pct"/>
            <w:vAlign w:val="center"/>
          </w:tcPr>
          <w:p>
            <w:pPr>
              <w:pStyle w:val="182"/>
              <w:bidi w:val="0"/>
              <w:rPr>
                <w:color w:val="auto"/>
              </w:rPr>
            </w:pPr>
            <w:r>
              <w:rPr>
                <w:color w:val="auto"/>
              </w:rPr>
              <w:t>108-88-3</w:t>
            </w:r>
          </w:p>
        </w:tc>
        <w:tc>
          <w:tcPr>
            <w:tcW w:w="629" w:type="pct"/>
            <w:vAlign w:val="center"/>
          </w:tcPr>
          <w:p>
            <w:pPr>
              <w:pStyle w:val="182"/>
              <w:bidi w:val="0"/>
              <w:rPr>
                <w:color w:val="auto"/>
              </w:rPr>
            </w:pPr>
            <w:r>
              <w:rPr>
                <w:color w:val="auto"/>
              </w:rPr>
              <w:t>1200</w:t>
            </w:r>
          </w:p>
        </w:tc>
        <w:tc>
          <w:tcPr>
            <w:tcW w:w="629" w:type="pct"/>
            <w:vAlign w:val="center"/>
          </w:tcPr>
          <w:p>
            <w:pPr>
              <w:pStyle w:val="182"/>
              <w:bidi w:val="0"/>
              <w:rPr>
                <w:color w:val="auto"/>
              </w:rPr>
            </w:pPr>
            <w:r>
              <w:rPr>
                <w:color w:val="auto"/>
              </w:rPr>
              <w:t>1200</w:t>
            </w:r>
          </w:p>
        </w:tc>
        <w:tc>
          <w:tcPr>
            <w:tcW w:w="629" w:type="pct"/>
            <w:vAlign w:val="center"/>
          </w:tcPr>
          <w:p>
            <w:pPr>
              <w:pStyle w:val="182"/>
              <w:bidi w:val="0"/>
              <w:rPr>
                <w:color w:val="auto"/>
              </w:rPr>
            </w:pPr>
            <w:r>
              <w:rPr>
                <w:color w:val="auto"/>
              </w:rPr>
              <w:t>1200</w:t>
            </w:r>
          </w:p>
        </w:tc>
        <w:tc>
          <w:tcPr>
            <w:tcW w:w="642" w:type="pct"/>
            <w:vAlign w:val="center"/>
          </w:tcPr>
          <w:p>
            <w:pPr>
              <w:pStyle w:val="182"/>
              <w:bidi w:val="0"/>
              <w:rPr>
                <w:color w:val="auto"/>
              </w:rPr>
            </w:pPr>
            <w:r>
              <w:rPr>
                <w:color w:val="auto"/>
              </w:rPr>
              <w:t>1200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33</w:t>
            </w:r>
          </w:p>
        </w:tc>
        <w:tc>
          <w:tcPr>
            <w:tcW w:w="1166" w:type="pct"/>
            <w:vAlign w:val="center"/>
          </w:tcPr>
          <w:p>
            <w:pPr>
              <w:pStyle w:val="182"/>
              <w:bidi w:val="0"/>
              <w:rPr>
                <w:color w:val="auto"/>
              </w:rPr>
            </w:pPr>
            <w:r>
              <w:rPr>
                <w:color w:val="auto"/>
              </w:rPr>
              <w:t>间二甲苯+对二甲苯</w:t>
            </w:r>
          </w:p>
        </w:tc>
        <w:tc>
          <w:tcPr>
            <w:tcW w:w="1042" w:type="pct"/>
            <w:vAlign w:val="center"/>
          </w:tcPr>
          <w:p>
            <w:pPr>
              <w:pStyle w:val="182"/>
              <w:bidi w:val="0"/>
              <w:rPr>
                <w:color w:val="auto"/>
              </w:rPr>
            </w:pPr>
            <w:r>
              <w:rPr>
                <w:color w:val="auto"/>
              </w:rPr>
              <w:t>108-38-3，106-42-3</w:t>
            </w:r>
          </w:p>
        </w:tc>
        <w:tc>
          <w:tcPr>
            <w:tcW w:w="629" w:type="pct"/>
            <w:vAlign w:val="center"/>
          </w:tcPr>
          <w:p>
            <w:pPr>
              <w:pStyle w:val="182"/>
              <w:bidi w:val="0"/>
              <w:rPr>
                <w:color w:val="auto"/>
              </w:rPr>
            </w:pPr>
            <w:r>
              <w:rPr>
                <w:color w:val="auto"/>
              </w:rPr>
              <w:t>163</w:t>
            </w:r>
          </w:p>
        </w:tc>
        <w:tc>
          <w:tcPr>
            <w:tcW w:w="629" w:type="pct"/>
            <w:vAlign w:val="center"/>
          </w:tcPr>
          <w:p>
            <w:pPr>
              <w:pStyle w:val="182"/>
              <w:bidi w:val="0"/>
              <w:rPr>
                <w:color w:val="auto"/>
              </w:rPr>
            </w:pPr>
            <w:r>
              <w:rPr>
                <w:color w:val="auto"/>
              </w:rPr>
              <w:t>570</w:t>
            </w:r>
          </w:p>
        </w:tc>
        <w:tc>
          <w:tcPr>
            <w:tcW w:w="629" w:type="pct"/>
            <w:vAlign w:val="center"/>
          </w:tcPr>
          <w:p>
            <w:pPr>
              <w:pStyle w:val="182"/>
              <w:bidi w:val="0"/>
              <w:rPr>
                <w:color w:val="auto"/>
              </w:rPr>
            </w:pPr>
            <w:r>
              <w:rPr>
                <w:color w:val="auto"/>
              </w:rPr>
              <w:t>500</w:t>
            </w:r>
          </w:p>
        </w:tc>
        <w:tc>
          <w:tcPr>
            <w:tcW w:w="642" w:type="pct"/>
            <w:vAlign w:val="center"/>
          </w:tcPr>
          <w:p>
            <w:pPr>
              <w:pStyle w:val="182"/>
              <w:bidi w:val="0"/>
              <w:rPr>
                <w:color w:val="auto"/>
              </w:rPr>
            </w:pPr>
            <w:r>
              <w:rPr>
                <w:color w:val="auto"/>
              </w:rPr>
              <w:t>570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34</w:t>
            </w:r>
          </w:p>
        </w:tc>
        <w:tc>
          <w:tcPr>
            <w:tcW w:w="1166" w:type="pct"/>
            <w:vAlign w:val="center"/>
          </w:tcPr>
          <w:p>
            <w:pPr>
              <w:pStyle w:val="182"/>
              <w:bidi w:val="0"/>
              <w:rPr>
                <w:color w:val="auto"/>
              </w:rPr>
            </w:pPr>
            <w:r>
              <w:rPr>
                <w:color w:val="auto"/>
              </w:rPr>
              <w:t>邻二甲苯</w:t>
            </w:r>
          </w:p>
        </w:tc>
        <w:tc>
          <w:tcPr>
            <w:tcW w:w="1042" w:type="pct"/>
            <w:vAlign w:val="center"/>
          </w:tcPr>
          <w:p>
            <w:pPr>
              <w:pStyle w:val="182"/>
              <w:bidi w:val="0"/>
              <w:rPr>
                <w:color w:val="auto"/>
              </w:rPr>
            </w:pPr>
            <w:r>
              <w:rPr>
                <w:color w:val="auto"/>
              </w:rPr>
              <w:t>95-47-6</w:t>
            </w:r>
          </w:p>
        </w:tc>
        <w:tc>
          <w:tcPr>
            <w:tcW w:w="629" w:type="pct"/>
            <w:vAlign w:val="center"/>
          </w:tcPr>
          <w:p>
            <w:pPr>
              <w:pStyle w:val="182"/>
              <w:bidi w:val="0"/>
              <w:rPr>
                <w:color w:val="auto"/>
              </w:rPr>
            </w:pPr>
            <w:r>
              <w:rPr>
                <w:color w:val="auto"/>
              </w:rPr>
              <w:t>222</w:t>
            </w:r>
          </w:p>
        </w:tc>
        <w:tc>
          <w:tcPr>
            <w:tcW w:w="629" w:type="pct"/>
            <w:vAlign w:val="center"/>
          </w:tcPr>
          <w:p>
            <w:pPr>
              <w:pStyle w:val="182"/>
              <w:bidi w:val="0"/>
              <w:rPr>
                <w:color w:val="auto"/>
              </w:rPr>
            </w:pPr>
            <w:r>
              <w:rPr>
                <w:color w:val="auto"/>
              </w:rPr>
              <w:t>640</w:t>
            </w:r>
          </w:p>
        </w:tc>
        <w:tc>
          <w:tcPr>
            <w:tcW w:w="629" w:type="pct"/>
            <w:vAlign w:val="center"/>
          </w:tcPr>
          <w:p>
            <w:pPr>
              <w:pStyle w:val="182"/>
              <w:bidi w:val="0"/>
              <w:rPr>
                <w:color w:val="auto"/>
              </w:rPr>
            </w:pPr>
            <w:r>
              <w:rPr>
                <w:color w:val="auto"/>
              </w:rPr>
              <w:t>640</w:t>
            </w:r>
          </w:p>
        </w:tc>
        <w:tc>
          <w:tcPr>
            <w:tcW w:w="642" w:type="pct"/>
            <w:vAlign w:val="center"/>
          </w:tcPr>
          <w:p>
            <w:pPr>
              <w:pStyle w:val="182"/>
              <w:bidi w:val="0"/>
              <w:rPr>
                <w:color w:val="auto"/>
              </w:rPr>
            </w:pPr>
            <w:r>
              <w:rPr>
                <w:color w:val="auto"/>
              </w:rPr>
              <w:t>640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7"/>
            <w:vAlign w:val="center"/>
          </w:tcPr>
          <w:p>
            <w:pPr>
              <w:pStyle w:val="182"/>
              <w:bidi w:val="0"/>
              <w:rPr>
                <w:color w:val="auto"/>
              </w:rPr>
            </w:pPr>
            <w:r>
              <w:rPr>
                <w:color w:val="auto"/>
              </w:rPr>
              <w:t>半挥发性有机物</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35</w:t>
            </w:r>
          </w:p>
        </w:tc>
        <w:tc>
          <w:tcPr>
            <w:tcW w:w="1166" w:type="pct"/>
            <w:vAlign w:val="center"/>
          </w:tcPr>
          <w:p>
            <w:pPr>
              <w:pStyle w:val="182"/>
              <w:bidi w:val="0"/>
              <w:rPr>
                <w:color w:val="auto"/>
              </w:rPr>
            </w:pPr>
            <w:r>
              <w:rPr>
                <w:color w:val="auto"/>
              </w:rPr>
              <w:t>硝基苯</w:t>
            </w:r>
          </w:p>
        </w:tc>
        <w:tc>
          <w:tcPr>
            <w:tcW w:w="1042" w:type="pct"/>
            <w:vAlign w:val="center"/>
          </w:tcPr>
          <w:p>
            <w:pPr>
              <w:pStyle w:val="182"/>
              <w:bidi w:val="0"/>
              <w:rPr>
                <w:color w:val="auto"/>
              </w:rPr>
            </w:pPr>
            <w:r>
              <w:rPr>
                <w:color w:val="auto"/>
              </w:rPr>
              <w:t>98-95-3</w:t>
            </w:r>
          </w:p>
        </w:tc>
        <w:tc>
          <w:tcPr>
            <w:tcW w:w="629" w:type="pct"/>
            <w:vAlign w:val="center"/>
          </w:tcPr>
          <w:p>
            <w:pPr>
              <w:pStyle w:val="182"/>
              <w:bidi w:val="0"/>
              <w:rPr>
                <w:color w:val="auto"/>
              </w:rPr>
            </w:pPr>
            <w:r>
              <w:rPr>
                <w:color w:val="auto"/>
              </w:rPr>
              <w:t>34</w:t>
            </w:r>
          </w:p>
        </w:tc>
        <w:tc>
          <w:tcPr>
            <w:tcW w:w="629" w:type="pct"/>
            <w:vAlign w:val="center"/>
          </w:tcPr>
          <w:p>
            <w:pPr>
              <w:pStyle w:val="182"/>
              <w:bidi w:val="0"/>
              <w:rPr>
                <w:color w:val="auto"/>
              </w:rPr>
            </w:pPr>
            <w:r>
              <w:rPr>
                <w:color w:val="auto"/>
              </w:rPr>
              <w:t>76</w:t>
            </w:r>
          </w:p>
        </w:tc>
        <w:tc>
          <w:tcPr>
            <w:tcW w:w="629" w:type="pct"/>
            <w:vAlign w:val="center"/>
          </w:tcPr>
          <w:p>
            <w:pPr>
              <w:pStyle w:val="182"/>
              <w:bidi w:val="0"/>
              <w:rPr>
                <w:color w:val="auto"/>
              </w:rPr>
            </w:pPr>
            <w:r>
              <w:rPr>
                <w:color w:val="auto"/>
              </w:rPr>
              <w:t>190</w:t>
            </w:r>
          </w:p>
        </w:tc>
        <w:tc>
          <w:tcPr>
            <w:tcW w:w="642" w:type="pct"/>
            <w:vAlign w:val="center"/>
          </w:tcPr>
          <w:p>
            <w:pPr>
              <w:pStyle w:val="182"/>
              <w:bidi w:val="0"/>
              <w:rPr>
                <w:color w:val="auto"/>
              </w:rPr>
            </w:pPr>
            <w:r>
              <w:rPr>
                <w:color w:val="auto"/>
              </w:rPr>
              <w:t>760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36</w:t>
            </w:r>
          </w:p>
        </w:tc>
        <w:tc>
          <w:tcPr>
            <w:tcW w:w="1166" w:type="pct"/>
            <w:vAlign w:val="center"/>
          </w:tcPr>
          <w:p>
            <w:pPr>
              <w:pStyle w:val="182"/>
              <w:bidi w:val="0"/>
              <w:rPr>
                <w:color w:val="auto"/>
              </w:rPr>
            </w:pPr>
            <w:r>
              <w:rPr>
                <w:color w:val="auto"/>
              </w:rPr>
              <w:t>苯胺</w:t>
            </w:r>
          </w:p>
        </w:tc>
        <w:tc>
          <w:tcPr>
            <w:tcW w:w="1042" w:type="pct"/>
            <w:vAlign w:val="center"/>
          </w:tcPr>
          <w:p>
            <w:pPr>
              <w:pStyle w:val="182"/>
              <w:bidi w:val="0"/>
              <w:rPr>
                <w:color w:val="auto"/>
              </w:rPr>
            </w:pPr>
            <w:r>
              <w:rPr>
                <w:color w:val="auto"/>
              </w:rPr>
              <w:t>62-53-3</w:t>
            </w:r>
          </w:p>
        </w:tc>
        <w:tc>
          <w:tcPr>
            <w:tcW w:w="629" w:type="pct"/>
            <w:vAlign w:val="center"/>
          </w:tcPr>
          <w:p>
            <w:pPr>
              <w:pStyle w:val="182"/>
              <w:bidi w:val="0"/>
              <w:rPr>
                <w:color w:val="auto"/>
              </w:rPr>
            </w:pPr>
            <w:r>
              <w:rPr>
                <w:color w:val="auto"/>
              </w:rPr>
              <w:t>92</w:t>
            </w:r>
          </w:p>
        </w:tc>
        <w:tc>
          <w:tcPr>
            <w:tcW w:w="629" w:type="pct"/>
            <w:vAlign w:val="center"/>
          </w:tcPr>
          <w:p>
            <w:pPr>
              <w:pStyle w:val="182"/>
              <w:bidi w:val="0"/>
              <w:rPr>
                <w:color w:val="auto"/>
              </w:rPr>
            </w:pPr>
            <w:r>
              <w:rPr>
                <w:color w:val="auto"/>
              </w:rPr>
              <w:t>260</w:t>
            </w:r>
          </w:p>
        </w:tc>
        <w:tc>
          <w:tcPr>
            <w:tcW w:w="629" w:type="pct"/>
            <w:vAlign w:val="center"/>
          </w:tcPr>
          <w:p>
            <w:pPr>
              <w:pStyle w:val="182"/>
              <w:bidi w:val="0"/>
              <w:rPr>
                <w:color w:val="auto"/>
              </w:rPr>
            </w:pPr>
            <w:r>
              <w:rPr>
                <w:color w:val="auto"/>
              </w:rPr>
              <w:t>211</w:t>
            </w:r>
          </w:p>
        </w:tc>
        <w:tc>
          <w:tcPr>
            <w:tcW w:w="642" w:type="pct"/>
            <w:vAlign w:val="center"/>
          </w:tcPr>
          <w:p>
            <w:pPr>
              <w:pStyle w:val="182"/>
              <w:bidi w:val="0"/>
              <w:rPr>
                <w:color w:val="auto"/>
              </w:rPr>
            </w:pPr>
            <w:r>
              <w:rPr>
                <w:color w:val="auto"/>
              </w:rPr>
              <w:t>663</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37</w:t>
            </w:r>
          </w:p>
        </w:tc>
        <w:tc>
          <w:tcPr>
            <w:tcW w:w="1166" w:type="pct"/>
            <w:vAlign w:val="center"/>
          </w:tcPr>
          <w:p>
            <w:pPr>
              <w:pStyle w:val="182"/>
              <w:bidi w:val="0"/>
              <w:rPr>
                <w:color w:val="auto"/>
              </w:rPr>
            </w:pPr>
            <w:r>
              <w:rPr>
                <w:color w:val="auto"/>
              </w:rPr>
              <w:t>2</w:t>
            </w:r>
            <w:r>
              <w:rPr>
                <w:rFonts w:hint="eastAsia"/>
                <w:color w:val="auto"/>
                <w:lang w:eastAsia="zh-CN"/>
              </w:rPr>
              <w:t>－</w:t>
            </w:r>
            <w:r>
              <w:rPr>
                <w:color w:val="auto"/>
              </w:rPr>
              <w:t>氯酚</w:t>
            </w:r>
          </w:p>
        </w:tc>
        <w:tc>
          <w:tcPr>
            <w:tcW w:w="1042" w:type="pct"/>
            <w:vAlign w:val="center"/>
          </w:tcPr>
          <w:p>
            <w:pPr>
              <w:pStyle w:val="182"/>
              <w:bidi w:val="0"/>
              <w:rPr>
                <w:color w:val="auto"/>
              </w:rPr>
            </w:pPr>
            <w:r>
              <w:rPr>
                <w:color w:val="auto"/>
              </w:rPr>
              <w:t>95-57-8</w:t>
            </w:r>
          </w:p>
        </w:tc>
        <w:tc>
          <w:tcPr>
            <w:tcW w:w="629" w:type="pct"/>
            <w:vAlign w:val="center"/>
          </w:tcPr>
          <w:p>
            <w:pPr>
              <w:pStyle w:val="182"/>
              <w:bidi w:val="0"/>
              <w:rPr>
                <w:color w:val="auto"/>
              </w:rPr>
            </w:pPr>
            <w:r>
              <w:rPr>
                <w:color w:val="auto"/>
              </w:rPr>
              <w:t>250</w:t>
            </w:r>
          </w:p>
        </w:tc>
        <w:tc>
          <w:tcPr>
            <w:tcW w:w="629" w:type="pct"/>
            <w:vAlign w:val="center"/>
          </w:tcPr>
          <w:p>
            <w:pPr>
              <w:pStyle w:val="182"/>
              <w:bidi w:val="0"/>
              <w:rPr>
                <w:color w:val="auto"/>
              </w:rPr>
            </w:pPr>
            <w:r>
              <w:rPr>
                <w:color w:val="auto"/>
              </w:rPr>
              <w:t>2256</w:t>
            </w:r>
          </w:p>
        </w:tc>
        <w:tc>
          <w:tcPr>
            <w:tcW w:w="629" w:type="pct"/>
            <w:vAlign w:val="center"/>
          </w:tcPr>
          <w:p>
            <w:pPr>
              <w:pStyle w:val="182"/>
              <w:bidi w:val="0"/>
              <w:rPr>
                <w:color w:val="auto"/>
              </w:rPr>
            </w:pPr>
            <w:r>
              <w:rPr>
                <w:color w:val="auto"/>
              </w:rPr>
              <w:t>500</w:t>
            </w:r>
          </w:p>
        </w:tc>
        <w:tc>
          <w:tcPr>
            <w:tcW w:w="642" w:type="pct"/>
            <w:vAlign w:val="center"/>
          </w:tcPr>
          <w:p>
            <w:pPr>
              <w:pStyle w:val="182"/>
              <w:bidi w:val="0"/>
              <w:rPr>
                <w:color w:val="auto"/>
              </w:rPr>
            </w:pPr>
            <w:r>
              <w:rPr>
                <w:color w:val="auto"/>
              </w:rPr>
              <w:t>4500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38</w:t>
            </w:r>
          </w:p>
        </w:tc>
        <w:tc>
          <w:tcPr>
            <w:tcW w:w="1166" w:type="pct"/>
            <w:vAlign w:val="center"/>
          </w:tcPr>
          <w:p>
            <w:pPr>
              <w:pStyle w:val="182"/>
              <w:bidi w:val="0"/>
              <w:rPr>
                <w:color w:val="auto"/>
              </w:rPr>
            </w:pPr>
            <w:r>
              <w:rPr>
                <w:color w:val="auto"/>
              </w:rPr>
              <w:t>苯并[a]蒽</w:t>
            </w:r>
          </w:p>
        </w:tc>
        <w:tc>
          <w:tcPr>
            <w:tcW w:w="1042" w:type="pct"/>
            <w:vAlign w:val="center"/>
          </w:tcPr>
          <w:p>
            <w:pPr>
              <w:pStyle w:val="182"/>
              <w:bidi w:val="0"/>
              <w:rPr>
                <w:color w:val="auto"/>
              </w:rPr>
            </w:pPr>
            <w:r>
              <w:rPr>
                <w:color w:val="auto"/>
              </w:rPr>
              <w:t>56-55-3</w:t>
            </w:r>
          </w:p>
        </w:tc>
        <w:tc>
          <w:tcPr>
            <w:tcW w:w="629" w:type="pct"/>
            <w:vAlign w:val="center"/>
          </w:tcPr>
          <w:p>
            <w:pPr>
              <w:pStyle w:val="182"/>
              <w:bidi w:val="0"/>
              <w:rPr>
                <w:color w:val="auto"/>
              </w:rPr>
            </w:pPr>
            <w:r>
              <w:rPr>
                <w:color w:val="auto"/>
              </w:rPr>
              <w:t>5.5</w:t>
            </w:r>
          </w:p>
        </w:tc>
        <w:tc>
          <w:tcPr>
            <w:tcW w:w="629" w:type="pct"/>
            <w:vAlign w:val="center"/>
          </w:tcPr>
          <w:p>
            <w:pPr>
              <w:pStyle w:val="182"/>
              <w:bidi w:val="0"/>
              <w:rPr>
                <w:color w:val="auto"/>
              </w:rPr>
            </w:pPr>
            <w:r>
              <w:rPr>
                <w:color w:val="auto"/>
              </w:rPr>
              <w:t>15</w:t>
            </w:r>
          </w:p>
        </w:tc>
        <w:tc>
          <w:tcPr>
            <w:tcW w:w="629" w:type="pct"/>
            <w:vAlign w:val="center"/>
          </w:tcPr>
          <w:p>
            <w:pPr>
              <w:pStyle w:val="182"/>
              <w:bidi w:val="0"/>
              <w:rPr>
                <w:color w:val="auto"/>
              </w:rPr>
            </w:pPr>
            <w:r>
              <w:rPr>
                <w:color w:val="auto"/>
              </w:rPr>
              <w:t>55</w:t>
            </w:r>
          </w:p>
        </w:tc>
        <w:tc>
          <w:tcPr>
            <w:tcW w:w="642" w:type="pct"/>
            <w:vAlign w:val="center"/>
          </w:tcPr>
          <w:p>
            <w:pPr>
              <w:pStyle w:val="182"/>
              <w:bidi w:val="0"/>
              <w:rPr>
                <w:color w:val="auto"/>
              </w:rPr>
            </w:pPr>
            <w:r>
              <w:rPr>
                <w:color w:val="auto"/>
              </w:rPr>
              <w:t>151</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39</w:t>
            </w:r>
          </w:p>
        </w:tc>
        <w:tc>
          <w:tcPr>
            <w:tcW w:w="1166" w:type="pct"/>
            <w:vAlign w:val="center"/>
          </w:tcPr>
          <w:p>
            <w:pPr>
              <w:pStyle w:val="182"/>
              <w:bidi w:val="0"/>
              <w:rPr>
                <w:color w:val="auto"/>
              </w:rPr>
            </w:pPr>
            <w:r>
              <w:rPr>
                <w:color w:val="auto"/>
              </w:rPr>
              <w:t>苯并[a]芘</w:t>
            </w:r>
          </w:p>
        </w:tc>
        <w:tc>
          <w:tcPr>
            <w:tcW w:w="1042" w:type="pct"/>
            <w:vAlign w:val="center"/>
          </w:tcPr>
          <w:p>
            <w:pPr>
              <w:pStyle w:val="182"/>
              <w:bidi w:val="0"/>
              <w:rPr>
                <w:color w:val="auto"/>
              </w:rPr>
            </w:pPr>
            <w:r>
              <w:rPr>
                <w:color w:val="auto"/>
              </w:rPr>
              <w:t>50-32-8</w:t>
            </w:r>
          </w:p>
        </w:tc>
        <w:tc>
          <w:tcPr>
            <w:tcW w:w="629" w:type="pct"/>
            <w:vAlign w:val="center"/>
          </w:tcPr>
          <w:p>
            <w:pPr>
              <w:pStyle w:val="182"/>
              <w:bidi w:val="0"/>
              <w:rPr>
                <w:color w:val="auto"/>
              </w:rPr>
            </w:pPr>
            <w:r>
              <w:rPr>
                <w:color w:val="auto"/>
              </w:rPr>
              <w:t>0.55</w:t>
            </w:r>
          </w:p>
        </w:tc>
        <w:tc>
          <w:tcPr>
            <w:tcW w:w="629" w:type="pct"/>
            <w:vAlign w:val="center"/>
          </w:tcPr>
          <w:p>
            <w:pPr>
              <w:pStyle w:val="182"/>
              <w:bidi w:val="0"/>
              <w:rPr>
                <w:color w:val="auto"/>
              </w:rPr>
            </w:pPr>
            <w:r>
              <w:rPr>
                <w:color w:val="auto"/>
              </w:rPr>
              <w:t>1.5</w:t>
            </w:r>
          </w:p>
        </w:tc>
        <w:tc>
          <w:tcPr>
            <w:tcW w:w="629" w:type="pct"/>
            <w:vAlign w:val="center"/>
          </w:tcPr>
          <w:p>
            <w:pPr>
              <w:pStyle w:val="182"/>
              <w:bidi w:val="0"/>
              <w:rPr>
                <w:color w:val="auto"/>
              </w:rPr>
            </w:pPr>
            <w:r>
              <w:rPr>
                <w:color w:val="auto"/>
              </w:rPr>
              <w:t>5.5</w:t>
            </w:r>
          </w:p>
        </w:tc>
        <w:tc>
          <w:tcPr>
            <w:tcW w:w="642" w:type="pct"/>
            <w:vAlign w:val="center"/>
          </w:tcPr>
          <w:p>
            <w:pPr>
              <w:pStyle w:val="182"/>
              <w:bidi w:val="0"/>
              <w:rPr>
                <w:color w:val="auto"/>
              </w:rPr>
            </w:pPr>
            <w:r>
              <w:rPr>
                <w:color w:val="auto"/>
              </w:rPr>
              <w:t>15</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40</w:t>
            </w:r>
          </w:p>
        </w:tc>
        <w:tc>
          <w:tcPr>
            <w:tcW w:w="1166" w:type="pct"/>
            <w:vAlign w:val="center"/>
          </w:tcPr>
          <w:p>
            <w:pPr>
              <w:pStyle w:val="182"/>
              <w:bidi w:val="0"/>
              <w:rPr>
                <w:color w:val="auto"/>
              </w:rPr>
            </w:pPr>
            <w:r>
              <w:rPr>
                <w:color w:val="auto"/>
              </w:rPr>
              <w:t>苯并[b]荧蒽</w:t>
            </w:r>
          </w:p>
        </w:tc>
        <w:tc>
          <w:tcPr>
            <w:tcW w:w="1042" w:type="pct"/>
            <w:vAlign w:val="center"/>
          </w:tcPr>
          <w:p>
            <w:pPr>
              <w:pStyle w:val="182"/>
              <w:bidi w:val="0"/>
              <w:rPr>
                <w:color w:val="auto"/>
              </w:rPr>
            </w:pPr>
            <w:r>
              <w:rPr>
                <w:color w:val="auto"/>
              </w:rPr>
              <w:t>205-99-2</w:t>
            </w:r>
          </w:p>
        </w:tc>
        <w:tc>
          <w:tcPr>
            <w:tcW w:w="629" w:type="pct"/>
            <w:vAlign w:val="center"/>
          </w:tcPr>
          <w:p>
            <w:pPr>
              <w:pStyle w:val="182"/>
              <w:bidi w:val="0"/>
              <w:rPr>
                <w:color w:val="auto"/>
              </w:rPr>
            </w:pPr>
            <w:r>
              <w:rPr>
                <w:color w:val="auto"/>
              </w:rPr>
              <w:t>5.5</w:t>
            </w:r>
          </w:p>
        </w:tc>
        <w:tc>
          <w:tcPr>
            <w:tcW w:w="629" w:type="pct"/>
            <w:vAlign w:val="center"/>
          </w:tcPr>
          <w:p>
            <w:pPr>
              <w:pStyle w:val="182"/>
              <w:bidi w:val="0"/>
              <w:rPr>
                <w:color w:val="auto"/>
              </w:rPr>
            </w:pPr>
            <w:r>
              <w:rPr>
                <w:color w:val="auto"/>
              </w:rPr>
              <w:t>15</w:t>
            </w:r>
          </w:p>
        </w:tc>
        <w:tc>
          <w:tcPr>
            <w:tcW w:w="629" w:type="pct"/>
            <w:vAlign w:val="center"/>
          </w:tcPr>
          <w:p>
            <w:pPr>
              <w:pStyle w:val="182"/>
              <w:bidi w:val="0"/>
              <w:rPr>
                <w:color w:val="auto"/>
              </w:rPr>
            </w:pPr>
            <w:r>
              <w:rPr>
                <w:color w:val="auto"/>
              </w:rPr>
              <w:t>55</w:t>
            </w:r>
          </w:p>
        </w:tc>
        <w:tc>
          <w:tcPr>
            <w:tcW w:w="642" w:type="pct"/>
            <w:vAlign w:val="center"/>
          </w:tcPr>
          <w:p>
            <w:pPr>
              <w:pStyle w:val="182"/>
              <w:bidi w:val="0"/>
              <w:rPr>
                <w:color w:val="auto"/>
              </w:rPr>
            </w:pPr>
            <w:r>
              <w:rPr>
                <w:color w:val="auto"/>
              </w:rPr>
              <w:t>151</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41</w:t>
            </w:r>
          </w:p>
        </w:tc>
        <w:tc>
          <w:tcPr>
            <w:tcW w:w="1166" w:type="pct"/>
            <w:vAlign w:val="center"/>
          </w:tcPr>
          <w:p>
            <w:pPr>
              <w:pStyle w:val="182"/>
              <w:bidi w:val="0"/>
              <w:rPr>
                <w:color w:val="auto"/>
              </w:rPr>
            </w:pPr>
            <w:r>
              <w:rPr>
                <w:color w:val="auto"/>
              </w:rPr>
              <w:t>苯并[k]荧蒽</w:t>
            </w:r>
          </w:p>
        </w:tc>
        <w:tc>
          <w:tcPr>
            <w:tcW w:w="1042" w:type="pct"/>
            <w:vAlign w:val="center"/>
          </w:tcPr>
          <w:p>
            <w:pPr>
              <w:pStyle w:val="182"/>
              <w:bidi w:val="0"/>
              <w:rPr>
                <w:color w:val="auto"/>
              </w:rPr>
            </w:pPr>
            <w:r>
              <w:rPr>
                <w:color w:val="auto"/>
              </w:rPr>
              <w:t>207-08-9</w:t>
            </w:r>
          </w:p>
        </w:tc>
        <w:tc>
          <w:tcPr>
            <w:tcW w:w="629" w:type="pct"/>
            <w:vAlign w:val="center"/>
          </w:tcPr>
          <w:p>
            <w:pPr>
              <w:pStyle w:val="182"/>
              <w:bidi w:val="0"/>
              <w:rPr>
                <w:color w:val="auto"/>
              </w:rPr>
            </w:pPr>
            <w:r>
              <w:rPr>
                <w:color w:val="auto"/>
              </w:rPr>
              <w:t>55</w:t>
            </w:r>
          </w:p>
        </w:tc>
        <w:tc>
          <w:tcPr>
            <w:tcW w:w="629" w:type="pct"/>
            <w:vAlign w:val="center"/>
          </w:tcPr>
          <w:p>
            <w:pPr>
              <w:pStyle w:val="182"/>
              <w:bidi w:val="0"/>
              <w:rPr>
                <w:color w:val="auto"/>
              </w:rPr>
            </w:pPr>
            <w:r>
              <w:rPr>
                <w:color w:val="auto"/>
              </w:rPr>
              <w:t>151</w:t>
            </w:r>
          </w:p>
        </w:tc>
        <w:tc>
          <w:tcPr>
            <w:tcW w:w="629" w:type="pct"/>
            <w:vAlign w:val="center"/>
          </w:tcPr>
          <w:p>
            <w:pPr>
              <w:pStyle w:val="182"/>
              <w:bidi w:val="0"/>
              <w:rPr>
                <w:color w:val="auto"/>
              </w:rPr>
            </w:pPr>
            <w:r>
              <w:rPr>
                <w:color w:val="auto"/>
              </w:rPr>
              <w:t>550</w:t>
            </w:r>
          </w:p>
        </w:tc>
        <w:tc>
          <w:tcPr>
            <w:tcW w:w="642" w:type="pct"/>
            <w:vAlign w:val="center"/>
          </w:tcPr>
          <w:p>
            <w:pPr>
              <w:pStyle w:val="182"/>
              <w:bidi w:val="0"/>
              <w:rPr>
                <w:color w:val="auto"/>
              </w:rPr>
            </w:pPr>
            <w:r>
              <w:rPr>
                <w:color w:val="auto"/>
              </w:rPr>
              <w:t>1500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42</w:t>
            </w:r>
          </w:p>
        </w:tc>
        <w:tc>
          <w:tcPr>
            <w:tcW w:w="1166" w:type="pct"/>
            <w:vAlign w:val="center"/>
          </w:tcPr>
          <w:p>
            <w:pPr>
              <w:pStyle w:val="182"/>
              <w:bidi w:val="0"/>
              <w:rPr>
                <w:color w:val="auto"/>
              </w:rPr>
            </w:pPr>
            <w:r>
              <w:rPr>
                <w:color w:val="auto"/>
              </w:rPr>
              <w:t>䓛</w:t>
            </w:r>
          </w:p>
        </w:tc>
        <w:tc>
          <w:tcPr>
            <w:tcW w:w="1042" w:type="pct"/>
            <w:vAlign w:val="center"/>
          </w:tcPr>
          <w:p>
            <w:pPr>
              <w:pStyle w:val="182"/>
              <w:bidi w:val="0"/>
              <w:rPr>
                <w:color w:val="auto"/>
              </w:rPr>
            </w:pPr>
            <w:r>
              <w:rPr>
                <w:color w:val="auto"/>
              </w:rPr>
              <w:t>218-01-9</w:t>
            </w:r>
          </w:p>
        </w:tc>
        <w:tc>
          <w:tcPr>
            <w:tcW w:w="629" w:type="pct"/>
            <w:vAlign w:val="center"/>
          </w:tcPr>
          <w:p>
            <w:pPr>
              <w:pStyle w:val="182"/>
              <w:bidi w:val="0"/>
              <w:rPr>
                <w:color w:val="auto"/>
              </w:rPr>
            </w:pPr>
            <w:r>
              <w:rPr>
                <w:color w:val="auto"/>
              </w:rPr>
              <w:t>490</w:t>
            </w:r>
          </w:p>
        </w:tc>
        <w:tc>
          <w:tcPr>
            <w:tcW w:w="629" w:type="pct"/>
            <w:vAlign w:val="center"/>
          </w:tcPr>
          <w:p>
            <w:pPr>
              <w:pStyle w:val="182"/>
              <w:bidi w:val="0"/>
              <w:rPr>
                <w:color w:val="auto"/>
              </w:rPr>
            </w:pPr>
            <w:r>
              <w:rPr>
                <w:color w:val="auto"/>
              </w:rPr>
              <w:t>1293</w:t>
            </w:r>
          </w:p>
        </w:tc>
        <w:tc>
          <w:tcPr>
            <w:tcW w:w="629" w:type="pct"/>
            <w:vAlign w:val="center"/>
          </w:tcPr>
          <w:p>
            <w:pPr>
              <w:pStyle w:val="182"/>
              <w:bidi w:val="0"/>
              <w:rPr>
                <w:color w:val="auto"/>
              </w:rPr>
            </w:pPr>
            <w:r>
              <w:rPr>
                <w:color w:val="auto"/>
              </w:rPr>
              <w:t>4900</w:t>
            </w:r>
          </w:p>
        </w:tc>
        <w:tc>
          <w:tcPr>
            <w:tcW w:w="642" w:type="pct"/>
            <w:vAlign w:val="center"/>
          </w:tcPr>
          <w:p>
            <w:pPr>
              <w:pStyle w:val="182"/>
              <w:bidi w:val="0"/>
              <w:rPr>
                <w:color w:val="auto"/>
              </w:rPr>
            </w:pPr>
            <w:r>
              <w:rPr>
                <w:color w:val="auto"/>
              </w:rPr>
              <w:t>12900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43</w:t>
            </w:r>
          </w:p>
        </w:tc>
        <w:tc>
          <w:tcPr>
            <w:tcW w:w="1166" w:type="pct"/>
            <w:vAlign w:val="center"/>
          </w:tcPr>
          <w:p>
            <w:pPr>
              <w:pStyle w:val="182"/>
              <w:bidi w:val="0"/>
              <w:rPr>
                <w:color w:val="auto"/>
              </w:rPr>
            </w:pPr>
            <w:r>
              <w:rPr>
                <w:color w:val="auto"/>
              </w:rPr>
              <w:t>二苯并[a， h]蒽</w:t>
            </w:r>
          </w:p>
        </w:tc>
        <w:tc>
          <w:tcPr>
            <w:tcW w:w="1042" w:type="pct"/>
            <w:vAlign w:val="center"/>
          </w:tcPr>
          <w:p>
            <w:pPr>
              <w:pStyle w:val="182"/>
              <w:bidi w:val="0"/>
              <w:rPr>
                <w:color w:val="auto"/>
              </w:rPr>
            </w:pPr>
            <w:r>
              <w:rPr>
                <w:color w:val="auto"/>
              </w:rPr>
              <w:t>53-70-3</w:t>
            </w:r>
          </w:p>
        </w:tc>
        <w:tc>
          <w:tcPr>
            <w:tcW w:w="629" w:type="pct"/>
            <w:vAlign w:val="center"/>
          </w:tcPr>
          <w:p>
            <w:pPr>
              <w:pStyle w:val="182"/>
              <w:bidi w:val="0"/>
              <w:rPr>
                <w:color w:val="auto"/>
              </w:rPr>
            </w:pPr>
            <w:r>
              <w:rPr>
                <w:color w:val="auto"/>
              </w:rPr>
              <w:t>0.55</w:t>
            </w:r>
          </w:p>
        </w:tc>
        <w:tc>
          <w:tcPr>
            <w:tcW w:w="629" w:type="pct"/>
            <w:vAlign w:val="center"/>
          </w:tcPr>
          <w:p>
            <w:pPr>
              <w:pStyle w:val="182"/>
              <w:bidi w:val="0"/>
              <w:rPr>
                <w:color w:val="auto"/>
              </w:rPr>
            </w:pPr>
            <w:r>
              <w:rPr>
                <w:color w:val="auto"/>
              </w:rPr>
              <w:t>1.5</w:t>
            </w:r>
          </w:p>
        </w:tc>
        <w:tc>
          <w:tcPr>
            <w:tcW w:w="629" w:type="pct"/>
            <w:vAlign w:val="center"/>
          </w:tcPr>
          <w:p>
            <w:pPr>
              <w:pStyle w:val="182"/>
              <w:bidi w:val="0"/>
              <w:rPr>
                <w:color w:val="auto"/>
              </w:rPr>
            </w:pPr>
            <w:r>
              <w:rPr>
                <w:color w:val="auto"/>
              </w:rPr>
              <w:t>5.5</w:t>
            </w:r>
          </w:p>
        </w:tc>
        <w:tc>
          <w:tcPr>
            <w:tcW w:w="642" w:type="pct"/>
            <w:vAlign w:val="center"/>
          </w:tcPr>
          <w:p>
            <w:pPr>
              <w:pStyle w:val="182"/>
              <w:bidi w:val="0"/>
              <w:rPr>
                <w:color w:val="auto"/>
              </w:rPr>
            </w:pPr>
            <w:r>
              <w:rPr>
                <w:color w:val="auto"/>
              </w:rPr>
              <w:t>15</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44</w:t>
            </w:r>
          </w:p>
        </w:tc>
        <w:tc>
          <w:tcPr>
            <w:tcW w:w="1166" w:type="pct"/>
            <w:vAlign w:val="center"/>
          </w:tcPr>
          <w:p>
            <w:pPr>
              <w:pStyle w:val="182"/>
              <w:bidi w:val="0"/>
              <w:rPr>
                <w:color w:val="auto"/>
              </w:rPr>
            </w:pPr>
            <w:r>
              <w:rPr>
                <w:color w:val="auto"/>
              </w:rPr>
              <w:t>茚并[1，2，3-cd]芘</w:t>
            </w:r>
          </w:p>
        </w:tc>
        <w:tc>
          <w:tcPr>
            <w:tcW w:w="1042" w:type="pct"/>
            <w:vAlign w:val="center"/>
          </w:tcPr>
          <w:p>
            <w:pPr>
              <w:pStyle w:val="182"/>
              <w:bidi w:val="0"/>
              <w:rPr>
                <w:color w:val="auto"/>
              </w:rPr>
            </w:pPr>
            <w:r>
              <w:rPr>
                <w:color w:val="auto"/>
              </w:rPr>
              <w:t>193-39-5</w:t>
            </w:r>
          </w:p>
        </w:tc>
        <w:tc>
          <w:tcPr>
            <w:tcW w:w="629" w:type="pct"/>
            <w:vAlign w:val="center"/>
          </w:tcPr>
          <w:p>
            <w:pPr>
              <w:pStyle w:val="182"/>
              <w:bidi w:val="0"/>
              <w:rPr>
                <w:color w:val="auto"/>
              </w:rPr>
            </w:pPr>
            <w:r>
              <w:rPr>
                <w:color w:val="auto"/>
              </w:rPr>
              <w:t>5.5</w:t>
            </w:r>
          </w:p>
        </w:tc>
        <w:tc>
          <w:tcPr>
            <w:tcW w:w="629" w:type="pct"/>
            <w:vAlign w:val="center"/>
          </w:tcPr>
          <w:p>
            <w:pPr>
              <w:pStyle w:val="182"/>
              <w:bidi w:val="0"/>
              <w:rPr>
                <w:color w:val="auto"/>
              </w:rPr>
            </w:pPr>
            <w:r>
              <w:rPr>
                <w:color w:val="auto"/>
              </w:rPr>
              <w:t>15</w:t>
            </w:r>
          </w:p>
        </w:tc>
        <w:tc>
          <w:tcPr>
            <w:tcW w:w="629" w:type="pct"/>
            <w:vAlign w:val="center"/>
          </w:tcPr>
          <w:p>
            <w:pPr>
              <w:pStyle w:val="182"/>
              <w:bidi w:val="0"/>
              <w:rPr>
                <w:color w:val="auto"/>
              </w:rPr>
            </w:pPr>
            <w:r>
              <w:rPr>
                <w:color w:val="auto"/>
              </w:rPr>
              <w:t>55</w:t>
            </w:r>
          </w:p>
        </w:tc>
        <w:tc>
          <w:tcPr>
            <w:tcW w:w="642" w:type="pct"/>
            <w:vAlign w:val="center"/>
          </w:tcPr>
          <w:p>
            <w:pPr>
              <w:pStyle w:val="182"/>
              <w:bidi w:val="0"/>
              <w:rPr>
                <w:color w:val="auto"/>
              </w:rPr>
            </w:pPr>
            <w:r>
              <w:rPr>
                <w:color w:val="auto"/>
              </w:rPr>
              <w:t>151</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9" w:type="pct"/>
            <w:vAlign w:val="center"/>
          </w:tcPr>
          <w:p>
            <w:pPr>
              <w:pStyle w:val="182"/>
              <w:bidi w:val="0"/>
              <w:rPr>
                <w:color w:val="auto"/>
              </w:rPr>
            </w:pPr>
            <w:r>
              <w:rPr>
                <w:color w:val="auto"/>
              </w:rPr>
              <w:t>45</w:t>
            </w:r>
          </w:p>
        </w:tc>
        <w:tc>
          <w:tcPr>
            <w:tcW w:w="1166" w:type="pct"/>
            <w:vAlign w:val="center"/>
          </w:tcPr>
          <w:p>
            <w:pPr>
              <w:pStyle w:val="182"/>
              <w:bidi w:val="0"/>
              <w:rPr>
                <w:color w:val="auto"/>
              </w:rPr>
            </w:pPr>
            <w:r>
              <w:rPr>
                <w:color w:val="auto"/>
              </w:rPr>
              <w:t>萘</w:t>
            </w:r>
          </w:p>
        </w:tc>
        <w:tc>
          <w:tcPr>
            <w:tcW w:w="1042" w:type="pct"/>
            <w:vAlign w:val="center"/>
          </w:tcPr>
          <w:p>
            <w:pPr>
              <w:pStyle w:val="182"/>
              <w:bidi w:val="0"/>
              <w:rPr>
                <w:color w:val="auto"/>
              </w:rPr>
            </w:pPr>
            <w:r>
              <w:rPr>
                <w:color w:val="auto"/>
              </w:rPr>
              <w:t>91-20-3</w:t>
            </w:r>
          </w:p>
        </w:tc>
        <w:tc>
          <w:tcPr>
            <w:tcW w:w="629" w:type="pct"/>
            <w:vAlign w:val="center"/>
          </w:tcPr>
          <w:p>
            <w:pPr>
              <w:pStyle w:val="182"/>
              <w:bidi w:val="0"/>
              <w:rPr>
                <w:color w:val="auto"/>
              </w:rPr>
            </w:pPr>
            <w:r>
              <w:rPr>
                <w:color w:val="auto"/>
              </w:rPr>
              <w:t>25</w:t>
            </w:r>
          </w:p>
        </w:tc>
        <w:tc>
          <w:tcPr>
            <w:tcW w:w="629" w:type="pct"/>
            <w:vAlign w:val="center"/>
          </w:tcPr>
          <w:p>
            <w:pPr>
              <w:pStyle w:val="182"/>
              <w:bidi w:val="0"/>
              <w:rPr>
                <w:color w:val="auto"/>
              </w:rPr>
            </w:pPr>
            <w:r>
              <w:rPr>
                <w:color w:val="auto"/>
              </w:rPr>
              <w:t>70</w:t>
            </w:r>
          </w:p>
        </w:tc>
        <w:tc>
          <w:tcPr>
            <w:tcW w:w="629" w:type="pct"/>
            <w:vAlign w:val="center"/>
          </w:tcPr>
          <w:p>
            <w:pPr>
              <w:pStyle w:val="182"/>
              <w:bidi w:val="0"/>
              <w:rPr>
                <w:color w:val="auto"/>
              </w:rPr>
            </w:pPr>
            <w:r>
              <w:rPr>
                <w:color w:val="auto"/>
              </w:rPr>
              <w:t>255</w:t>
            </w:r>
          </w:p>
        </w:tc>
        <w:tc>
          <w:tcPr>
            <w:tcW w:w="642" w:type="pct"/>
            <w:vAlign w:val="center"/>
          </w:tcPr>
          <w:p>
            <w:pPr>
              <w:pStyle w:val="182"/>
              <w:bidi w:val="0"/>
              <w:rPr>
                <w:color w:val="auto"/>
              </w:rPr>
            </w:pPr>
            <w:r>
              <w:rPr>
                <w:color w:val="auto"/>
              </w:rPr>
              <w:t>700</w:t>
            </w:r>
          </w:p>
        </w:tc>
      </w:tr>
    </w:tbl>
    <w:p>
      <w:pPr>
        <w:pStyle w:val="10"/>
        <w:bidi w:val="0"/>
        <w:rPr>
          <w:color w:val="auto"/>
        </w:rPr>
      </w:pPr>
      <w:r>
        <w:rPr>
          <w:color w:val="auto"/>
        </w:rPr>
        <w:t>4.2.6.</w:t>
      </w:r>
      <w:r>
        <w:rPr>
          <w:rFonts w:hint="eastAsia"/>
          <w:color w:val="auto"/>
        </w:rPr>
        <w:t>3检测方法</w:t>
      </w:r>
    </w:p>
    <w:p>
      <w:pPr>
        <w:pStyle w:val="181"/>
        <w:bidi w:val="0"/>
        <w:rPr>
          <w:color w:val="auto"/>
        </w:rPr>
      </w:pPr>
      <w:r>
        <w:rPr>
          <w:rFonts w:hint="eastAsia"/>
          <w:color w:val="auto"/>
        </w:rPr>
        <w:t>表</w:t>
      </w:r>
      <w:r>
        <w:rPr>
          <w:color w:val="auto"/>
        </w:rPr>
        <w:t>4.2</w:t>
      </w:r>
      <w:r>
        <w:rPr>
          <w:rFonts w:hint="eastAsia"/>
          <w:color w:val="auto"/>
        </w:rPr>
        <w:t>-</w:t>
      </w:r>
      <w:r>
        <w:rPr>
          <w:rFonts w:hint="eastAsia"/>
          <w:color w:val="auto"/>
          <w:lang w:val="en-US" w:eastAsia="zh-CN"/>
        </w:rPr>
        <w:t>25</w:t>
      </w:r>
      <w:r>
        <w:rPr>
          <w:color w:val="auto"/>
        </w:rPr>
        <w:t xml:space="preserve">  </w:t>
      </w:r>
      <w:r>
        <w:rPr>
          <w:rFonts w:hint="eastAsia"/>
          <w:color w:val="auto"/>
          <w:lang w:val="en-US" w:eastAsia="zh-CN"/>
        </w:rPr>
        <w:t xml:space="preserve">         </w:t>
      </w:r>
      <w:r>
        <w:rPr>
          <w:rFonts w:hint="eastAsia"/>
          <w:color w:val="auto"/>
        </w:rPr>
        <w:t>土壤检测分析方法一览表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6" w:type="dxa"/>
          <w:bottom w:w="0" w:type="dxa"/>
          <w:right w:w="6" w:type="dxa"/>
        </w:tblCellMar>
      </w:tblPr>
      <w:tblGrid>
        <w:gridCol w:w="638"/>
        <w:gridCol w:w="1227"/>
        <w:gridCol w:w="3117"/>
        <w:gridCol w:w="2261"/>
        <w:gridCol w:w="108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tblHeader/>
          <w:jc w:val="center"/>
        </w:trPr>
        <w:tc>
          <w:tcPr>
            <w:tcW w:w="383" w:type="pct"/>
            <w:vAlign w:val="center"/>
          </w:tcPr>
          <w:p>
            <w:pPr>
              <w:pStyle w:val="182"/>
              <w:bidi w:val="0"/>
              <w:rPr>
                <w:b/>
                <w:bCs/>
                <w:color w:val="auto"/>
              </w:rPr>
            </w:pPr>
            <w:r>
              <w:rPr>
                <w:b/>
                <w:bCs/>
                <w:color w:val="auto"/>
              </w:rPr>
              <w:t>序号</w:t>
            </w:r>
          </w:p>
        </w:tc>
        <w:tc>
          <w:tcPr>
            <w:tcW w:w="737" w:type="pct"/>
            <w:vAlign w:val="center"/>
          </w:tcPr>
          <w:p>
            <w:pPr>
              <w:pStyle w:val="182"/>
              <w:bidi w:val="0"/>
              <w:rPr>
                <w:b/>
                <w:bCs/>
                <w:color w:val="auto"/>
              </w:rPr>
            </w:pPr>
            <w:r>
              <w:rPr>
                <w:b/>
                <w:bCs/>
                <w:color w:val="auto"/>
              </w:rPr>
              <w:t>检测因子</w:t>
            </w:r>
          </w:p>
        </w:tc>
        <w:tc>
          <w:tcPr>
            <w:tcW w:w="1872" w:type="pct"/>
            <w:vAlign w:val="center"/>
          </w:tcPr>
          <w:p>
            <w:pPr>
              <w:pStyle w:val="182"/>
              <w:bidi w:val="0"/>
              <w:rPr>
                <w:b/>
                <w:bCs/>
                <w:color w:val="auto"/>
              </w:rPr>
            </w:pPr>
            <w:r>
              <w:rPr>
                <w:b/>
                <w:bCs/>
                <w:color w:val="auto"/>
              </w:rPr>
              <w:t>检测方法及编号</w:t>
            </w:r>
          </w:p>
        </w:tc>
        <w:tc>
          <w:tcPr>
            <w:tcW w:w="1358" w:type="pct"/>
            <w:vAlign w:val="center"/>
          </w:tcPr>
          <w:p>
            <w:pPr>
              <w:pStyle w:val="182"/>
              <w:bidi w:val="0"/>
              <w:rPr>
                <w:b/>
                <w:bCs/>
                <w:color w:val="auto"/>
              </w:rPr>
            </w:pPr>
            <w:r>
              <w:rPr>
                <w:b/>
                <w:bCs/>
                <w:color w:val="auto"/>
              </w:rPr>
              <w:t>检测仪器及型号</w:t>
            </w:r>
          </w:p>
        </w:tc>
        <w:tc>
          <w:tcPr>
            <w:tcW w:w="650" w:type="pct"/>
            <w:vAlign w:val="center"/>
          </w:tcPr>
          <w:p>
            <w:pPr>
              <w:pStyle w:val="182"/>
              <w:bidi w:val="0"/>
              <w:rPr>
                <w:b/>
                <w:bCs/>
                <w:color w:val="auto"/>
              </w:rPr>
            </w:pPr>
            <w:r>
              <w:rPr>
                <w:b/>
                <w:bCs/>
                <w:color w:val="auto"/>
              </w:rPr>
              <w:t>检出限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rFonts w:hint="eastAsia"/>
                <w:color w:val="auto"/>
              </w:rPr>
              <w:t>1</w:t>
            </w:r>
          </w:p>
        </w:tc>
        <w:tc>
          <w:tcPr>
            <w:tcW w:w="737" w:type="pct"/>
            <w:vAlign w:val="center"/>
          </w:tcPr>
          <w:p>
            <w:pPr>
              <w:pStyle w:val="182"/>
              <w:bidi w:val="0"/>
              <w:rPr>
                <w:color w:val="auto"/>
              </w:rPr>
            </w:pPr>
            <w:r>
              <w:rPr>
                <w:color w:val="auto"/>
              </w:rPr>
              <w:t>砷</w:t>
            </w:r>
          </w:p>
        </w:tc>
        <w:tc>
          <w:tcPr>
            <w:tcW w:w="1872" w:type="pct"/>
            <w:vAlign w:val="center"/>
          </w:tcPr>
          <w:p>
            <w:pPr>
              <w:pStyle w:val="182"/>
              <w:bidi w:val="0"/>
              <w:rPr>
                <w:color w:val="auto"/>
              </w:rPr>
            </w:pPr>
            <w:r>
              <w:rPr>
                <w:color w:val="auto"/>
              </w:rPr>
              <w:t>土壤和沉积物汞、砷、硒、铋、锑的测定微波消解/原子荧光法 HJ 680-2013</w:t>
            </w:r>
          </w:p>
        </w:tc>
        <w:tc>
          <w:tcPr>
            <w:tcW w:w="1358" w:type="pct"/>
            <w:vAlign w:val="center"/>
          </w:tcPr>
          <w:p>
            <w:pPr>
              <w:pStyle w:val="182"/>
              <w:bidi w:val="0"/>
              <w:rPr>
                <w:color w:val="auto"/>
              </w:rPr>
            </w:pPr>
            <w:r>
              <w:rPr>
                <w:color w:val="auto"/>
              </w:rPr>
              <w:t>原子荧光光度计PF31</w:t>
            </w:r>
          </w:p>
          <w:p>
            <w:pPr>
              <w:pStyle w:val="182"/>
              <w:bidi w:val="0"/>
              <w:rPr>
                <w:color w:val="auto"/>
              </w:rPr>
            </w:pPr>
            <w:r>
              <w:rPr>
                <w:rFonts w:hint="eastAsia"/>
                <w:color w:val="auto"/>
              </w:rPr>
              <w:t>（DSYQ-N002-1）</w:t>
            </w:r>
          </w:p>
        </w:tc>
        <w:tc>
          <w:tcPr>
            <w:tcW w:w="650" w:type="pct"/>
            <w:vAlign w:val="center"/>
          </w:tcPr>
          <w:p>
            <w:pPr>
              <w:pStyle w:val="182"/>
              <w:bidi w:val="0"/>
              <w:rPr>
                <w:color w:val="auto"/>
              </w:rPr>
            </w:pPr>
            <w:r>
              <w:rPr>
                <w:color w:val="auto"/>
              </w:rPr>
              <w:t>0.01mg/kg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rFonts w:hint="eastAsia"/>
                <w:color w:val="auto"/>
              </w:rPr>
              <w:t>2</w:t>
            </w:r>
          </w:p>
        </w:tc>
        <w:tc>
          <w:tcPr>
            <w:tcW w:w="737" w:type="pct"/>
            <w:vAlign w:val="center"/>
          </w:tcPr>
          <w:p>
            <w:pPr>
              <w:pStyle w:val="182"/>
              <w:bidi w:val="0"/>
              <w:rPr>
                <w:color w:val="auto"/>
              </w:rPr>
            </w:pPr>
            <w:r>
              <w:rPr>
                <w:color w:val="auto"/>
              </w:rPr>
              <w:t>镉</w:t>
            </w:r>
          </w:p>
        </w:tc>
        <w:tc>
          <w:tcPr>
            <w:tcW w:w="1872" w:type="pct"/>
            <w:vAlign w:val="center"/>
          </w:tcPr>
          <w:p>
            <w:pPr>
              <w:pStyle w:val="182"/>
              <w:bidi w:val="0"/>
              <w:rPr>
                <w:color w:val="auto"/>
              </w:rPr>
            </w:pPr>
            <w:r>
              <w:rPr>
                <w:color w:val="auto"/>
              </w:rPr>
              <w:t>土壤质量铅、镉的测定石墨炉原子吸收分光光度法GB/T 17141-1997</w:t>
            </w:r>
          </w:p>
        </w:tc>
        <w:tc>
          <w:tcPr>
            <w:tcW w:w="1358" w:type="pct"/>
            <w:vAlign w:val="center"/>
          </w:tcPr>
          <w:p>
            <w:pPr>
              <w:pStyle w:val="182"/>
              <w:bidi w:val="0"/>
              <w:rPr>
                <w:color w:val="auto"/>
              </w:rPr>
            </w:pPr>
            <w:r>
              <w:rPr>
                <w:color w:val="auto"/>
              </w:rPr>
              <w:t>原子吸收分光光度计 TAS-990/AGF</w:t>
            </w:r>
            <w:r>
              <w:rPr>
                <w:rFonts w:hint="default"/>
                <w:color w:val="auto"/>
              </w:rPr>
              <w:t>（DSYQ-N001-1）</w:t>
            </w:r>
          </w:p>
        </w:tc>
        <w:tc>
          <w:tcPr>
            <w:tcW w:w="650" w:type="pct"/>
            <w:vAlign w:val="center"/>
          </w:tcPr>
          <w:p>
            <w:pPr>
              <w:pStyle w:val="182"/>
              <w:bidi w:val="0"/>
              <w:rPr>
                <w:color w:val="auto"/>
              </w:rPr>
            </w:pPr>
            <w:r>
              <w:rPr>
                <w:color w:val="auto"/>
              </w:rPr>
              <w:t>0.01mg/kg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rFonts w:hint="eastAsia"/>
                <w:color w:val="auto"/>
              </w:rPr>
              <w:t>3</w:t>
            </w:r>
          </w:p>
        </w:tc>
        <w:tc>
          <w:tcPr>
            <w:tcW w:w="737" w:type="pct"/>
            <w:vAlign w:val="center"/>
          </w:tcPr>
          <w:p>
            <w:pPr>
              <w:pStyle w:val="182"/>
              <w:bidi w:val="0"/>
              <w:rPr>
                <w:color w:val="auto"/>
              </w:rPr>
            </w:pPr>
            <w:r>
              <w:rPr>
                <w:color w:val="auto"/>
              </w:rPr>
              <w:t>铬（六价）</w:t>
            </w:r>
          </w:p>
        </w:tc>
        <w:tc>
          <w:tcPr>
            <w:tcW w:w="1872" w:type="pct"/>
            <w:vAlign w:val="center"/>
          </w:tcPr>
          <w:p>
            <w:pPr>
              <w:pStyle w:val="182"/>
              <w:bidi w:val="0"/>
              <w:rPr>
                <w:color w:val="auto"/>
              </w:rPr>
            </w:pPr>
            <w:r>
              <w:rPr>
                <w:color w:val="auto"/>
              </w:rPr>
              <w:t>土壤和沉积物六价铬的测定碱溶液提取</w:t>
            </w:r>
            <w:r>
              <w:rPr>
                <w:rFonts w:hint="eastAsia"/>
                <w:color w:val="auto"/>
                <w:lang w:eastAsia="zh-CN"/>
              </w:rPr>
              <w:t>－</w:t>
            </w:r>
            <w:r>
              <w:rPr>
                <w:color w:val="auto"/>
              </w:rPr>
              <w:t>火焰原子吸收分光光度法 HJ 1082-2019</w:t>
            </w:r>
          </w:p>
        </w:tc>
        <w:tc>
          <w:tcPr>
            <w:tcW w:w="1358" w:type="pct"/>
            <w:vAlign w:val="center"/>
          </w:tcPr>
          <w:p>
            <w:pPr>
              <w:pStyle w:val="182"/>
              <w:bidi w:val="0"/>
              <w:rPr>
                <w:color w:val="auto"/>
              </w:rPr>
            </w:pPr>
            <w:r>
              <w:rPr>
                <w:color w:val="auto"/>
              </w:rPr>
              <w:t>原子吸收分光光度计 GGX-810</w:t>
            </w:r>
          </w:p>
          <w:p>
            <w:pPr>
              <w:pStyle w:val="182"/>
              <w:bidi w:val="0"/>
              <w:rPr>
                <w:color w:val="auto"/>
              </w:rPr>
            </w:pPr>
            <w:r>
              <w:rPr>
                <w:color w:val="auto"/>
              </w:rPr>
              <w:t>（DSYQ-N001-2）</w:t>
            </w:r>
          </w:p>
        </w:tc>
        <w:tc>
          <w:tcPr>
            <w:tcW w:w="650" w:type="pct"/>
            <w:vAlign w:val="center"/>
          </w:tcPr>
          <w:p>
            <w:pPr>
              <w:pStyle w:val="182"/>
              <w:bidi w:val="0"/>
              <w:rPr>
                <w:color w:val="auto"/>
              </w:rPr>
            </w:pPr>
            <w:r>
              <w:rPr>
                <w:color w:val="auto"/>
              </w:rPr>
              <w:t>0.5mg/kg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rFonts w:hint="eastAsia"/>
                <w:color w:val="auto"/>
              </w:rPr>
              <w:t>4</w:t>
            </w:r>
          </w:p>
        </w:tc>
        <w:tc>
          <w:tcPr>
            <w:tcW w:w="737" w:type="pct"/>
            <w:vAlign w:val="center"/>
          </w:tcPr>
          <w:p>
            <w:pPr>
              <w:pStyle w:val="182"/>
              <w:bidi w:val="0"/>
              <w:rPr>
                <w:color w:val="auto"/>
              </w:rPr>
            </w:pPr>
            <w:r>
              <w:rPr>
                <w:color w:val="auto"/>
              </w:rPr>
              <w:t>铜</w:t>
            </w:r>
          </w:p>
        </w:tc>
        <w:tc>
          <w:tcPr>
            <w:tcW w:w="1872" w:type="pct"/>
            <w:vAlign w:val="center"/>
          </w:tcPr>
          <w:p>
            <w:pPr>
              <w:pStyle w:val="182"/>
              <w:bidi w:val="0"/>
              <w:rPr>
                <w:color w:val="auto"/>
              </w:rPr>
            </w:pPr>
            <w:r>
              <w:rPr>
                <w:color w:val="auto"/>
              </w:rPr>
              <w:t>土壤和沉积物铜、锌、铅、镍、铬的测定火焰原子吸收分光光度法 HJ 491-2019</w:t>
            </w:r>
          </w:p>
        </w:tc>
        <w:tc>
          <w:tcPr>
            <w:tcW w:w="1358" w:type="pct"/>
            <w:vAlign w:val="center"/>
          </w:tcPr>
          <w:p>
            <w:pPr>
              <w:pStyle w:val="182"/>
              <w:bidi w:val="0"/>
              <w:rPr>
                <w:color w:val="auto"/>
              </w:rPr>
            </w:pPr>
            <w:r>
              <w:rPr>
                <w:color w:val="auto"/>
              </w:rPr>
              <w:t>原子吸收分光光度计 GGX-810</w:t>
            </w:r>
          </w:p>
          <w:p>
            <w:pPr>
              <w:pStyle w:val="182"/>
              <w:bidi w:val="0"/>
              <w:rPr>
                <w:color w:val="auto"/>
              </w:rPr>
            </w:pPr>
            <w:r>
              <w:rPr>
                <w:color w:val="auto"/>
              </w:rPr>
              <w:t>（DSYQ-N001-2）</w:t>
            </w:r>
          </w:p>
        </w:tc>
        <w:tc>
          <w:tcPr>
            <w:tcW w:w="650" w:type="pct"/>
            <w:vAlign w:val="center"/>
          </w:tcPr>
          <w:p>
            <w:pPr>
              <w:pStyle w:val="182"/>
              <w:bidi w:val="0"/>
              <w:rPr>
                <w:color w:val="auto"/>
              </w:rPr>
            </w:pPr>
            <w:r>
              <w:rPr>
                <w:color w:val="auto"/>
              </w:rPr>
              <w:t>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rFonts w:hint="eastAsia"/>
                <w:color w:val="auto"/>
              </w:rPr>
              <w:t>5</w:t>
            </w:r>
          </w:p>
        </w:tc>
        <w:tc>
          <w:tcPr>
            <w:tcW w:w="737" w:type="pct"/>
            <w:vAlign w:val="center"/>
          </w:tcPr>
          <w:p>
            <w:pPr>
              <w:pStyle w:val="182"/>
              <w:bidi w:val="0"/>
              <w:rPr>
                <w:color w:val="auto"/>
              </w:rPr>
            </w:pPr>
            <w:r>
              <w:rPr>
                <w:color w:val="auto"/>
              </w:rPr>
              <w:t>铅</w:t>
            </w:r>
          </w:p>
        </w:tc>
        <w:tc>
          <w:tcPr>
            <w:tcW w:w="1872" w:type="pct"/>
            <w:vAlign w:val="center"/>
          </w:tcPr>
          <w:p>
            <w:pPr>
              <w:pStyle w:val="182"/>
              <w:bidi w:val="0"/>
              <w:rPr>
                <w:color w:val="auto"/>
              </w:rPr>
            </w:pPr>
            <w:r>
              <w:rPr>
                <w:color w:val="auto"/>
              </w:rPr>
              <w:t>土壤质量铅、镉的测定石墨炉原子吸收分光光度法 GB/T 17141-1997</w:t>
            </w:r>
          </w:p>
        </w:tc>
        <w:tc>
          <w:tcPr>
            <w:tcW w:w="1358" w:type="pct"/>
            <w:vAlign w:val="center"/>
          </w:tcPr>
          <w:p>
            <w:pPr>
              <w:pStyle w:val="182"/>
              <w:bidi w:val="0"/>
              <w:rPr>
                <w:color w:val="auto"/>
              </w:rPr>
            </w:pPr>
            <w:r>
              <w:rPr>
                <w:color w:val="auto"/>
              </w:rPr>
              <w:t>原子吸收分光光度计 TAS-990/AGF</w:t>
            </w:r>
            <w:r>
              <w:rPr>
                <w:rFonts w:hint="default"/>
                <w:color w:val="auto"/>
              </w:rPr>
              <w:t>（DSYQ-N001-1）</w:t>
            </w:r>
          </w:p>
        </w:tc>
        <w:tc>
          <w:tcPr>
            <w:tcW w:w="650" w:type="pct"/>
            <w:vAlign w:val="center"/>
          </w:tcPr>
          <w:p>
            <w:pPr>
              <w:pStyle w:val="182"/>
              <w:bidi w:val="0"/>
              <w:rPr>
                <w:color w:val="auto"/>
              </w:rPr>
            </w:pPr>
            <w:r>
              <w:rPr>
                <w:color w:val="auto"/>
              </w:rPr>
              <w:t>0.1mg/kg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rFonts w:hint="eastAsia"/>
                <w:color w:val="auto"/>
              </w:rPr>
              <w:t>6</w:t>
            </w:r>
          </w:p>
        </w:tc>
        <w:tc>
          <w:tcPr>
            <w:tcW w:w="737" w:type="pct"/>
            <w:vAlign w:val="center"/>
          </w:tcPr>
          <w:p>
            <w:pPr>
              <w:pStyle w:val="182"/>
              <w:bidi w:val="0"/>
              <w:rPr>
                <w:color w:val="auto"/>
              </w:rPr>
            </w:pPr>
            <w:r>
              <w:rPr>
                <w:color w:val="auto"/>
              </w:rPr>
              <w:t>总汞</w:t>
            </w:r>
          </w:p>
        </w:tc>
        <w:tc>
          <w:tcPr>
            <w:tcW w:w="1872" w:type="pct"/>
            <w:vAlign w:val="center"/>
          </w:tcPr>
          <w:p>
            <w:pPr>
              <w:pStyle w:val="182"/>
              <w:bidi w:val="0"/>
              <w:rPr>
                <w:color w:val="auto"/>
              </w:rPr>
            </w:pPr>
            <w:r>
              <w:rPr>
                <w:color w:val="auto"/>
              </w:rPr>
              <w:t>土壤质量总汞的测定冷原子吸收分光光度法 GB/T 17136-1997</w:t>
            </w:r>
          </w:p>
        </w:tc>
        <w:tc>
          <w:tcPr>
            <w:tcW w:w="1358" w:type="pct"/>
            <w:vAlign w:val="center"/>
          </w:tcPr>
          <w:p>
            <w:pPr>
              <w:pStyle w:val="182"/>
              <w:bidi w:val="0"/>
              <w:rPr>
                <w:color w:val="auto"/>
              </w:rPr>
            </w:pPr>
            <w:r>
              <w:rPr>
                <w:color w:val="auto"/>
              </w:rPr>
              <w:t>冷原子吸收测汞仪  F732-VJ</w:t>
            </w:r>
          </w:p>
          <w:p>
            <w:pPr>
              <w:pStyle w:val="182"/>
              <w:bidi w:val="0"/>
              <w:rPr>
                <w:color w:val="auto"/>
              </w:rPr>
            </w:pPr>
            <w:r>
              <w:rPr>
                <w:rFonts w:hint="eastAsia"/>
                <w:color w:val="auto"/>
              </w:rPr>
              <w:t>（DSYQ-N008-1）</w:t>
            </w:r>
          </w:p>
        </w:tc>
        <w:tc>
          <w:tcPr>
            <w:tcW w:w="650" w:type="pct"/>
            <w:vAlign w:val="center"/>
          </w:tcPr>
          <w:p>
            <w:pPr>
              <w:pStyle w:val="182"/>
              <w:bidi w:val="0"/>
              <w:rPr>
                <w:color w:val="auto"/>
              </w:rPr>
            </w:pPr>
            <w:r>
              <w:rPr>
                <w:color w:val="auto"/>
              </w:rPr>
              <w:t>0.005mg/kg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rFonts w:hint="eastAsia"/>
                <w:color w:val="auto"/>
              </w:rPr>
              <w:t>7</w:t>
            </w:r>
          </w:p>
        </w:tc>
        <w:tc>
          <w:tcPr>
            <w:tcW w:w="737" w:type="pct"/>
            <w:vAlign w:val="center"/>
          </w:tcPr>
          <w:p>
            <w:pPr>
              <w:pStyle w:val="182"/>
              <w:bidi w:val="0"/>
              <w:rPr>
                <w:color w:val="auto"/>
              </w:rPr>
            </w:pPr>
            <w:r>
              <w:rPr>
                <w:color w:val="auto"/>
              </w:rPr>
              <w:t>镍</w:t>
            </w:r>
          </w:p>
        </w:tc>
        <w:tc>
          <w:tcPr>
            <w:tcW w:w="1872" w:type="pct"/>
            <w:vAlign w:val="center"/>
          </w:tcPr>
          <w:p>
            <w:pPr>
              <w:pStyle w:val="182"/>
              <w:bidi w:val="0"/>
              <w:rPr>
                <w:color w:val="auto"/>
              </w:rPr>
            </w:pPr>
            <w:r>
              <w:rPr>
                <w:color w:val="auto"/>
              </w:rPr>
              <w:t>土壤和沉积物铜、锌、铅、镍、铬的测定火焰原子吸收分光光度法 HJ 491-2019</w:t>
            </w:r>
          </w:p>
        </w:tc>
        <w:tc>
          <w:tcPr>
            <w:tcW w:w="1358" w:type="pct"/>
            <w:vAlign w:val="center"/>
          </w:tcPr>
          <w:p>
            <w:pPr>
              <w:pStyle w:val="182"/>
              <w:bidi w:val="0"/>
              <w:rPr>
                <w:color w:val="auto"/>
              </w:rPr>
            </w:pPr>
            <w:r>
              <w:rPr>
                <w:color w:val="auto"/>
              </w:rPr>
              <w:t>原子吸收分光光度计 GGX-810</w:t>
            </w:r>
          </w:p>
          <w:p>
            <w:pPr>
              <w:pStyle w:val="182"/>
              <w:bidi w:val="0"/>
              <w:rPr>
                <w:color w:val="auto"/>
              </w:rPr>
            </w:pPr>
            <w:r>
              <w:rPr>
                <w:color w:val="auto"/>
              </w:rPr>
              <w:t>（DSYQ-N001-2）</w:t>
            </w:r>
          </w:p>
        </w:tc>
        <w:tc>
          <w:tcPr>
            <w:tcW w:w="650" w:type="pct"/>
            <w:vAlign w:val="center"/>
          </w:tcPr>
          <w:p>
            <w:pPr>
              <w:pStyle w:val="182"/>
              <w:bidi w:val="0"/>
              <w:rPr>
                <w:color w:val="auto"/>
              </w:rPr>
            </w:pPr>
            <w:r>
              <w:rPr>
                <w:color w:val="auto"/>
              </w:rPr>
              <w:t>5mg/kg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rFonts w:hint="eastAsia"/>
                <w:color w:val="auto"/>
              </w:rPr>
              <w:t>8</w:t>
            </w:r>
          </w:p>
        </w:tc>
        <w:tc>
          <w:tcPr>
            <w:tcW w:w="737" w:type="pct"/>
            <w:vAlign w:val="center"/>
          </w:tcPr>
          <w:p>
            <w:pPr>
              <w:pStyle w:val="182"/>
              <w:bidi w:val="0"/>
              <w:rPr>
                <w:color w:val="auto"/>
              </w:rPr>
            </w:pPr>
            <w:r>
              <w:rPr>
                <w:color w:val="auto"/>
              </w:rPr>
              <w:t>四氯化碳</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1.3μg/kg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rFonts w:hint="eastAsia"/>
                <w:color w:val="auto"/>
              </w:rPr>
              <w:t>9</w:t>
            </w:r>
          </w:p>
        </w:tc>
        <w:tc>
          <w:tcPr>
            <w:tcW w:w="737" w:type="pct"/>
            <w:vAlign w:val="center"/>
          </w:tcPr>
          <w:p>
            <w:pPr>
              <w:pStyle w:val="182"/>
              <w:bidi w:val="0"/>
              <w:rPr>
                <w:color w:val="auto"/>
              </w:rPr>
            </w:pPr>
            <w:r>
              <w:rPr>
                <w:color w:val="auto"/>
              </w:rPr>
              <w:t>氯仿</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1.1μg/kg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10</w:t>
            </w:r>
          </w:p>
        </w:tc>
        <w:tc>
          <w:tcPr>
            <w:tcW w:w="737" w:type="pct"/>
            <w:vAlign w:val="center"/>
          </w:tcPr>
          <w:p>
            <w:pPr>
              <w:pStyle w:val="182"/>
              <w:bidi w:val="0"/>
              <w:rPr>
                <w:color w:val="auto"/>
              </w:rPr>
            </w:pPr>
            <w:r>
              <w:rPr>
                <w:color w:val="auto"/>
              </w:rPr>
              <w:t>氯甲烷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1.0μg/kg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11</w:t>
            </w:r>
          </w:p>
        </w:tc>
        <w:tc>
          <w:tcPr>
            <w:tcW w:w="737" w:type="pct"/>
            <w:vAlign w:val="center"/>
          </w:tcPr>
          <w:p>
            <w:pPr>
              <w:pStyle w:val="182"/>
              <w:bidi w:val="0"/>
              <w:rPr>
                <w:color w:val="auto"/>
              </w:rPr>
            </w:pPr>
            <w:r>
              <w:rPr>
                <w:color w:val="auto"/>
              </w:rPr>
              <w:t>1,1</w:t>
            </w:r>
            <w:r>
              <w:rPr>
                <w:rFonts w:hint="eastAsia"/>
                <w:color w:val="auto"/>
                <w:lang w:eastAsia="zh-CN"/>
              </w:rPr>
              <w:t>－</w:t>
            </w:r>
            <w:r>
              <w:rPr>
                <w:color w:val="auto"/>
              </w:rPr>
              <w:t>二氯乙烷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12</w:t>
            </w:r>
          </w:p>
        </w:tc>
        <w:tc>
          <w:tcPr>
            <w:tcW w:w="737" w:type="pct"/>
            <w:vAlign w:val="center"/>
          </w:tcPr>
          <w:p>
            <w:pPr>
              <w:pStyle w:val="182"/>
              <w:bidi w:val="0"/>
              <w:rPr>
                <w:color w:val="auto"/>
              </w:rPr>
            </w:pPr>
            <w:r>
              <w:rPr>
                <w:color w:val="auto"/>
              </w:rPr>
              <w:t>1,2</w:t>
            </w:r>
            <w:r>
              <w:rPr>
                <w:rFonts w:hint="eastAsia"/>
                <w:color w:val="auto"/>
                <w:lang w:eastAsia="zh-CN"/>
              </w:rPr>
              <w:t>－</w:t>
            </w:r>
            <w:r>
              <w:rPr>
                <w:color w:val="auto"/>
              </w:rPr>
              <w:t>二氯乙烷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1.3μg/kg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13</w:t>
            </w:r>
          </w:p>
        </w:tc>
        <w:tc>
          <w:tcPr>
            <w:tcW w:w="737" w:type="pct"/>
            <w:vAlign w:val="center"/>
          </w:tcPr>
          <w:p>
            <w:pPr>
              <w:pStyle w:val="182"/>
              <w:bidi w:val="0"/>
              <w:rPr>
                <w:color w:val="auto"/>
              </w:rPr>
            </w:pPr>
            <w:r>
              <w:rPr>
                <w:color w:val="auto"/>
              </w:rPr>
              <w:t>1,1</w:t>
            </w:r>
            <w:r>
              <w:rPr>
                <w:rFonts w:hint="eastAsia"/>
                <w:color w:val="auto"/>
                <w:lang w:eastAsia="zh-CN"/>
              </w:rPr>
              <w:t>－</w:t>
            </w:r>
            <w:r>
              <w:rPr>
                <w:color w:val="auto"/>
              </w:rPr>
              <w:t>二氯乙烯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1.0μg/kg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14</w:t>
            </w:r>
          </w:p>
        </w:tc>
        <w:tc>
          <w:tcPr>
            <w:tcW w:w="737" w:type="pct"/>
            <w:vAlign w:val="center"/>
          </w:tcPr>
          <w:p>
            <w:pPr>
              <w:pStyle w:val="182"/>
              <w:bidi w:val="0"/>
              <w:rPr>
                <w:color w:val="auto"/>
              </w:rPr>
            </w:pPr>
            <w:r>
              <w:rPr>
                <w:color w:val="auto"/>
              </w:rPr>
              <w:t>顺式-1,2-二氯乙烯</w:t>
            </w:r>
          </w:p>
        </w:tc>
        <w:tc>
          <w:tcPr>
            <w:tcW w:w="1872" w:type="pct"/>
            <w:vAlign w:val="center"/>
          </w:tcPr>
          <w:p>
            <w:pPr>
              <w:pStyle w:val="182"/>
              <w:bidi w:val="0"/>
              <w:rPr>
                <w:color w:val="auto"/>
              </w:rPr>
            </w:pPr>
            <w:r>
              <w:rPr>
                <w:color w:val="auto"/>
              </w:rPr>
              <w:t>土壤和沉积物挥发性有机物的测定吹扫捕集/气相色谱-质谱法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1.3μg/kg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15</w:t>
            </w:r>
          </w:p>
        </w:tc>
        <w:tc>
          <w:tcPr>
            <w:tcW w:w="737" w:type="pct"/>
            <w:vAlign w:val="center"/>
          </w:tcPr>
          <w:p>
            <w:pPr>
              <w:pStyle w:val="182"/>
              <w:bidi w:val="0"/>
              <w:rPr>
                <w:color w:val="auto"/>
              </w:rPr>
            </w:pPr>
            <w:r>
              <w:rPr>
                <w:color w:val="auto"/>
              </w:rPr>
              <w:t>反式-1,2-二氯乙烯</w:t>
            </w:r>
          </w:p>
        </w:tc>
        <w:tc>
          <w:tcPr>
            <w:tcW w:w="1872" w:type="pct"/>
            <w:vAlign w:val="center"/>
          </w:tcPr>
          <w:p>
            <w:pPr>
              <w:pStyle w:val="182"/>
              <w:bidi w:val="0"/>
              <w:rPr>
                <w:color w:val="auto"/>
              </w:rPr>
            </w:pPr>
            <w:r>
              <w:rPr>
                <w:color w:val="auto"/>
              </w:rPr>
              <w:t>土壤和沉积物挥发性有机物的测定吹扫捕集/气相色谱-质谱法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1.4μg/kg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16</w:t>
            </w:r>
          </w:p>
        </w:tc>
        <w:tc>
          <w:tcPr>
            <w:tcW w:w="737" w:type="pct"/>
            <w:vAlign w:val="center"/>
          </w:tcPr>
          <w:p>
            <w:pPr>
              <w:pStyle w:val="182"/>
              <w:bidi w:val="0"/>
              <w:rPr>
                <w:color w:val="auto"/>
              </w:rPr>
            </w:pPr>
            <w:r>
              <w:rPr>
                <w:color w:val="auto"/>
              </w:rPr>
              <w:t>二氯甲烷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1.5μg/kg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17</w:t>
            </w:r>
          </w:p>
        </w:tc>
        <w:tc>
          <w:tcPr>
            <w:tcW w:w="737" w:type="pct"/>
            <w:vAlign w:val="center"/>
          </w:tcPr>
          <w:p>
            <w:pPr>
              <w:pStyle w:val="182"/>
              <w:bidi w:val="0"/>
              <w:rPr>
                <w:color w:val="auto"/>
              </w:rPr>
            </w:pPr>
            <w:r>
              <w:rPr>
                <w:color w:val="auto"/>
              </w:rPr>
              <w:t>1,2</w:t>
            </w:r>
            <w:r>
              <w:rPr>
                <w:rFonts w:hint="eastAsia"/>
                <w:color w:val="auto"/>
                <w:lang w:eastAsia="zh-CN"/>
              </w:rPr>
              <w:t>－</w:t>
            </w:r>
            <w:r>
              <w:rPr>
                <w:color w:val="auto"/>
              </w:rPr>
              <w:t>二氯丙烷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1.1μg/kg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18</w:t>
            </w:r>
          </w:p>
        </w:tc>
        <w:tc>
          <w:tcPr>
            <w:tcW w:w="737" w:type="pct"/>
            <w:vAlign w:val="center"/>
          </w:tcPr>
          <w:p>
            <w:pPr>
              <w:pStyle w:val="182"/>
              <w:bidi w:val="0"/>
              <w:rPr>
                <w:color w:val="auto"/>
              </w:rPr>
            </w:pPr>
            <w:r>
              <w:rPr>
                <w:color w:val="auto"/>
              </w:rPr>
              <w:t>1,1,1,2</w:t>
            </w:r>
            <w:r>
              <w:rPr>
                <w:rFonts w:hint="eastAsia"/>
                <w:color w:val="auto"/>
                <w:lang w:eastAsia="zh-CN"/>
              </w:rPr>
              <w:t>－</w:t>
            </w:r>
            <w:r>
              <w:rPr>
                <w:color w:val="auto"/>
              </w:rPr>
              <w:t>四氯乙烷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19</w:t>
            </w:r>
          </w:p>
        </w:tc>
        <w:tc>
          <w:tcPr>
            <w:tcW w:w="737" w:type="pct"/>
            <w:vAlign w:val="center"/>
          </w:tcPr>
          <w:p>
            <w:pPr>
              <w:pStyle w:val="182"/>
              <w:bidi w:val="0"/>
              <w:rPr>
                <w:color w:val="auto"/>
              </w:rPr>
            </w:pPr>
            <w:r>
              <w:rPr>
                <w:color w:val="auto"/>
              </w:rPr>
              <w:t>1,1,2,2</w:t>
            </w:r>
            <w:r>
              <w:rPr>
                <w:rFonts w:hint="eastAsia"/>
                <w:color w:val="auto"/>
                <w:lang w:eastAsia="zh-CN"/>
              </w:rPr>
              <w:t>－</w:t>
            </w:r>
            <w:r>
              <w:rPr>
                <w:color w:val="auto"/>
              </w:rPr>
              <w:t>四氯乙烷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20</w:t>
            </w:r>
          </w:p>
        </w:tc>
        <w:tc>
          <w:tcPr>
            <w:tcW w:w="737" w:type="pct"/>
            <w:vAlign w:val="center"/>
          </w:tcPr>
          <w:p>
            <w:pPr>
              <w:pStyle w:val="182"/>
              <w:bidi w:val="0"/>
              <w:rPr>
                <w:color w:val="auto"/>
              </w:rPr>
            </w:pPr>
            <w:r>
              <w:rPr>
                <w:color w:val="auto"/>
              </w:rPr>
              <w:t>四氯乙烯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1.4μg/kg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21</w:t>
            </w:r>
          </w:p>
        </w:tc>
        <w:tc>
          <w:tcPr>
            <w:tcW w:w="737" w:type="pct"/>
            <w:vAlign w:val="center"/>
          </w:tcPr>
          <w:p>
            <w:pPr>
              <w:pStyle w:val="182"/>
              <w:bidi w:val="0"/>
              <w:rPr>
                <w:color w:val="auto"/>
              </w:rPr>
            </w:pPr>
            <w:r>
              <w:rPr>
                <w:color w:val="auto"/>
              </w:rPr>
              <w:t>1,1,1</w:t>
            </w:r>
            <w:r>
              <w:rPr>
                <w:rFonts w:hint="eastAsia"/>
                <w:color w:val="auto"/>
                <w:lang w:eastAsia="zh-CN"/>
              </w:rPr>
              <w:t>－</w:t>
            </w:r>
            <w:r>
              <w:rPr>
                <w:color w:val="auto"/>
              </w:rPr>
              <w:t>三氯乙烷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1.3μg/kg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22</w:t>
            </w:r>
          </w:p>
        </w:tc>
        <w:tc>
          <w:tcPr>
            <w:tcW w:w="737" w:type="pct"/>
            <w:vAlign w:val="center"/>
          </w:tcPr>
          <w:p>
            <w:pPr>
              <w:pStyle w:val="182"/>
              <w:bidi w:val="0"/>
              <w:rPr>
                <w:color w:val="auto"/>
              </w:rPr>
            </w:pPr>
            <w:r>
              <w:rPr>
                <w:color w:val="auto"/>
              </w:rPr>
              <w:t>1,1,2</w:t>
            </w:r>
            <w:r>
              <w:rPr>
                <w:rFonts w:hint="eastAsia"/>
                <w:color w:val="auto"/>
                <w:lang w:eastAsia="zh-CN"/>
              </w:rPr>
              <w:t>－</w:t>
            </w:r>
            <w:r>
              <w:rPr>
                <w:color w:val="auto"/>
              </w:rPr>
              <w:t>三氯乙烷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23</w:t>
            </w:r>
          </w:p>
        </w:tc>
        <w:tc>
          <w:tcPr>
            <w:tcW w:w="737" w:type="pct"/>
            <w:vAlign w:val="center"/>
          </w:tcPr>
          <w:p>
            <w:pPr>
              <w:pStyle w:val="182"/>
              <w:bidi w:val="0"/>
              <w:rPr>
                <w:color w:val="auto"/>
              </w:rPr>
            </w:pPr>
            <w:r>
              <w:rPr>
                <w:color w:val="auto"/>
              </w:rPr>
              <w:t>三氯乙烯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24</w:t>
            </w:r>
          </w:p>
        </w:tc>
        <w:tc>
          <w:tcPr>
            <w:tcW w:w="737" w:type="pct"/>
            <w:vAlign w:val="center"/>
          </w:tcPr>
          <w:p>
            <w:pPr>
              <w:pStyle w:val="182"/>
              <w:bidi w:val="0"/>
              <w:rPr>
                <w:color w:val="auto"/>
              </w:rPr>
            </w:pPr>
            <w:r>
              <w:rPr>
                <w:color w:val="auto"/>
              </w:rPr>
              <w:t>1,2,3</w:t>
            </w:r>
            <w:r>
              <w:rPr>
                <w:rFonts w:hint="eastAsia"/>
                <w:color w:val="auto"/>
                <w:lang w:eastAsia="zh-CN"/>
              </w:rPr>
              <w:t>－</w:t>
            </w:r>
            <w:r>
              <w:rPr>
                <w:color w:val="auto"/>
              </w:rPr>
              <w:t>三氯丙烷</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25</w:t>
            </w:r>
          </w:p>
        </w:tc>
        <w:tc>
          <w:tcPr>
            <w:tcW w:w="737" w:type="pct"/>
            <w:vAlign w:val="center"/>
          </w:tcPr>
          <w:p>
            <w:pPr>
              <w:pStyle w:val="182"/>
              <w:bidi w:val="0"/>
              <w:rPr>
                <w:color w:val="auto"/>
              </w:rPr>
            </w:pPr>
            <w:r>
              <w:rPr>
                <w:color w:val="auto"/>
              </w:rPr>
              <w:t>氯乙烯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1.0μg/kg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26</w:t>
            </w:r>
          </w:p>
        </w:tc>
        <w:tc>
          <w:tcPr>
            <w:tcW w:w="737" w:type="pct"/>
            <w:vAlign w:val="center"/>
          </w:tcPr>
          <w:p>
            <w:pPr>
              <w:pStyle w:val="182"/>
              <w:bidi w:val="0"/>
              <w:rPr>
                <w:color w:val="auto"/>
              </w:rPr>
            </w:pPr>
            <w:r>
              <w:rPr>
                <w:color w:val="auto"/>
              </w:rPr>
              <w:t>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气相色谱质谱联用仪7890B-5977B/GC-MS</w:t>
            </w:r>
            <w:r>
              <w:rPr>
                <w:rFonts w:hint="eastAsia"/>
                <w:color w:val="auto"/>
              </w:rPr>
              <w:t>（DSYQ-N010-1）</w:t>
            </w:r>
          </w:p>
        </w:tc>
        <w:tc>
          <w:tcPr>
            <w:tcW w:w="650" w:type="pct"/>
            <w:vAlign w:val="center"/>
          </w:tcPr>
          <w:p>
            <w:pPr>
              <w:pStyle w:val="182"/>
              <w:bidi w:val="0"/>
              <w:rPr>
                <w:color w:val="auto"/>
              </w:rPr>
            </w:pPr>
            <w:r>
              <w:rPr>
                <w:color w:val="auto"/>
              </w:rPr>
              <w:t>1.9μg/kg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27</w:t>
            </w:r>
          </w:p>
        </w:tc>
        <w:tc>
          <w:tcPr>
            <w:tcW w:w="737" w:type="pct"/>
            <w:vAlign w:val="center"/>
          </w:tcPr>
          <w:p>
            <w:pPr>
              <w:pStyle w:val="182"/>
              <w:bidi w:val="0"/>
              <w:rPr>
                <w:color w:val="auto"/>
              </w:rPr>
            </w:pPr>
            <w:r>
              <w:rPr>
                <w:color w:val="auto"/>
              </w:rPr>
              <w:t>氯苯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28</w:t>
            </w:r>
          </w:p>
        </w:tc>
        <w:tc>
          <w:tcPr>
            <w:tcW w:w="737" w:type="pct"/>
            <w:vAlign w:val="center"/>
          </w:tcPr>
          <w:p>
            <w:pPr>
              <w:pStyle w:val="182"/>
              <w:bidi w:val="0"/>
              <w:rPr>
                <w:color w:val="auto"/>
              </w:rPr>
            </w:pPr>
            <w:r>
              <w:rPr>
                <w:color w:val="auto"/>
              </w:rPr>
              <w:t>1,2</w:t>
            </w:r>
            <w:r>
              <w:rPr>
                <w:rFonts w:hint="eastAsia"/>
                <w:color w:val="auto"/>
                <w:lang w:eastAsia="zh-CN"/>
              </w:rPr>
              <w:t>－</w:t>
            </w:r>
            <w:r>
              <w:rPr>
                <w:color w:val="auto"/>
              </w:rPr>
              <w:t>二氯苯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1.5μg/kg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29</w:t>
            </w:r>
          </w:p>
        </w:tc>
        <w:tc>
          <w:tcPr>
            <w:tcW w:w="737" w:type="pct"/>
            <w:vAlign w:val="center"/>
          </w:tcPr>
          <w:p>
            <w:pPr>
              <w:pStyle w:val="182"/>
              <w:bidi w:val="0"/>
              <w:rPr>
                <w:color w:val="auto"/>
              </w:rPr>
            </w:pPr>
            <w:r>
              <w:rPr>
                <w:color w:val="auto"/>
              </w:rPr>
              <w:t>1,4</w:t>
            </w:r>
            <w:r>
              <w:rPr>
                <w:rFonts w:hint="eastAsia"/>
                <w:color w:val="auto"/>
                <w:lang w:eastAsia="zh-CN"/>
              </w:rPr>
              <w:t>－</w:t>
            </w:r>
            <w:r>
              <w:rPr>
                <w:color w:val="auto"/>
              </w:rPr>
              <w:t>二氯苯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1.5μg/kg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30</w:t>
            </w:r>
          </w:p>
        </w:tc>
        <w:tc>
          <w:tcPr>
            <w:tcW w:w="737" w:type="pct"/>
            <w:vAlign w:val="center"/>
          </w:tcPr>
          <w:p>
            <w:pPr>
              <w:pStyle w:val="182"/>
              <w:bidi w:val="0"/>
              <w:rPr>
                <w:color w:val="auto"/>
              </w:rPr>
            </w:pPr>
            <w:r>
              <w:rPr>
                <w:color w:val="auto"/>
              </w:rPr>
              <w:t>乙苯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31</w:t>
            </w:r>
          </w:p>
        </w:tc>
        <w:tc>
          <w:tcPr>
            <w:tcW w:w="737" w:type="pct"/>
            <w:vAlign w:val="center"/>
          </w:tcPr>
          <w:p>
            <w:pPr>
              <w:pStyle w:val="182"/>
              <w:bidi w:val="0"/>
              <w:rPr>
                <w:color w:val="auto"/>
              </w:rPr>
            </w:pPr>
            <w:r>
              <w:rPr>
                <w:color w:val="auto"/>
              </w:rPr>
              <w:t>苯乙烯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1.1μg/kg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32</w:t>
            </w:r>
          </w:p>
        </w:tc>
        <w:tc>
          <w:tcPr>
            <w:tcW w:w="737" w:type="pct"/>
            <w:vAlign w:val="center"/>
          </w:tcPr>
          <w:p>
            <w:pPr>
              <w:pStyle w:val="182"/>
              <w:bidi w:val="0"/>
              <w:rPr>
                <w:color w:val="auto"/>
              </w:rPr>
            </w:pPr>
            <w:r>
              <w:rPr>
                <w:color w:val="auto"/>
              </w:rPr>
              <w:t>甲苯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1.3μg/kg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33</w:t>
            </w:r>
          </w:p>
        </w:tc>
        <w:tc>
          <w:tcPr>
            <w:tcW w:w="737" w:type="pct"/>
            <w:vAlign w:val="center"/>
          </w:tcPr>
          <w:p>
            <w:pPr>
              <w:pStyle w:val="182"/>
              <w:bidi w:val="0"/>
              <w:rPr>
                <w:color w:val="auto"/>
              </w:rPr>
            </w:pPr>
            <w:r>
              <w:rPr>
                <w:color w:val="auto"/>
              </w:rPr>
              <w:t>间</w:t>
            </w:r>
            <w:r>
              <w:rPr>
                <w:rFonts w:hint="eastAsia"/>
                <w:color w:val="auto"/>
                <w:lang w:eastAsia="zh-CN"/>
              </w:rPr>
              <w:t>，</w:t>
            </w:r>
            <w:r>
              <w:rPr>
                <w:color w:val="auto"/>
              </w:rPr>
              <w:t>对</w:t>
            </w:r>
            <w:r>
              <w:rPr>
                <w:rFonts w:hint="eastAsia"/>
                <w:color w:val="auto"/>
                <w:lang w:eastAsia="zh-CN"/>
              </w:rPr>
              <w:t>－</w:t>
            </w:r>
            <w:r>
              <w:rPr>
                <w:color w:val="auto"/>
              </w:rPr>
              <w:t>二甲苯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34</w:t>
            </w:r>
          </w:p>
        </w:tc>
        <w:tc>
          <w:tcPr>
            <w:tcW w:w="737" w:type="pct"/>
            <w:vAlign w:val="center"/>
          </w:tcPr>
          <w:p>
            <w:pPr>
              <w:pStyle w:val="182"/>
              <w:bidi w:val="0"/>
              <w:rPr>
                <w:color w:val="auto"/>
              </w:rPr>
            </w:pPr>
            <w:r>
              <w:rPr>
                <w:color w:val="auto"/>
              </w:rPr>
              <w:t>邻二甲苯</w:t>
            </w:r>
          </w:p>
        </w:tc>
        <w:tc>
          <w:tcPr>
            <w:tcW w:w="1872" w:type="pct"/>
            <w:vAlign w:val="center"/>
          </w:tcPr>
          <w:p>
            <w:pPr>
              <w:pStyle w:val="182"/>
              <w:bidi w:val="0"/>
              <w:rPr>
                <w:color w:val="auto"/>
              </w:rPr>
            </w:pPr>
            <w:r>
              <w:rPr>
                <w:color w:val="auto"/>
              </w:rPr>
              <w:t>土壤和沉积物挥发性有机物的测定吹扫捕集/气相色谱</w:t>
            </w:r>
            <w:r>
              <w:rPr>
                <w:rFonts w:hint="eastAsia"/>
                <w:color w:val="auto"/>
                <w:lang w:eastAsia="zh-CN"/>
              </w:rPr>
              <w:t>－</w:t>
            </w:r>
            <w:r>
              <w:rPr>
                <w:color w:val="auto"/>
              </w:rPr>
              <w:t>质谱法 HJ 605-2011</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1.2μg/kg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35</w:t>
            </w:r>
          </w:p>
        </w:tc>
        <w:tc>
          <w:tcPr>
            <w:tcW w:w="737" w:type="pct"/>
            <w:vAlign w:val="center"/>
          </w:tcPr>
          <w:p>
            <w:pPr>
              <w:pStyle w:val="182"/>
              <w:bidi w:val="0"/>
              <w:rPr>
                <w:color w:val="auto"/>
              </w:rPr>
            </w:pPr>
            <w:r>
              <w:rPr>
                <w:color w:val="auto"/>
              </w:rPr>
              <w:t>硝基苯</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0.09mg/kg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36</w:t>
            </w:r>
          </w:p>
        </w:tc>
        <w:tc>
          <w:tcPr>
            <w:tcW w:w="737" w:type="pct"/>
            <w:vAlign w:val="center"/>
          </w:tcPr>
          <w:p>
            <w:pPr>
              <w:pStyle w:val="182"/>
              <w:bidi w:val="0"/>
              <w:rPr>
                <w:color w:val="auto"/>
              </w:rPr>
            </w:pPr>
            <w:r>
              <w:rPr>
                <w:color w:val="auto"/>
              </w:rPr>
              <w:t>苯胺</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0.08mg/kg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37</w:t>
            </w:r>
          </w:p>
        </w:tc>
        <w:tc>
          <w:tcPr>
            <w:tcW w:w="737" w:type="pct"/>
            <w:vAlign w:val="center"/>
          </w:tcPr>
          <w:p>
            <w:pPr>
              <w:pStyle w:val="182"/>
              <w:bidi w:val="0"/>
              <w:rPr>
                <w:color w:val="auto"/>
              </w:rPr>
            </w:pPr>
            <w:r>
              <w:rPr>
                <w:color w:val="auto"/>
              </w:rPr>
              <w:t>2</w:t>
            </w:r>
            <w:r>
              <w:rPr>
                <w:rFonts w:hint="eastAsia"/>
                <w:color w:val="auto"/>
                <w:lang w:eastAsia="zh-CN"/>
              </w:rPr>
              <w:t>－</w:t>
            </w:r>
            <w:r>
              <w:rPr>
                <w:color w:val="auto"/>
              </w:rPr>
              <w:t>氯酚</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0.06mg/kg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38</w:t>
            </w:r>
          </w:p>
        </w:tc>
        <w:tc>
          <w:tcPr>
            <w:tcW w:w="737" w:type="pct"/>
            <w:vAlign w:val="center"/>
          </w:tcPr>
          <w:p>
            <w:pPr>
              <w:pStyle w:val="182"/>
              <w:bidi w:val="0"/>
              <w:rPr>
                <w:color w:val="auto"/>
              </w:rPr>
            </w:pPr>
            <w:r>
              <w:rPr>
                <w:color w:val="auto"/>
              </w:rPr>
              <w:t>苯并[a]蒽</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39</w:t>
            </w:r>
          </w:p>
        </w:tc>
        <w:tc>
          <w:tcPr>
            <w:tcW w:w="737" w:type="pct"/>
            <w:vAlign w:val="center"/>
          </w:tcPr>
          <w:p>
            <w:pPr>
              <w:pStyle w:val="182"/>
              <w:bidi w:val="0"/>
              <w:rPr>
                <w:color w:val="auto"/>
              </w:rPr>
            </w:pPr>
            <w:r>
              <w:rPr>
                <w:color w:val="auto"/>
              </w:rPr>
              <w:t>苯并[a]芘</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40</w:t>
            </w:r>
          </w:p>
        </w:tc>
        <w:tc>
          <w:tcPr>
            <w:tcW w:w="737" w:type="pct"/>
            <w:vAlign w:val="center"/>
          </w:tcPr>
          <w:p>
            <w:pPr>
              <w:pStyle w:val="182"/>
              <w:bidi w:val="0"/>
              <w:rPr>
                <w:color w:val="auto"/>
              </w:rPr>
            </w:pPr>
            <w:r>
              <w:rPr>
                <w:color w:val="auto"/>
              </w:rPr>
              <w:t>苯并[b]荧蒽</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0.2mg/kg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41</w:t>
            </w:r>
          </w:p>
        </w:tc>
        <w:tc>
          <w:tcPr>
            <w:tcW w:w="737" w:type="pct"/>
            <w:vAlign w:val="center"/>
          </w:tcPr>
          <w:p>
            <w:pPr>
              <w:pStyle w:val="182"/>
              <w:bidi w:val="0"/>
              <w:rPr>
                <w:color w:val="auto"/>
              </w:rPr>
            </w:pPr>
            <w:r>
              <w:rPr>
                <w:color w:val="auto"/>
              </w:rPr>
              <w:t>苯并[k]荧蒽</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42</w:t>
            </w:r>
          </w:p>
        </w:tc>
        <w:tc>
          <w:tcPr>
            <w:tcW w:w="737" w:type="pct"/>
            <w:vAlign w:val="center"/>
          </w:tcPr>
          <w:p>
            <w:pPr>
              <w:pStyle w:val="182"/>
              <w:bidi w:val="0"/>
              <w:rPr>
                <w:color w:val="auto"/>
              </w:rPr>
            </w:pPr>
            <w:r>
              <w:rPr>
                <w:color w:val="auto"/>
              </w:rPr>
              <w:t>䓛</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43</w:t>
            </w:r>
          </w:p>
        </w:tc>
        <w:tc>
          <w:tcPr>
            <w:tcW w:w="737" w:type="pct"/>
            <w:vAlign w:val="center"/>
          </w:tcPr>
          <w:p>
            <w:pPr>
              <w:pStyle w:val="182"/>
              <w:bidi w:val="0"/>
              <w:rPr>
                <w:color w:val="auto"/>
              </w:rPr>
            </w:pPr>
            <w:r>
              <w:rPr>
                <w:color w:val="auto"/>
              </w:rPr>
              <w:t>二苯并[a, h]蒽</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44</w:t>
            </w:r>
          </w:p>
        </w:tc>
        <w:tc>
          <w:tcPr>
            <w:tcW w:w="737" w:type="pct"/>
            <w:vAlign w:val="center"/>
          </w:tcPr>
          <w:p>
            <w:pPr>
              <w:pStyle w:val="182"/>
              <w:bidi w:val="0"/>
              <w:rPr>
                <w:color w:val="auto"/>
              </w:rPr>
            </w:pPr>
            <w:r>
              <w:rPr>
                <w:color w:val="auto"/>
              </w:rPr>
              <w:t>茚并[1,2,3-cd]芘</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 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0.1mg/kg</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6" w:type="dxa"/>
            <w:bottom w:w="0" w:type="dxa"/>
            <w:right w:w="6" w:type="dxa"/>
          </w:tblCellMar>
        </w:tblPrEx>
        <w:trPr>
          <w:trHeight w:val="454" w:hRule="atLeast"/>
          <w:jc w:val="center"/>
        </w:trPr>
        <w:tc>
          <w:tcPr>
            <w:tcW w:w="383" w:type="pct"/>
            <w:vAlign w:val="center"/>
          </w:tcPr>
          <w:p>
            <w:pPr>
              <w:pStyle w:val="182"/>
              <w:bidi w:val="0"/>
              <w:rPr>
                <w:color w:val="auto"/>
              </w:rPr>
            </w:pPr>
            <w:r>
              <w:rPr>
                <w:color w:val="auto"/>
              </w:rPr>
              <w:t>45</w:t>
            </w:r>
          </w:p>
        </w:tc>
        <w:tc>
          <w:tcPr>
            <w:tcW w:w="737" w:type="pct"/>
            <w:vAlign w:val="center"/>
          </w:tcPr>
          <w:p>
            <w:pPr>
              <w:pStyle w:val="182"/>
              <w:bidi w:val="0"/>
              <w:rPr>
                <w:color w:val="auto"/>
              </w:rPr>
            </w:pPr>
            <w:r>
              <w:rPr>
                <w:color w:val="auto"/>
              </w:rPr>
              <w:t>萘</w:t>
            </w:r>
          </w:p>
        </w:tc>
        <w:tc>
          <w:tcPr>
            <w:tcW w:w="1872" w:type="pct"/>
            <w:vAlign w:val="center"/>
          </w:tcPr>
          <w:p>
            <w:pPr>
              <w:pStyle w:val="182"/>
              <w:bidi w:val="0"/>
              <w:rPr>
                <w:color w:val="auto"/>
              </w:rPr>
            </w:pPr>
            <w:r>
              <w:rPr>
                <w:color w:val="auto"/>
              </w:rPr>
              <w:t>土壤和沉积物半挥发性有机物的测定气相色谱</w:t>
            </w:r>
            <w:r>
              <w:rPr>
                <w:rFonts w:hint="eastAsia"/>
                <w:color w:val="auto"/>
                <w:lang w:eastAsia="zh-CN"/>
              </w:rPr>
              <w:t>－</w:t>
            </w:r>
            <w:r>
              <w:rPr>
                <w:color w:val="auto"/>
              </w:rPr>
              <w:t>质谱法HJ 834-2017</w:t>
            </w:r>
          </w:p>
        </w:tc>
        <w:tc>
          <w:tcPr>
            <w:tcW w:w="1358" w:type="pct"/>
            <w:vAlign w:val="center"/>
          </w:tcPr>
          <w:p>
            <w:pPr>
              <w:pStyle w:val="182"/>
              <w:bidi w:val="0"/>
              <w:rPr>
                <w:color w:val="auto"/>
              </w:rPr>
            </w:pPr>
            <w:r>
              <w:rPr>
                <w:color w:val="auto"/>
              </w:rPr>
              <w:t>气相色谱质谱联用仪 7890B-5977B/GC-MS</w:t>
            </w:r>
            <w:r>
              <w:rPr>
                <w:rFonts w:hint="eastAsia"/>
                <w:color w:val="auto"/>
              </w:rPr>
              <w:t>（DSYQ-N010-1）</w:t>
            </w:r>
          </w:p>
        </w:tc>
        <w:tc>
          <w:tcPr>
            <w:tcW w:w="650" w:type="pct"/>
            <w:vAlign w:val="center"/>
          </w:tcPr>
          <w:p>
            <w:pPr>
              <w:pStyle w:val="182"/>
              <w:bidi w:val="0"/>
              <w:rPr>
                <w:color w:val="auto"/>
              </w:rPr>
            </w:pPr>
            <w:r>
              <w:rPr>
                <w:color w:val="auto"/>
              </w:rPr>
              <w:t>0.09mg/kg</w:t>
            </w:r>
          </w:p>
        </w:tc>
      </w:tr>
    </w:tbl>
    <w:p>
      <w:pPr>
        <w:pStyle w:val="10"/>
        <w:bidi w:val="0"/>
        <w:rPr>
          <w:color w:val="auto"/>
        </w:rPr>
      </w:pPr>
      <w:r>
        <w:rPr>
          <w:color w:val="auto"/>
        </w:rPr>
        <w:t>4.2.6.</w:t>
      </w:r>
      <w:r>
        <w:rPr>
          <w:rFonts w:hint="eastAsia"/>
          <w:color w:val="auto"/>
        </w:rPr>
        <w:t>4</w:t>
      </w:r>
      <w:r>
        <w:rPr>
          <w:color w:val="auto"/>
        </w:rPr>
        <w:t>监测结果</w:t>
      </w:r>
    </w:p>
    <w:p>
      <w:pPr>
        <w:spacing w:line="520" w:lineRule="exact"/>
        <w:ind w:firstLine="480" w:firstLineChars="200"/>
        <w:rPr>
          <w:color w:val="auto"/>
        </w:rPr>
      </w:pPr>
      <w:r>
        <w:rPr>
          <w:color w:val="auto"/>
        </w:rPr>
        <w:t>本次土壤环境监测结果见表4</w:t>
      </w:r>
      <w:r>
        <w:rPr>
          <w:rFonts w:hint="eastAsia"/>
          <w:color w:val="auto"/>
        </w:rPr>
        <w:t>.2</w:t>
      </w:r>
      <w:r>
        <w:rPr>
          <w:color w:val="auto"/>
        </w:rPr>
        <w:t>-</w:t>
      </w:r>
      <w:r>
        <w:rPr>
          <w:rFonts w:hint="eastAsia"/>
          <w:color w:val="auto"/>
          <w:lang w:val="en-US" w:eastAsia="zh-CN"/>
        </w:rPr>
        <w:t>26</w:t>
      </w:r>
      <w:r>
        <w:rPr>
          <w:rFonts w:hint="eastAsia"/>
          <w:color w:val="auto"/>
        </w:rPr>
        <w:t>。</w:t>
      </w:r>
    </w:p>
    <w:p>
      <w:pPr>
        <w:pStyle w:val="181"/>
        <w:bidi w:val="0"/>
        <w:rPr>
          <w:color w:val="auto"/>
        </w:rPr>
      </w:pPr>
      <w:r>
        <w:rPr>
          <w:rFonts w:hint="eastAsia"/>
          <w:color w:val="auto"/>
        </w:rPr>
        <w:t>表</w:t>
      </w:r>
      <w:r>
        <w:rPr>
          <w:color w:val="auto"/>
        </w:rPr>
        <w:t>4.2</w:t>
      </w:r>
      <w:r>
        <w:rPr>
          <w:rFonts w:hint="eastAsia"/>
          <w:color w:val="auto"/>
        </w:rPr>
        <w:t>-</w:t>
      </w:r>
      <w:r>
        <w:rPr>
          <w:rFonts w:hint="eastAsia"/>
          <w:color w:val="auto"/>
          <w:lang w:val="en-US" w:eastAsia="zh-CN"/>
        </w:rPr>
        <w:t>26</w:t>
      </w:r>
      <w:r>
        <w:rPr>
          <w:color w:val="auto"/>
        </w:rPr>
        <w:t xml:space="preserve">  </w:t>
      </w:r>
      <w:r>
        <w:rPr>
          <w:rFonts w:hint="eastAsia"/>
          <w:color w:val="auto"/>
          <w:lang w:val="en-US" w:eastAsia="zh-CN"/>
        </w:rPr>
        <w:t xml:space="preserve">   </w:t>
      </w:r>
      <w:r>
        <w:rPr>
          <w:rFonts w:hint="eastAsia"/>
          <w:color w:val="auto"/>
        </w:rPr>
        <w:t>土壤检测（监测点）结果一览表（单位：mg/kg）</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6"/>
        <w:gridCol w:w="1018"/>
        <w:gridCol w:w="1018"/>
        <w:gridCol w:w="1019"/>
        <w:gridCol w:w="3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65" w:type="pct"/>
            <w:vMerge w:val="restart"/>
            <w:vAlign w:val="center"/>
          </w:tcPr>
          <w:p>
            <w:pPr>
              <w:pStyle w:val="182"/>
              <w:bidi w:val="0"/>
              <w:rPr>
                <w:color w:val="auto"/>
              </w:rPr>
            </w:pPr>
            <w:r>
              <w:rPr>
                <w:rFonts w:hint="eastAsia"/>
                <w:color w:val="auto"/>
              </w:rPr>
              <w:t>检测项目</w:t>
            </w:r>
          </w:p>
        </w:tc>
        <w:tc>
          <w:tcPr>
            <w:tcW w:w="597" w:type="pct"/>
            <w:vAlign w:val="center"/>
          </w:tcPr>
          <w:p>
            <w:pPr>
              <w:pStyle w:val="182"/>
              <w:bidi w:val="0"/>
              <w:rPr>
                <w:color w:val="auto"/>
              </w:rPr>
            </w:pPr>
            <w:r>
              <w:rPr>
                <w:rFonts w:hint="eastAsia"/>
                <w:color w:val="auto"/>
              </w:rPr>
              <w:t>S</w:t>
            </w:r>
            <w:r>
              <w:rPr>
                <w:color w:val="auto"/>
              </w:rPr>
              <w:t>1</w:t>
            </w:r>
          </w:p>
        </w:tc>
        <w:tc>
          <w:tcPr>
            <w:tcW w:w="597" w:type="pct"/>
            <w:vAlign w:val="center"/>
          </w:tcPr>
          <w:p>
            <w:pPr>
              <w:pStyle w:val="182"/>
              <w:bidi w:val="0"/>
              <w:rPr>
                <w:color w:val="auto"/>
              </w:rPr>
            </w:pPr>
            <w:r>
              <w:rPr>
                <w:rFonts w:hint="eastAsia"/>
                <w:color w:val="auto"/>
              </w:rPr>
              <w:t>S2</w:t>
            </w:r>
          </w:p>
        </w:tc>
        <w:tc>
          <w:tcPr>
            <w:tcW w:w="598" w:type="pct"/>
            <w:vAlign w:val="center"/>
          </w:tcPr>
          <w:p>
            <w:pPr>
              <w:pStyle w:val="182"/>
              <w:bidi w:val="0"/>
              <w:rPr>
                <w:color w:val="auto"/>
              </w:rPr>
            </w:pPr>
            <w:r>
              <w:rPr>
                <w:rFonts w:hint="eastAsia"/>
                <w:color w:val="auto"/>
              </w:rPr>
              <w:t>S</w:t>
            </w:r>
            <w:r>
              <w:rPr>
                <w:color w:val="auto"/>
              </w:rPr>
              <w:t>3</w:t>
            </w:r>
          </w:p>
        </w:tc>
        <w:tc>
          <w:tcPr>
            <w:tcW w:w="2140" w:type="pct"/>
            <w:vMerge w:val="restart"/>
            <w:vAlign w:val="center"/>
          </w:tcPr>
          <w:p>
            <w:pPr>
              <w:pStyle w:val="182"/>
              <w:bidi w:val="0"/>
              <w:rPr>
                <w:color w:val="auto"/>
              </w:rPr>
            </w:pPr>
            <w:r>
              <w:rPr>
                <w:rFonts w:hint="eastAsia"/>
                <w:color w:val="auto"/>
              </w:rPr>
              <w:t>《</w:t>
            </w:r>
            <w:r>
              <w:rPr>
                <w:rFonts w:hint="eastAsia"/>
                <w:color w:val="auto"/>
                <w:lang w:eastAsia="zh-CN"/>
              </w:rPr>
              <w:t>土壤环境质量 建设用地土壤污染风险管控标准（试行）</w:t>
            </w:r>
            <w:r>
              <w:rPr>
                <w:rFonts w:hint="eastAsia"/>
                <w:color w:val="auto"/>
              </w:rPr>
              <w:t>》GB36600-2018二类用地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65" w:type="pct"/>
            <w:vMerge w:val="continue"/>
            <w:vAlign w:val="center"/>
          </w:tcPr>
          <w:p>
            <w:pPr>
              <w:pStyle w:val="182"/>
              <w:bidi w:val="0"/>
              <w:rPr>
                <w:color w:val="auto"/>
              </w:rPr>
            </w:pPr>
          </w:p>
        </w:tc>
        <w:tc>
          <w:tcPr>
            <w:tcW w:w="597" w:type="pct"/>
            <w:vAlign w:val="center"/>
          </w:tcPr>
          <w:p>
            <w:pPr>
              <w:pStyle w:val="182"/>
              <w:bidi w:val="0"/>
              <w:rPr>
                <w:color w:val="auto"/>
              </w:rPr>
            </w:pPr>
            <w:r>
              <w:rPr>
                <w:rFonts w:hint="eastAsia"/>
                <w:color w:val="auto"/>
              </w:rPr>
              <w:t>0</w:t>
            </w:r>
            <w:r>
              <w:rPr>
                <w:color w:val="auto"/>
              </w:rPr>
              <w:t>-0.2m</w:t>
            </w:r>
          </w:p>
        </w:tc>
        <w:tc>
          <w:tcPr>
            <w:tcW w:w="597" w:type="pct"/>
            <w:vAlign w:val="center"/>
          </w:tcPr>
          <w:p>
            <w:pPr>
              <w:pStyle w:val="182"/>
              <w:bidi w:val="0"/>
              <w:rPr>
                <w:color w:val="auto"/>
              </w:rPr>
            </w:pPr>
            <w:r>
              <w:rPr>
                <w:rFonts w:hint="eastAsia"/>
                <w:color w:val="auto"/>
              </w:rPr>
              <w:t>0</w:t>
            </w:r>
            <w:r>
              <w:rPr>
                <w:color w:val="auto"/>
              </w:rPr>
              <w:t>-0.2m</w:t>
            </w:r>
          </w:p>
        </w:tc>
        <w:tc>
          <w:tcPr>
            <w:tcW w:w="598" w:type="pct"/>
            <w:vAlign w:val="center"/>
          </w:tcPr>
          <w:p>
            <w:pPr>
              <w:pStyle w:val="182"/>
              <w:bidi w:val="0"/>
              <w:rPr>
                <w:color w:val="auto"/>
              </w:rPr>
            </w:pPr>
            <w:r>
              <w:rPr>
                <w:rFonts w:hint="eastAsia"/>
                <w:color w:val="auto"/>
              </w:rPr>
              <w:t>0</w:t>
            </w:r>
            <w:r>
              <w:rPr>
                <w:color w:val="auto"/>
              </w:rPr>
              <w:t>-0.2m</w:t>
            </w:r>
          </w:p>
        </w:tc>
        <w:tc>
          <w:tcPr>
            <w:tcW w:w="2140" w:type="pct"/>
            <w:vMerge w:val="continue"/>
            <w:vAlign w:val="center"/>
          </w:tcPr>
          <w:p>
            <w:pPr>
              <w:pStyle w:val="182"/>
              <w:bidi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砷</w:t>
            </w:r>
          </w:p>
        </w:tc>
        <w:tc>
          <w:tcPr>
            <w:tcW w:w="597" w:type="pct"/>
            <w:vAlign w:val="center"/>
          </w:tcPr>
          <w:p>
            <w:pPr>
              <w:pStyle w:val="182"/>
              <w:bidi w:val="0"/>
              <w:rPr>
                <w:color w:val="auto"/>
              </w:rPr>
            </w:pPr>
            <w:r>
              <w:rPr>
                <w:color w:val="auto"/>
              </w:rPr>
              <w:t>8.95</w:t>
            </w:r>
          </w:p>
        </w:tc>
        <w:tc>
          <w:tcPr>
            <w:tcW w:w="597" w:type="pct"/>
            <w:vAlign w:val="center"/>
          </w:tcPr>
          <w:p>
            <w:pPr>
              <w:pStyle w:val="182"/>
              <w:bidi w:val="0"/>
              <w:rPr>
                <w:color w:val="auto"/>
              </w:rPr>
            </w:pPr>
            <w:r>
              <w:rPr>
                <w:color w:val="auto"/>
              </w:rPr>
              <w:t>9.13</w:t>
            </w:r>
          </w:p>
        </w:tc>
        <w:tc>
          <w:tcPr>
            <w:tcW w:w="598" w:type="pct"/>
            <w:vAlign w:val="center"/>
          </w:tcPr>
          <w:p>
            <w:pPr>
              <w:pStyle w:val="182"/>
              <w:bidi w:val="0"/>
              <w:rPr>
                <w:color w:val="auto"/>
              </w:rPr>
            </w:pPr>
            <w:r>
              <w:rPr>
                <w:color w:val="auto"/>
              </w:rPr>
              <w:t>9.07</w:t>
            </w:r>
          </w:p>
        </w:tc>
        <w:tc>
          <w:tcPr>
            <w:tcW w:w="2140" w:type="pct"/>
          </w:tcPr>
          <w:p>
            <w:pPr>
              <w:pStyle w:val="182"/>
              <w:bidi w:val="0"/>
              <w:rPr>
                <w:color w:val="auto"/>
              </w:rPr>
            </w:pPr>
            <w:r>
              <w:rPr>
                <w:color w:val="auto"/>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镉</w:t>
            </w:r>
          </w:p>
        </w:tc>
        <w:tc>
          <w:tcPr>
            <w:tcW w:w="597" w:type="pct"/>
            <w:vAlign w:val="center"/>
          </w:tcPr>
          <w:p>
            <w:pPr>
              <w:pStyle w:val="182"/>
              <w:bidi w:val="0"/>
              <w:rPr>
                <w:color w:val="auto"/>
              </w:rPr>
            </w:pPr>
            <w:r>
              <w:rPr>
                <w:color w:val="auto"/>
              </w:rPr>
              <w:t>0.67</w:t>
            </w:r>
          </w:p>
        </w:tc>
        <w:tc>
          <w:tcPr>
            <w:tcW w:w="597" w:type="pct"/>
            <w:vAlign w:val="center"/>
          </w:tcPr>
          <w:p>
            <w:pPr>
              <w:pStyle w:val="182"/>
              <w:bidi w:val="0"/>
              <w:rPr>
                <w:color w:val="auto"/>
              </w:rPr>
            </w:pPr>
            <w:r>
              <w:rPr>
                <w:color w:val="auto"/>
              </w:rPr>
              <w:t>0.62</w:t>
            </w:r>
          </w:p>
        </w:tc>
        <w:tc>
          <w:tcPr>
            <w:tcW w:w="598" w:type="pct"/>
            <w:vAlign w:val="center"/>
          </w:tcPr>
          <w:p>
            <w:pPr>
              <w:pStyle w:val="182"/>
              <w:bidi w:val="0"/>
              <w:rPr>
                <w:color w:val="auto"/>
              </w:rPr>
            </w:pPr>
            <w:r>
              <w:rPr>
                <w:color w:val="auto"/>
              </w:rPr>
              <w:t>0.71</w:t>
            </w:r>
          </w:p>
        </w:tc>
        <w:tc>
          <w:tcPr>
            <w:tcW w:w="2140" w:type="pct"/>
          </w:tcPr>
          <w:p>
            <w:pPr>
              <w:pStyle w:val="182"/>
              <w:bidi w:val="0"/>
              <w:rPr>
                <w:color w:val="auto"/>
              </w:rPr>
            </w:pPr>
            <w:r>
              <w:rPr>
                <w:color w:val="auto"/>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铬（六价）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铜</w:t>
            </w:r>
          </w:p>
        </w:tc>
        <w:tc>
          <w:tcPr>
            <w:tcW w:w="597" w:type="pct"/>
            <w:vAlign w:val="center"/>
          </w:tcPr>
          <w:p>
            <w:pPr>
              <w:pStyle w:val="182"/>
              <w:bidi w:val="0"/>
              <w:rPr>
                <w:color w:val="auto"/>
              </w:rPr>
            </w:pPr>
            <w:r>
              <w:rPr>
                <w:color w:val="auto"/>
              </w:rPr>
              <w:t>57</w:t>
            </w:r>
          </w:p>
        </w:tc>
        <w:tc>
          <w:tcPr>
            <w:tcW w:w="597" w:type="pct"/>
            <w:vAlign w:val="center"/>
          </w:tcPr>
          <w:p>
            <w:pPr>
              <w:pStyle w:val="182"/>
              <w:bidi w:val="0"/>
              <w:rPr>
                <w:color w:val="auto"/>
              </w:rPr>
            </w:pPr>
            <w:r>
              <w:rPr>
                <w:color w:val="auto"/>
              </w:rPr>
              <w:t>53</w:t>
            </w:r>
          </w:p>
        </w:tc>
        <w:tc>
          <w:tcPr>
            <w:tcW w:w="598" w:type="pct"/>
            <w:vAlign w:val="center"/>
          </w:tcPr>
          <w:p>
            <w:pPr>
              <w:pStyle w:val="182"/>
              <w:bidi w:val="0"/>
              <w:rPr>
                <w:color w:val="auto"/>
              </w:rPr>
            </w:pPr>
            <w:r>
              <w:rPr>
                <w:color w:val="auto"/>
              </w:rPr>
              <w:t>60</w:t>
            </w:r>
          </w:p>
        </w:tc>
        <w:tc>
          <w:tcPr>
            <w:tcW w:w="2140" w:type="pct"/>
          </w:tcPr>
          <w:p>
            <w:pPr>
              <w:pStyle w:val="182"/>
              <w:bidi w:val="0"/>
              <w:rPr>
                <w:color w:val="auto"/>
              </w:rPr>
            </w:pPr>
            <w:r>
              <w:rPr>
                <w:color w:val="auto"/>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铅</w:t>
            </w:r>
          </w:p>
        </w:tc>
        <w:tc>
          <w:tcPr>
            <w:tcW w:w="597" w:type="pct"/>
            <w:vAlign w:val="center"/>
          </w:tcPr>
          <w:p>
            <w:pPr>
              <w:pStyle w:val="182"/>
              <w:bidi w:val="0"/>
              <w:rPr>
                <w:color w:val="auto"/>
              </w:rPr>
            </w:pPr>
            <w:r>
              <w:rPr>
                <w:color w:val="auto"/>
              </w:rPr>
              <w:t>25</w:t>
            </w:r>
          </w:p>
        </w:tc>
        <w:tc>
          <w:tcPr>
            <w:tcW w:w="597" w:type="pct"/>
            <w:vAlign w:val="center"/>
          </w:tcPr>
          <w:p>
            <w:pPr>
              <w:pStyle w:val="182"/>
              <w:bidi w:val="0"/>
              <w:rPr>
                <w:color w:val="auto"/>
              </w:rPr>
            </w:pPr>
            <w:r>
              <w:rPr>
                <w:color w:val="auto"/>
              </w:rPr>
              <w:t>21</w:t>
            </w:r>
          </w:p>
        </w:tc>
        <w:tc>
          <w:tcPr>
            <w:tcW w:w="598" w:type="pct"/>
            <w:vAlign w:val="center"/>
          </w:tcPr>
          <w:p>
            <w:pPr>
              <w:pStyle w:val="182"/>
              <w:bidi w:val="0"/>
              <w:rPr>
                <w:color w:val="auto"/>
              </w:rPr>
            </w:pPr>
            <w:r>
              <w:rPr>
                <w:color w:val="auto"/>
              </w:rPr>
              <w:t>23</w:t>
            </w:r>
          </w:p>
        </w:tc>
        <w:tc>
          <w:tcPr>
            <w:tcW w:w="2140" w:type="pct"/>
          </w:tcPr>
          <w:p>
            <w:pPr>
              <w:pStyle w:val="182"/>
              <w:bidi w:val="0"/>
              <w:rPr>
                <w:color w:val="auto"/>
              </w:rPr>
            </w:pPr>
            <w:r>
              <w:rPr>
                <w:color w:val="auto"/>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汞</w:t>
            </w:r>
          </w:p>
        </w:tc>
        <w:tc>
          <w:tcPr>
            <w:tcW w:w="597" w:type="pct"/>
            <w:vAlign w:val="center"/>
          </w:tcPr>
          <w:p>
            <w:pPr>
              <w:pStyle w:val="182"/>
              <w:bidi w:val="0"/>
              <w:rPr>
                <w:color w:val="auto"/>
              </w:rPr>
            </w:pPr>
            <w:r>
              <w:rPr>
                <w:color w:val="auto"/>
              </w:rPr>
              <w:t>0.073</w:t>
            </w:r>
          </w:p>
        </w:tc>
        <w:tc>
          <w:tcPr>
            <w:tcW w:w="597" w:type="pct"/>
            <w:vAlign w:val="center"/>
          </w:tcPr>
          <w:p>
            <w:pPr>
              <w:pStyle w:val="182"/>
              <w:bidi w:val="0"/>
              <w:rPr>
                <w:color w:val="auto"/>
              </w:rPr>
            </w:pPr>
            <w:r>
              <w:rPr>
                <w:color w:val="auto"/>
              </w:rPr>
              <w:t>0.076</w:t>
            </w:r>
          </w:p>
        </w:tc>
        <w:tc>
          <w:tcPr>
            <w:tcW w:w="598" w:type="pct"/>
            <w:vAlign w:val="center"/>
          </w:tcPr>
          <w:p>
            <w:pPr>
              <w:pStyle w:val="182"/>
              <w:bidi w:val="0"/>
              <w:rPr>
                <w:color w:val="auto"/>
              </w:rPr>
            </w:pPr>
            <w:r>
              <w:rPr>
                <w:color w:val="auto"/>
              </w:rPr>
              <w:t>0.068</w:t>
            </w:r>
          </w:p>
        </w:tc>
        <w:tc>
          <w:tcPr>
            <w:tcW w:w="2140" w:type="pct"/>
          </w:tcPr>
          <w:p>
            <w:pPr>
              <w:pStyle w:val="182"/>
              <w:bidi w:val="0"/>
              <w:rPr>
                <w:color w:val="auto"/>
              </w:rPr>
            </w:pPr>
            <w:r>
              <w:rPr>
                <w:color w:val="auto"/>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镍</w:t>
            </w:r>
          </w:p>
        </w:tc>
        <w:tc>
          <w:tcPr>
            <w:tcW w:w="597" w:type="pct"/>
            <w:vAlign w:val="center"/>
          </w:tcPr>
          <w:p>
            <w:pPr>
              <w:pStyle w:val="182"/>
              <w:bidi w:val="0"/>
              <w:rPr>
                <w:color w:val="auto"/>
              </w:rPr>
            </w:pPr>
            <w:r>
              <w:rPr>
                <w:color w:val="auto"/>
              </w:rPr>
              <w:t>46</w:t>
            </w:r>
          </w:p>
        </w:tc>
        <w:tc>
          <w:tcPr>
            <w:tcW w:w="597" w:type="pct"/>
            <w:vAlign w:val="center"/>
          </w:tcPr>
          <w:p>
            <w:pPr>
              <w:pStyle w:val="182"/>
              <w:bidi w:val="0"/>
              <w:rPr>
                <w:color w:val="auto"/>
              </w:rPr>
            </w:pPr>
            <w:r>
              <w:rPr>
                <w:color w:val="auto"/>
              </w:rPr>
              <w:t>39</w:t>
            </w:r>
          </w:p>
        </w:tc>
        <w:tc>
          <w:tcPr>
            <w:tcW w:w="598" w:type="pct"/>
            <w:vAlign w:val="center"/>
          </w:tcPr>
          <w:p>
            <w:pPr>
              <w:pStyle w:val="182"/>
              <w:bidi w:val="0"/>
              <w:rPr>
                <w:color w:val="auto"/>
              </w:rPr>
            </w:pPr>
            <w:r>
              <w:rPr>
                <w:color w:val="auto"/>
              </w:rPr>
              <w:t>42</w:t>
            </w:r>
          </w:p>
        </w:tc>
        <w:tc>
          <w:tcPr>
            <w:tcW w:w="2140" w:type="pct"/>
          </w:tcPr>
          <w:p>
            <w:pPr>
              <w:pStyle w:val="182"/>
              <w:bidi w:val="0"/>
              <w:rPr>
                <w:color w:val="auto"/>
              </w:rPr>
            </w:pPr>
            <w:r>
              <w:rPr>
                <w:color w:val="auto"/>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四氯化碳</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氯仿</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氯甲烷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1,1</w:t>
            </w:r>
            <w:r>
              <w:rPr>
                <w:rFonts w:hint="eastAsia"/>
                <w:color w:val="auto"/>
                <w:lang w:eastAsia="zh-CN"/>
              </w:rPr>
              <w:t>－</w:t>
            </w:r>
            <w:r>
              <w:rPr>
                <w:color w:val="auto"/>
              </w:rPr>
              <w:t>二氯乙烷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1,2</w:t>
            </w:r>
            <w:r>
              <w:rPr>
                <w:rFonts w:hint="eastAsia"/>
                <w:color w:val="auto"/>
                <w:lang w:eastAsia="zh-CN"/>
              </w:rPr>
              <w:t>－</w:t>
            </w:r>
            <w:r>
              <w:rPr>
                <w:color w:val="auto"/>
              </w:rPr>
              <w:t>二氯乙烷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1,1</w:t>
            </w:r>
            <w:r>
              <w:rPr>
                <w:rFonts w:hint="eastAsia"/>
                <w:color w:val="auto"/>
                <w:lang w:eastAsia="zh-CN"/>
              </w:rPr>
              <w:t>－</w:t>
            </w:r>
            <w:r>
              <w:rPr>
                <w:color w:val="auto"/>
              </w:rPr>
              <w:t>二氯乙烯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顺式-1,2-二氯乙烯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反式-1,2-二氯乙烯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二氯甲烷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1,2-二氯丙烷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1,1,1,2-四氯乙烷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1,1,2,2-四氯乙烷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四氯乙烯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1,1,1-三氯乙烷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1,1,2-三氯乙烷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三氯乙烯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1,2,3-三氯丙烷</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氯乙烯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氯苯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1,2-二氯苯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1,4-二氯苯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乙苯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苯乙烯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甲苯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间,对-二甲苯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邻二甲苯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硝基苯</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苯胺</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2-氯酚</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苯并[a]蒽</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苯并[a]芘</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苯并[b]荧蒽</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苯并[k]荧蒽</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䓛</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二苯并[a, h]蒽</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茚并[1,2,3-cd]芘</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vAlign w:val="center"/>
          </w:tcPr>
          <w:p>
            <w:pPr>
              <w:pStyle w:val="182"/>
              <w:bidi w:val="0"/>
              <w:rPr>
                <w:color w:val="auto"/>
              </w:rPr>
            </w:pPr>
            <w:r>
              <w:rPr>
                <w:color w:val="auto"/>
              </w:rPr>
              <w:t>萘</w:t>
            </w:r>
          </w:p>
        </w:tc>
        <w:tc>
          <w:tcPr>
            <w:tcW w:w="597" w:type="pct"/>
            <w:vAlign w:val="center"/>
          </w:tcPr>
          <w:p>
            <w:pPr>
              <w:pStyle w:val="182"/>
              <w:bidi w:val="0"/>
              <w:rPr>
                <w:color w:val="auto"/>
              </w:rPr>
            </w:pPr>
            <w:r>
              <w:rPr>
                <w:rFonts w:hint="eastAsia"/>
                <w:color w:val="auto"/>
              </w:rPr>
              <w:t>未检出</w:t>
            </w:r>
          </w:p>
        </w:tc>
        <w:tc>
          <w:tcPr>
            <w:tcW w:w="597" w:type="pct"/>
            <w:vAlign w:val="center"/>
          </w:tcPr>
          <w:p>
            <w:pPr>
              <w:pStyle w:val="182"/>
              <w:bidi w:val="0"/>
              <w:rPr>
                <w:color w:val="auto"/>
              </w:rPr>
            </w:pPr>
            <w:r>
              <w:rPr>
                <w:rFonts w:hint="eastAsia"/>
                <w:color w:val="auto"/>
              </w:rPr>
              <w:t>未检出</w:t>
            </w:r>
          </w:p>
        </w:tc>
        <w:tc>
          <w:tcPr>
            <w:tcW w:w="598" w:type="pct"/>
            <w:vAlign w:val="center"/>
          </w:tcPr>
          <w:p>
            <w:pPr>
              <w:pStyle w:val="182"/>
              <w:bidi w:val="0"/>
              <w:rPr>
                <w:color w:val="auto"/>
              </w:rPr>
            </w:pPr>
            <w:r>
              <w:rPr>
                <w:rFonts w:hint="eastAsia"/>
                <w:color w:val="auto"/>
              </w:rPr>
              <w:t>未检出</w:t>
            </w:r>
          </w:p>
        </w:tc>
        <w:tc>
          <w:tcPr>
            <w:tcW w:w="2140" w:type="pct"/>
          </w:tcPr>
          <w:p>
            <w:pPr>
              <w:pStyle w:val="182"/>
              <w:bidi w:val="0"/>
              <w:rPr>
                <w:color w:val="auto"/>
              </w:rPr>
            </w:pPr>
            <w:r>
              <w:rPr>
                <w:color w:val="auto"/>
              </w:rPr>
              <w:t>700</w:t>
            </w:r>
          </w:p>
        </w:tc>
      </w:tr>
    </w:tbl>
    <w:p>
      <w:pPr>
        <w:bidi w:val="0"/>
        <w:rPr>
          <w:color w:val="auto"/>
        </w:rPr>
      </w:pPr>
      <w:r>
        <w:rPr>
          <w:rFonts w:hint="eastAsia"/>
          <w:color w:val="auto"/>
        </w:rPr>
        <w:t>由上表可知，厂区内监测点位各个监测因子均能够满足《</w:t>
      </w:r>
      <w:r>
        <w:rPr>
          <w:rFonts w:hint="eastAsia"/>
          <w:color w:val="auto"/>
          <w:lang w:eastAsia="zh-CN"/>
        </w:rPr>
        <w:t>土壤环境质量 建设用地土壤污染风险管控标准（试行）</w:t>
      </w:r>
      <w:r>
        <w:rPr>
          <w:rFonts w:hint="eastAsia"/>
          <w:color w:val="auto"/>
        </w:rPr>
        <w:t>》（GB36600-2018），说明项目厂区土壤环境质量良好。</w:t>
      </w:r>
    </w:p>
    <w:p>
      <w:pPr>
        <w:pStyle w:val="92"/>
        <w:spacing w:beforeLines="0" w:afterLines="0" w:line="360" w:lineRule="auto"/>
        <w:ind w:firstLine="482" w:firstLineChars="200"/>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bookmarkEnd w:id="278"/>
    <w:bookmarkEnd w:id="279"/>
    <w:bookmarkEnd w:id="280"/>
    <w:p>
      <w:pPr>
        <w:pStyle w:val="6"/>
        <w:numPr>
          <w:ilvl w:val="0"/>
          <w:numId w:val="16"/>
        </w:numPr>
        <w:bidi w:val="0"/>
        <w:rPr>
          <w:color w:val="auto"/>
        </w:rPr>
      </w:pPr>
      <w:bookmarkStart w:id="281" w:name="_Toc324839611"/>
      <w:bookmarkStart w:id="282" w:name="_Toc33416068"/>
      <w:bookmarkStart w:id="283" w:name="_Toc15865"/>
      <w:bookmarkStart w:id="284" w:name="_Toc2290"/>
      <w:bookmarkStart w:id="285" w:name="_Toc311812647"/>
      <w:bookmarkStart w:id="286" w:name="_Toc324839314"/>
      <w:bookmarkStart w:id="287" w:name="_Toc67041056"/>
      <w:bookmarkStart w:id="288" w:name="_Toc66346622"/>
      <w:r>
        <w:rPr>
          <w:rFonts w:hint="eastAsia"/>
          <w:color w:val="auto"/>
        </w:rPr>
        <w:t xml:space="preserve">  </w:t>
      </w:r>
      <w:bookmarkStart w:id="289" w:name="_Toc1747"/>
      <w:r>
        <w:rPr>
          <w:color w:val="auto"/>
        </w:rPr>
        <w:t>环境影响预测与评价</w:t>
      </w:r>
      <w:bookmarkEnd w:id="281"/>
      <w:bookmarkEnd w:id="282"/>
      <w:bookmarkEnd w:id="283"/>
      <w:bookmarkEnd w:id="284"/>
      <w:bookmarkEnd w:id="285"/>
      <w:bookmarkEnd w:id="286"/>
      <w:bookmarkEnd w:id="287"/>
      <w:bookmarkEnd w:id="288"/>
      <w:bookmarkEnd w:id="289"/>
    </w:p>
    <w:p>
      <w:pPr>
        <w:pStyle w:val="7"/>
        <w:bidi w:val="0"/>
        <w:rPr>
          <w:color w:val="auto"/>
          <w:lang w:eastAsia="zh-CN"/>
        </w:rPr>
      </w:pPr>
      <w:bookmarkStart w:id="290" w:name="_Toc106552527"/>
      <w:bookmarkStart w:id="291" w:name="_Toc11501"/>
      <w:r>
        <w:rPr>
          <w:rFonts w:hint="eastAsia"/>
          <w:color w:val="auto"/>
          <w:lang w:eastAsia="zh-CN"/>
        </w:rPr>
        <w:t>5</w:t>
      </w:r>
      <w:r>
        <w:rPr>
          <w:color w:val="auto"/>
          <w:lang w:eastAsia="zh-CN"/>
        </w:rPr>
        <w:t>.1环境空气影响预测</w:t>
      </w:r>
      <w:bookmarkEnd w:id="290"/>
      <w:bookmarkEnd w:id="291"/>
    </w:p>
    <w:p>
      <w:pPr>
        <w:pStyle w:val="9"/>
        <w:bidi w:val="0"/>
        <w:rPr>
          <w:color w:val="auto"/>
        </w:rPr>
      </w:pPr>
      <w:r>
        <w:rPr>
          <w:rFonts w:hint="eastAsia"/>
          <w:color w:val="auto"/>
          <w:lang w:eastAsia="zh-CN"/>
        </w:rPr>
        <w:t>5</w:t>
      </w:r>
      <w:r>
        <w:rPr>
          <w:color w:val="auto"/>
        </w:rPr>
        <w:t>.1.1</w:t>
      </w:r>
      <w:r>
        <w:rPr>
          <w:rFonts w:hint="eastAsia"/>
          <w:color w:val="auto"/>
          <w:lang w:val="en-US" w:eastAsia="zh-CN"/>
        </w:rPr>
        <w:t xml:space="preserve"> </w:t>
      </w:r>
      <w:r>
        <w:rPr>
          <w:color w:val="auto"/>
        </w:rPr>
        <w:t>资料来源</w:t>
      </w:r>
    </w:p>
    <w:p>
      <w:pPr>
        <w:bidi w:val="0"/>
        <w:rPr>
          <w:color w:val="auto"/>
          <w:lang w:val="en-US"/>
        </w:rPr>
      </w:pPr>
      <w:r>
        <w:rPr>
          <w:rFonts w:hint="eastAsia"/>
          <w:color w:val="auto"/>
          <w:lang w:val="en-US"/>
        </w:rPr>
        <w:t>气象概况项目采用的是新乡气象站（</w:t>
      </w:r>
      <w:r>
        <w:rPr>
          <w:color w:val="auto"/>
          <w:lang w:val="en-US"/>
        </w:rPr>
        <w:t>53986</w:t>
      </w:r>
      <w:r>
        <w:rPr>
          <w:rFonts w:hint="eastAsia"/>
          <w:color w:val="auto"/>
          <w:lang w:val="en-US"/>
        </w:rPr>
        <w:t>）资料，气象站位于河南省新乡市，地理坐标为东经</w:t>
      </w:r>
      <w:r>
        <w:rPr>
          <w:color w:val="auto"/>
          <w:lang w:val="en-US"/>
        </w:rPr>
        <w:t>113.8833</w:t>
      </w:r>
      <w:r>
        <w:rPr>
          <w:rFonts w:hint="eastAsia"/>
          <w:color w:val="auto"/>
          <w:lang w:val="en-US"/>
        </w:rPr>
        <w:t>度，北纬</w:t>
      </w:r>
      <w:r>
        <w:rPr>
          <w:color w:val="auto"/>
          <w:lang w:val="en-US"/>
        </w:rPr>
        <w:t>35.3167</w:t>
      </w:r>
      <w:r>
        <w:rPr>
          <w:rFonts w:hint="eastAsia"/>
          <w:color w:val="auto"/>
          <w:lang w:val="en-US"/>
        </w:rPr>
        <w:t>度，海拔高度</w:t>
      </w:r>
      <w:r>
        <w:rPr>
          <w:color w:val="auto"/>
          <w:lang w:val="en-US"/>
        </w:rPr>
        <w:t>73.2</w:t>
      </w:r>
      <w:r>
        <w:rPr>
          <w:rFonts w:hint="eastAsia"/>
          <w:color w:val="auto"/>
          <w:lang w:val="en-US"/>
        </w:rPr>
        <w:t>米。新乡气象站距项目</w:t>
      </w:r>
      <w:r>
        <w:rPr>
          <w:color w:val="auto"/>
          <w:lang w:val="en-US"/>
        </w:rPr>
        <w:t>17.4km</w:t>
      </w:r>
      <w:r>
        <w:rPr>
          <w:rFonts w:hint="eastAsia"/>
          <w:color w:val="auto"/>
          <w:lang w:val="en-US"/>
        </w:rPr>
        <w:t>，是距项目最近的国家气象站，与本项目所在区域地理特征基本一致，可以直接使用。根据《环境影响评价技术导则</w:t>
      </w:r>
      <w:r>
        <w:rPr>
          <w:color w:val="auto"/>
          <w:lang w:val="en-US"/>
        </w:rPr>
        <w:t xml:space="preserve">  </w:t>
      </w:r>
      <w:r>
        <w:rPr>
          <w:rFonts w:hint="eastAsia"/>
          <w:color w:val="auto"/>
          <w:lang w:val="en-US"/>
        </w:rPr>
        <w:t>大气环境》</w:t>
      </w:r>
      <w:r>
        <w:rPr>
          <w:color w:val="auto"/>
          <w:lang w:val="en-US"/>
        </w:rPr>
        <w:t>(HJ2.2-2018</w:t>
      </w:r>
      <w:r>
        <w:rPr>
          <w:rFonts w:hint="eastAsia"/>
          <w:color w:val="auto"/>
          <w:lang w:val="en-US" w:eastAsia="zh-CN"/>
        </w:rPr>
        <w:t>)</w:t>
      </w:r>
      <w:r>
        <w:rPr>
          <w:rFonts w:hint="eastAsia"/>
          <w:color w:val="auto"/>
          <w:lang w:val="en-US"/>
        </w:rPr>
        <w:t>附录</w:t>
      </w:r>
      <w:r>
        <w:rPr>
          <w:color w:val="auto"/>
          <w:lang w:val="en-US"/>
        </w:rPr>
        <w:t>B</w:t>
      </w:r>
      <w:r>
        <w:rPr>
          <w:rFonts w:hint="eastAsia"/>
          <w:color w:val="auto"/>
          <w:lang w:val="en-US"/>
        </w:rPr>
        <w:t>要求，评价收集了新乡市连续</w:t>
      </w:r>
      <w:r>
        <w:rPr>
          <w:color w:val="auto"/>
          <w:lang w:val="en-US"/>
        </w:rPr>
        <w:t>20</w:t>
      </w:r>
      <w:r>
        <w:rPr>
          <w:rFonts w:hint="eastAsia"/>
          <w:color w:val="auto"/>
          <w:lang w:val="en-US"/>
        </w:rPr>
        <w:t>年（</w:t>
      </w:r>
      <w:r>
        <w:rPr>
          <w:color w:val="auto"/>
          <w:lang w:val="en-US"/>
        </w:rPr>
        <w:t>1998</w:t>
      </w:r>
      <w:r>
        <w:rPr>
          <w:rFonts w:hint="eastAsia"/>
          <w:color w:val="auto"/>
          <w:lang w:val="en-US" w:eastAsia="zh-CN"/>
        </w:rPr>
        <w:t>—</w:t>
      </w:r>
      <w:r>
        <w:rPr>
          <w:color w:val="auto"/>
          <w:lang w:val="en-US"/>
        </w:rPr>
        <w:t>2017</w:t>
      </w:r>
      <w:r>
        <w:rPr>
          <w:rFonts w:hint="eastAsia"/>
          <w:color w:val="auto"/>
          <w:lang w:val="en-US"/>
        </w:rPr>
        <w:t>年）的气象统计资料，具体统计结果如下：</w:t>
      </w:r>
    </w:p>
    <w:p>
      <w:pPr>
        <w:pStyle w:val="181"/>
        <w:bidi w:val="0"/>
        <w:rPr>
          <w:color w:val="auto"/>
        </w:rPr>
      </w:pPr>
      <w:r>
        <w:rPr>
          <w:color w:val="auto"/>
        </w:rPr>
        <w:t>表5</w:t>
      </w:r>
      <w:r>
        <w:rPr>
          <w:rFonts w:hint="eastAsia"/>
          <w:color w:val="auto"/>
          <w:lang w:val="en-US" w:eastAsia="zh-CN"/>
        </w:rPr>
        <w:t>.1</w:t>
      </w:r>
      <w:r>
        <w:rPr>
          <w:color w:val="auto"/>
        </w:rPr>
        <w:t>-1         新乡气象站常规气象项目统计（</w:t>
      </w:r>
      <w:r>
        <w:rPr>
          <w:rFonts w:hint="eastAsia"/>
          <w:color w:val="auto"/>
        </w:rPr>
        <w:t>2000</w:t>
      </w:r>
      <w:r>
        <w:rPr>
          <w:color w:val="auto"/>
        </w:rPr>
        <w:t>-201</w:t>
      </w:r>
      <w:r>
        <w:rPr>
          <w:rFonts w:hint="eastAsia"/>
          <w:color w:val="auto"/>
        </w:rPr>
        <w:t>9</w:t>
      </w:r>
      <w:r>
        <w:rPr>
          <w:color w:val="auto"/>
        </w:rPr>
        <w:t>）</w:t>
      </w:r>
    </w:p>
    <w:tbl>
      <w:tblPr>
        <w:tblStyle w:val="32"/>
        <w:tblW w:w="5000" w:type="pct"/>
        <w:tblInd w:w="0" w:type="dxa"/>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Layout w:type="autofit"/>
        <w:tblCellMar>
          <w:top w:w="0" w:type="dxa"/>
          <w:left w:w="0" w:type="dxa"/>
          <w:bottom w:w="0" w:type="dxa"/>
          <w:right w:w="0" w:type="dxa"/>
        </w:tblCellMar>
      </w:tblPr>
      <w:tblGrid>
        <w:gridCol w:w="1002"/>
        <w:gridCol w:w="2881"/>
        <w:gridCol w:w="1378"/>
        <w:gridCol w:w="1713"/>
        <w:gridCol w:w="1356"/>
      </w:tblGrid>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8" w:space="0"/>
              <w:left w:val="single" w:color="000001" w:sz="8" w:space="0"/>
              <w:bottom w:val="single" w:color="000001" w:sz="6" w:space="0"/>
              <w:right w:val="single" w:color="000001" w:sz="6" w:space="0"/>
            </w:tcBorders>
            <w:vAlign w:val="center"/>
          </w:tcPr>
          <w:p>
            <w:pPr>
              <w:pStyle w:val="182"/>
              <w:bidi w:val="0"/>
              <w:rPr>
                <w:b/>
                <w:bCs/>
                <w:color w:val="auto"/>
              </w:rPr>
            </w:pPr>
            <w:r>
              <w:rPr>
                <w:rFonts w:hint="eastAsia"/>
                <w:b/>
                <w:bCs/>
                <w:color w:val="auto"/>
              </w:rPr>
              <w:t>统计项目</w:t>
            </w:r>
          </w:p>
        </w:tc>
        <w:tc>
          <w:tcPr>
            <w:tcW w:w="827" w:type="pct"/>
            <w:tcBorders>
              <w:top w:val="single" w:color="000001" w:sz="8" w:space="0"/>
              <w:left w:val="single" w:color="000001" w:sz="6" w:space="0"/>
              <w:bottom w:val="single" w:color="000001" w:sz="6" w:space="0"/>
              <w:right w:val="single" w:color="000001" w:sz="6" w:space="0"/>
            </w:tcBorders>
            <w:vAlign w:val="center"/>
          </w:tcPr>
          <w:p>
            <w:pPr>
              <w:pStyle w:val="182"/>
              <w:bidi w:val="0"/>
              <w:rPr>
                <w:b/>
                <w:bCs/>
                <w:color w:val="auto"/>
              </w:rPr>
            </w:pPr>
            <w:r>
              <w:rPr>
                <w:rFonts w:hint="eastAsia"/>
                <w:b/>
                <w:bCs/>
                <w:color w:val="auto"/>
              </w:rPr>
              <w:t>统计值</w:t>
            </w:r>
          </w:p>
        </w:tc>
        <w:tc>
          <w:tcPr>
            <w:tcW w:w="1028" w:type="pct"/>
            <w:tcBorders>
              <w:top w:val="single" w:color="000001" w:sz="8" w:space="0"/>
              <w:left w:val="single" w:color="000001" w:sz="6" w:space="0"/>
              <w:bottom w:val="single" w:color="000001" w:sz="6" w:space="0"/>
              <w:right w:val="single" w:color="000001" w:sz="6" w:space="0"/>
            </w:tcBorders>
            <w:vAlign w:val="center"/>
          </w:tcPr>
          <w:p>
            <w:pPr>
              <w:pStyle w:val="182"/>
              <w:bidi w:val="0"/>
              <w:rPr>
                <w:b/>
                <w:bCs/>
                <w:color w:val="auto"/>
              </w:rPr>
            </w:pPr>
            <w:r>
              <w:rPr>
                <w:rFonts w:hint="eastAsia"/>
                <w:b/>
                <w:bCs/>
                <w:color w:val="auto"/>
              </w:rPr>
              <w:t>极值出现时间</w:t>
            </w:r>
          </w:p>
        </w:tc>
        <w:tc>
          <w:tcPr>
            <w:tcW w:w="814" w:type="pct"/>
            <w:tcBorders>
              <w:top w:val="single" w:color="000001" w:sz="8" w:space="0"/>
              <w:left w:val="single" w:color="000001" w:sz="6" w:space="0"/>
              <w:bottom w:val="single" w:color="000001" w:sz="6" w:space="0"/>
              <w:right w:val="single" w:color="000001" w:sz="8" w:space="0"/>
            </w:tcBorders>
            <w:vAlign w:val="center"/>
          </w:tcPr>
          <w:p>
            <w:pPr>
              <w:pStyle w:val="182"/>
              <w:bidi w:val="0"/>
              <w:rPr>
                <w:b/>
                <w:bCs/>
                <w:color w:val="auto"/>
              </w:rPr>
            </w:pPr>
            <w:r>
              <w:rPr>
                <w:rFonts w:hint="eastAsia"/>
                <w:b/>
                <w:bCs/>
                <w:color w:val="auto"/>
              </w:rPr>
              <w:t>极值</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多年平均气温（℃）</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15.3</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累年极端最高气温（℃）</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38.5</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2009-06-25</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40.9</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累年极端最低气温（℃）</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-9.0</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2016-01-24</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-13.1</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多年平均气压（</w:t>
            </w:r>
            <w:r>
              <w:rPr>
                <w:color w:val="auto"/>
              </w:rPr>
              <w:t>hPa</w:t>
            </w:r>
            <w:r>
              <w:rPr>
                <w:rFonts w:hint="eastAsia"/>
                <w:color w:val="auto"/>
              </w:rPr>
              <w:t>）</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1008.0</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多年平均水汽压（</w:t>
            </w:r>
            <w:r>
              <w:rPr>
                <w:color w:val="auto"/>
              </w:rPr>
              <w:t>hPa</w:t>
            </w:r>
            <w:r>
              <w:rPr>
                <w:rFonts w:hint="eastAsia"/>
                <w:color w:val="auto"/>
              </w:rPr>
              <w:t>）</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12.9</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多年平均相对湿度</w:t>
            </w:r>
            <w:r>
              <w:rPr>
                <w:rFonts w:hint="eastAsia"/>
                <w:color w:val="auto"/>
                <w:lang w:eastAsia="zh-CN"/>
              </w:rPr>
              <w:t>(</w:t>
            </w:r>
            <w:r>
              <w:rPr>
                <w:color w:val="auto"/>
              </w:rPr>
              <w:t>%)</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63.0</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多年平均降雨量</w:t>
            </w:r>
            <w:r>
              <w:rPr>
                <w:rFonts w:hint="eastAsia"/>
                <w:color w:val="auto"/>
                <w:lang w:eastAsia="zh-CN"/>
              </w:rPr>
              <w:t>(</w:t>
            </w:r>
            <w:r>
              <w:rPr>
                <w:color w:val="auto"/>
              </w:rPr>
              <w:t>mm)</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555.5</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2016-07-09</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414.0</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602" w:type="pct"/>
            <w:vMerge w:val="restart"/>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灾害天气统计</w:t>
            </w:r>
          </w:p>
        </w:tc>
        <w:tc>
          <w:tcPr>
            <w:tcW w:w="1729"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0.3</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vMerge w:val="continue"/>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p>
        </w:tc>
        <w:tc>
          <w:tcPr>
            <w:tcW w:w="1729"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21.5</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vMerge w:val="continue"/>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p>
        </w:tc>
        <w:tc>
          <w:tcPr>
            <w:tcW w:w="1729"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0.2</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vMerge w:val="continue"/>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p>
        </w:tc>
        <w:tc>
          <w:tcPr>
            <w:tcW w:w="1729"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3.9</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vMerge w:val="restart"/>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多年实测极大风速（</w:t>
            </w:r>
            <w:r>
              <w:rPr>
                <w:color w:val="auto"/>
              </w:rPr>
              <w:t>m/s</w:t>
            </w:r>
            <w:r>
              <w:rPr>
                <w:rFonts w:hint="eastAsia"/>
                <w:color w:val="auto"/>
              </w:rPr>
              <w:t>）、相应风向</w:t>
            </w:r>
          </w:p>
        </w:tc>
        <w:tc>
          <w:tcPr>
            <w:tcW w:w="827" w:type="pct"/>
            <w:vMerge w:val="restar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20</w:t>
            </w:r>
          </w:p>
        </w:tc>
        <w:tc>
          <w:tcPr>
            <w:tcW w:w="1028" w:type="pct"/>
            <w:vMerge w:val="restar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2002-06-01</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23.8</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gridSpan w:val="2"/>
            <w:vMerge w:val="continue"/>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p>
        </w:tc>
        <w:tc>
          <w:tcPr>
            <w:tcW w:w="0" w:type="auto"/>
            <w:vMerge w:val="continue"/>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p>
        </w:tc>
        <w:tc>
          <w:tcPr>
            <w:tcW w:w="0" w:type="auto"/>
            <w:vMerge w:val="continue"/>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N</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多年平均风速（</w:t>
            </w:r>
            <w:r>
              <w:rPr>
                <w:color w:val="auto"/>
              </w:rPr>
              <w:t>m/s</w:t>
            </w:r>
            <w:r>
              <w:rPr>
                <w:rFonts w:hint="eastAsia"/>
                <w:color w:val="auto"/>
              </w:rPr>
              <w:t>）</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2.1</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vMerge w:val="restart"/>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r>
              <w:rPr>
                <w:rFonts w:hint="eastAsia"/>
                <w:color w:val="auto"/>
              </w:rPr>
              <w:t>多年主导风向、风向频率</w:t>
            </w:r>
            <w:r>
              <w:rPr>
                <w:rFonts w:hint="eastAsia"/>
                <w:color w:val="auto"/>
                <w:lang w:eastAsia="zh-CN"/>
              </w:rPr>
              <w:t>(</w:t>
            </w:r>
            <w:r>
              <w:rPr>
                <w:color w:val="auto"/>
              </w:rPr>
              <w:t>%)</w:t>
            </w: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ENE</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gridSpan w:val="2"/>
            <w:vMerge w:val="continue"/>
            <w:tcBorders>
              <w:top w:val="single" w:color="000001" w:sz="6" w:space="0"/>
              <w:left w:val="single" w:color="000001" w:sz="8" w:space="0"/>
              <w:bottom w:val="single" w:color="000001" w:sz="6" w:space="0"/>
              <w:right w:val="single" w:color="000001" w:sz="6" w:space="0"/>
            </w:tcBorders>
            <w:vAlign w:val="center"/>
          </w:tcPr>
          <w:p>
            <w:pPr>
              <w:pStyle w:val="182"/>
              <w:bidi w:val="0"/>
              <w:rPr>
                <w:color w:val="auto"/>
              </w:rPr>
            </w:pPr>
          </w:p>
        </w:tc>
        <w:tc>
          <w:tcPr>
            <w:tcW w:w="827"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17.0</w:t>
            </w:r>
          </w:p>
        </w:tc>
        <w:tc>
          <w:tcPr>
            <w:tcW w:w="1028" w:type="pct"/>
            <w:tcBorders>
              <w:top w:val="single" w:color="000001" w:sz="6" w:space="0"/>
              <w:left w:val="single" w:color="000001" w:sz="6" w:space="0"/>
              <w:bottom w:val="single" w:color="000001" w:sz="6"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pPr>
              <w:pStyle w:val="182"/>
              <w:bidi w:val="0"/>
              <w:rPr>
                <w:color w:val="auto"/>
              </w:rPr>
            </w:pPr>
            <w:r>
              <w:rPr>
                <w:color w:val="auto"/>
              </w:rPr>
              <w:t>/</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8" w:space="0"/>
              <w:right w:val="single" w:color="000001" w:sz="6" w:space="0"/>
            </w:tcBorders>
            <w:vAlign w:val="center"/>
          </w:tcPr>
          <w:p>
            <w:pPr>
              <w:pStyle w:val="182"/>
              <w:bidi w:val="0"/>
              <w:rPr>
                <w:color w:val="auto"/>
              </w:rPr>
            </w:pPr>
            <w:r>
              <w:rPr>
                <w:rFonts w:hint="eastAsia"/>
                <w:color w:val="auto"/>
              </w:rPr>
              <w:t>多年静风频率</w:t>
            </w:r>
            <w:r>
              <w:rPr>
                <w:rFonts w:hint="eastAsia"/>
                <w:color w:val="auto"/>
                <w:lang w:eastAsia="zh-CN"/>
              </w:rPr>
              <w:t>（</w:t>
            </w:r>
            <w:r>
              <w:rPr>
                <w:rFonts w:hint="eastAsia"/>
                <w:color w:val="auto"/>
              </w:rPr>
              <w:t>风速</w:t>
            </w:r>
            <w:r>
              <w:rPr>
                <w:rFonts w:hint="eastAsia"/>
                <w:color w:val="auto"/>
                <w:lang w:eastAsia="zh-CN"/>
              </w:rPr>
              <w:t>&lt;</w:t>
            </w:r>
            <w:r>
              <w:rPr>
                <w:color w:val="auto"/>
              </w:rPr>
              <w:t>0.2m/s</w:t>
            </w:r>
            <w:r>
              <w:rPr>
                <w:rFonts w:hint="eastAsia"/>
                <w:color w:val="auto"/>
                <w:lang w:eastAsia="zh-CN"/>
              </w:rPr>
              <w:t>）</w:t>
            </w:r>
            <w:r>
              <w:rPr>
                <w:color w:val="auto"/>
              </w:rPr>
              <w:t>(%)</w:t>
            </w:r>
          </w:p>
        </w:tc>
        <w:tc>
          <w:tcPr>
            <w:tcW w:w="827" w:type="pct"/>
            <w:tcBorders>
              <w:top w:val="single" w:color="000001" w:sz="6" w:space="0"/>
              <w:left w:val="single" w:color="000001" w:sz="6" w:space="0"/>
              <w:bottom w:val="single" w:color="000001" w:sz="8" w:space="0"/>
              <w:right w:val="single" w:color="000001" w:sz="6" w:space="0"/>
            </w:tcBorders>
            <w:vAlign w:val="center"/>
          </w:tcPr>
          <w:p>
            <w:pPr>
              <w:pStyle w:val="182"/>
              <w:bidi w:val="0"/>
              <w:rPr>
                <w:color w:val="auto"/>
              </w:rPr>
            </w:pPr>
            <w:r>
              <w:rPr>
                <w:rFonts w:hint="eastAsia"/>
                <w:color w:val="auto"/>
              </w:rPr>
              <w:t>10.8</w:t>
            </w:r>
          </w:p>
        </w:tc>
        <w:tc>
          <w:tcPr>
            <w:tcW w:w="1028" w:type="pct"/>
            <w:tcBorders>
              <w:top w:val="single" w:color="000001" w:sz="6" w:space="0"/>
              <w:left w:val="single" w:color="000001" w:sz="6" w:space="0"/>
              <w:bottom w:val="single" w:color="000001" w:sz="8" w:space="0"/>
              <w:right w:val="single" w:color="000001" w:sz="6" w:space="0"/>
            </w:tcBorders>
            <w:vAlign w:val="center"/>
          </w:tcPr>
          <w:p>
            <w:pPr>
              <w:pStyle w:val="182"/>
              <w:bidi w:val="0"/>
              <w:rPr>
                <w:color w:val="auto"/>
              </w:rPr>
            </w:pPr>
            <w:r>
              <w:rPr>
                <w:color w:val="auto"/>
              </w:rPr>
              <w:t>/</w:t>
            </w:r>
          </w:p>
        </w:tc>
        <w:tc>
          <w:tcPr>
            <w:tcW w:w="814" w:type="pct"/>
            <w:tcBorders>
              <w:top w:val="single" w:color="000001" w:sz="6" w:space="0"/>
              <w:left w:val="single" w:color="000001" w:sz="6" w:space="0"/>
              <w:bottom w:val="single" w:color="000001" w:sz="8" w:space="0"/>
              <w:right w:val="single" w:color="000001" w:sz="8" w:space="0"/>
            </w:tcBorders>
            <w:vAlign w:val="center"/>
          </w:tcPr>
          <w:p>
            <w:pPr>
              <w:pStyle w:val="182"/>
              <w:bidi w:val="0"/>
              <w:rPr>
                <w:color w:val="auto"/>
              </w:rPr>
            </w:pPr>
            <w:r>
              <w:rPr>
                <w:color w:val="auto"/>
              </w:rPr>
              <w:t>/</w:t>
            </w:r>
          </w:p>
        </w:tc>
      </w:tr>
    </w:tbl>
    <w:p>
      <w:pPr>
        <w:pStyle w:val="9"/>
        <w:bidi w:val="0"/>
        <w:rPr>
          <w:color w:val="auto"/>
        </w:rPr>
      </w:pPr>
      <w:r>
        <w:rPr>
          <w:rFonts w:hint="eastAsia"/>
          <w:color w:val="auto"/>
          <w:lang w:eastAsia="zh-CN"/>
        </w:rPr>
        <w:t>5</w:t>
      </w:r>
      <w:r>
        <w:rPr>
          <w:rFonts w:hint="eastAsia"/>
          <w:color w:val="auto"/>
        </w:rPr>
        <w:t>.1.2</w:t>
      </w:r>
      <w:r>
        <w:rPr>
          <w:rFonts w:hint="eastAsia"/>
          <w:color w:val="auto"/>
          <w:lang w:val="en-US" w:eastAsia="zh-CN"/>
        </w:rPr>
        <w:t xml:space="preserve"> </w:t>
      </w:r>
      <w:r>
        <w:rPr>
          <w:rFonts w:hint="eastAsia"/>
          <w:color w:val="auto"/>
          <w:lang w:eastAsia="zh-CN"/>
        </w:rPr>
        <w:t>气象站</w:t>
      </w:r>
      <w:r>
        <w:rPr>
          <w:rFonts w:hint="eastAsia"/>
          <w:color w:val="auto"/>
        </w:rPr>
        <w:t>风观测数据统计</w:t>
      </w:r>
    </w:p>
    <w:p>
      <w:pPr>
        <w:bidi w:val="0"/>
        <w:rPr>
          <w:color w:val="auto"/>
        </w:rPr>
      </w:pPr>
      <w:r>
        <w:rPr>
          <w:rFonts w:hint="eastAsia"/>
          <w:color w:val="auto"/>
        </w:rPr>
        <w:t>（1）</w:t>
      </w:r>
      <w:r>
        <w:rPr>
          <w:color w:val="auto"/>
        </w:rPr>
        <w:t>月平均风速</w:t>
      </w:r>
    </w:p>
    <w:p>
      <w:pPr>
        <w:bidi w:val="0"/>
        <w:rPr>
          <w:rFonts w:cs="宋体"/>
          <w:color w:val="auto"/>
          <w:kern w:val="0"/>
          <w:szCs w:val="20"/>
        </w:rPr>
      </w:pPr>
      <w:r>
        <w:rPr>
          <w:color w:val="auto"/>
        </w:rPr>
        <w:t>新乡气象站月平均风速如表</w:t>
      </w:r>
      <w:r>
        <w:rPr>
          <w:rFonts w:hint="eastAsia"/>
          <w:color w:val="auto"/>
        </w:rPr>
        <w:t>5</w:t>
      </w:r>
      <w:r>
        <w:rPr>
          <w:rFonts w:hint="eastAsia"/>
          <w:color w:val="auto"/>
          <w:lang w:val="en-US" w:eastAsia="zh-CN"/>
        </w:rPr>
        <w:t>.1</w:t>
      </w:r>
      <w:r>
        <w:rPr>
          <w:rFonts w:hint="eastAsia"/>
          <w:color w:val="auto"/>
        </w:rPr>
        <w:t>-</w:t>
      </w:r>
      <w:r>
        <w:rPr>
          <w:color w:val="auto"/>
        </w:rPr>
        <w:t>2，04月平均风速最大（2.6米/秒），09月风最小（1.7米/秒）。</w:t>
      </w:r>
    </w:p>
    <w:p>
      <w:pPr>
        <w:pStyle w:val="181"/>
        <w:bidi w:val="0"/>
        <w:rPr>
          <w:rFonts w:eastAsia="Times New Roman" w:cs="宋体"/>
          <w:b/>
          <w:color w:val="auto"/>
          <w:sz w:val="24"/>
        </w:rPr>
      </w:pPr>
      <w:r>
        <w:rPr>
          <w:rFonts w:hint="eastAsia" w:ascii="宋体" w:hAnsi="宋体" w:cs="宋体"/>
          <w:b/>
          <w:color w:val="auto"/>
          <w:sz w:val="24"/>
        </w:rPr>
        <w:t>表</w:t>
      </w:r>
      <w:r>
        <w:rPr>
          <w:rFonts w:hint="eastAsia" w:eastAsia="Times New Roman" w:cs="宋体"/>
          <w:b/>
          <w:color w:val="auto"/>
          <w:sz w:val="24"/>
        </w:rPr>
        <w:t>5</w:t>
      </w:r>
      <w:r>
        <w:rPr>
          <w:rFonts w:hint="eastAsia" w:cs="宋体"/>
          <w:b/>
          <w:color w:val="auto"/>
          <w:sz w:val="24"/>
          <w:lang w:val="en-US" w:eastAsia="zh-CN"/>
        </w:rPr>
        <w:t>.1</w:t>
      </w:r>
      <w:r>
        <w:rPr>
          <w:rFonts w:hint="eastAsia" w:eastAsia="Times New Roman" w:cs="宋体"/>
          <w:b/>
          <w:color w:val="auto"/>
          <w:sz w:val="24"/>
        </w:rPr>
        <w:t>-</w:t>
      </w:r>
      <w:r>
        <w:rPr>
          <w:rFonts w:eastAsia="Times New Roman" w:cs="宋体"/>
          <w:b/>
          <w:color w:val="auto"/>
          <w:sz w:val="24"/>
        </w:rPr>
        <w:t>2</w:t>
      </w:r>
      <w:r>
        <w:rPr>
          <w:rFonts w:hint="eastAsia" w:eastAsia="Times New Roman" w:cs="宋体"/>
          <w:b/>
          <w:color w:val="auto"/>
          <w:sz w:val="24"/>
        </w:rPr>
        <w:t xml:space="preserve">      </w:t>
      </w:r>
      <w:r>
        <w:rPr>
          <w:rFonts w:hint="eastAsia" w:cs="宋体"/>
          <w:b/>
          <w:color w:val="auto"/>
          <w:sz w:val="24"/>
        </w:rPr>
        <w:t xml:space="preserve">  </w:t>
      </w:r>
      <w:r>
        <w:rPr>
          <w:rFonts w:hint="eastAsia" w:eastAsia="Times New Roman" w:cs="宋体"/>
          <w:b/>
          <w:color w:val="auto"/>
          <w:sz w:val="24"/>
        </w:rPr>
        <w:t xml:space="preserve">    </w:t>
      </w:r>
      <w:r>
        <w:rPr>
          <w:rFonts w:eastAsia="Times New Roman" w:cs="宋体"/>
          <w:b/>
          <w:color w:val="auto"/>
          <w:sz w:val="24"/>
        </w:rPr>
        <w:t xml:space="preserve"> </w:t>
      </w:r>
      <w:r>
        <w:rPr>
          <w:rFonts w:hint="eastAsia" w:ascii="宋体" w:hAnsi="宋体" w:cs="宋体"/>
          <w:b/>
          <w:color w:val="auto"/>
          <w:sz w:val="24"/>
        </w:rPr>
        <w:t>新乡气象站月平均风速统计（单位</w:t>
      </w:r>
      <w:r>
        <w:rPr>
          <w:rFonts w:eastAsia="Times New Roman" w:cs="宋体"/>
          <w:b/>
          <w:color w:val="auto"/>
          <w:sz w:val="24"/>
        </w:rPr>
        <w:t>m/s</w:t>
      </w:r>
      <w:r>
        <w:rPr>
          <w:rFonts w:hint="eastAsia" w:ascii="宋体" w:hAnsi="宋体" w:cs="宋体"/>
          <w:b/>
          <w:color w:val="auto"/>
          <w:sz w:val="24"/>
        </w:rPr>
        <w:t>）</w:t>
      </w:r>
    </w:p>
    <w:tbl>
      <w:tblPr>
        <w:tblStyle w:val="32"/>
        <w:tblW w:w="5000" w:type="pct"/>
        <w:jc w:val="center"/>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Layout w:type="autofit"/>
        <w:tblCellMar>
          <w:top w:w="0" w:type="dxa"/>
          <w:left w:w="0" w:type="dxa"/>
          <w:bottom w:w="0" w:type="dxa"/>
          <w:right w:w="0" w:type="dxa"/>
        </w:tblCellMar>
      </w:tblPr>
      <w:tblGrid>
        <w:gridCol w:w="997"/>
        <w:gridCol w:w="600"/>
        <w:gridCol w:w="620"/>
        <w:gridCol w:w="600"/>
        <w:gridCol w:w="620"/>
        <w:gridCol w:w="620"/>
        <w:gridCol w:w="600"/>
        <w:gridCol w:w="620"/>
        <w:gridCol w:w="620"/>
        <w:gridCol w:w="600"/>
        <w:gridCol w:w="620"/>
        <w:gridCol w:w="600"/>
        <w:gridCol w:w="613"/>
      </w:tblGrid>
      <w:tr>
        <w:tblPrEx>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9" w:type="pct"/>
            <w:shd w:val="clear" w:color="auto" w:fill="auto"/>
            <w:vAlign w:val="center"/>
          </w:tcPr>
          <w:p>
            <w:pPr>
              <w:pStyle w:val="182"/>
              <w:bidi w:val="0"/>
              <w:rPr>
                <w:color w:val="auto"/>
              </w:rPr>
            </w:pPr>
            <w:r>
              <w:rPr>
                <w:color w:val="auto"/>
              </w:rPr>
              <w:drawing>
                <wp:anchor distT="0" distB="0" distL="114300" distR="114300" simplePos="0" relativeHeight="251689984" behindDoc="1" locked="0" layoutInCell="0" allowOverlap="1">
                  <wp:simplePos x="0" y="0"/>
                  <wp:positionH relativeFrom="column">
                    <wp:posOffset>1280795</wp:posOffset>
                  </wp:positionH>
                  <wp:positionV relativeFrom="paragraph">
                    <wp:posOffset>95250</wp:posOffset>
                  </wp:positionV>
                  <wp:extent cx="1270" cy="20320"/>
                  <wp:effectExtent l="0" t="0" r="13970" b="2540"/>
                  <wp:wrapNone/>
                  <wp:docPr id="33" name="图片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144"/>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1008" behindDoc="1" locked="0" layoutInCell="0" allowOverlap="1">
                  <wp:simplePos x="0" y="0"/>
                  <wp:positionH relativeFrom="column">
                    <wp:posOffset>1671955</wp:posOffset>
                  </wp:positionH>
                  <wp:positionV relativeFrom="paragraph">
                    <wp:posOffset>95250</wp:posOffset>
                  </wp:positionV>
                  <wp:extent cx="1270" cy="20320"/>
                  <wp:effectExtent l="0" t="0" r="13970" b="2540"/>
                  <wp:wrapNone/>
                  <wp:docPr id="9" name="图片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145"/>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2032" behindDoc="1" locked="0" layoutInCell="0" allowOverlap="1">
                  <wp:simplePos x="0" y="0"/>
                  <wp:positionH relativeFrom="column">
                    <wp:posOffset>2059305</wp:posOffset>
                  </wp:positionH>
                  <wp:positionV relativeFrom="paragraph">
                    <wp:posOffset>95250</wp:posOffset>
                  </wp:positionV>
                  <wp:extent cx="1270" cy="20320"/>
                  <wp:effectExtent l="0" t="0" r="13970" b="2540"/>
                  <wp:wrapNone/>
                  <wp:docPr id="28" name="图片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146"/>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3056" behindDoc="1" locked="0" layoutInCell="0" allowOverlap="1">
                  <wp:simplePos x="0" y="0"/>
                  <wp:positionH relativeFrom="column">
                    <wp:posOffset>2447925</wp:posOffset>
                  </wp:positionH>
                  <wp:positionV relativeFrom="paragraph">
                    <wp:posOffset>95250</wp:posOffset>
                  </wp:positionV>
                  <wp:extent cx="1270" cy="20320"/>
                  <wp:effectExtent l="0" t="0" r="13970" b="2540"/>
                  <wp:wrapNone/>
                  <wp:docPr id="24" name="图片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147"/>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4080" behindDoc="1" locked="0" layoutInCell="0" allowOverlap="1">
                  <wp:simplePos x="0" y="0"/>
                  <wp:positionH relativeFrom="column">
                    <wp:posOffset>2836545</wp:posOffset>
                  </wp:positionH>
                  <wp:positionV relativeFrom="paragraph">
                    <wp:posOffset>95250</wp:posOffset>
                  </wp:positionV>
                  <wp:extent cx="1270" cy="20320"/>
                  <wp:effectExtent l="0" t="0" r="13970" b="2540"/>
                  <wp:wrapNone/>
                  <wp:docPr id="32" name="图片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148"/>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5104" behindDoc="1" locked="0" layoutInCell="0" allowOverlap="1">
                  <wp:simplePos x="0" y="0"/>
                  <wp:positionH relativeFrom="column">
                    <wp:posOffset>3223895</wp:posOffset>
                  </wp:positionH>
                  <wp:positionV relativeFrom="paragraph">
                    <wp:posOffset>95250</wp:posOffset>
                  </wp:positionV>
                  <wp:extent cx="1270" cy="20320"/>
                  <wp:effectExtent l="0" t="0" r="13970" b="2540"/>
                  <wp:wrapNone/>
                  <wp:docPr id="34" name="图片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149"/>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6128" behindDoc="1" locked="0" layoutInCell="0" allowOverlap="1">
                  <wp:simplePos x="0" y="0"/>
                  <wp:positionH relativeFrom="column">
                    <wp:posOffset>3612515</wp:posOffset>
                  </wp:positionH>
                  <wp:positionV relativeFrom="paragraph">
                    <wp:posOffset>95250</wp:posOffset>
                  </wp:positionV>
                  <wp:extent cx="1270" cy="20320"/>
                  <wp:effectExtent l="0" t="0" r="13970" b="2540"/>
                  <wp:wrapNone/>
                  <wp:docPr id="18" name="图片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150"/>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7152" behindDoc="1" locked="0" layoutInCell="0" allowOverlap="1">
                  <wp:simplePos x="0" y="0"/>
                  <wp:positionH relativeFrom="column">
                    <wp:posOffset>4003675</wp:posOffset>
                  </wp:positionH>
                  <wp:positionV relativeFrom="paragraph">
                    <wp:posOffset>95250</wp:posOffset>
                  </wp:positionV>
                  <wp:extent cx="1270" cy="20320"/>
                  <wp:effectExtent l="0" t="0" r="13970" b="2540"/>
                  <wp:wrapNone/>
                  <wp:docPr id="6" name="图片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151"/>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8176" behindDoc="1" locked="0" layoutInCell="0" allowOverlap="1">
                  <wp:simplePos x="0" y="0"/>
                  <wp:positionH relativeFrom="column">
                    <wp:posOffset>4392295</wp:posOffset>
                  </wp:positionH>
                  <wp:positionV relativeFrom="paragraph">
                    <wp:posOffset>95250</wp:posOffset>
                  </wp:positionV>
                  <wp:extent cx="1270" cy="20320"/>
                  <wp:effectExtent l="0" t="0" r="13970" b="2540"/>
                  <wp:wrapNone/>
                  <wp:docPr id="20" name="图片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152"/>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9200" behindDoc="1" locked="0" layoutInCell="0" allowOverlap="1">
                  <wp:simplePos x="0" y="0"/>
                  <wp:positionH relativeFrom="column">
                    <wp:posOffset>4780915</wp:posOffset>
                  </wp:positionH>
                  <wp:positionV relativeFrom="paragraph">
                    <wp:posOffset>95250</wp:posOffset>
                  </wp:positionV>
                  <wp:extent cx="1270" cy="20320"/>
                  <wp:effectExtent l="0" t="0" r="13970" b="2540"/>
                  <wp:wrapNone/>
                  <wp:docPr id="27" name="图片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153"/>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0224" behindDoc="1" locked="0" layoutInCell="0" allowOverlap="1">
                  <wp:simplePos x="0" y="0"/>
                  <wp:positionH relativeFrom="column">
                    <wp:posOffset>5169535</wp:posOffset>
                  </wp:positionH>
                  <wp:positionV relativeFrom="paragraph">
                    <wp:posOffset>95250</wp:posOffset>
                  </wp:positionV>
                  <wp:extent cx="1270" cy="20320"/>
                  <wp:effectExtent l="0" t="0" r="13970" b="2540"/>
                  <wp:wrapNone/>
                  <wp:docPr id="29" name="图片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154"/>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1248" behindDoc="1" locked="0" layoutInCell="0" allowOverlap="1">
                  <wp:simplePos x="0" y="0"/>
                  <wp:positionH relativeFrom="column">
                    <wp:posOffset>5555615</wp:posOffset>
                  </wp:positionH>
                  <wp:positionV relativeFrom="paragraph">
                    <wp:posOffset>95250</wp:posOffset>
                  </wp:positionV>
                  <wp:extent cx="1270" cy="20320"/>
                  <wp:effectExtent l="0" t="0" r="13970" b="2540"/>
                  <wp:wrapNone/>
                  <wp:docPr id="31" name="图片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155"/>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t>月份</w:t>
            </w:r>
          </w:p>
        </w:tc>
        <w:tc>
          <w:tcPr>
            <w:tcW w:w="360" w:type="pct"/>
            <w:shd w:val="clear" w:color="auto" w:fill="auto"/>
            <w:vAlign w:val="center"/>
          </w:tcPr>
          <w:p>
            <w:pPr>
              <w:pStyle w:val="182"/>
              <w:bidi w:val="0"/>
              <w:rPr>
                <w:color w:val="auto"/>
              </w:rPr>
            </w:pPr>
            <w:r>
              <w:rPr>
                <w:color w:val="auto"/>
              </w:rPr>
              <w:t>1</w:t>
            </w:r>
          </w:p>
        </w:tc>
        <w:tc>
          <w:tcPr>
            <w:tcW w:w="372" w:type="pct"/>
            <w:shd w:val="clear" w:color="auto" w:fill="auto"/>
            <w:vAlign w:val="center"/>
          </w:tcPr>
          <w:p>
            <w:pPr>
              <w:pStyle w:val="182"/>
              <w:bidi w:val="0"/>
              <w:rPr>
                <w:color w:val="auto"/>
              </w:rPr>
            </w:pPr>
            <w:r>
              <w:rPr>
                <w:color w:val="auto"/>
              </w:rPr>
              <w:t>2</w:t>
            </w:r>
          </w:p>
        </w:tc>
        <w:tc>
          <w:tcPr>
            <w:tcW w:w="360" w:type="pct"/>
            <w:shd w:val="clear" w:color="auto" w:fill="auto"/>
            <w:vAlign w:val="center"/>
          </w:tcPr>
          <w:p>
            <w:pPr>
              <w:pStyle w:val="182"/>
              <w:bidi w:val="0"/>
              <w:rPr>
                <w:color w:val="auto"/>
              </w:rPr>
            </w:pPr>
            <w:r>
              <w:rPr>
                <w:color w:val="auto"/>
              </w:rPr>
              <w:t>3</w:t>
            </w:r>
          </w:p>
        </w:tc>
        <w:tc>
          <w:tcPr>
            <w:tcW w:w="372" w:type="pct"/>
            <w:shd w:val="clear" w:color="auto" w:fill="auto"/>
            <w:vAlign w:val="center"/>
          </w:tcPr>
          <w:p>
            <w:pPr>
              <w:pStyle w:val="182"/>
              <w:bidi w:val="0"/>
              <w:rPr>
                <w:color w:val="auto"/>
              </w:rPr>
            </w:pPr>
            <w:r>
              <w:rPr>
                <w:color w:val="auto"/>
              </w:rPr>
              <w:t>4</w:t>
            </w:r>
          </w:p>
        </w:tc>
        <w:tc>
          <w:tcPr>
            <w:tcW w:w="372" w:type="pct"/>
            <w:shd w:val="clear" w:color="auto" w:fill="auto"/>
            <w:vAlign w:val="center"/>
          </w:tcPr>
          <w:p>
            <w:pPr>
              <w:pStyle w:val="182"/>
              <w:bidi w:val="0"/>
              <w:rPr>
                <w:color w:val="auto"/>
              </w:rPr>
            </w:pPr>
            <w:r>
              <w:rPr>
                <w:color w:val="auto"/>
              </w:rPr>
              <w:t>5</w:t>
            </w:r>
          </w:p>
        </w:tc>
        <w:tc>
          <w:tcPr>
            <w:tcW w:w="360" w:type="pct"/>
            <w:shd w:val="clear" w:color="auto" w:fill="auto"/>
            <w:vAlign w:val="center"/>
          </w:tcPr>
          <w:p>
            <w:pPr>
              <w:pStyle w:val="182"/>
              <w:bidi w:val="0"/>
              <w:rPr>
                <w:color w:val="auto"/>
              </w:rPr>
            </w:pPr>
            <w:r>
              <w:rPr>
                <w:color w:val="auto"/>
              </w:rPr>
              <w:t>6</w:t>
            </w:r>
          </w:p>
        </w:tc>
        <w:tc>
          <w:tcPr>
            <w:tcW w:w="372" w:type="pct"/>
            <w:shd w:val="clear" w:color="auto" w:fill="auto"/>
            <w:vAlign w:val="center"/>
          </w:tcPr>
          <w:p>
            <w:pPr>
              <w:pStyle w:val="182"/>
              <w:bidi w:val="0"/>
              <w:rPr>
                <w:color w:val="auto"/>
              </w:rPr>
            </w:pPr>
            <w:r>
              <w:rPr>
                <w:color w:val="auto"/>
              </w:rPr>
              <w:t>7</w:t>
            </w:r>
          </w:p>
        </w:tc>
        <w:tc>
          <w:tcPr>
            <w:tcW w:w="372" w:type="pct"/>
            <w:shd w:val="clear" w:color="auto" w:fill="auto"/>
            <w:vAlign w:val="center"/>
          </w:tcPr>
          <w:p>
            <w:pPr>
              <w:pStyle w:val="182"/>
              <w:bidi w:val="0"/>
              <w:rPr>
                <w:color w:val="auto"/>
              </w:rPr>
            </w:pPr>
            <w:r>
              <w:rPr>
                <w:color w:val="auto"/>
              </w:rPr>
              <w:t>8</w:t>
            </w:r>
          </w:p>
        </w:tc>
        <w:tc>
          <w:tcPr>
            <w:tcW w:w="360" w:type="pct"/>
            <w:shd w:val="clear" w:color="auto" w:fill="auto"/>
            <w:vAlign w:val="center"/>
          </w:tcPr>
          <w:p>
            <w:pPr>
              <w:pStyle w:val="182"/>
              <w:bidi w:val="0"/>
              <w:rPr>
                <w:color w:val="auto"/>
              </w:rPr>
            </w:pPr>
            <w:r>
              <w:rPr>
                <w:color w:val="auto"/>
              </w:rPr>
              <w:t>9</w:t>
            </w:r>
          </w:p>
        </w:tc>
        <w:tc>
          <w:tcPr>
            <w:tcW w:w="372" w:type="pct"/>
            <w:shd w:val="clear" w:color="auto" w:fill="auto"/>
            <w:vAlign w:val="center"/>
          </w:tcPr>
          <w:p>
            <w:pPr>
              <w:pStyle w:val="182"/>
              <w:bidi w:val="0"/>
              <w:rPr>
                <w:color w:val="auto"/>
              </w:rPr>
            </w:pPr>
            <w:r>
              <w:rPr>
                <w:color w:val="auto"/>
              </w:rPr>
              <w:t>10</w:t>
            </w:r>
          </w:p>
        </w:tc>
        <w:tc>
          <w:tcPr>
            <w:tcW w:w="360" w:type="pct"/>
            <w:shd w:val="clear" w:color="auto" w:fill="auto"/>
            <w:vAlign w:val="center"/>
          </w:tcPr>
          <w:p>
            <w:pPr>
              <w:pStyle w:val="182"/>
              <w:bidi w:val="0"/>
              <w:rPr>
                <w:color w:val="auto"/>
              </w:rPr>
            </w:pPr>
            <w:r>
              <w:rPr>
                <w:color w:val="auto"/>
              </w:rPr>
              <w:t>11</w:t>
            </w:r>
          </w:p>
        </w:tc>
        <w:tc>
          <w:tcPr>
            <w:tcW w:w="368" w:type="pct"/>
            <w:shd w:val="clear" w:color="auto" w:fill="auto"/>
            <w:vAlign w:val="center"/>
          </w:tcPr>
          <w:p>
            <w:pPr>
              <w:pStyle w:val="182"/>
              <w:bidi w:val="0"/>
              <w:rPr>
                <w:color w:val="auto"/>
              </w:rPr>
            </w:pPr>
            <w:r>
              <w:rPr>
                <w:color w:val="auto"/>
              </w:rPr>
              <w:t>12</w:t>
            </w:r>
          </w:p>
        </w:tc>
      </w:tr>
      <w:tr>
        <w:tblPrEx>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9" w:type="pct"/>
            <w:shd w:val="clear" w:color="auto" w:fill="auto"/>
            <w:vAlign w:val="center"/>
          </w:tcPr>
          <w:p>
            <w:pPr>
              <w:pStyle w:val="182"/>
              <w:bidi w:val="0"/>
              <w:rPr>
                <w:color w:val="auto"/>
              </w:rPr>
            </w:pPr>
            <w:r>
              <w:rPr>
                <w:color w:val="auto"/>
              </w:rPr>
              <w:t>平均风速</w:t>
            </w:r>
          </w:p>
        </w:tc>
        <w:tc>
          <w:tcPr>
            <w:tcW w:w="360" w:type="pct"/>
            <w:shd w:val="clear" w:color="auto" w:fill="auto"/>
            <w:vAlign w:val="center"/>
          </w:tcPr>
          <w:p>
            <w:pPr>
              <w:pStyle w:val="182"/>
              <w:bidi w:val="0"/>
              <w:rPr>
                <w:color w:val="auto"/>
              </w:rPr>
            </w:pPr>
            <w:r>
              <w:rPr>
                <w:color w:val="auto"/>
              </w:rPr>
              <w:t>2.</w:t>
            </w:r>
            <w:r>
              <w:rPr>
                <w:rFonts w:hint="eastAsia"/>
                <w:color w:val="auto"/>
              </w:rPr>
              <w:t>0</w:t>
            </w:r>
          </w:p>
        </w:tc>
        <w:tc>
          <w:tcPr>
            <w:tcW w:w="372" w:type="pct"/>
            <w:shd w:val="clear" w:color="auto" w:fill="auto"/>
            <w:vAlign w:val="center"/>
          </w:tcPr>
          <w:p>
            <w:pPr>
              <w:pStyle w:val="182"/>
              <w:bidi w:val="0"/>
              <w:rPr>
                <w:color w:val="auto"/>
              </w:rPr>
            </w:pPr>
            <w:r>
              <w:rPr>
                <w:color w:val="auto"/>
              </w:rPr>
              <w:t>2.3</w:t>
            </w:r>
          </w:p>
        </w:tc>
        <w:tc>
          <w:tcPr>
            <w:tcW w:w="360" w:type="pct"/>
            <w:shd w:val="clear" w:color="auto" w:fill="auto"/>
            <w:vAlign w:val="center"/>
          </w:tcPr>
          <w:p>
            <w:pPr>
              <w:pStyle w:val="182"/>
              <w:bidi w:val="0"/>
              <w:rPr>
                <w:color w:val="auto"/>
              </w:rPr>
            </w:pPr>
            <w:r>
              <w:rPr>
                <w:color w:val="auto"/>
              </w:rPr>
              <w:t>2.</w:t>
            </w:r>
            <w:r>
              <w:rPr>
                <w:rFonts w:hint="eastAsia"/>
                <w:color w:val="auto"/>
              </w:rPr>
              <w:t>6</w:t>
            </w:r>
          </w:p>
        </w:tc>
        <w:tc>
          <w:tcPr>
            <w:tcW w:w="372" w:type="pct"/>
            <w:shd w:val="clear" w:color="auto" w:fill="auto"/>
            <w:vAlign w:val="center"/>
          </w:tcPr>
          <w:p>
            <w:pPr>
              <w:pStyle w:val="182"/>
              <w:bidi w:val="0"/>
              <w:rPr>
                <w:color w:val="auto"/>
              </w:rPr>
            </w:pPr>
            <w:r>
              <w:rPr>
                <w:color w:val="auto"/>
              </w:rPr>
              <w:t>2.</w:t>
            </w:r>
            <w:r>
              <w:rPr>
                <w:rFonts w:hint="eastAsia"/>
                <w:color w:val="auto"/>
              </w:rPr>
              <w:t>6</w:t>
            </w:r>
          </w:p>
        </w:tc>
        <w:tc>
          <w:tcPr>
            <w:tcW w:w="372" w:type="pct"/>
            <w:shd w:val="clear" w:color="auto" w:fill="auto"/>
            <w:vAlign w:val="center"/>
          </w:tcPr>
          <w:p>
            <w:pPr>
              <w:pStyle w:val="182"/>
              <w:bidi w:val="0"/>
              <w:rPr>
                <w:color w:val="auto"/>
              </w:rPr>
            </w:pPr>
            <w:r>
              <w:rPr>
                <w:color w:val="auto"/>
              </w:rPr>
              <w:t>2.</w:t>
            </w:r>
            <w:r>
              <w:rPr>
                <w:rFonts w:hint="eastAsia"/>
                <w:color w:val="auto"/>
              </w:rPr>
              <w:t>4</w:t>
            </w:r>
          </w:p>
        </w:tc>
        <w:tc>
          <w:tcPr>
            <w:tcW w:w="360" w:type="pct"/>
            <w:shd w:val="clear" w:color="auto" w:fill="auto"/>
            <w:vAlign w:val="center"/>
          </w:tcPr>
          <w:p>
            <w:pPr>
              <w:pStyle w:val="182"/>
              <w:bidi w:val="0"/>
              <w:rPr>
                <w:color w:val="auto"/>
              </w:rPr>
            </w:pPr>
            <w:r>
              <w:rPr>
                <w:color w:val="auto"/>
              </w:rPr>
              <w:t>2.2</w:t>
            </w:r>
          </w:p>
        </w:tc>
        <w:tc>
          <w:tcPr>
            <w:tcW w:w="372" w:type="pct"/>
            <w:shd w:val="clear" w:color="auto" w:fill="auto"/>
            <w:vAlign w:val="center"/>
          </w:tcPr>
          <w:p>
            <w:pPr>
              <w:pStyle w:val="182"/>
              <w:bidi w:val="0"/>
              <w:rPr>
                <w:color w:val="auto"/>
              </w:rPr>
            </w:pPr>
            <w:r>
              <w:rPr>
                <w:color w:val="auto"/>
              </w:rPr>
              <w:t>2.0</w:t>
            </w:r>
          </w:p>
        </w:tc>
        <w:tc>
          <w:tcPr>
            <w:tcW w:w="372" w:type="pct"/>
            <w:shd w:val="clear" w:color="auto" w:fill="auto"/>
            <w:vAlign w:val="center"/>
          </w:tcPr>
          <w:p>
            <w:pPr>
              <w:pStyle w:val="182"/>
              <w:bidi w:val="0"/>
              <w:rPr>
                <w:color w:val="auto"/>
              </w:rPr>
            </w:pPr>
            <w:r>
              <w:rPr>
                <w:color w:val="auto"/>
              </w:rPr>
              <w:t>1.9</w:t>
            </w:r>
          </w:p>
        </w:tc>
        <w:tc>
          <w:tcPr>
            <w:tcW w:w="360" w:type="pct"/>
            <w:shd w:val="clear" w:color="auto" w:fill="auto"/>
            <w:vAlign w:val="center"/>
          </w:tcPr>
          <w:p>
            <w:pPr>
              <w:pStyle w:val="182"/>
              <w:bidi w:val="0"/>
              <w:rPr>
                <w:color w:val="auto"/>
              </w:rPr>
            </w:pPr>
            <w:r>
              <w:rPr>
                <w:color w:val="auto"/>
              </w:rPr>
              <w:t>1.7</w:t>
            </w:r>
          </w:p>
        </w:tc>
        <w:tc>
          <w:tcPr>
            <w:tcW w:w="372" w:type="pct"/>
            <w:shd w:val="clear" w:color="auto" w:fill="auto"/>
            <w:vAlign w:val="center"/>
          </w:tcPr>
          <w:p>
            <w:pPr>
              <w:pStyle w:val="182"/>
              <w:bidi w:val="0"/>
              <w:rPr>
                <w:color w:val="auto"/>
              </w:rPr>
            </w:pPr>
            <w:r>
              <w:rPr>
                <w:color w:val="auto"/>
              </w:rPr>
              <w:t>1.</w:t>
            </w:r>
            <w:r>
              <w:rPr>
                <w:rFonts w:hint="eastAsia"/>
                <w:color w:val="auto"/>
              </w:rPr>
              <w:t>7</w:t>
            </w:r>
          </w:p>
        </w:tc>
        <w:tc>
          <w:tcPr>
            <w:tcW w:w="360" w:type="pct"/>
            <w:shd w:val="clear" w:color="auto" w:fill="auto"/>
            <w:vAlign w:val="center"/>
          </w:tcPr>
          <w:p>
            <w:pPr>
              <w:pStyle w:val="182"/>
              <w:bidi w:val="0"/>
              <w:rPr>
                <w:color w:val="auto"/>
              </w:rPr>
            </w:pPr>
            <w:r>
              <w:rPr>
                <w:color w:val="auto"/>
              </w:rPr>
              <w:t>1.9</w:t>
            </w:r>
          </w:p>
        </w:tc>
        <w:tc>
          <w:tcPr>
            <w:tcW w:w="368" w:type="pct"/>
            <w:shd w:val="clear" w:color="auto" w:fill="auto"/>
            <w:vAlign w:val="center"/>
          </w:tcPr>
          <w:p>
            <w:pPr>
              <w:pStyle w:val="182"/>
              <w:bidi w:val="0"/>
              <w:rPr>
                <w:color w:val="auto"/>
              </w:rPr>
            </w:pPr>
            <w:r>
              <w:rPr>
                <w:color w:val="auto"/>
              </w:rPr>
              <w:t>2.0</w:t>
            </w:r>
          </w:p>
        </w:tc>
      </w:tr>
    </w:tbl>
    <w:p>
      <w:pPr>
        <w:bidi w:val="0"/>
        <w:rPr>
          <w:color w:val="auto"/>
        </w:rPr>
      </w:pPr>
      <w:r>
        <w:rPr>
          <w:rFonts w:hint="eastAsia"/>
          <w:color w:val="auto"/>
        </w:rPr>
        <w:t>（2）</w:t>
      </w:r>
      <w:r>
        <w:rPr>
          <w:color w:val="auto"/>
        </w:rPr>
        <w:t>风向特征</w:t>
      </w:r>
    </w:p>
    <w:p>
      <w:pPr>
        <w:bidi w:val="0"/>
        <w:rPr>
          <w:color w:val="auto"/>
        </w:rPr>
      </w:pPr>
      <w:r>
        <w:rPr>
          <w:color w:val="auto"/>
        </w:rPr>
        <w:t>近20年资料分析的风向玫瑰图如图</w:t>
      </w:r>
      <w:r>
        <w:rPr>
          <w:rFonts w:hint="eastAsia"/>
          <w:color w:val="auto"/>
        </w:rPr>
        <w:t>5</w:t>
      </w:r>
      <w:r>
        <w:rPr>
          <w:rFonts w:hint="eastAsia"/>
          <w:color w:val="auto"/>
          <w:lang w:val="en-US" w:eastAsia="zh-CN"/>
        </w:rPr>
        <w:t>.1</w:t>
      </w:r>
      <w:r>
        <w:rPr>
          <w:rFonts w:hint="eastAsia"/>
          <w:color w:val="auto"/>
        </w:rPr>
        <w:t>-</w:t>
      </w:r>
      <w:r>
        <w:rPr>
          <w:rFonts w:hint="eastAsia"/>
          <w:color w:val="auto"/>
          <w:lang w:val="en-US" w:eastAsia="zh-CN"/>
        </w:rPr>
        <w:t>3</w:t>
      </w:r>
      <w:r>
        <w:rPr>
          <w:color w:val="auto"/>
        </w:rPr>
        <w:t>所示，新乡气象站主要风向为ENE和C、NE、E，占50.</w:t>
      </w:r>
      <w:r>
        <w:rPr>
          <w:rFonts w:hint="eastAsia"/>
          <w:color w:val="auto"/>
        </w:rPr>
        <w:t>2%</w:t>
      </w:r>
      <w:r>
        <w:rPr>
          <w:color w:val="auto"/>
        </w:rPr>
        <w:t>，其中以ENE为主风向，占到全年17.0</w:t>
      </w:r>
      <w:r>
        <w:rPr>
          <w:rFonts w:hint="eastAsia"/>
          <w:color w:val="auto"/>
        </w:rPr>
        <w:t>%</w:t>
      </w:r>
      <w:r>
        <w:rPr>
          <w:color w:val="auto"/>
        </w:rPr>
        <w:t>左右。</w:t>
      </w:r>
    </w:p>
    <w:p>
      <w:pPr>
        <w:pStyle w:val="181"/>
        <w:bidi w:val="0"/>
        <w:rPr>
          <w:rFonts w:eastAsia="Times New Roman" w:cs="宋体"/>
          <w:b/>
          <w:color w:val="auto"/>
          <w:sz w:val="24"/>
        </w:rPr>
      </w:pPr>
      <w:r>
        <w:rPr>
          <w:rFonts w:hint="eastAsia" w:ascii="宋体" w:hAnsi="宋体" w:cs="宋体"/>
          <w:b/>
          <w:color w:val="auto"/>
          <w:sz w:val="24"/>
        </w:rPr>
        <w:t>表</w:t>
      </w:r>
      <w:r>
        <w:rPr>
          <w:rFonts w:hint="eastAsia" w:eastAsia="Times New Roman" w:cs="宋体"/>
          <w:b/>
          <w:color w:val="auto"/>
          <w:sz w:val="24"/>
        </w:rPr>
        <w:t>5</w:t>
      </w:r>
      <w:r>
        <w:rPr>
          <w:rFonts w:hint="eastAsia" w:cs="宋体"/>
          <w:b/>
          <w:color w:val="auto"/>
          <w:sz w:val="24"/>
          <w:lang w:val="en-US" w:eastAsia="zh-CN"/>
        </w:rPr>
        <w:t>.1</w:t>
      </w:r>
      <w:r>
        <w:rPr>
          <w:rFonts w:hint="eastAsia" w:eastAsia="Times New Roman" w:cs="宋体"/>
          <w:b/>
          <w:color w:val="auto"/>
          <w:sz w:val="24"/>
        </w:rPr>
        <w:t>-</w:t>
      </w:r>
      <w:r>
        <w:rPr>
          <w:rFonts w:eastAsia="Times New Roman" w:cs="宋体"/>
          <w:b/>
          <w:color w:val="auto"/>
          <w:sz w:val="24"/>
        </w:rPr>
        <w:t xml:space="preserve">3 </w:t>
      </w:r>
      <w:r>
        <w:rPr>
          <w:rFonts w:hint="eastAsia" w:eastAsia="Times New Roman" w:cs="宋体"/>
          <w:b/>
          <w:color w:val="auto"/>
          <w:sz w:val="24"/>
        </w:rPr>
        <w:t xml:space="preserve">      </w:t>
      </w:r>
      <w:r>
        <w:rPr>
          <w:rFonts w:hint="eastAsia" w:cs="宋体"/>
          <w:b/>
          <w:color w:val="auto"/>
          <w:sz w:val="24"/>
        </w:rPr>
        <w:t xml:space="preserve"> </w:t>
      </w:r>
      <w:r>
        <w:rPr>
          <w:rFonts w:hint="eastAsia" w:eastAsia="Times New Roman" w:cs="宋体"/>
          <w:b/>
          <w:color w:val="auto"/>
          <w:sz w:val="24"/>
        </w:rPr>
        <w:t xml:space="preserve">   </w:t>
      </w:r>
      <w:r>
        <w:rPr>
          <w:rFonts w:hint="eastAsia" w:ascii="宋体" w:hAnsi="宋体" w:cs="宋体"/>
          <w:b/>
          <w:color w:val="auto"/>
          <w:sz w:val="24"/>
        </w:rPr>
        <w:t>新乡气象站年风向频率统计（单位</w:t>
      </w:r>
      <w:r>
        <w:rPr>
          <w:rFonts w:eastAsia="Times New Roman" w:cs="宋体"/>
          <w:b/>
          <w:color w:val="auto"/>
          <w:sz w:val="24"/>
        </w:rPr>
        <w:t>%</w:t>
      </w:r>
      <w:r>
        <w:rPr>
          <w:rFonts w:hint="eastAsia" w:ascii="宋体" w:hAnsi="宋体" w:cs="宋体"/>
          <w:b/>
          <w:color w:val="auto"/>
          <w:sz w:val="24"/>
        </w:rPr>
        <w:t>）</w:t>
      </w:r>
    </w:p>
    <w:tbl>
      <w:tblPr>
        <w:tblStyle w:val="32"/>
        <w:tblW w:w="5000" w:type="pct"/>
        <w:jc w:val="center"/>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Layout w:type="autofit"/>
        <w:tblCellMar>
          <w:top w:w="0" w:type="dxa"/>
          <w:left w:w="0" w:type="dxa"/>
          <w:bottom w:w="0" w:type="dxa"/>
          <w:right w:w="0" w:type="dxa"/>
        </w:tblCellMar>
      </w:tblPr>
      <w:tblGrid>
        <w:gridCol w:w="490"/>
        <w:gridCol w:w="536"/>
        <w:gridCol w:w="458"/>
        <w:gridCol w:w="441"/>
        <w:gridCol w:w="456"/>
        <w:gridCol w:w="441"/>
        <w:gridCol w:w="443"/>
        <w:gridCol w:w="458"/>
        <w:gridCol w:w="443"/>
        <w:gridCol w:w="443"/>
        <w:gridCol w:w="458"/>
        <w:gridCol w:w="441"/>
        <w:gridCol w:w="570"/>
        <w:gridCol w:w="332"/>
        <w:gridCol w:w="586"/>
        <w:gridCol w:w="377"/>
        <w:gridCol w:w="571"/>
        <w:gridCol w:w="386"/>
      </w:tblGrid>
      <w:tr>
        <w:tblPrEx>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4" w:type="pct"/>
            <w:shd w:val="clear" w:color="auto" w:fill="auto"/>
            <w:vAlign w:val="center"/>
          </w:tcPr>
          <w:p>
            <w:pPr>
              <w:pStyle w:val="182"/>
              <w:bidi w:val="0"/>
              <w:rPr>
                <w:color w:val="auto"/>
              </w:rPr>
            </w:pPr>
            <w:r>
              <w:rPr>
                <w:color w:val="auto"/>
              </w:rPr>
              <w:drawing>
                <wp:anchor distT="0" distB="0" distL="114300" distR="114300" simplePos="0" relativeHeight="251702272" behindDoc="1" locked="0" layoutInCell="0" allowOverlap="1">
                  <wp:simplePos x="0" y="0"/>
                  <wp:positionH relativeFrom="column">
                    <wp:posOffset>380365</wp:posOffset>
                  </wp:positionH>
                  <wp:positionV relativeFrom="paragraph">
                    <wp:posOffset>95250</wp:posOffset>
                  </wp:positionV>
                  <wp:extent cx="1270" cy="20320"/>
                  <wp:effectExtent l="0" t="0" r="13970" b="2540"/>
                  <wp:wrapNone/>
                  <wp:docPr id="39" name="图片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180"/>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3296" behindDoc="1" locked="0" layoutInCell="0" allowOverlap="1">
                  <wp:simplePos x="0" y="0"/>
                  <wp:positionH relativeFrom="column">
                    <wp:posOffset>814705</wp:posOffset>
                  </wp:positionH>
                  <wp:positionV relativeFrom="paragraph">
                    <wp:posOffset>95250</wp:posOffset>
                  </wp:positionV>
                  <wp:extent cx="1270" cy="20320"/>
                  <wp:effectExtent l="0" t="0" r="13970" b="2540"/>
                  <wp:wrapNone/>
                  <wp:docPr id="41" name="图片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181"/>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4320" behindDoc="1" locked="0" layoutInCell="0" allowOverlap="1">
                  <wp:simplePos x="0" y="0"/>
                  <wp:positionH relativeFrom="column">
                    <wp:posOffset>1174115</wp:posOffset>
                  </wp:positionH>
                  <wp:positionV relativeFrom="paragraph">
                    <wp:posOffset>95250</wp:posOffset>
                  </wp:positionV>
                  <wp:extent cx="1270" cy="20320"/>
                  <wp:effectExtent l="0" t="0" r="13970" b="2540"/>
                  <wp:wrapNone/>
                  <wp:docPr id="38" name="图片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182"/>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5344" behindDoc="1" locked="0" layoutInCell="0" allowOverlap="1">
                  <wp:simplePos x="0" y="0"/>
                  <wp:positionH relativeFrom="column">
                    <wp:posOffset>1533525</wp:posOffset>
                  </wp:positionH>
                  <wp:positionV relativeFrom="paragraph">
                    <wp:posOffset>95250</wp:posOffset>
                  </wp:positionV>
                  <wp:extent cx="1270" cy="20320"/>
                  <wp:effectExtent l="0" t="0" r="13970" b="2540"/>
                  <wp:wrapNone/>
                  <wp:docPr id="35" name="图片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183"/>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6368" behindDoc="1" locked="0" layoutInCell="0" allowOverlap="1">
                  <wp:simplePos x="0" y="0"/>
                  <wp:positionH relativeFrom="column">
                    <wp:posOffset>1894205</wp:posOffset>
                  </wp:positionH>
                  <wp:positionV relativeFrom="paragraph">
                    <wp:posOffset>95250</wp:posOffset>
                  </wp:positionV>
                  <wp:extent cx="1270" cy="20320"/>
                  <wp:effectExtent l="0" t="0" r="13970" b="2540"/>
                  <wp:wrapNone/>
                  <wp:docPr id="42" name="图片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184"/>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7392" behindDoc="1" locked="0" layoutInCell="0" allowOverlap="1">
                  <wp:simplePos x="0" y="0"/>
                  <wp:positionH relativeFrom="column">
                    <wp:posOffset>2253615</wp:posOffset>
                  </wp:positionH>
                  <wp:positionV relativeFrom="paragraph">
                    <wp:posOffset>95250</wp:posOffset>
                  </wp:positionV>
                  <wp:extent cx="1270" cy="20320"/>
                  <wp:effectExtent l="0" t="0" r="13970" b="2540"/>
                  <wp:wrapNone/>
                  <wp:docPr id="40" name="图片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185"/>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8416" behindDoc="1" locked="0" layoutInCell="0" allowOverlap="1">
                  <wp:simplePos x="0" y="0"/>
                  <wp:positionH relativeFrom="column">
                    <wp:posOffset>2613025</wp:posOffset>
                  </wp:positionH>
                  <wp:positionV relativeFrom="paragraph">
                    <wp:posOffset>95250</wp:posOffset>
                  </wp:positionV>
                  <wp:extent cx="1270" cy="20320"/>
                  <wp:effectExtent l="0" t="0" r="13970" b="2540"/>
                  <wp:wrapNone/>
                  <wp:docPr id="36" name="图片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186"/>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9440" behindDoc="1" locked="0" layoutInCell="0" allowOverlap="1">
                  <wp:simplePos x="0" y="0"/>
                  <wp:positionH relativeFrom="column">
                    <wp:posOffset>2973705</wp:posOffset>
                  </wp:positionH>
                  <wp:positionV relativeFrom="paragraph">
                    <wp:posOffset>95250</wp:posOffset>
                  </wp:positionV>
                  <wp:extent cx="1270" cy="20320"/>
                  <wp:effectExtent l="0" t="0" r="13970" b="2540"/>
                  <wp:wrapNone/>
                  <wp:docPr id="37" name="图片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187"/>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0464" behindDoc="1" locked="0" layoutInCell="0" allowOverlap="1">
                  <wp:simplePos x="0" y="0"/>
                  <wp:positionH relativeFrom="column">
                    <wp:posOffset>3333115</wp:posOffset>
                  </wp:positionH>
                  <wp:positionV relativeFrom="paragraph">
                    <wp:posOffset>95250</wp:posOffset>
                  </wp:positionV>
                  <wp:extent cx="1270" cy="20320"/>
                  <wp:effectExtent l="0" t="0" r="13970" b="2540"/>
                  <wp:wrapNone/>
                  <wp:docPr id="43" name="图片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188"/>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1488" behindDoc="1" locked="0" layoutInCell="0" allowOverlap="1">
                  <wp:simplePos x="0" y="0"/>
                  <wp:positionH relativeFrom="column">
                    <wp:posOffset>3692525</wp:posOffset>
                  </wp:positionH>
                  <wp:positionV relativeFrom="paragraph">
                    <wp:posOffset>95250</wp:posOffset>
                  </wp:positionV>
                  <wp:extent cx="1270" cy="20320"/>
                  <wp:effectExtent l="0" t="0" r="13970" b="2540"/>
                  <wp:wrapNone/>
                  <wp:docPr id="44" name="图片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189"/>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2512" behindDoc="1" locked="0" layoutInCell="0" allowOverlap="1">
                  <wp:simplePos x="0" y="0"/>
                  <wp:positionH relativeFrom="column">
                    <wp:posOffset>4053205</wp:posOffset>
                  </wp:positionH>
                  <wp:positionV relativeFrom="paragraph">
                    <wp:posOffset>95250</wp:posOffset>
                  </wp:positionV>
                  <wp:extent cx="1270" cy="20320"/>
                  <wp:effectExtent l="0" t="0" r="13970" b="2540"/>
                  <wp:wrapNone/>
                  <wp:docPr id="45" name="图片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190"/>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3536" behindDoc="1" locked="0" layoutInCell="0" allowOverlap="1">
                  <wp:simplePos x="0" y="0"/>
                  <wp:positionH relativeFrom="column">
                    <wp:posOffset>4412615</wp:posOffset>
                  </wp:positionH>
                  <wp:positionV relativeFrom="paragraph">
                    <wp:posOffset>95250</wp:posOffset>
                  </wp:positionV>
                  <wp:extent cx="1270" cy="20320"/>
                  <wp:effectExtent l="0" t="0" r="13970" b="2540"/>
                  <wp:wrapNone/>
                  <wp:docPr id="47" name="图片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191"/>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4560" behindDoc="1" locked="0" layoutInCell="0" allowOverlap="1">
                  <wp:simplePos x="0" y="0"/>
                  <wp:positionH relativeFrom="column">
                    <wp:posOffset>4862195</wp:posOffset>
                  </wp:positionH>
                  <wp:positionV relativeFrom="paragraph">
                    <wp:posOffset>95250</wp:posOffset>
                  </wp:positionV>
                  <wp:extent cx="1270" cy="20320"/>
                  <wp:effectExtent l="0" t="0" r="13970" b="2540"/>
                  <wp:wrapNone/>
                  <wp:docPr id="48" name="图片 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192"/>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5584" behindDoc="1" locked="0" layoutInCell="0" allowOverlap="1">
                  <wp:simplePos x="0" y="0"/>
                  <wp:positionH relativeFrom="column">
                    <wp:posOffset>5132705</wp:posOffset>
                  </wp:positionH>
                  <wp:positionV relativeFrom="paragraph">
                    <wp:posOffset>95250</wp:posOffset>
                  </wp:positionV>
                  <wp:extent cx="1270" cy="20320"/>
                  <wp:effectExtent l="0" t="0" r="13970" b="2540"/>
                  <wp:wrapNone/>
                  <wp:docPr id="46" name="图片 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193"/>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6608" behindDoc="1" locked="0" layoutInCell="0" allowOverlap="1">
                  <wp:simplePos x="0" y="0"/>
                  <wp:positionH relativeFrom="column">
                    <wp:posOffset>5582285</wp:posOffset>
                  </wp:positionH>
                  <wp:positionV relativeFrom="paragraph">
                    <wp:posOffset>95250</wp:posOffset>
                  </wp:positionV>
                  <wp:extent cx="1270" cy="20320"/>
                  <wp:effectExtent l="0" t="0" r="13970" b="2540"/>
                  <wp:wrapNone/>
                  <wp:docPr id="49" name="图片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194"/>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7632" behindDoc="1" locked="0" layoutInCell="0" allowOverlap="1">
                  <wp:simplePos x="0" y="0"/>
                  <wp:positionH relativeFrom="column">
                    <wp:posOffset>5851525</wp:posOffset>
                  </wp:positionH>
                  <wp:positionV relativeFrom="paragraph">
                    <wp:posOffset>95250</wp:posOffset>
                  </wp:positionV>
                  <wp:extent cx="1270" cy="20320"/>
                  <wp:effectExtent l="0" t="0" r="13970" b="2540"/>
                  <wp:wrapNone/>
                  <wp:docPr id="62" name="图片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95"/>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7632" behindDoc="1" locked="0" layoutInCell="0" allowOverlap="1">
                  <wp:simplePos x="0" y="0"/>
                  <wp:positionH relativeFrom="column">
                    <wp:posOffset>6302375</wp:posOffset>
                  </wp:positionH>
                  <wp:positionV relativeFrom="paragraph">
                    <wp:posOffset>95250</wp:posOffset>
                  </wp:positionV>
                  <wp:extent cx="1270" cy="20320"/>
                  <wp:effectExtent l="0" t="0" r="13970" b="2540"/>
                  <wp:wrapNone/>
                  <wp:docPr id="54" name="图片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196"/>
                          <pic:cNvPicPr>
                            <a:picLocks noChangeAspect="1"/>
                          </pic:cNvPicPr>
                        </pic:nvPicPr>
                        <pic:blipFill>
                          <a:blip r:embed="rId59"/>
                          <a:stretch>
                            <a:fillRect/>
                          </a:stretch>
                        </pic:blipFill>
                        <pic:spPr>
                          <a:xfrm>
                            <a:off x="0" y="0"/>
                            <a:ext cx="1270" cy="20320"/>
                          </a:xfrm>
                          <a:prstGeom prst="rect">
                            <a:avLst/>
                          </a:prstGeom>
                          <a:noFill/>
                          <a:ln>
                            <a:noFill/>
                          </a:ln>
                        </pic:spPr>
                      </pic:pic>
                    </a:graphicData>
                  </a:graphic>
                </wp:anchor>
              </w:drawing>
            </w:r>
            <w:r>
              <w:rPr>
                <w:color w:val="auto"/>
              </w:rPr>
              <w:t>风向</w:t>
            </w:r>
          </w:p>
        </w:tc>
        <w:tc>
          <w:tcPr>
            <w:tcW w:w="322" w:type="pct"/>
            <w:shd w:val="clear" w:color="auto" w:fill="auto"/>
            <w:vAlign w:val="center"/>
          </w:tcPr>
          <w:p>
            <w:pPr>
              <w:pStyle w:val="182"/>
              <w:bidi w:val="0"/>
              <w:rPr>
                <w:color w:val="auto"/>
              </w:rPr>
            </w:pPr>
            <w:r>
              <w:rPr>
                <w:color w:val="auto"/>
              </w:rPr>
              <w:t>N</w:t>
            </w:r>
          </w:p>
        </w:tc>
        <w:tc>
          <w:tcPr>
            <w:tcW w:w="275" w:type="pct"/>
            <w:shd w:val="clear" w:color="auto" w:fill="auto"/>
            <w:vAlign w:val="center"/>
          </w:tcPr>
          <w:p>
            <w:pPr>
              <w:pStyle w:val="182"/>
              <w:bidi w:val="0"/>
              <w:rPr>
                <w:color w:val="auto"/>
              </w:rPr>
            </w:pPr>
            <w:r>
              <w:rPr>
                <w:color w:val="auto"/>
              </w:rPr>
              <w:t>NNE</w:t>
            </w:r>
          </w:p>
        </w:tc>
        <w:tc>
          <w:tcPr>
            <w:tcW w:w="265" w:type="pct"/>
            <w:shd w:val="clear" w:color="auto" w:fill="auto"/>
            <w:vAlign w:val="center"/>
          </w:tcPr>
          <w:p>
            <w:pPr>
              <w:pStyle w:val="182"/>
              <w:bidi w:val="0"/>
              <w:rPr>
                <w:color w:val="auto"/>
              </w:rPr>
            </w:pPr>
            <w:r>
              <w:rPr>
                <w:color w:val="auto"/>
              </w:rPr>
              <w:t>NE</w:t>
            </w:r>
          </w:p>
        </w:tc>
        <w:tc>
          <w:tcPr>
            <w:tcW w:w="274" w:type="pct"/>
            <w:shd w:val="clear" w:color="auto" w:fill="auto"/>
            <w:vAlign w:val="center"/>
          </w:tcPr>
          <w:p>
            <w:pPr>
              <w:pStyle w:val="182"/>
              <w:bidi w:val="0"/>
              <w:rPr>
                <w:color w:val="auto"/>
              </w:rPr>
            </w:pPr>
            <w:r>
              <w:rPr>
                <w:color w:val="auto"/>
              </w:rPr>
              <w:t>ENE</w:t>
            </w:r>
          </w:p>
        </w:tc>
        <w:tc>
          <w:tcPr>
            <w:tcW w:w="265" w:type="pct"/>
            <w:shd w:val="clear" w:color="auto" w:fill="auto"/>
            <w:vAlign w:val="center"/>
          </w:tcPr>
          <w:p>
            <w:pPr>
              <w:pStyle w:val="182"/>
              <w:bidi w:val="0"/>
              <w:rPr>
                <w:color w:val="auto"/>
              </w:rPr>
            </w:pPr>
            <w:r>
              <w:rPr>
                <w:color w:val="auto"/>
              </w:rPr>
              <w:t>E</w:t>
            </w:r>
          </w:p>
        </w:tc>
        <w:tc>
          <w:tcPr>
            <w:tcW w:w="266" w:type="pct"/>
            <w:shd w:val="clear" w:color="auto" w:fill="auto"/>
            <w:vAlign w:val="center"/>
          </w:tcPr>
          <w:p>
            <w:pPr>
              <w:pStyle w:val="182"/>
              <w:bidi w:val="0"/>
              <w:rPr>
                <w:color w:val="auto"/>
              </w:rPr>
            </w:pPr>
            <w:r>
              <w:rPr>
                <w:color w:val="auto"/>
              </w:rPr>
              <w:t>ESE</w:t>
            </w:r>
          </w:p>
        </w:tc>
        <w:tc>
          <w:tcPr>
            <w:tcW w:w="275" w:type="pct"/>
            <w:shd w:val="clear" w:color="auto" w:fill="auto"/>
            <w:vAlign w:val="center"/>
          </w:tcPr>
          <w:p>
            <w:pPr>
              <w:pStyle w:val="182"/>
              <w:bidi w:val="0"/>
              <w:rPr>
                <w:color w:val="auto"/>
              </w:rPr>
            </w:pPr>
            <w:r>
              <w:rPr>
                <w:color w:val="auto"/>
              </w:rPr>
              <w:t>SE</w:t>
            </w:r>
          </w:p>
        </w:tc>
        <w:tc>
          <w:tcPr>
            <w:tcW w:w="266" w:type="pct"/>
            <w:shd w:val="clear" w:color="auto" w:fill="auto"/>
            <w:vAlign w:val="center"/>
          </w:tcPr>
          <w:p>
            <w:pPr>
              <w:pStyle w:val="182"/>
              <w:bidi w:val="0"/>
              <w:rPr>
                <w:color w:val="auto"/>
              </w:rPr>
            </w:pPr>
            <w:r>
              <w:rPr>
                <w:color w:val="auto"/>
              </w:rPr>
              <w:t>SSE</w:t>
            </w:r>
          </w:p>
        </w:tc>
        <w:tc>
          <w:tcPr>
            <w:tcW w:w="266" w:type="pct"/>
            <w:shd w:val="clear" w:color="auto" w:fill="auto"/>
            <w:vAlign w:val="center"/>
          </w:tcPr>
          <w:p>
            <w:pPr>
              <w:pStyle w:val="182"/>
              <w:bidi w:val="0"/>
              <w:rPr>
                <w:color w:val="auto"/>
              </w:rPr>
            </w:pPr>
            <w:r>
              <w:rPr>
                <w:color w:val="auto"/>
              </w:rPr>
              <w:t>S</w:t>
            </w:r>
          </w:p>
        </w:tc>
        <w:tc>
          <w:tcPr>
            <w:tcW w:w="275" w:type="pct"/>
            <w:shd w:val="clear" w:color="auto" w:fill="auto"/>
            <w:vAlign w:val="center"/>
          </w:tcPr>
          <w:p>
            <w:pPr>
              <w:pStyle w:val="182"/>
              <w:bidi w:val="0"/>
              <w:rPr>
                <w:color w:val="auto"/>
              </w:rPr>
            </w:pPr>
            <w:r>
              <w:rPr>
                <w:color w:val="auto"/>
              </w:rPr>
              <w:t>SSW</w:t>
            </w:r>
          </w:p>
        </w:tc>
        <w:tc>
          <w:tcPr>
            <w:tcW w:w="265" w:type="pct"/>
            <w:shd w:val="clear" w:color="auto" w:fill="auto"/>
            <w:vAlign w:val="center"/>
          </w:tcPr>
          <w:p>
            <w:pPr>
              <w:pStyle w:val="182"/>
              <w:bidi w:val="0"/>
              <w:rPr>
                <w:color w:val="auto"/>
              </w:rPr>
            </w:pPr>
            <w:r>
              <w:rPr>
                <w:color w:val="auto"/>
              </w:rPr>
              <w:t>SW</w:t>
            </w:r>
          </w:p>
        </w:tc>
        <w:tc>
          <w:tcPr>
            <w:tcW w:w="342" w:type="pct"/>
            <w:shd w:val="clear" w:color="auto" w:fill="auto"/>
            <w:vAlign w:val="center"/>
          </w:tcPr>
          <w:p>
            <w:pPr>
              <w:pStyle w:val="182"/>
              <w:bidi w:val="0"/>
              <w:rPr>
                <w:color w:val="auto"/>
              </w:rPr>
            </w:pPr>
            <w:r>
              <w:rPr>
                <w:color w:val="auto"/>
              </w:rPr>
              <w:t>WSW</w:t>
            </w:r>
          </w:p>
        </w:tc>
        <w:tc>
          <w:tcPr>
            <w:tcW w:w="199" w:type="pct"/>
            <w:shd w:val="clear" w:color="auto" w:fill="auto"/>
            <w:vAlign w:val="center"/>
          </w:tcPr>
          <w:p>
            <w:pPr>
              <w:pStyle w:val="182"/>
              <w:bidi w:val="0"/>
              <w:rPr>
                <w:color w:val="auto"/>
              </w:rPr>
            </w:pPr>
            <w:r>
              <w:rPr>
                <w:color w:val="auto"/>
              </w:rPr>
              <w:t>W</w:t>
            </w:r>
          </w:p>
        </w:tc>
        <w:tc>
          <w:tcPr>
            <w:tcW w:w="352" w:type="pct"/>
            <w:shd w:val="clear" w:color="auto" w:fill="auto"/>
            <w:vAlign w:val="center"/>
          </w:tcPr>
          <w:p>
            <w:pPr>
              <w:pStyle w:val="182"/>
              <w:bidi w:val="0"/>
              <w:rPr>
                <w:color w:val="auto"/>
              </w:rPr>
            </w:pPr>
            <w:r>
              <w:rPr>
                <w:color w:val="auto"/>
              </w:rPr>
              <w:t>WNW</w:t>
            </w:r>
          </w:p>
        </w:tc>
        <w:tc>
          <w:tcPr>
            <w:tcW w:w="226" w:type="pct"/>
            <w:shd w:val="clear" w:color="auto" w:fill="auto"/>
            <w:vAlign w:val="center"/>
          </w:tcPr>
          <w:p>
            <w:pPr>
              <w:pStyle w:val="182"/>
              <w:bidi w:val="0"/>
              <w:rPr>
                <w:color w:val="auto"/>
              </w:rPr>
            </w:pPr>
            <w:r>
              <w:rPr>
                <w:color w:val="auto"/>
              </w:rPr>
              <w:t>NW</w:t>
            </w:r>
          </w:p>
        </w:tc>
        <w:tc>
          <w:tcPr>
            <w:tcW w:w="342" w:type="pct"/>
            <w:shd w:val="clear" w:color="auto" w:fill="auto"/>
            <w:vAlign w:val="center"/>
          </w:tcPr>
          <w:p>
            <w:pPr>
              <w:pStyle w:val="182"/>
              <w:bidi w:val="0"/>
              <w:rPr>
                <w:color w:val="auto"/>
              </w:rPr>
            </w:pPr>
            <w:r>
              <w:rPr>
                <w:color w:val="auto"/>
              </w:rPr>
              <w:t>NNW</w:t>
            </w:r>
          </w:p>
        </w:tc>
        <w:tc>
          <w:tcPr>
            <w:tcW w:w="232" w:type="pct"/>
            <w:shd w:val="clear" w:color="auto" w:fill="auto"/>
            <w:vAlign w:val="center"/>
          </w:tcPr>
          <w:p>
            <w:pPr>
              <w:pStyle w:val="182"/>
              <w:bidi w:val="0"/>
              <w:rPr>
                <w:color w:val="auto"/>
              </w:rPr>
            </w:pPr>
            <w:r>
              <w:rPr>
                <w:color w:val="auto"/>
              </w:rPr>
              <w:t>C</w:t>
            </w:r>
          </w:p>
        </w:tc>
      </w:tr>
      <w:tr>
        <w:tblPrEx>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4" w:type="pct"/>
            <w:shd w:val="clear" w:color="auto" w:fill="auto"/>
            <w:vAlign w:val="center"/>
          </w:tcPr>
          <w:p>
            <w:pPr>
              <w:pStyle w:val="182"/>
              <w:bidi w:val="0"/>
              <w:rPr>
                <w:color w:val="auto"/>
              </w:rPr>
            </w:pPr>
            <w:r>
              <w:rPr>
                <w:color w:val="auto"/>
              </w:rPr>
              <w:t>频率</w:t>
            </w:r>
          </w:p>
        </w:tc>
        <w:tc>
          <w:tcPr>
            <w:tcW w:w="322" w:type="pct"/>
            <w:shd w:val="clear" w:color="auto" w:fill="auto"/>
            <w:vAlign w:val="center"/>
          </w:tcPr>
          <w:p>
            <w:pPr>
              <w:pStyle w:val="182"/>
              <w:bidi w:val="0"/>
              <w:rPr>
                <w:color w:val="auto"/>
              </w:rPr>
            </w:pPr>
            <w:r>
              <w:rPr>
                <w:color w:val="auto"/>
              </w:rPr>
              <w:t>1.3</w:t>
            </w:r>
          </w:p>
        </w:tc>
        <w:tc>
          <w:tcPr>
            <w:tcW w:w="275" w:type="pct"/>
            <w:shd w:val="clear" w:color="auto" w:fill="auto"/>
            <w:vAlign w:val="center"/>
          </w:tcPr>
          <w:p>
            <w:pPr>
              <w:pStyle w:val="182"/>
              <w:bidi w:val="0"/>
              <w:rPr>
                <w:color w:val="auto"/>
              </w:rPr>
            </w:pPr>
            <w:r>
              <w:rPr>
                <w:color w:val="auto"/>
              </w:rPr>
              <w:t>1.7</w:t>
            </w:r>
          </w:p>
        </w:tc>
        <w:tc>
          <w:tcPr>
            <w:tcW w:w="265" w:type="pct"/>
            <w:shd w:val="clear" w:color="auto" w:fill="auto"/>
            <w:vAlign w:val="center"/>
          </w:tcPr>
          <w:p>
            <w:pPr>
              <w:pStyle w:val="182"/>
              <w:bidi w:val="0"/>
              <w:rPr>
                <w:color w:val="auto"/>
              </w:rPr>
            </w:pPr>
            <w:r>
              <w:rPr>
                <w:color w:val="auto"/>
              </w:rPr>
              <w:t>11.</w:t>
            </w:r>
            <w:r>
              <w:rPr>
                <w:rFonts w:hint="eastAsia"/>
                <w:color w:val="auto"/>
              </w:rPr>
              <w:t>9</w:t>
            </w:r>
          </w:p>
        </w:tc>
        <w:tc>
          <w:tcPr>
            <w:tcW w:w="274" w:type="pct"/>
            <w:shd w:val="clear" w:color="auto" w:fill="auto"/>
            <w:vAlign w:val="center"/>
          </w:tcPr>
          <w:p>
            <w:pPr>
              <w:pStyle w:val="182"/>
              <w:bidi w:val="0"/>
              <w:rPr>
                <w:color w:val="auto"/>
              </w:rPr>
            </w:pPr>
            <w:r>
              <w:rPr>
                <w:color w:val="auto"/>
              </w:rPr>
              <w:t>17.0</w:t>
            </w:r>
          </w:p>
        </w:tc>
        <w:tc>
          <w:tcPr>
            <w:tcW w:w="265" w:type="pct"/>
            <w:shd w:val="clear" w:color="auto" w:fill="auto"/>
            <w:vAlign w:val="center"/>
          </w:tcPr>
          <w:p>
            <w:pPr>
              <w:pStyle w:val="182"/>
              <w:bidi w:val="0"/>
              <w:rPr>
                <w:color w:val="auto"/>
              </w:rPr>
            </w:pPr>
            <w:r>
              <w:rPr>
                <w:color w:val="auto"/>
              </w:rPr>
              <w:t>10.</w:t>
            </w:r>
            <w:r>
              <w:rPr>
                <w:rFonts w:hint="eastAsia"/>
                <w:color w:val="auto"/>
              </w:rPr>
              <w:t>5</w:t>
            </w:r>
          </w:p>
        </w:tc>
        <w:tc>
          <w:tcPr>
            <w:tcW w:w="266" w:type="pct"/>
            <w:shd w:val="clear" w:color="auto" w:fill="auto"/>
            <w:vAlign w:val="center"/>
          </w:tcPr>
          <w:p>
            <w:pPr>
              <w:pStyle w:val="182"/>
              <w:bidi w:val="0"/>
              <w:rPr>
                <w:color w:val="auto"/>
              </w:rPr>
            </w:pPr>
            <w:r>
              <w:rPr>
                <w:color w:val="auto"/>
              </w:rPr>
              <w:t>4.</w:t>
            </w:r>
            <w:r>
              <w:rPr>
                <w:rFonts w:hint="eastAsia"/>
                <w:color w:val="auto"/>
              </w:rPr>
              <w:t>6</w:t>
            </w:r>
          </w:p>
        </w:tc>
        <w:tc>
          <w:tcPr>
            <w:tcW w:w="275" w:type="pct"/>
            <w:shd w:val="clear" w:color="auto" w:fill="auto"/>
            <w:vAlign w:val="center"/>
          </w:tcPr>
          <w:p>
            <w:pPr>
              <w:pStyle w:val="182"/>
              <w:bidi w:val="0"/>
              <w:rPr>
                <w:color w:val="auto"/>
              </w:rPr>
            </w:pPr>
            <w:r>
              <w:rPr>
                <w:color w:val="auto"/>
              </w:rPr>
              <w:t>2.</w:t>
            </w:r>
            <w:r>
              <w:rPr>
                <w:rFonts w:hint="eastAsia"/>
                <w:color w:val="auto"/>
              </w:rPr>
              <w:t>8</w:t>
            </w:r>
          </w:p>
        </w:tc>
        <w:tc>
          <w:tcPr>
            <w:tcW w:w="266" w:type="pct"/>
            <w:shd w:val="clear" w:color="auto" w:fill="auto"/>
            <w:vAlign w:val="center"/>
          </w:tcPr>
          <w:p>
            <w:pPr>
              <w:pStyle w:val="182"/>
              <w:bidi w:val="0"/>
              <w:rPr>
                <w:color w:val="auto"/>
              </w:rPr>
            </w:pPr>
            <w:r>
              <w:rPr>
                <w:color w:val="auto"/>
              </w:rPr>
              <w:t>2.4</w:t>
            </w:r>
          </w:p>
        </w:tc>
        <w:tc>
          <w:tcPr>
            <w:tcW w:w="266" w:type="pct"/>
            <w:shd w:val="clear" w:color="auto" w:fill="auto"/>
            <w:vAlign w:val="center"/>
          </w:tcPr>
          <w:p>
            <w:pPr>
              <w:pStyle w:val="182"/>
              <w:bidi w:val="0"/>
              <w:rPr>
                <w:color w:val="auto"/>
              </w:rPr>
            </w:pPr>
            <w:r>
              <w:rPr>
                <w:color w:val="auto"/>
              </w:rPr>
              <w:t>6.</w:t>
            </w:r>
            <w:r>
              <w:rPr>
                <w:rFonts w:hint="eastAsia"/>
                <w:color w:val="auto"/>
              </w:rPr>
              <w:t>9</w:t>
            </w:r>
          </w:p>
        </w:tc>
        <w:tc>
          <w:tcPr>
            <w:tcW w:w="275" w:type="pct"/>
            <w:shd w:val="clear" w:color="auto" w:fill="auto"/>
            <w:vAlign w:val="center"/>
          </w:tcPr>
          <w:p>
            <w:pPr>
              <w:pStyle w:val="182"/>
              <w:bidi w:val="0"/>
              <w:rPr>
                <w:color w:val="auto"/>
              </w:rPr>
            </w:pPr>
            <w:r>
              <w:rPr>
                <w:color w:val="auto"/>
              </w:rPr>
              <w:t>8.</w:t>
            </w:r>
            <w:r>
              <w:rPr>
                <w:rFonts w:hint="eastAsia"/>
                <w:color w:val="auto"/>
              </w:rPr>
              <w:t>6</w:t>
            </w:r>
          </w:p>
        </w:tc>
        <w:tc>
          <w:tcPr>
            <w:tcW w:w="265" w:type="pct"/>
            <w:shd w:val="clear" w:color="auto" w:fill="auto"/>
            <w:vAlign w:val="center"/>
          </w:tcPr>
          <w:p>
            <w:pPr>
              <w:pStyle w:val="182"/>
              <w:bidi w:val="0"/>
              <w:rPr>
                <w:color w:val="auto"/>
              </w:rPr>
            </w:pPr>
            <w:r>
              <w:rPr>
                <w:color w:val="auto"/>
              </w:rPr>
              <w:t>8.</w:t>
            </w:r>
            <w:r>
              <w:rPr>
                <w:rFonts w:hint="eastAsia"/>
                <w:color w:val="auto"/>
              </w:rPr>
              <w:t>2</w:t>
            </w:r>
          </w:p>
        </w:tc>
        <w:tc>
          <w:tcPr>
            <w:tcW w:w="342" w:type="pct"/>
            <w:shd w:val="clear" w:color="auto" w:fill="auto"/>
            <w:vAlign w:val="center"/>
          </w:tcPr>
          <w:p>
            <w:pPr>
              <w:pStyle w:val="182"/>
              <w:bidi w:val="0"/>
              <w:rPr>
                <w:color w:val="auto"/>
              </w:rPr>
            </w:pPr>
            <w:r>
              <w:rPr>
                <w:color w:val="auto"/>
              </w:rPr>
              <w:t>4.4</w:t>
            </w:r>
          </w:p>
        </w:tc>
        <w:tc>
          <w:tcPr>
            <w:tcW w:w="199" w:type="pct"/>
            <w:shd w:val="clear" w:color="auto" w:fill="auto"/>
            <w:vAlign w:val="center"/>
          </w:tcPr>
          <w:p>
            <w:pPr>
              <w:pStyle w:val="182"/>
              <w:bidi w:val="0"/>
              <w:rPr>
                <w:color w:val="auto"/>
              </w:rPr>
            </w:pPr>
            <w:r>
              <w:rPr>
                <w:color w:val="auto"/>
              </w:rPr>
              <w:t>4.</w:t>
            </w:r>
            <w:r>
              <w:rPr>
                <w:rFonts w:hint="eastAsia"/>
                <w:color w:val="auto"/>
              </w:rPr>
              <w:t>0</w:t>
            </w:r>
          </w:p>
        </w:tc>
        <w:tc>
          <w:tcPr>
            <w:tcW w:w="352" w:type="pct"/>
            <w:shd w:val="clear" w:color="auto" w:fill="auto"/>
            <w:vAlign w:val="center"/>
          </w:tcPr>
          <w:p>
            <w:pPr>
              <w:pStyle w:val="182"/>
              <w:bidi w:val="0"/>
              <w:rPr>
                <w:color w:val="auto"/>
              </w:rPr>
            </w:pPr>
            <w:r>
              <w:rPr>
                <w:color w:val="auto"/>
              </w:rPr>
              <w:t>2.2</w:t>
            </w:r>
          </w:p>
        </w:tc>
        <w:tc>
          <w:tcPr>
            <w:tcW w:w="226" w:type="pct"/>
            <w:shd w:val="clear" w:color="auto" w:fill="auto"/>
            <w:vAlign w:val="center"/>
          </w:tcPr>
          <w:p>
            <w:pPr>
              <w:pStyle w:val="182"/>
              <w:bidi w:val="0"/>
              <w:rPr>
                <w:color w:val="auto"/>
              </w:rPr>
            </w:pPr>
            <w:r>
              <w:rPr>
                <w:color w:val="auto"/>
              </w:rPr>
              <w:t>1.</w:t>
            </w:r>
            <w:r>
              <w:rPr>
                <w:rFonts w:hint="eastAsia"/>
                <w:color w:val="auto"/>
              </w:rPr>
              <w:t>9</w:t>
            </w:r>
          </w:p>
        </w:tc>
        <w:tc>
          <w:tcPr>
            <w:tcW w:w="342" w:type="pct"/>
            <w:shd w:val="clear" w:color="auto" w:fill="auto"/>
            <w:vAlign w:val="center"/>
          </w:tcPr>
          <w:p>
            <w:pPr>
              <w:pStyle w:val="182"/>
              <w:bidi w:val="0"/>
              <w:rPr>
                <w:color w:val="auto"/>
              </w:rPr>
            </w:pPr>
            <w:r>
              <w:rPr>
                <w:color w:val="auto"/>
              </w:rPr>
              <w:t>1.1</w:t>
            </w:r>
          </w:p>
        </w:tc>
        <w:tc>
          <w:tcPr>
            <w:tcW w:w="232" w:type="pct"/>
            <w:shd w:val="clear" w:color="auto" w:fill="auto"/>
            <w:vAlign w:val="center"/>
          </w:tcPr>
          <w:p>
            <w:pPr>
              <w:pStyle w:val="182"/>
              <w:bidi w:val="0"/>
              <w:rPr>
                <w:color w:val="auto"/>
              </w:rPr>
            </w:pPr>
            <w:r>
              <w:rPr>
                <w:color w:val="auto"/>
              </w:rPr>
              <w:t>1</w:t>
            </w:r>
            <w:r>
              <w:rPr>
                <w:rFonts w:hint="eastAsia"/>
                <w:color w:val="auto"/>
              </w:rPr>
              <w:t>0</w:t>
            </w:r>
            <w:r>
              <w:rPr>
                <w:color w:val="auto"/>
              </w:rPr>
              <w:t>.8</w:t>
            </w:r>
          </w:p>
        </w:tc>
      </w:tr>
    </w:tbl>
    <w:p>
      <w:pPr>
        <w:spacing w:before="240" w:beforeLines="100" w:after="120" w:afterLines="50"/>
        <w:ind w:firstLine="240" w:firstLineChars="100"/>
        <w:jc w:val="center"/>
        <w:rPr>
          <w:b/>
          <w:color w:val="auto"/>
          <w:sz w:val="24"/>
          <w:szCs w:val="20"/>
        </w:rPr>
      </w:pPr>
      <w:r>
        <w:rPr>
          <w:color w:val="auto"/>
        </w:rPr>
        <w:drawing>
          <wp:inline distT="0" distB="0" distL="114300" distR="114300">
            <wp:extent cx="3947160" cy="3086100"/>
            <wp:effectExtent l="0" t="0" r="0" b="7620"/>
            <wp:docPr id="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4"/>
                    <pic:cNvPicPr>
                      <a:picLocks noChangeAspect="1"/>
                    </pic:cNvPicPr>
                  </pic:nvPicPr>
                  <pic:blipFill>
                    <a:blip r:embed="rId60"/>
                    <a:stretch>
                      <a:fillRect/>
                    </a:stretch>
                  </pic:blipFill>
                  <pic:spPr>
                    <a:xfrm>
                      <a:off x="0" y="0"/>
                      <a:ext cx="3947160" cy="3086100"/>
                    </a:xfrm>
                    <a:prstGeom prst="rect">
                      <a:avLst/>
                    </a:prstGeom>
                    <a:noFill/>
                    <a:ln>
                      <a:noFill/>
                    </a:ln>
                  </pic:spPr>
                </pic:pic>
              </a:graphicData>
            </a:graphic>
          </wp:inline>
        </w:drawing>
      </w:r>
    </w:p>
    <w:p>
      <w:pPr>
        <w:pStyle w:val="181"/>
        <w:bidi w:val="0"/>
        <w:ind w:left="0" w:leftChars="0" w:firstLine="0" w:firstLineChars="0"/>
        <w:jc w:val="center"/>
        <w:rPr>
          <w:color w:val="auto"/>
        </w:rPr>
      </w:pPr>
      <w:r>
        <w:rPr>
          <w:color w:val="auto"/>
        </w:rPr>
        <w:t>图</w:t>
      </w:r>
      <w:r>
        <w:rPr>
          <w:rFonts w:hint="eastAsia"/>
          <w:color w:val="auto"/>
        </w:rPr>
        <w:t>5</w:t>
      </w:r>
      <w:r>
        <w:rPr>
          <w:rFonts w:hint="eastAsia"/>
          <w:color w:val="auto"/>
          <w:lang w:val="en-US" w:eastAsia="zh-CN"/>
        </w:rPr>
        <w:t>.1</w:t>
      </w:r>
      <w:r>
        <w:rPr>
          <w:rFonts w:hint="eastAsia"/>
          <w:color w:val="auto"/>
        </w:rPr>
        <w:t>-</w:t>
      </w:r>
      <w:r>
        <w:rPr>
          <w:color w:val="auto"/>
        </w:rPr>
        <w:t>1</w:t>
      </w:r>
      <w:r>
        <w:rPr>
          <w:rFonts w:hint="eastAsia"/>
          <w:color w:val="auto"/>
        </w:rPr>
        <w:t xml:space="preserve">  </w:t>
      </w:r>
      <w:r>
        <w:rPr>
          <w:color w:val="auto"/>
        </w:rPr>
        <w:t>新乡风向玫瑰图（静风频率1</w:t>
      </w:r>
      <w:r>
        <w:rPr>
          <w:rFonts w:hint="eastAsia"/>
          <w:color w:val="auto"/>
        </w:rPr>
        <w:t>0</w:t>
      </w:r>
      <w:r>
        <w:rPr>
          <w:color w:val="auto"/>
        </w:rPr>
        <w:t>.8%）</w:t>
      </w:r>
    </w:p>
    <w:p>
      <w:pPr>
        <w:pStyle w:val="181"/>
        <w:bidi w:val="0"/>
        <w:rPr>
          <w:b/>
          <w:color w:val="auto"/>
          <w:sz w:val="24"/>
        </w:rPr>
      </w:pPr>
      <w:r>
        <w:rPr>
          <w:rFonts w:hint="eastAsia"/>
          <w:b/>
          <w:color w:val="auto"/>
          <w:sz w:val="24"/>
        </w:rPr>
        <w:t>表</w:t>
      </w:r>
      <w:r>
        <w:rPr>
          <w:b/>
          <w:color w:val="auto"/>
          <w:sz w:val="24"/>
        </w:rPr>
        <w:t>5</w:t>
      </w:r>
      <w:r>
        <w:rPr>
          <w:rFonts w:hint="eastAsia"/>
          <w:b/>
          <w:color w:val="auto"/>
          <w:sz w:val="24"/>
          <w:lang w:val="en-US" w:eastAsia="zh-CN"/>
        </w:rPr>
        <w:t>.1</w:t>
      </w:r>
      <w:r>
        <w:rPr>
          <w:b/>
          <w:color w:val="auto"/>
          <w:sz w:val="24"/>
        </w:rPr>
        <w:t xml:space="preserve">-4     </w:t>
      </w:r>
      <w:r>
        <w:rPr>
          <w:rFonts w:hint="eastAsia"/>
          <w:b/>
          <w:color w:val="auto"/>
          <w:sz w:val="24"/>
        </w:rPr>
        <w:t>新乡气象站（</w:t>
      </w:r>
      <w:r>
        <w:rPr>
          <w:color w:val="auto"/>
          <w:kern w:val="0"/>
          <w:sz w:val="24"/>
          <w:szCs w:val="20"/>
        </w:rPr>
        <w:t>2000-2019</w:t>
      </w:r>
      <w:r>
        <w:rPr>
          <w:rFonts w:hint="eastAsia"/>
          <w:b/>
          <w:color w:val="auto"/>
          <w:sz w:val="24"/>
        </w:rPr>
        <w:t>）各月风向频率</w:t>
      </w:r>
      <w:r>
        <w:rPr>
          <w:b/>
          <w:color w:val="auto"/>
          <w:sz w:val="24"/>
        </w:rPr>
        <w:t xml:space="preserve">  </w:t>
      </w:r>
      <w:r>
        <w:rPr>
          <w:rFonts w:hint="eastAsia"/>
          <w:b/>
          <w:color w:val="auto"/>
          <w:sz w:val="24"/>
        </w:rPr>
        <w:t>单位</w:t>
      </w:r>
      <w:r>
        <w:rPr>
          <w:rFonts w:hint="eastAsia"/>
          <w:b/>
          <w:color w:val="auto"/>
          <w:sz w:val="24"/>
          <w:lang w:eastAsia="zh-CN"/>
        </w:rPr>
        <w:t>：</w:t>
      </w:r>
      <w:r>
        <w:rPr>
          <w:b/>
          <w:color w:val="auto"/>
          <w:sz w:val="24"/>
        </w:rPr>
        <w:t>%</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313"/>
        <w:gridCol w:w="508"/>
        <w:gridCol w:w="435"/>
        <w:gridCol w:w="480"/>
        <w:gridCol w:w="435"/>
        <w:gridCol w:w="441"/>
        <w:gridCol w:w="313"/>
        <w:gridCol w:w="428"/>
        <w:gridCol w:w="425"/>
        <w:gridCol w:w="508"/>
        <w:gridCol w:w="425"/>
        <w:gridCol w:w="603"/>
        <w:gridCol w:w="345"/>
        <w:gridCol w:w="645"/>
        <w:gridCol w:w="445"/>
        <w:gridCol w:w="591"/>
        <w:gridCol w:w="4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b/>
                <w:bCs/>
                <w:color w:val="auto"/>
              </w:rPr>
            </w:pPr>
            <w:r>
              <w:rPr>
                <w:rFonts w:hint="eastAsia"/>
                <w:b/>
                <w:bCs/>
                <w:color w:val="auto"/>
              </w:rPr>
              <w:t>月份</w:t>
            </w:r>
          </w:p>
        </w:tc>
        <w:tc>
          <w:tcPr>
            <w:tcW w:w="188" w:type="pct"/>
            <w:tcMar>
              <w:top w:w="0" w:type="dxa"/>
              <w:left w:w="0" w:type="dxa"/>
              <w:bottom w:w="0" w:type="dxa"/>
              <w:right w:w="0" w:type="dxa"/>
            </w:tcMar>
            <w:vAlign w:val="center"/>
          </w:tcPr>
          <w:p>
            <w:pPr>
              <w:pStyle w:val="182"/>
              <w:bidi w:val="0"/>
              <w:rPr>
                <w:b/>
                <w:bCs/>
                <w:color w:val="auto"/>
              </w:rPr>
            </w:pPr>
            <w:r>
              <w:rPr>
                <w:b/>
                <w:bCs/>
                <w:color w:val="auto"/>
              </w:rPr>
              <w:t>N</w:t>
            </w:r>
          </w:p>
        </w:tc>
        <w:tc>
          <w:tcPr>
            <w:tcW w:w="305" w:type="pct"/>
            <w:tcMar>
              <w:top w:w="0" w:type="dxa"/>
              <w:left w:w="0" w:type="dxa"/>
              <w:bottom w:w="0" w:type="dxa"/>
              <w:right w:w="0" w:type="dxa"/>
            </w:tcMar>
            <w:vAlign w:val="center"/>
          </w:tcPr>
          <w:p>
            <w:pPr>
              <w:pStyle w:val="182"/>
              <w:bidi w:val="0"/>
              <w:rPr>
                <w:b/>
                <w:bCs/>
                <w:color w:val="auto"/>
              </w:rPr>
            </w:pPr>
            <w:r>
              <w:rPr>
                <w:b/>
                <w:bCs/>
                <w:color w:val="auto"/>
              </w:rPr>
              <w:t>NNE</w:t>
            </w:r>
          </w:p>
        </w:tc>
        <w:tc>
          <w:tcPr>
            <w:tcW w:w="261" w:type="pct"/>
            <w:tcMar>
              <w:top w:w="0" w:type="dxa"/>
              <w:left w:w="0" w:type="dxa"/>
              <w:bottom w:w="0" w:type="dxa"/>
              <w:right w:w="0" w:type="dxa"/>
            </w:tcMar>
            <w:vAlign w:val="center"/>
          </w:tcPr>
          <w:p>
            <w:pPr>
              <w:pStyle w:val="182"/>
              <w:bidi w:val="0"/>
              <w:rPr>
                <w:b/>
                <w:bCs/>
                <w:color w:val="auto"/>
              </w:rPr>
            </w:pPr>
            <w:r>
              <w:rPr>
                <w:b/>
                <w:bCs/>
                <w:color w:val="auto"/>
              </w:rPr>
              <w:t>NE</w:t>
            </w:r>
          </w:p>
        </w:tc>
        <w:tc>
          <w:tcPr>
            <w:tcW w:w="288" w:type="pct"/>
            <w:tcMar>
              <w:top w:w="0" w:type="dxa"/>
              <w:left w:w="0" w:type="dxa"/>
              <w:bottom w:w="0" w:type="dxa"/>
              <w:right w:w="0" w:type="dxa"/>
            </w:tcMar>
            <w:vAlign w:val="center"/>
          </w:tcPr>
          <w:p>
            <w:pPr>
              <w:pStyle w:val="182"/>
              <w:bidi w:val="0"/>
              <w:rPr>
                <w:b/>
                <w:bCs/>
                <w:color w:val="auto"/>
              </w:rPr>
            </w:pPr>
            <w:r>
              <w:rPr>
                <w:b/>
                <w:bCs/>
                <w:color w:val="auto"/>
              </w:rPr>
              <w:t>ENE</w:t>
            </w:r>
          </w:p>
        </w:tc>
        <w:tc>
          <w:tcPr>
            <w:tcW w:w="261" w:type="pct"/>
            <w:tcMar>
              <w:top w:w="0" w:type="dxa"/>
              <w:left w:w="0" w:type="dxa"/>
              <w:bottom w:w="0" w:type="dxa"/>
              <w:right w:w="0" w:type="dxa"/>
            </w:tcMar>
            <w:vAlign w:val="center"/>
          </w:tcPr>
          <w:p>
            <w:pPr>
              <w:pStyle w:val="182"/>
              <w:bidi w:val="0"/>
              <w:rPr>
                <w:b/>
                <w:bCs/>
                <w:color w:val="auto"/>
              </w:rPr>
            </w:pPr>
            <w:r>
              <w:rPr>
                <w:b/>
                <w:bCs/>
                <w:color w:val="auto"/>
              </w:rPr>
              <w:t>E</w:t>
            </w:r>
          </w:p>
        </w:tc>
        <w:tc>
          <w:tcPr>
            <w:tcW w:w="265" w:type="pct"/>
            <w:tcMar>
              <w:top w:w="0" w:type="dxa"/>
              <w:left w:w="0" w:type="dxa"/>
              <w:bottom w:w="0" w:type="dxa"/>
              <w:right w:w="0" w:type="dxa"/>
            </w:tcMar>
            <w:vAlign w:val="center"/>
          </w:tcPr>
          <w:p>
            <w:pPr>
              <w:pStyle w:val="182"/>
              <w:bidi w:val="0"/>
              <w:rPr>
                <w:b/>
                <w:bCs/>
                <w:color w:val="auto"/>
              </w:rPr>
            </w:pPr>
            <w:r>
              <w:rPr>
                <w:b/>
                <w:bCs/>
                <w:color w:val="auto"/>
              </w:rPr>
              <w:t>ESE</w:t>
            </w:r>
          </w:p>
        </w:tc>
        <w:tc>
          <w:tcPr>
            <w:tcW w:w="188" w:type="pct"/>
            <w:tcMar>
              <w:top w:w="0" w:type="dxa"/>
              <w:left w:w="0" w:type="dxa"/>
              <w:bottom w:w="0" w:type="dxa"/>
              <w:right w:w="0" w:type="dxa"/>
            </w:tcMar>
            <w:vAlign w:val="center"/>
          </w:tcPr>
          <w:p>
            <w:pPr>
              <w:pStyle w:val="182"/>
              <w:bidi w:val="0"/>
              <w:rPr>
                <w:b/>
                <w:bCs/>
                <w:color w:val="auto"/>
              </w:rPr>
            </w:pPr>
            <w:r>
              <w:rPr>
                <w:b/>
                <w:bCs/>
                <w:color w:val="auto"/>
              </w:rPr>
              <w:t>SE</w:t>
            </w:r>
          </w:p>
        </w:tc>
        <w:tc>
          <w:tcPr>
            <w:tcW w:w="257" w:type="pct"/>
            <w:tcMar>
              <w:top w:w="0" w:type="dxa"/>
              <w:left w:w="0" w:type="dxa"/>
              <w:bottom w:w="0" w:type="dxa"/>
              <w:right w:w="0" w:type="dxa"/>
            </w:tcMar>
            <w:vAlign w:val="center"/>
          </w:tcPr>
          <w:p>
            <w:pPr>
              <w:pStyle w:val="182"/>
              <w:bidi w:val="0"/>
              <w:rPr>
                <w:b/>
                <w:bCs/>
                <w:color w:val="auto"/>
              </w:rPr>
            </w:pPr>
            <w:r>
              <w:rPr>
                <w:b/>
                <w:bCs/>
                <w:color w:val="auto"/>
              </w:rPr>
              <w:t>SSE</w:t>
            </w:r>
          </w:p>
        </w:tc>
        <w:tc>
          <w:tcPr>
            <w:tcW w:w="255" w:type="pct"/>
            <w:tcMar>
              <w:top w:w="0" w:type="dxa"/>
              <w:left w:w="0" w:type="dxa"/>
              <w:bottom w:w="0" w:type="dxa"/>
              <w:right w:w="0" w:type="dxa"/>
            </w:tcMar>
            <w:vAlign w:val="center"/>
          </w:tcPr>
          <w:p>
            <w:pPr>
              <w:pStyle w:val="182"/>
              <w:bidi w:val="0"/>
              <w:rPr>
                <w:b/>
                <w:bCs/>
                <w:color w:val="auto"/>
              </w:rPr>
            </w:pPr>
            <w:r>
              <w:rPr>
                <w:b/>
                <w:bCs/>
                <w:color w:val="auto"/>
              </w:rPr>
              <w:t>S</w:t>
            </w:r>
          </w:p>
        </w:tc>
        <w:tc>
          <w:tcPr>
            <w:tcW w:w="305" w:type="pct"/>
            <w:tcMar>
              <w:top w:w="0" w:type="dxa"/>
              <w:left w:w="0" w:type="dxa"/>
              <w:bottom w:w="0" w:type="dxa"/>
              <w:right w:w="0" w:type="dxa"/>
            </w:tcMar>
            <w:vAlign w:val="center"/>
          </w:tcPr>
          <w:p>
            <w:pPr>
              <w:pStyle w:val="182"/>
              <w:bidi w:val="0"/>
              <w:rPr>
                <w:b/>
                <w:bCs/>
                <w:color w:val="auto"/>
              </w:rPr>
            </w:pPr>
            <w:r>
              <w:rPr>
                <w:b/>
                <w:bCs/>
                <w:color w:val="auto"/>
              </w:rPr>
              <w:t>SSW</w:t>
            </w:r>
          </w:p>
        </w:tc>
        <w:tc>
          <w:tcPr>
            <w:tcW w:w="255" w:type="pct"/>
            <w:tcMar>
              <w:top w:w="0" w:type="dxa"/>
              <w:left w:w="0" w:type="dxa"/>
              <w:bottom w:w="0" w:type="dxa"/>
              <w:right w:w="0" w:type="dxa"/>
            </w:tcMar>
            <w:vAlign w:val="center"/>
          </w:tcPr>
          <w:p>
            <w:pPr>
              <w:pStyle w:val="182"/>
              <w:bidi w:val="0"/>
              <w:rPr>
                <w:b/>
                <w:bCs/>
                <w:color w:val="auto"/>
              </w:rPr>
            </w:pPr>
            <w:r>
              <w:rPr>
                <w:b/>
                <w:bCs/>
                <w:color w:val="auto"/>
              </w:rPr>
              <w:t>SW</w:t>
            </w:r>
          </w:p>
        </w:tc>
        <w:tc>
          <w:tcPr>
            <w:tcW w:w="362" w:type="pct"/>
            <w:tcMar>
              <w:top w:w="0" w:type="dxa"/>
              <w:left w:w="0" w:type="dxa"/>
              <w:bottom w:w="0" w:type="dxa"/>
              <w:right w:w="0" w:type="dxa"/>
            </w:tcMar>
            <w:vAlign w:val="center"/>
          </w:tcPr>
          <w:p>
            <w:pPr>
              <w:pStyle w:val="182"/>
              <w:bidi w:val="0"/>
              <w:rPr>
                <w:b/>
                <w:bCs/>
                <w:color w:val="auto"/>
              </w:rPr>
            </w:pPr>
            <w:r>
              <w:rPr>
                <w:b/>
                <w:bCs/>
                <w:color w:val="auto"/>
              </w:rPr>
              <w:t>WSW</w:t>
            </w:r>
          </w:p>
        </w:tc>
        <w:tc>
          <w:tcPr>
            <w:tcW w:w="207" w:type="pct"/>
            <w:tcMar>
              <w:top w:w="0" w:type="dxa"/>
              <w:left w:w="0" w:type="dxa"/>
              <w:bottom w:w="0" w:type="dxa"/>
              <w:right w:w="0" w:type="dxa"/>
            </w:tcMar>
            <w:vAlign w:val="center"/>
          </w:tcPr>
          <w:p>
            <w:pPr>
              <w:pStyle w:val="182"/>
              <w:bidi w:val="0"/>
              <w:rPr>
                <w:b/>
                <w:bCs/>
                <w:color w:val="auto"/>
              </w:rPr>
            </w:pPr>
            <w:r>
              <w:rPr>
                <w:b/>
                <w:bCs/>
                <w:color w:val="auto"/>
              </w:rPr>
              <w:t>W</w:t>
            </w:r>
          </w:p>
        </w:tc>
        <w:tc>
          <w:tcPr>
            <w:tcW w:w="387" w:type="pct"/>
            <w:tcMar>
              <w:top w:w="0" w:type="dxa"/>
              <w:left w:w="0" w:type="dxa"/>
              <w:bottom w:w="0" w:type="dxa"/>
              <w:right w:w="0" w:type="dxa"/>
            </w:tcMar>
            <w:vAlign w:val="center"/>
          </w:tcPr>
          <w:p>
            <w:pPr>
              <w:pStyle w:val="182"/>
              <w:bidi w:val="0"/>
              <w:rPr>
                <w:b/>
                <w:bCs/>
                <w:color w:val="auto"/>
              </w:rPr>
            </w:pPr>
            <w:r>
              <w:rPr>
                <w:b/>
                <w:bCs/>
                <w:color w:val="auto"/>
              </w:rPr>
              <w:t>WNW</w:t>
            </w:r>
          </w:p>
        </w:tc>
        <w:tc>
          <w:tcPr>
            <w:tcW w:w="267" w:type="pct"/>
            <w:tcMar>
              <w:top w:w="0" w:type="dxa"/>
              <w:left w:w="0" w:type="dxa"/>
              <w:bottom w:w="0" w:type="dxa"/>
              <w:right w:w="0" w:type="dxa"/>
            </w:tcMar>
            <w:vAlign w:val="center"/>
          </w:tcPr>
          <w:p>
            <w:pPr>
              <w:pStyle w:val="182"/>
              <w:bidi w:val="0"/>
              <w:rPr>
                <w:b/>
                <w:bCs/>
                <w:color w:val="auto"/>
              </w:rPr>
            </w:pPr>
            <w:r>
              <w:rPr>
                <w:b/>
                <w:bCs/>
                <w:color w:val="auto"/>
              </w:rPr>
              <w:t>NW</w:t>
            </w:r>
          </w:p>
        </w:tc>
        <w:tc>
          <w:tcPr>
            <w:tcW w:w="355" w:type="pct"/>
            <w:tcMar>
              <w:top w:w="0" w:type="dxa"/>
              <w:left w:w="0" w:type="dxa"/>
              <w:bottom w:w="0" w:type="dxa"/>
              <w:right w:w="0" w:type="dxa"/>
            </w:tcMar>
            <w:vAlign w:val="center"/>
          </w:tcPr>
          <w:p>
            <w:pPr>
              <w:pStyle w:val="182"/>
              <w:bidi w:val="0"/>
              <w:rPr>
                <w:b/>
                <w:bCs/>
                <w:color w:val="auto"/>
              </w:rPr>
            </w:pPr>
            <w:r>
              <w:rPr>
                <w:b/>
                <w:bCs/>
                <w:color w:val="auto"/>
              </w:rPr>
              <w:t>NNW</w:t>
            </w:r>
          </w:p>
        </w:tc>
        <w:tc>
          <w:tcPr>
            <w:tcW w:w="295" w:type="pct"/>
            <w:tcMar>
              <w:top w:w="0" w:type="dxa"/>
              <w:left w:w="0" w:type="dxa"/>
              <w:bottom w:w="0" w:type="dxa"/>
              <w:right w:w="0" w:type="dxa"/>
            </w:tcMar>
            <w:vAlign w:val="center"/>
          </w:tcPr>
          <w:p>
            <w:pPr>
              <w:pStyle w:val="182"/>
              <w:bidi w:val="0"/>
              <w:rPr>
                <w:b/>
                <w:bCs/>
                <w:color w:val="auto"/>
              </w:rPr>
            </w:pPr>
            <w:r>
              <w:rPr>
                <w:rFonts w:hint="eastAsia"/>
                <w:b/>
                <w:bCs/>
                <w:color w:val="auto"/>
              </w:rPr>
              <w:t>静风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1</w:t>
            </w:r>
          </w:p>
        </w:tc>
        <w:tc>
          <w:tcPr>
            <w:tcW w:w="188" w:type="pct"/>
            <w:tcMar>
              <w:top w:w="0" w:type="dxa"/>
              <w:left w:w="0" w:type="dxa"/>
              <w:bottom w:w="0" w:type="dxa"/>
              <w:right w:w="0" w:type="dxa"/>
            </w:tcMar>
            <w:vAlign w:val="center"/>
          </w:tcPr>
          <w:p>
            <w:pPr>
              <w:pStyle w:val="182"/>
              <w:bidi w:val="0"/>
              <w:rPr>
                <w:color w:val="auto"/>
              </w:rPr>
            </w:pPr>
            <w:r>
              <w:rPr>
                <w:color w:val="auto"/>
              </w:rPr>
              <w:t>1.3</w:t>
            </w:r>
          </w:p>
        </w:tc>
        <w:tc>
          <w:tcPr>
            <w:tcW w:w="305" w:type="pct"/>
            <w:tcMar>
              <w:top w:w="0" w:type="dxa"/>
              <w:left w:w="0" w:type="dxa"/>
              <w:bottom w:w="0" w:type="dxa"/>
              <w:right w:w="0" w:type="dxa"/>
            </w:tcMar>
            <w:vAlign w:val="center"/>
          </w:tcPr>
          <w:p>
            <w:pPr>
              <w:pStyle w:val="182"/>
              <w:bidi w:val="0"/>
              <w:rPr>
                <w:color w:val="auto"/>
              </w:rPr>
            </w:pPr>
            <w:r>
              <w:rPr>
                <w:color w:val="auto"/>
              </w:rPr>
              <w:t>2.1</w:t>
            </w:r>
          </w:p>
        </w:tc>
        <w:tc>
          <w:tcPr>
            <w:tcW w:w="261" w:type="pct"/>
            <w:tcMar>
              <w:top w:w="0" w:type="dxa"/>
              <w:left w:w="0" w:type="dxa"/>
              <w:bottom w:w="0" w:type="dxa"/>
              <w:right w:w="0" w:type="dxa"/>
            </w:tcMar>
            <w:vAlign w:val="center"/>
          </w:tcPr>
          <w:p>
            <w:pPr>
              <w:pStyle w:val="182"/>
              <w:bidi w:val="0"/>
              <w:rPr>
                <w:color w:val="auto"/>
              </w:rPr>
            </w:pPr>
            <w:r>
              <w:rPr>
                <w:color w:val="auto"/>
              </w:rPr>
              <w:t>11.6</w:t>
            </w:r>
          </w:p>
        </w:tc>
        <w:tc>
          <w:tcPr>
            <w:tcW w:w="288" w:type="pct"/>
            <w:tcMar>
              <w:top w:w="0" w:type="dxa"/>
              <w:left w:w="0" w:type="dxa"/>
              <w:bottom w:w="0" w:type="dxa"/>
              <w:right w:w="0" w:type="dxa"/>
            </w:tcMar>
            <w:vAlign w:val="center"/>
          </w:tcPr>
          <w:p>
            <w:pPr>
              <w:pStyle w:val="182"/>
              <w:bidi w:val="0"/>
              <w:rPr>
                <w:color w:val="auto"/>
              </w:rPr>
            </w:pPr>
            <w:r>
              <w:rPr>
                <w:color w:val="auto"/>
              </w:rPr>
              <w:t>22.0</w:t>
            </w:r>
          </w:p>
        </w:tc>
        <w:tc>
          <w:tcPr>
            <w:tcW w:w="261" w:type="pct"/>
            <w:tcMar>
              <w:top w:w="0" w:type="dxa"/>
              <w:left w:w="0" w:type="dxa"/>
              <w:bottom w:w="0" w:type="dxa"/>
              <w:right w:w="0" w:type="dxa"/>
            </w:tcMar>
            <w:vAlign w:val="center"/>
          </w:tcPr>
          <w:p>
            <w:pPr>
              <w:pStyle w:val="182"/>
              <w:bidi w:val="0"/>
              <w:rPr>
                <w:color w:val="auto"/>
              </w:rPr>
            </w:pPr>
            <w:r>
              <w:rPr>
                <w:color w:val="auto"/>
              </w:rPr>
              <w:t>12.5</w:t>
            </w:r>
          </w:p>
        </w:tc>
        <w:tc>
          <w:tcPr>
            <w:tcW w:w="265" w:type="pct"/>
            <w:tcMar>
              <w:top w:w="0" w:type="dxa"/>
              <w:left w:w="0" w:type="dxa"/>
              <w:bottom w:w="0" w:type="dxa"/>
              <w:right w:w="0" w:type="dxa"/>
            </w:tcMar>
            <w:vAlign w:val="center"/>
          </w:tcPr>
          <w:p>
            <w:pPr>
              <w:pStyle w:val="182"/>
              <w:bidi w:val="0"/>
              <w:rPr>
                <w:color w:val="auto"/>
              </w:rPr>
            </w:pPr>
            <w:r>
              <w:rPr>
                <w:color w:val="auto"/>
              </w:rPr>
              <w:t>3.7</w:t>
            </w:r>
          </w:p>
        </w:tc>
        <w:tc>
          <w:tcPr>
            <w:tcW w:w="188" w:type="pct"/>
            <w:tcMar>
              <w:top w:w="0" w:type="dxa"/>
              <w:left w:w="0" w:type="dxa"/>
              <w:bottom w:w="0" w:type="dxa"/>
              <w:right w:w="0" w:type="dxa"/>
            </w:tcMar>
            <w:vAlign w:val="center"/>
          </w:tcPr>
          <w:p>
            <w:pPr>
              <w:pStyle w:val="182"/>
              <w:bidi w:val="0"/>
              <w:rPr>
                <w:color w:val="auto"/>
              </w:rPr>
            </w:pPr>
            <w:r>
              <w:rPr>
                <w:color w:val="auto"/>
              </w:rPr>
              <w:t>2.0</w:t>
            </w:r>
          </w:p>
        </w:tc>
        <w:tc>
          <w:tcPr>
            <w:tcW w:w="257" w:type="pct"/>
            <w:tcMar>
              <w:top w:w="0" w:type="dxa"/>
              <w:left w:w="0" w:type="dxa"/>
              <w:bottom w:w="0" w:type="dxa"/>
              <w:right w:w="0" w:type="dxa"/>
            </w:tcMar>
            <w:vAlign w:val="center"/>
          </w:tcPr>
          <w:p>
            <w:pPr>
              <w:pStyle w:val="182"/>
              <w:bidi w:val="0"/>
              <w:rPr>
                <w:color w:val="auto"/>
              </w:rPr>
            </w:pPr>
            <w:r>
              <w:rPr>
                <w:color w:val="auto"/>
              </w:rPr>
              <w:t>1.4</w:t>
            </w:r>
          </w:p>
        </w:tc>
        <w:tc>
          <w:tcPr>
            <w:tcW w:w="255" w:type="pct"/>
            <w:tcMar>
              <w:top w:w="0" w:type="dxa"/>
              <w:left w:w="0" w:type="dxa"/>
              <w:bottom w:w="0" w:type="dxa"/>
              <w:right w:w="0" w:type="dxa"/>
            </w:tcMar>
            <w:vAlign w:val="center"/>
          </w:tcPr>
          <w:p>
            <w:pPr>
              <w:pStyle w:val="182"/>
              <w:bidi w:val="0"/>
              <w:rPr>
                <w:color w:val="auto"/>
              </w:rPr>
            </w:pPr>
            <w:r>
              <w:rPr>
                <w:color w:val="auto"/>
              </w:rPr>
              <w:t>4.2</w:t>
            </w:r>
          </w:p>
        </w:tc>
        <w:tc>
          <w:tcPr>
            <w:tcW w:w="305" w:type="pct"/>
            <w:tcMar>
              <w:top w:w="0" w:type="dxa"/>
              <w:left w:w="0" w:type="dxa"/>
              <w:bottom w:w="0" w:type="dxa"/>
              <w:right w:w="0" w:type="dxa"/>
            </w:tcMar>
            <w:vAlign w:val="center"/>
          </w:tcPr>
          <w:p>
            <w:pPr>
              <w:pStyle w:val="182"/>
              <w:bidi w:val="0"/>
              <w:rPr>
                <w:color w:val="auto"/>
              </w:rPr>
            </w:pPr>
            <w:r>
              <w:rPr>
                <w:color w:val="auto"/>
              </w:rPr>
              <w:t>6.0</w:t>
            </w:r>
          </w:p>
        </w:tc>
        <w:tc>
          <w:tcPr>
            <w:tcW w:w="255" w:type="pct"/>
            <w:tcMar>
              <w:top w:w="0" w:type="dxa"/>
              <w:left w:w="0" w:type="dxa"/>
              <w:bottom w:w="0" w:type="dxa"/>
              <w:right w:w="0" w:type="dxa"/>
            </w:tcMar>
            <w:vAlign w:val="center"/>
          </w:tcPr>
          <w:p>
            <w:pPr>
              <w:pStyle w:val="182"/>
              <w:bidi w:val="0"/>
              <w:rPr>
                <w:color w:val="auto"/>
              </w:rPr>
            </w:pPr>
            <w:r>
              <w:rPr>
                <w:color w:val="auto"/>
              </w:rPr>
              <w:t>7.6</w:t>
            </w:r>
          </w:p>
        </w:tc>
        <w:tc>
          <w:tcPr>
            <w:tcW w:w="362" w:type="pct"/>
            <w:tcMar>
              <w:top w:w="0" w:type="dxa"/>
              <w:left w:w="0" w:type="dxa"/>
              <w:bottom w:w="0" w:type="dxa"/>
              <w:right w:w="0" w:type="dxa"/>
            </w:tcMar>
            <w:vAlign w:val="center"/>
          </w:tcPr>
          <w:p>
            <w:pPr>
              <w:pStyle w:val="182"/>
              <w:bidi w:val="0"/>
              <w:rPr>
                <w:color w:val="auto"/>
              </w:rPr>
            </w:pPr>
            <w:r>
              <w:rPr>
                <w:color w:val="auto"/>
              </w:rPr>
              <w:t>4.4</w:t>
            </w:r>
          </w:p>
        </w:tc>
        <w:tc>
          <w:tcPr>
            <w:tcW w:w="207" w:type="pct"/>
            <w:tcMar>
              <w:top w:w="0" w:type="dxa"/>
              <w:left w:w="0" w:type="dxa"/>
              <w:bottom w:w="0" w:type="dxa"/>
              <w:right w:w="0" w:type="dxa"/>
            </w:tcMar>
            <w:vAlign w:val="center"/>
          </w:tcPr>
          <w:p>
            <w:pPr>
              <w:pStyle w:val="182"/>
              <w:bidi w:val="0"/>
              <w:rPr>
                <w:color w:val="auto"/>
              </w:rPr>
            </w:pPr>
            <w:r>
              <w:rPr>
                <w:color w:val="auto"/>
              </w:rPr>
              <w:t>4.0</w:t>
            </w:r>
          </w:p>
        </w:tc>
        <w:tc>
          <w:tcPr>
            <w:tcW w:w="387" w:type="pct"/>
            <w:tcMar>
              <w:top w:w="0" w:type="dxa"/>
              <w:left w:w="0" w:type="dxa"/>
              <w:bottom w:w="0" w:type="dxa"/>
              <w:right w:w="0" w:type="dxa"/>
            </w:tcMar>
            <w:vAlign w:val="center"/>
          </w:tcPr>
          <w:p>
            <w:pPr>
              <w:pStyle w:val="182"/>
              <w:bidi w:val="0"/>
              <w:rPr>
                <w:color w:val="auto"/>
              </w:rPr>
            </w:pPr>
            <w:r>
              <w:rPr>
                <w:color w:val="auto"/>
              </w:rPr>
              <w:t>1.9</w:t>
            </w:r>
          </w:p>
        </w:tc>
        <w:tc>
          <w:tcPr>
            <w:tcW w:w="267" w:type="pct"/>
            <w:tcMar>
              <w:top w:w="0" w:type="dxa"/>
              <w:left w:w="0" w:type="dxa"/>
              <w:bottom w:w="0" w:type="dxa"/>
              <w:right w:w="0" w:type="dxa"/>
            </w:tcMar>
            <w:vAlign w:val="center"/>
          </w:tcPr>
          <w:p>
            <w:pPr>
              <w:pStyle w:val="182"/>
              <w:bidi w:val="0"/>
              <w:rPr>
                <w:color w:val="auto"/>
              </w:rPr>
            </w:pPr>
            <w:r>
              <w:rPr>
                <w:color w:val="auto"/>
              </w:rPr>
              <w:t>2.0</w:t>
            </w:r>
          </w:p>
        </w:tc>
        <w:tc>
          <w:tcPr>
            <w:tcW w:w="355" w:type="pct"/>
            <w:tcMar>
              <w:top w:w="0" w:type="dxa"/>
              <w:left w:w="0" w:type="dxa"/>
              <w:bottom w:w="0" w:type="dxa"/>
              <w:right w:w="0" w:type="dxa"/>
            </w:tcMar>
            <w:vAlign w:val="center"/>
          </w:tcPr>
          <w:p>
            <w:pPr>
              <w:pStyle w:val="182"/>
              <w:bidi w:val="0"/>
              <w:rPr>
                <w:color w:val="auto"/>
              </w:rPr>
            </w:pPr>
            <w:r>
              <w:rPr>
                <w:color w:val="auto"/>
              </w:rPr>
              <w:t>1.3</w:t>
            </w:r>
          </w:p>
        </w:tc>
        <w:tc>
          <w:tcPr>
            <w:tcW w:w="295" w:type="pct"/>
            <w:tcMar>
              <w:top w:w="0" w:type="dxa"/>
              <w:left w:w="0" w:type="dxa"/>
              <w:bottom w:w="0" w:type="dxa"/>
              <w:right w:w="0" w:type="dxa"/>
            </w:tcMar>
            <w:vAlign w:val="center"/>
          </w:tcPr>
          <w:p>
            <w:pPr>
              <w:pStyle w:val="182"/>
              <w:bidi w:val="0"/>
              <w:rPr>
                <w:color w:val="auto"/>
              </w:rPr>
            </w:pPr>
            <w:r>
              <w:rPr>
                <w:color w:val="auto"/>
              </w:rPr>
              <w:t>12.1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2</w:t>
            </w:r>
          </w:p>
        </w:tc>
        <w:tc>
          <w:tcPr>
            <w:tcW w:w="188" w:type="pct"/>
            <w:tcMar>
              <w:top w:w="0" w:type="dxa"/>
              <w:left w:w="0" w:type="dxa"/>
              <w:bottom w:w="0" w:type="dxa"/>
              <w:right w:w="0" w:type="dxa"/>
            </w:tcMar>
            <w:vAlign w:val="center"/>
          </w:tcPr>
          <w:p>
            <w:pPr>
              <w:pStyle w:val="182"/>
              <w:bidi w:val="0"/>
              <w:rPr>
                <w:color w:val="auto"/>
              </w:rPr>
            </w:pPr>
            <w:r>
              <w:rPr>
                <w:color w:val="auto"/>
              </w:rPr>
              <w:t>0.8</w:t>
            </w:r>
          </w:p>
        </w:tc>
        <w:tc>
          <w:tcPr>
            <w:tcW w:w="305" w:type="pct"/>
            <w:tcMar>
              <w:top w:w="0" w:type="dxa"/>
              <w:left w:w="0" w:type="dxa"/>
              <w:bottom w:w="0" w:type="dxa"/>
              <w:right w:w="0" w:type="dxa"/>
            </w:tcMar>
            <w:vAlign w:val="center"/>
          </w:tcPr>
          <w:p>
            <w:pPr>
              <w:pStyle w:val="182"/>
              <w:bidi w:val="0"/>
              <w:rPr>
                <w:color w:val="auto"/>
              </w:rPr>
            </w:pPr>
            <w:r>
              <w:rPr>
                <w:color w:val="auto"/>
              </w:rPr>
              <w:t>1.1</w:t>
            </w:r>
          </w:p>
        </w:tc>
        <w:tc>
          <w:tcPr>
            <w:tcW w:w="261" w:type="pct"/>
            <w:tcMar>
              <w:top w:w="0" w:type="dxa"/>
              <w:left w:w="0" w:type="dxa"/>
              <w:bottom w:w="0" w:type="dxa"/>
              <w:right w:w="0" w:type="dxa"/>
            </w:tcMar>
            <w:vAlign w:val="center"/>
          </w:tcPr>
          <w:p>
            <w:pPr>
              <w:pStyle w:val="182"/>
              <w:bidi w:val="0"/>
              <w:rPr>
                <w:color w:val="auto"/>
              </w:rPr>
            </w:pPr>
            <w:r>
              <w:rPr>
                <w:color w:val="auto"/>
              </w:rPr>
              <w:t>13.0</w:t>
            </w:r>
          </w:p>
        </w:tc>
        <w:tc>
          <w:tcPr>
            <w:tcW w:w="288" w:type="pct"/>
            <w:tcMar>
              <w:top w:w="0" w:type="dxa"/>
              <w:left w:w="0" w:type="dxa"/>
              <w:bottom w:w="0" w:type="dxa"/>
              <w:right w:w="0" w:type="dxa"/>
            </w:tcMar>
            <w:vAlign w:val="center"/>
          </w:tcPr>
          <w:p>
            <w:pPr>
              <w:pStyle w:val="182"/>
              <w:bidi w:val="0"/>
              <w:rPr>
                <w:color w:val="auto"/>
              </w:rPr>
            </w:pPr>
            <w:r>
              <w:rPr>
                <w:color w:val="auto"/>
              </w:rPr>
              <w:t>22.0</w:t>
            </w:r>
          </w:p>
        </w:tc>
        <w:tc>
          <w:tcPr>
            <w:tcW w:w="261" w:type="pct"/>
            <w:tcMar>
              <w:top w:w="0" w:type="dxa"/>
              <w:left w:w="0" w:type="dxa"/>
              <w:bottom w:w="0" w:type="dxa"/>
              <w:right w:w="0" w:type="dxa"/>
            </w:tcMar>
            <w:vAlign w:val="center"/>
          </w:tcPr>
          <w:p>
            <w:pPr>
              <w:pStyle w:val="182"/>
              <w:bidi w:val="0"/>
              <w:rPr>
                <w:color w:val="auto"/>
              </w:rPr>
            </w:pPr>
            <w:r>
              <w:rPr>
                <w:color w:val="auto"/>
              </w:rPr>
              <w:t>10.5</w:t>
            </w:r>
          </w:p>
        </w:tc>
        <w:tc>
          <w:tcPr>
            <w:tcW w:w="265" w:type="pct"/>
            <w:tcMar>
              <w:top w:w="0" w:type="dxa"/>
              <w:left w:w="0" w:type="dxa"/>
              <w:bottom w:w="0" w:type="dxa"/>
              <w:right w:w="0" w:type="dxa"/>
            </w:tcMar>
            <w:vAlign w:val="center"/>
          </w:tcPr>
          <w:p>
            <w:pPr>
              <w:pStyle w:val="182"/>
              <w:bidi w:val="0"/>
              <w:rPr>
                <w:color w:val="auto"/>
              </w:rPr>
            </w:pPr>
            <w:r>
              <w:rPr>
                <w:color w:val="auto"/>
              </w:rPr>
              <w:t>4.3</w:t>
            </w:r>
          </w:p>
        </w:tc>
        <w:tc>
          <w:tcPr>
            <w:tcW w:w="188" w:type="pct"/>
            <w:tcMar>
              <w:top w:w="0" w:type="dxa"/>
              <w:left w:w="0" w:type="dxa"/>
              <w:bottom w:w="0" w:type="dxa"/>
              <w:right w:w="0" w:type="dxa"/>
            </w:tcMar>
            <w:vAlign w:val="center"/>
          </w:tcPr>
          <w:p>
            <w:pPr>
              <w:pStyle w:val="182"/>
              <w:bidi w:val="0"/>
              <w:rPr>
                <w:color w:val="auto"/>
              </w:rPr>
            </w:pPr>
            <w:r>
              <w:rPr>
                <w:color w:val="auto"/>
              </w:rPr>
              <w:t>2.2</w:t>
            </w:r>
          </w:p>
        </w:tc>
        <w:tc>
          <w:tcPr>
            <w:tcW w:w="257" w:type="pct"/>
            <w:tcMar>
              <w:top w:w="0" w:type="dxa"/>
              <w:left w:w="0" w:type="dxa"/>
              <w:bottom w:w="0" w:type="dxa"/>
              <w:right w:w="0" w:type="dxa"/>
            </w:tcMar>
            <w:vAlign w:val="center"/>
          </w:tcPr>
          <w:p>
            <w:pPr>
              <w:pStyle w:val="182"/>
              <w:bidi w:val="0"/>
              <w:rPr>
                <w:color w:val="auto"/>
              </w:rPr>
            </w:pPr>
            <w:r>
              <w:rPr>
                <w:color w:val="auto"/>
              </w:rPr>
              <w:t>1.5</w:t>
            </w:r>
          </w:p>
        </w:tc>
        <w:tc>
          <w:tcPr>
            <w:tcW w:w="255" w:type="pct"/>
            <w:tcMar>
              <w:top w:w="0" w:type="dxa"/>
              <w:left w:w="0" w:type="dxa"/>
              <w:bottom w:w="0" w:type="dxa"/>
              <w:right w:w="0" w:type="dxa"/>
            </w:tcMar>
            <w:vAlign w:val="center"/>
          </w:tcPr>
          <w:p>
            <w:pPr>
              <w:pStyle w:val="182"/>
              <w:bidi w:val="0"/>
              <w:rPr>
                <w:color w:val="auto"/>
              </w:rPr>
            </w:pPr>
            <w:r>
              <w:rPr>
                <w:color w:val="auto"/>
              </w:rPr>
              <w:t>5.6</w:t>
            </w:r>
          </w:p>
        </w:tc>
        <w:tc>
          <w:tcPr>
            <w:tcW w:w="305" w:type="pct"/>
            <w:tcMar>
              <w:top w:w="0" w:type="dxa"/>
              <w:left w:w="0" w:type="dxa"/>
              <w:bottom w:w="0" w:type="dxa"/>
              <w:right w:w="0" w:type="dxa"/>
            </w:tcMar>
            <w:vAlign w:val="center"/>
          </w:tcPr>
          <w:p>
            <w:pPr>
              <w:pStyle w:val="182"/>
              <w:bidi w:val="0"/>
              <w:rPr>
                <w:color w:val="auto"/>
              </w:rPr>
            </w:pPr>
            <w:r>
              <w:rPr>
                <w:color w:val="auto"/>
              </w:rPr>
              <w:t>8.2</w:t>
            </w:r>
          </w:p>
        </w:tc>
        <w:tc>
          <w:tcPr>
            <w:tcW w:w="255" w:type="pct"/>
            <w:tcMar>
              <w:top w:w="0" w:type="dxa"/>
              <w:left w:w="0" w:type="dxa"/>
              <w:bottom w:w="0" w:type="dxa"/>
              <w:right w:w="0" w:type="dxa"/>
            </w:tcMar>
            <w:vAlign w:val="center"/>
          </w:tcPr>
          <w:p>
            <w:pPr>
              <w:pStyle w:val="182"/>
              <w:bidi w:val="0"/>
              <w:rPr>
                <w:color w:val="auto"/>
              </w:rPr>
            </w:pPr>
            <w:r>
              <w:rPr>
                <w:color w:val="auto"/>
              </w:rPr>
              <w:t>7.8</w:t>
            </w:r>
          </w:p>
        </w:tc>
        <w:tc>
          <w:tcPr>
            <w:tcW w:w="362" w:type="pct"/>
            <w:tcMar>
              <w:top w:w="0" w:type="dxa"/>
              <w:left w:w="0" w:type="dxa"/>
              <w:bottom w:w="0" w:type="dxa"/>
              <w:right w:w="0" w:type="dxa"/>
            </w:tcMar>
            <w:vAlign w:val="center"/>
          </w:tcPr>
          <w:p>
            <w:pPr>
              <w:pStyle w:val="182"/>
              <w:bidi w:val="0"/>
              <w:rPr>
                <w:color w:val="auto"/>
              </w:rPr>
            </w:pPr>
            <w:r>
              <w:rPr>
                <w:color w:val="auto"/>
              </w:rPr>
              <w:t>3.9</w:t>
            </w:r>
          </w:p>
        </w:tc>
        <w:tc>
          <w:tcPr>
            <w:tcW w:w="207" w:type="pct"/>
            <w:tcMar>
              <w:top w:w="0" w:type="dxa"/>
              <w:left w:w="0" w:type="dxa"/>
              <w:bottom w:w="0" w:type="dxa"/>
              <w:right w:w="0" w:type="dxa"/>
            </w:tcMar>
            <w:vAlign w:val="center"/>
          </w:tcPr>
          <w:p>
            <w:pPr>
              <w:pStyle w:val="182"/>
              <w:bidi w:val="0"/>
              <w:rPr>
                <w:color w:val="auto"/>
              </w:rPr>
            </w:pPr>
            <w:r>
              <w:rPr>
                <w:color w:val="auto"/>
              </w:rPr>
              <w:t>4.3</w:t>
            </w:r>
          </w:p>
        </w:tc>
        <w:tc>
          <w:tcPr>
            <w:tcW w:w="387" w:type="pct"/>
            <w:tcMar>
              <w:top w:w="0" w:type="dxa"/>
              <w:left w:w="0" w:type="dxa"/>
              <w:bottom w:w="0" w:type="dxa"/>
              <w:right w:w="0" w:type="dxa"/>
            </w:tcMar>
            <w:vAlign w:val="center"/>
          </w:tcPr>
          <w:p>
            <w:pPr>
              <w:pStyle w:val="182"/>
              <w:bidi w:val="0"/>
              <w:rPr>
                <w:color w:val="auto"/>
              </w:rPr>
            </w:pPr>
            <w:r>
              <w:rPr>
                <w:color w:val="auto"/>
              </w:rPr>
              <w:t>2.0</w:t>
            </w:r>
          </w:p>
        </w:tc>
        <w:tc>
          <w:tcPr>
            <w:tcW w:w="267" w:type="pct"/>
            <w:tcMar>
              <w:top w:w="0" w:type="dxa"/>
              <w:left w:w="0" w:type="dxa"/>
              <w:bottom w:w="0" w:type="dxa"/>
              <w:right w:w="0" w:type="dxa"/>
            </w:tcMar>
            <w:vAlign w:val="center"/>
          </w:tcPr>
          <w:p>
            <w:pPr>
              <w:pStyle w:val="182"/>
              <w:bidi w:val="0"/>
              <w:rPr>
                <w:color w:val="auto"/>
              </w:rPr>
            </w:pPr>
            <w:r>
              <w:rPr>
                <w:color w:val="auto"/>
              </w:rPr>
              <w:t>1.6</w:t>
            </w:r>
          </w:p>
        </w:tc>
        <w:tc>
          <w:tcPr>
            <w:tcW w:w="355" w:type="pct"/>
            <w:tcMar>
              <w:top w:w="0" w:type="dxa"/>
              <w:left w:w="0" w:type="dxa"/>
              <w:bottom w:w="0" w:type="dxa"/>
              <w:right w:w="0" w:type="dxa"/>
            </w:tcMar>
            <w:vAlign w:val="center"/>
          </w:tcPr>
          <w:p>
            <w:pPr>
              <w:pStyle w:val="182"/>
              <w:bidi w:val="0"/>
              <w:rPr>
                <w:color w:val="auto"/>
              </w:rPr>
            </w:pPr>
            <w:r>
              <w:rPr>
                <w:color w:val="auto"/>
              </w:rPr>
              <w:t>0.7</w:t>
            </w:r>
          </w:p>
        </w:tc>
        <w:tc>
          <w:tcPr>
            <w:tcW w:w="295" w:type="pct"/>
            <w:tcMar>
              <w:top w:w="0" w:type="dxa"/>
              <w:left w:w="0" w:type="dxa"/>
              <w:bottom w:w="0" w:type="dxa"/>
              <w:right w:w="0" w:type="dxa"/>
            </w:tcMar>
            <w:vAlign w:val="center"/>
          </w:tcPr>
          <w:p>
            <w:pPr>
              <w:pStyle w:val="182"/>
              <w:bidi w:val="0"/>
              <w:rPr>
                <w:color w:val="auto"/>
              </w:rPr>
            </w:pPr>
            <w:r>
              <w:rPr>
                <w:color w:val="auto"/>
              </w:rPr>
              <w:t>10.4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3</w:t>
            </w:r>
          </w:p>
        </w:tc>
        <w:tc>
          <w:tcPr>
            <w:tcW w:w="188" w:type="pct"/>
            <w:tcMar>
              <w:top w:w="0" w:type="dxa"/>
              <w:left w:w="0" w:type="dxa"/>
              <w:bottom w:w="0" w:type="dxa"/>
              <w:right w:w="0" w:type="dxa"/>
            </w:tcMar>
            <w:vAlign w:val="center"/>
          </w:tcPr>
          <w:p>
            <w:pPr>
              <w:pStyle w:val="182"/>
              <w:bidi w:val="0"/>
              <w:rPr>
                <w:color w:val="auto"/>
              </w:rPr>
            </w:pPr>
            <w:r>
              <w:rPr>
                <w:color w:val="auto"/>
              </w:rPr>
              <w:t>0.9</w:t>
            </w:r>
          </w:p>
        </w:tc>
        <w:tc>
          <w:tcPr>
            <w:tcW w:w="305" w:type="pct"/>
            <w:tcMar>
              <w:top w:w="0" w:type="dxa"/>
              <w:left w:w="0" w:type="dxa"/>
              <w:bottom w:w="0" w:type="dxa"/>
              <w:right w:w="0" w:type="dxa"/>
            </w:tcMar>
            <w:vAlign w:val="center"/>
          </w:tcPr>
          <w:p>
            <w:pPr>
              <w:pStyle w:val="182"/>
              <w:bidi w:val="0"/>
              <w:rPr>
                <w:color w:val="auto"/>
              </w:rPr>
            </w:pPr>
            <w:r>
              <w:rPr>
                <w:color w:val="auto"/>
              </w:rPr>
              <w:t>1.7</w:t>
            </w:r>
          </w:p>
        </w:tc>
        <w:tc>
          <w:tcPr>
            <w:tcW w:w="261" w:type="pct"/>
            <w:tcMar>
              <w:top w:w="0" w:type="dxa"/>
              <w:left w:w="0" w:type="dxa"/>
              <w:bottom w:w="0" w:type="dxa"/>
              <w:right w:w="0" w:type="dxa"/>
            </w:tcMar>
            <w:vAlign w:val="center"/>
          </w:tcPr>
          <w:p>
            <w:pPr>
              <w:pStyle w:val="182"/>
              <w:bidi w:val="0"/>
              <w:rPr>
                <w:color w:val="auto"/>
              </w:rPr>
            </w:pPr>
            <w:r>
              <w:rPr>
                <w:color w:val="auto"/>
              </w:rPr>
              <w:t>12.4</w:t>
            </w:r>
          </w:p>
        </w:tc>
        <w:tc>
          <w:tcPr>
            <w:tcW w:w="288" w:type="pct"/>
            <w:tcMar>
              <w:top w:w="0" w:type="dxa"/>
              <w:left w:w="0" w:type="dxa"/>
              <w:bottom w:w="0" w:type="dxa"/>
              <w:right w:w="0" w:type="dxa"/>
            </w:tcMar>
            <w:vAlign w:val="center"/>
          </w:tcPr>
          <w:p>
            <w:pPr>
              <w:pStyle w:val="182"/>
              <w:bidi w:val="0"/>
              <w:rPr>
                <w:color w:val="auto"/>
              </w:rPr>
            </w:pPr>
            <w:r>
              <w:rPr>
                <w:color w:val="auto"/>
              </w:rPr>
              <w:t>16.7</w:t>
            </w:r>
          </w:p>
        </w:tc>
        <w:tc>
          <w:tcPr>
            <w:tcW w:w="261" w:type="pct"/>
            <w:tcMar>
              <w:top w:w="0" w:type="dxa"/>
              <w:left w:w="0" w:type="dxa"/>
              <w:bottom w:w="0" w:type="dxa"/>
              <w:right w:w="0" w:type="dxa"/>
            </w:tcMar>
            <w:vAlign w:val="center"/>
          </w:tcPr>
          <w:p>
            <w:pPr>
              <w:pStyle w:val="182"/>
              <w:bidi w:val="0"/>
              <w:rPr>
                <w:color w:val="auto"/>
              </w:rPr>
            </w:pPr>
            <w:r>
              <w:rPr>
                <w:color w:val="auto"/>
              </w:rPr>
              <w:t>8.2</w:t>
            </w:r>
          </w:p>
        </w:tc>
        <w:tc>
          <w:tcPr>
            <w:tcW w:w="265" w:type="pct"/>
            <w:tcMar>
              <w:top w:w="0" w:type="dxa"/>
              <w:left w:w="0" w:type="dxa"/>
              <w:bottom w:w="0" w:type="dxa"/>
              <w:right w:w="0" w:type="dxa"/>
            </w:tcMar>
            <w:vAlign w:val="center"/>
          </w:tcPr>
          <w:p>
            <w:pPr>
              <w:pStyle w:val="182"/>
              <w:bidi w:val="0"/>
              <w:rPr>
                <w:color w:val="auto"/>
              </w:rPr>
            </w:pPr>
            <w:r>
              <w:rPr>
                <w:color w:val="auto"/>
              </w:rPr>
              <w:t>3.4</w:t>
            </w:r>
          </w:p>
        </w:tc>
        <w:tc>
          <w:tcPr>
            <w:tcW w:w="188" w:type="pct"/>
            <w:tcMar>
              <w:top w:w="0" w:type="dxa"/>
              <w:left w:w="0" w:type="dxa"/>
              <w:bottom w:w="0" w:type="dxa"/>
              <w:right w:w="0" w:type="dxa"/>
            </w:tcMar>
            <w:vAlign w:val="center"/>
          </w:tcPr>
          <w:p>
            <w:pPr>
              <w:pStyle w:val="182"/>
              <w:bidi w:val="0"/>
              <w:rPr>
                <w:color w:val="auto"/>
              </w:rPr>
            </w:pPr>
            <w:r>
              <w:rPr>
                <w:color w:val="auto"/>
              </w:rPr>
              <w:t>2.5</w:t>
            </w:r>
          </w:p>
        </w:tc>
        <w:tc>
          <w:tcPr>
            <w:tcW w:w="257" w:type="pct"/>
            <w:tcMar>
              <w:top w:w="0" w:type="dxa"/>
              <w:left w:w="0" w:type="dxa"/>
              <w:bottom w:w="0" w:type="dxa"/>
              <w:right w:w="0" w:type="dxa"/>
            </w:tcMar>
            <w:vAlign w:val="center"/>
          </w:tcPr>
          <w:p>
            <w:pPr>
              <w:pStyle w:val="182"/>
              <w:bidi w:val="0"/>
              <w:rPr>
                <w:color w:val="auto"/>
              </w:rPr>
            </w:pPr>
            <w:r>
              <w:rPr>
                <w:color w:val="auto"/>
              </w:rPr>
              <w:t>2.7</w:t>
            </w:r>
          </w:p>
        </w:tc>
        <w:tc>
          <w:tcPr>
            <w:tcW w:w="255" w:type="pct"/>
            <w:tcMar>
              <w:top w:w="0" w:type="dxa"/>
              <w:left w:w="0" w:type="dxa"/>
              <w:bottom w:w="0" w:type="dxa"/>
              <w:right w:w="0" w:type="dxa"/>
            </w:tcMar>
            <w:vAlign w:val="center"/>
          </w:tcPr>
          <w:p>
            <w:pPr>
              <w:pStyle w:val="182"/>
              <w:bidi w:val="0"/>
              <w:rPr>
                <w:color w:val="auto"/>
              </w:rPr>
            </w:pPr>
            <w:r>
              <w:rPr>
                <w:color w:val="auto"/>
              </w:rPr>
              <w:t>8.3</w:t>
            </w:r>
          </w:p>
        </w:tc>
        <w:tc>
          <w:tcPr>
            <w:tcW w:w="305" w:type="pct"/>
            <w:tcMar>
              <w:top w:w="0" w:type="dxa"/>
              <w:left w:w="0" w:type="dxa"/>
              <w:bottom w:w="0" w:type="dxa"/>
              <w:right w:w="0" w:type="dxa"/>
            </w:tcMar>
            <w:vAlign w:val="center"/>
          </w:tcPr>
          <w:p>
            <w:pPr>
              <w:pStyle w:val="182"/>
              <w:bidi w:val="0"/>
              <w:rPr>
                <w:color w:val="auto"/>
              </w:rPr>
            </w:pPr>
            <w:r>
              <w:rPr>
                <w:color w:val="auto"/>
              </w:rPr>
              <w:t>10.1</w:t>
            </w:r>
          </w:p>
        </w:tc>
        <w:tc>
          <w:tcPr>
            <w:tcW w:w="255" w:type="pct"/>
            <w:tcMar>
              <w:top w:w="0" w:type="dxa"/>
              <w:left w:w="0" w:type="dxa"/>
              <w:bottom w:w="0" w:type="dxa"/>
              <w:right w:w="0" w:type="dxa"/>
            </w:tcMar>
            <w:vAlign w:val="center"/>
          </w:tcPr>
          <w:p>
            <w:pPr>
              <w:pStyle w:val="182"/>
              <w:bidi w:val="0"/>
              <w:rPr>
                <w:color w:val="auto"/>
              </w:rPr>
            </w:pPr>
            <w:r>
              <w:rPr>
                <w:color w:val="auto"/>
              </w:rPr>
              <w:t>10.0</w:t>
            </w:r>
          </w:p>
        </w:tc>
        <w:tc>
          <w:tcPr>
            <w:tcW w:w="362" w:type="pct"/>
            <w:tcMar>
              <w:top w:w="0" w:type="dxa"/>
              <w:left w:w="0" w:type="dxa"/>
              <w:bottom w:w="0" w:type="dxa"/>
              <w:right w:w="0" w:type="dxa"/>
            </w:tcMar>
            <w:vAlign w:val="center"/>
          </w:tcPr>
          <w:p>
            <w:pPr>
              <w:pStyle w:val="182"/>
              <w:bidi w:val="0"/>
              <w:rPr>
                <w:color w:val="auto"/>
              </w:rPr>
            </w:pPr>
            <w:r>
              <w:rPr>
                <w:color w:val="auto"/>
              </w:rPr>
              <w:t>5.3</w:t>
            </w:r>
          </w:p>
        </w:tc>
        <w:tc>
          <w:tcPr>
            <w:tcW w:w="207" w:type="pct"/>
            <w:tcMar>
              <w:top w:w="0" w:type="dxa"/>
              <w:left w:w="0" w:type="dxa"/>
              <w:bottom w:w="0" w:type="dxa"/>
              <w:right w:w="0" w:type="dxa"/>
            </w:tcMar>
            <w:vAlign w:val="center"/>
          </w:tcPr>
          <w:p>
            <w:pPr>
              <w:pStyle w:val="182"/>
              <w:bidi w:val="0"/>
              <w:rPr>
                <w:color w:val="auto"/>
              </w:rPr>
            </w:pPr>
            <w:r>
              <w:rPr>
                <w:color w:val="auto"/>
              </w:rPr>
              <w:t>4.3</w:t>
            </w:r>
          </w:p>
        </w:tc>
        <w:tc>
          <w:tcPr>
            <w:tcW w:w="387" w:type="pct"/>
            <w:tcMar>
              <w:top w:w="0" w:type="dxa"/>
              <w:left w:w="0" w:type="dxa"/>
              <w:bottom w:w="0" w:type="dxa"/>
              <w:right w:w="0" w:type="dxa"/>
            </w:tcMar>
            <w:vAlign w:val="center"/>
          </w:tcPr>
          <w:p>
            <w:pPr>
              <w:pStyle w:val="182"/>
              <w:bidi w:val="0"/>
              <w:rPr>
                <w:color w:val="auto"/>
              </w:rPr>
            </w:pPr>
            <w:r>
              <w:rPr>
                <w:color w:val="auto"/>
              </w:rPr>
              <w:t>3.2</w:t>
            </w:r>
          </w:p>
        </w:tc>
        <w:tc>
          <w:tcPr>
            <w:tcW w:w="267" w:type="pct"/>
            <w:tcMar>
              <w:top w:w="0" w:type="dxa"/>
              <w:left w:w="0" w:type="dxa"/>
              <w:bottom w:w="0" w:type="dxa"/>
              <w:right w:w="0" w:type="dxa"/>
            </w:tcMar>
            <w:vAlign w:val="center"/>
          </w:tcPr>
          <w:p>
            <w:pPr>
              <w:pStyle w:val="182"/>
              <w:bidi w:val="0"/>
              <w:rPr>
                <w:color w:val="auto"/>
              </w:rPr>
            </w:pPr>
            <w:r>
              <w:rPr>
                <w:color w:val="auto"/>
              </w:rPr>
              <w:t>2.0</w:t>
            </w:r>
          </w:p>
        </w:tc>
        <w:tc>
          <w:tcPr>
            <w:tcW w:w="355" w:type="pct"/>
            <w:tcMar>
              <w:top w:w="0" w:type="dxa"/>
              <w:left w:w="0" w:type="dxa"/>
              <w:bottom w:w="0" w:type="dxa"/>
              <w:right w:w="0" w:type="dxa"/>
            </w:tcMar>
            <w:vAlign w:val="center"/>
          </w:tcPr>
          <w:p>
            <w:pPr>
              <w:pStyle w:val="182"/>
              <w:bidi w:val="0"/>
              <w:rPr>
                <w:color w:val="auto"/>
              </w:rPr>
            </w:pPr>
            <w:r>
              <w:rPr>
                <w:color w:val="auto"/>
              </w:rPr>
              <w:t>1.4</w:t>
            </w:r>
          </w:p>
        </w:tc>
        <w:tc>
          <w:tcPr>
            <w:tcW w:w="295" w:type="pct"/>
            <w:tcMar>
              <w:top w:w="0" w:type="dxa"/>
              <w:left w:w="0" w:type="dxa"/>
              <w:bottom w:w="0" w:type="dxa"/>
              <w:right w:w="0" w:type="dxa"/>
            </w:tcMar>
            <w:vAlign w:val="center"/>
          </w:tcPr>
          <w:p>
            <w:pPr>
              <w:pStyle w:val="182"/>
              <w:bidi w:val="0"/>
              <w:rPr>
                <w:color w:val="auto"/>
              </w:rPr>
            </w:pPr>
            <w:r>
              <w:rPr>
                <w:color w:val="auto"/>
              </w:rPr>
              <w:t>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4</w:t>
            </w:r>
          </w:p>
        </w:tc>
        <w:tc>
          <w:tcPr>
            <w:tcW w:w="188" w:type="pct"/>
            <w:tcMar>
              <w:top w:w="0" w:type="dxa"/>
              <w:left w:w="0" w:type="dxa"/>
              <w:bottom w:w="0" w:type="dxa"/>
              <w:right w:w="0" w:type="dxa"/>
            </w:tcMar>
            <w:vAlign w:val="center"/>
          </w:tcPr>
          <w:p>
            <w:pPr>
              <w:pStyle w:val="182"/>
              <w:bidi w:val="0"/>
              <w:rPr>
                <w:color w:val="auto"/>
              </w:rPr>
            </w:pPr>
            <w:r>
              <w:rPr>
                <w:color w:val="auto"/>
              </w:rPr>
              <w:t>1.0</w:t>
            </w:r>
          </w:p>
        </w:tc>
        <w:tc>
          <w:tcPr>
            <w:tcW w:w="305" w:type="pct"/>
            <w:tcMar>
              <w:top w:w="0" w:type="dxa"/>
              <w:left w:w="0" w:type="dxa"/>
              <w:bottom w:w="0" w:type="dxa"/>
              <w:right w:w="0" w:type="dxa"/>
            </w:tcMar>
            <w:vAlign w:val="center"/>
          </w:tcPr>
          <w:p>
            <w:pPr>
              <w:pStyle w:val="182"/>
              <w:bidi w:val="0"/>
              <w:rPr>
                <w:color w:val="auto"/>
              </w:rPr>
            </w:pPr>
            <w:r>
              <w:rPr>
                <w:color w:val="auto"/>
              </w:rPr>
              <w:t>1.5</w:t>
            </w:r>
          </w:p>
        </w:tc>
        <w:tc>
          <w:tcPr>
            <w:tcW w:w="261" w:type="pct"/>
            <w:tcMar>
              <w:top w:w="0" w:type="dxa"/>
              <w:left w:w="0" w:type="dxa"/>
              <w:bottom w:w="0" w:type="dxa"/>
              <w:right w:w="0" w:type="dxa"/>
            </w:tcMar>
            <w:vAlign w:val="center"/>
          </w:tcPr>
          <w:p>
            <w:pPr>
              <w:pStyle w:val="182"/>
              <w:bidi w:val="0"/>
              <w:rPr>
                <w:color w:val="auto"/>
              </w:rPr>
            </w:pPr>
            <w:r>
              <w:rPr>
                <w:color w:val="auto"/>
              </w:rPr>
              <w:t>11.8</w:t>
            </w:r>
          </w:p>
        </w:tc>
        <w:tc>
          <w:tcPr>
            <w:tcW w:w="288" w:type="pct"/>
            <w:tcMar>
              <w:top w:w="0" w:type="dxa"/>
              <w:left w:w="0" w:type="dxa"/>
              <w:bottom w:w="0" w:type="dxa"/>
              <w:right w:w="0" w:type="dxa"/>
            </w:tcMar>
            <w:vAlign w:val="center"/>
          </w:tcPr>
          <w:p>
            <w:pPr>
              <w:pStyle w:val="182"/>
              <w:bidi w:val="0"/>
              <w:rPr>
                <w:color w:val="auto"/>
              </w:rPr>
            </w:pPr>
            <w:r>
              <w:rPr>
                <w:color w:val="auto"/>
              </w:rPr>
              <w:t>14.7</w:t>
            </w:r>
          </w:p>
        </w:tc>
        <w:tc>
          <w:tcPr>
            <w:tcW w:w="261" w:type="pct"/>
            <w:tcMar>
              <w:top w:w="0" w:type="dxa"/>
              <w:left w:w="0" w:type="dxa"/>
              <w:bottom w:w="0" w:type="dxa"/>
              <w:right w:w="0" w:type="dxa"/>
            </w:tcMar>
            <w:vAlign w:val="center"/>
          </w:tcPr>
          <w:p>
            <w:pPr>
              <w:pStyle w:val="182"/>
              <w:bidi w:val="0"/>
              <w:rPr>
                <w:color w:val="auto"/>
              </w:rPr>
            </w:pPr>
            <w:r>
              <w:rPr>
                <w:color w:val="auto"/>
              </w:rPr>
              <w:t>8.9</w:t>
            </w:r>
          </w:p>
        </w:tc>
        <w:tc>
          <w:tcPr>
            <w:tcW w:w="265" w:type="pct"/>
            <w:tcMar>
              <w:top w:w="0" w:type="dxa"/>
              <w:left w:w="0" w:type="dxa"/>
              <w:bottom w:w="0" w:type="dxa"/>
              <w:right w:w="0" w:type="dxa"/>
            </w:tcMar>
            <w:vAlign w:val="center"/>
          </w:tcPr>
          <w:p>
            <w:pPr>
              <w:pStyle w:val="182"/>
              <w:bidi w:val="0"/>
              <w:rPr>
                <w:color w:val="auto"/>
              </w:rPr>
            </w:pPr>
            <w:r>
              <w:rPr>
                <w:color w:val="auto"/>
              </w:rPr>
              <w:t>4.6</w:t>
            </w:r>
          </w:p>
        </w:tc>
        <w:tc>
          <w:tcPr>
            <w:tcW w:w="188" w:type="pct"/>
            <w:tcMar>
              <w:top w:w="0" w:type="dxa"/>
              <w:left w:w="0" w:type="dxa"/>
              <w:bottom w:w="0" w:type="dxa"/>
              <w:right w:w="0" w:type="dxa"/>
            </w:tcMar>
            <w:vAlign w:val="center"/>
          </w:tcPr>
          <w:p>
            <w:pPr>
              <w:pStyle w:val="182"/>
              <w:bidi w:val="0"/>
              <w:rPr>
                <w:color w:val="auto"/>
              </w:rPr>
            </w:pPr>
            <w:r>
              <w:rPr>
                <w:color w:val="auto"/>
              </w:rPr>
              <w:t>2.9</w:t>
            </w:r>
          </w:p>
        </w:tc>
        <w:tc>
          <w:tcPr>
            <w:tcW w:w="257" w:type="pct"/>
            <w:tcMar>
              <w:top w:w="0" w:type="dxa"/>
              <w:left w:w="0" w:type="dxa"/>
              <w:bottom w:w="0" w:type="dxa"/>
              <w:right w:w="0" w:type="dxa"/>
            </w:tcMar>
            <w:vAlign w:val="center"/>
          </w:tcPr>
          <w:p>
            <w:pPr>
              <w:pStyle w:val="182"/>
              <w:bidi w:val="0"/>
              <w:rPr>
                <w:color w:val="auto"/>
              </w:rPr>
            </w:pPr>
            <w:r>
              <w:rPr>
                <w:color w:val="auto"/>
              </w:rPr>
              <w:t>2.9</w:t>
            </w:r>
          </w:p>
        </w:tc>
        <w:tc>
          <w:tcPr>
            <w:tcW w:w="255" w:type="pct"/>
            <w:tcMar>
              <w:top w:w="0" w:type="dxa"/>
              <w:left w:w="0" w:type="dxa"/>
              <w:bottom w:w="0" w:type="dxa"/>
              <w:right w:w="0" w:type="dxa"/>
            </w:tcMar>
            <w:vAlign w:val="center"/>
          </w:tcPr>
          <w:p>
            <w:pPr>
              <w:pStyle w:val="182"/>
              <w:bidi w:val="0"/>
              <w:rPr>
                <w:color w:val="auto"/>
              </w:rPr>
            </w:pPr>
            <w:r>
              <w:rPr>
                <w:color w:val="auto"/>
              </w:rPr>
              <w:t>10.0</w:t>
            </w:r>
          </w:p>
        </w:tc>
        <w:tc>
          <w:tcPr>
            <w:tcW w:w="305" w:type="pct"/>
            <w:tcMar>
              <w:top w:w="0" w:type="dxa"/>
              <w:left w:w="0" w:type="dxa"/>
              <w:bottom w:w="0" w:type="dxa"/>
              <w:right w:w="0" w:type="dxa"/>
            </w:tcMar>
            <w:vAlign w:val="center"/>
          </w:tcPr>
          <w:p>
            <w:pPr>
              <w:pStyle w:val="182"/>
              <w:bidi w:val="0"/>
              <w:rPr>
                <w:color w:val="auto"/>
              </w:rPr>
            </w:pPr>
            <w:r>
              <w:rPr>
                <w:color w:val="auto"/>
              </w:rPr>
              <w:t>11.7</w:t>
            </w:r>
          </w:p>
        </w:tc>
        <w:tc>
          <w:tcPr>
            <w:tcW w:w="255" w:type="pct"/>
            <w:tcMar>
              <w:top w:w="0" w:type="dxa"/>
              <w:left w:w="0" w:type="dxa"/>
              <w:bottom w:w="0" w:type="dxa"/>
              <w:right w:w="0" w:type="dxa"/>
            </w:tcMar>
            <w:vAlign w:val="center"/>
          </w:tcPr>
          <w:p>
            <w:pPr>
              <w:pStyle w:val="182"/>
              <w:bidi w:val="0"/>
              <w:rPr>
                <w:color w:val="auto"/>
              </w:rPr>
            </w:pPr>
            <w:r>
              <w:rPr>
                <w:color w:val="auto"/>
              </w:rPr>
              <w:t>10.8</w:t>
            </w:r>
          </w:p>
        </w:tc>
        <w:tc>
          <w:tcPr>
            <w:tcW w:w="362" w:type="pct"/>
            <w:tcMar>
              <w:top w:w="0" w:type="dxa"/>
              <w:left w:w="0" w:type="dxa"/>
              <w:bottom w:w="0" w:type="dxa"/>
              <w:right w:w="0" w:type="dxa"/>
            </w:tcMar>
            <w:vAlign w:val="center"/>
          </w:tcPr>
          <w:p>
            <w:pPr>
              <w:pStyle w:val="182"/>
              <w:bidi w:val="0"/>
              <w:rPr>
                <w:color w:val="auto"/>
              </w:rPr>
            </w:pPr>
            <w:r>
              <w:rPr>
                <w:color w:val="auto"/>
              </w:rPr>
              <w:t>4.5</w:t>
            </w:r>
          </w:p>
        </w:tc>
        <w:tc>
          <w:tcPr>
            <w:tcW w:w="207" w:type="pct"/>
            <w:tcMar>
              <w:top w:w="0" w:type="dxa"/>
              <w:left w:w="0" w:type="dxa"/>
              <w:bottom w:w="0" w:type="dxa"/>
              <w:right w:w="0" w:type="dxa"/>
            </w:tcMar>
            <w:vAlign w:val="center"/>
          </w:tcPr>
          <w:p>
            <w:pPr>
              <w:pStyle w:val="182"/>
              <w:bidi w:val="0"/>
              <w:rPr>
                <w:color w:val="auto"/>
              </w:rPr>
            </w:pPr>
            <w:r>
              <w:rPr>
                <w:color w:val="auto"/>
              </w:rPr>
              <w:t>3.9</w:t>
            </w:r>
          </w:p>
        </w:tc>
        <w:tc>
          <w:tcPr>
            <w:tcW w:w="387" w:type="pct"/>
            <w:tcMar>
              <w:top w:w="0" w:type="dxa"/>
              <w:left w:w="0" w:type="dxa"/>
              <w:bottom w:w="0" w:type="dxa"/>
              <w:right w:w="0" w:type="dxa"/>
            </w:tcMar>
            <w:vAlign w:val="center"/>
          </w:tcPr>
          <w:p>
            <w:pPr>
              <w:pStyle w:val="182"/>
              <w:bidi w:val="0"/>
              <w:rPr>
                <w:color w:val="auto"/>
              </w:rPr>
            </w:pPr>
            <w:r>
              <w:rPr>
                <w:color w:val="auto"/>
              </w:rPr>
              <w:t>2.3</w:t>
            </w:r>
          </w:p>
        </w:tc>
        <w:tc>
          <w:tcPr>
            <w:tcW w:w="267" w:type="pct"/>
            <w:tcMar>
              <w:top w:w="0" w:type="dxa"/>
              <w:left w:w="0" w:type="dxa"/>
              <w:bottom w:w="0" w:type="dxa"/>
              <w:right w:w="0" w:type="dxa"/>
            </w:tcMar>
            <w:vAlign w:val="center"/>
          </w:tcPr>
          <w:p>
            <w:pPr>
              <w:pStyle w:val="182"/>
              <w:bidi w:val="0"/>
              <w:rPr>
                <w:color w:val="auto"/>
              </w:rPr>
            </w:pPr>
            <w:r>
              <w:rPr>
                <w:color w:val="auto"/>
              </w:rPr>
              <w:t>1.5</w:t>
            </w:r>
          </w:p>
        </w:tc>
        <w:tc>
          <w:tcPr>
            <w:tcW w:w="355" w:type="pct"/>
            <w:tcMar>
              <w:top w:w="0" w:type="dxa"/>
              <w:left w:w="0" w:type="dxa"/>
              <w:bottom w:w="0" w:type="dxa"/>
              <w:right w:w="0" w:type="dxa"/>
            </w:tcMar>
            <w:vAlign w:val="center"/>
          </w:tcPr>
          <w:p>
            <w:pPr>
              <w:pStyle w:val="182"/>
              <w:bidi w:val="0"/>
              <w:rPr>
                <w:color w:val="auto"/>
              </w:rPr>
            </w:pPr>
            <w:r>
              <w:rPr>
                <w:color w:val="auto"/>
              </w:rPr>
              <w:t>0.8</w:t>
            </w:r>
          </w:p>
        </w:tc>
        <w:tc>
          <w:tcPr>
            <w:tcW w:w="295" w:type="pct"/>
            <w:tcMar>
              <w:top w:w="0" w:type="dxa"/>
              <w:left w:w="0" w:type="dxa"/>
              <w:bottom w:w="0" w:type="dxa"/>
              <w:right w:w="0" w:type="dxa"/>
            </w:tcMar>
            <w:vAlign w:val="center"/>
          </w:tcPr>
          <w:p>
            <w:pPr>
              <w:pStyle w:val="182"/>
              <w:bidi w:val="0"/>
              <w:rPr>
                <w:color w:val="auto"/>
              </w:rPr>
            </w:pPr>
            <w:r>
              <w:rPr>
                <w:color w:val="auto"/>
              </w:rPr>
              <w:t>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5</w:t>
            </w:r>
          </w:p>
        </w:tc>
        <w:tc>
          <w:tcPr>
            <w:tcW w:w="188" w:type="pct"/>
            <w:tcMar>
              <w:top w:w="0" w:type="dxa"/>
              <w:left w:w="0" w:type="dxa"/>
              <w:bottom w:w="0" w:type="dxa"/>
              <w:right w:w="0" w:type="dxa"/>
            </w:tcMar>
            <w:vAlign w:val="center"/>
          </w:tcPr>
          <w:p>
            <w:pPr>
              <w:pStyle w:val="182"/>
              <w:bidi w:val="0"/>
              <w:rPr>
                <w:color w:val="auto"/>
              </w:rPr>
            </w:pPr>
            <w:r>
              <w:rPr>
                <w:color w:val="auto"/>
              </w:rPr>
              <w:t>1.0</w:t>
            </w:r>
          </w:p>
        </w:tc>
        <w:tc>
          <w:tcPr>
            <w:tcW w:w="305" w:type="pct"/>
            <w:tcMar>
              <w:top w:w="0" w:type="dxa"/>
              <w:left w:w="0" w:type="dxa"/>
              <w:bottom w:w="0" w:type="dxa"/>
              <w:right w:w="0" w:type="dxa"/>
            </w:tcMar>
            <w:vAlign w:val="center"/>
          </w:tcPr>
          <w:p>
            <w:pPr>
              <w:pStyle w:val="182"/>
              <w:bidi w:val="0"/>
              <w:rPr>
                <w:color w:val="auto"/>
              </w:rPr>
            </w:pPr>
            <w:r>
              <w:rPr>
                <w:color w:val="auto"/>
              </w:rPr>
              <w:t>1.3</w:t>
            </w:r>
          </w:p>
        </w:tc>
        <w:tc>
          <w:tcPr>
            <w:tcW w:w="261" w:type="pct"/>
            <w:tcMar>
              <w:top w:w="0" w:type="dxa"/>
              <w:left w:w="0" w:type="dxa"/>
              <w:bottom w:w="0" w:type="dxa"/>
              <w:right w:w="0" w:type="dxa"/>
            </w:tcMar>
            <w:vAlign w:val="center"/>
          </w:tcPr>
          <w:p>
            <w:pPr>
              <w:pStyle w:val="182"/>
              <w:bidi w:val="0"/>
              <w:rPr>
                <w:color w:val="auto"/>
              </w:rPr>
            </w:pPr>
            <w:r>
              <w:rPr>
                <w:color w:val="auto"/>
              </w:rPr>
              <w:t>9.4</w:t>
            </w:r>
          </w:p>
        </w:tc>
        <w:tc>
          <w:tcPr>
            <w:tcW w:w="288" w:type="pct"/>
            <w:tcMar>
              <w:top w:w="0" w:type="dxa"/>
              <w:left w:w="0" w:type="dxa"/>
              <w:bottom w:w="0" w:type="dxa"/>
              <w:right w:w="0" w:type="dxa"/>
            </w:tcMar>
            <w:vAlign w:val="center"/>
          </w:tcPr>
          <w:p>
            <w:pPr>
              <w:pStyle w:val="182"/>
              <w:bidi w:val="0"/>
              <w:rPr>
                <w:color w:val="auto"/>
              </w:rPr>
            </w:pPr>
            <w:r>
              <w:rPr>
                <w:color w:val="auto"/>
              </w:rPr>
              <w:t>13.8</w:t>
            </w:r>
          </w:p>
        </w:tc>
        <w:tc>
          <w:tcPr>
            <w:tcW w:w="261" w:type="pct"/>
            <w:tcMar>
              <w:top w:w="0" w:type="dxa"/>
              <w:left w:w="0" w:type="dxa"/>
              <w:bottom w:w="0" w:type="dxa"/>
              <w:right w:w="0" w:type="dxa"/>
            </w:tcMar>
            <w:vAlign w:val="center"/>
          </w:tcPr>
          <w:p>
            <w:pPr>
              <w:pStyle w:val="182"/>
              <w:bidi w:val="0"/>
              <w:rPr>
                <w:color w:val="auto"/>
              </w:rPr>
            </w:pPr>
            <w:r>
              <w:rPr>
                <w:color w:val="auto"/>
              </w:rPr>
              <w:t>9.6</w:t>
            </w:r>
          </w:p>
        </w:tc>
        <w:tc>
          <w:tcPr>
            <w:tcW w:w="265" w:type="pct"/>
            <w:tcMar>
              <w:top w:w="0" w:type="dxa"/>
              <w:left w:w="0" w:type="dxa"/>
              <w:bottom w:w="0" w:type="dxa"/>
              <w:right w:w="0" w:type="dxa"/>
            </w:tcMar>
            <w:vAlign w:val="center"/>
          </w:tcPr>
          <w:p>
            <w:pPr>
              <w:pStyle w:val="182"/>
              <w:bidi w:val="0"/>
              <w:rPr>
                <w:color w:val="auto"/>
              </w:rPr>
            </w:pPr>
            <w:r>
              <w:rPr>
                <w:color w:val="auto"/>
              </w:rPr>
              <w:t>4.7</w:t>
            </w:r>
          </w:p>
        </w:tc>
        <w:tc>
          <w:tcPr>
            <w:tcW w:w="188" w:type="pct"/>
            <w:tcMar>
              <w:top w:w="0" w:type="dxa"/>
              <w:left w:w="0" w:type="dxa"/>
              <w:bottom w:w="0" w:type="dxa"/>
              <w:right w:w="0" w:type="dxa"/>
            </w:tcMar>
            <w:vAlign w:val="center"/>
          </w:tcPr>
          <w:p>
            <w:pPr>
              <w:pStyle w:val="182"/>
              <w:bidi w:val="0"/>
              <w:rPr>
                <w:color w:val="auto"/>
              </w:rPr>
            </w:pPr>
            <w:r>
              <w:rPr>
                <w:color w:val="auto"/>
              </w:rPr>
              <w:t>3.5</w:t>
            </w:r>
          </w:p>
        </w:tc>
        <w:tc>
          <w:tcPr>
            <w:tcW w:w="257" w:type="pct"/>
            <w:tcMar>
              <w:top w:w="0" w:type="dxa"/>
              <w:left w:w="0" w:type="dxa"/>
              <w:bottom w:w="0" w:type="dxa"/>
              <w:right w:w="0" w:type="dxa"/>
            </w:tcMar>
            <w:vAlign w:val="center"/>
          </w:tcPr>
          <w:p>
            <w:pPr>
              <w:pStyle w:val="182"/>
              <w:bidi w:val="0"/>
              <w:rPr>
                <w:color w:val="auto"/>
              </w:rPr>
            </w:pPr>
            <w:r>
              <w:rPr>
                <w:color w:val="auto"/>
              </w:rPr>
              <w:t>3.4</w:t>
            </w:r>
          </w:p>
        </w:tc>
        <w:tc>
          <w:tcPr>
            <w:tcW w:w="255" w:type="pct"/>
            <w:tcMar>
              <w:top w:w="0" w:type="dxa"/>
              <w:left w:w="0" w:type="dxa"/>
              <w:bottom w:w="0" w:type="dxa"/>
              <w:right w:w="0" w:type="dxa"/>
            </w:tcMar>
            <w:vAlign w:val="center"/>
          </w:tcPr>
          <w:p>
            <w:pPr>
              <w:pStyle w:val="182"/>
              <w:bidi w:val="0"/>
              <w:rPr>
                <w:color w:val="auto"/>
              </w:rPr>
            </w:pPr>
            <w:r>
              <w:rPr>
                <w:color w:val="auto"/>
              </w:rPr>
              <w:t>9.5</w:t>
            </w:r>
          </w:p>
        </w:tc>
        <w:tc>
          <w:tcPr>
            <w:tcW w:w="305" w:type="pct"/>
            <w:tcMar>
              <w:top w:w="0" w:type="dxa"/>
              <w:left w:w="0" w:type="dxa"/>
              <w:bottom w:w="0" w:type="dxa"/>
              <w:right w:w="0" w:type="dxa"/>
            </w:tcMar>
            <w:vAlign w:val="center"/>
          </w:tcPr>
          <w:p>
            <w:pPr>
              <w:pStyle w:val="182"/>
              <w:bidi w:val="0"/>
              <w:rPr>
                <w:color w:val="auto"/>
              </w:rPr>
            </w:pPr>
            <w:r>
              <w:rPr>
                <w:color w:val="auto"/>
              </w:rPr>
              <w:t>11.4</w:t>
            </w:r>
          </w:p>
        </w:tc>
        <w:tc>
          <w:tcPr>
            <w:tcW w:w="255" w:type="pct"/>
            <w:tcMar>
              <w:top w:w="0" w:type="dxa"/>
              <w:left w:w="0" w:type="dxa"/>
              <w:bottom w:w="0" w:type="dxa"/>
              <w:right w:w="0" w:type="dxa"/>
            </w:tcMar>
            <w:vAlign w:val="center"/>
          </w:tcPr>
          <w:p>
            <w:pPr>
              <w:pStyle w:val="182"/>
              <w:bidi w:val="0"/>
              <w:rPr>
                <w:color w:val="auto"/>
              </w:rPr>
            </w:pPr>
            <w:r>
              <w:rPr>
                <w:color w:val="auto"/>
              </w:rPr>
              <w:t>10.8</w:t>
            </w:r>
          </w:p>
        </w:tc>
        <w:tc>
          <w:tcPr>
            <w:tcW w:w="362" w:type="pct"/>
            <w:tcMar>
              <w:top w:w="0" w:type="dxa"/>
              <w:left w:w="0" w:type="dxa"/>
              <w:bottom w:w="0" w:type="dxa"/>
              <w:right w:w="0" w:type="dxa"/>
            </w:tcMar>
            <w:vAlign w:val="center"/>
          </w:tcPr>
          <w:p>
            <w:pPr>
              <w:pStyle w:val="182"/>
              <w:bidi w:val="0"/>
              <w:rPr>
                <w:color w:val="auto"/>
              </w:rPr>
            </w:pPr>
            <w:r>
              <w:rPr>
                <w:color w:val="auto"/>
              </w:rPr>
              <w:t>4.8</w:t>
            </w:r>
          </w:p>
        </w:tc>
        <w:tc>
          <w:tcPr>
            <w:tcW w:w="207" w:type="pct"/>
            <w:tcMar>
              <w:top w:w="0" w:type="dxa"/>
              <w:left w:w="0" w:type="dxa"/>
              <w:bottom w:w="0" w:type="dxa"/>
              <w:right w:w="0" w:type="dxa"/>
            </w:tcMar>
            <w:vAlign w:val="center"/>
          </w:tcPr>
          <w:p>
            <w:pPr>
              <w:pStyle w:val="182"/>
              <w:bidi w:val="0"/>
              <w:rPr>
                <w:color w:val="auto"/>
              </w:rPr>
            </w:pPr>
            <w:r>
              <w:rPr>
                <w:color w:val="auto"/>
              </w:rPr>
              <w:t>5.2</w:t>
            </w:r>
          </w:p>
        </w:tc>
        <w:tc>
          <w:tcPr>
            <w:tcW w:w="387" w:type="pct"/>
            <w:tcMar>
              <w:top w:w="0" w:type="dxa"/>
              <w:left w:w="0" w:type="dxa"/>
              <w:bottom w:w="0" w:type="dxa"/>
              <w:right w:w="0" w:type="dxa"/>
            </w:tcMar>
            <w:vAlign w:val="center"/>
          </w:tcPr>
          <w:p>
            <w:pPr>
              <w:pStyle w:val="182"/>
              <w:bidi w:val="0"/>
              <w:rPr>
                <w:color w:val="auto"/>
              </w:rPr>
            </w:pPr>
            <w:r>
              <w:rPr>
                <w:color w:val="auto"/>
              </w:rPr>
              <w:t>2.0</w:t>
            </w:r>
          </w:p>
        </w:tc>
        <w:tc>
          <w:tcPr>
            <w:tcW w:w="267" w:type="pct"/>
            <w:tcMar>
              <w:top w:w="0" w:type="dxa"/>
              <w:left w:w="0" w:type="dxa"/>
              <w:bottom w:w="0" w:type="dxa"/>
              <w:right w:w="0" w:type="dxa"/>
            </w:tcMar>
            <w:vAlign w:val="center"/>
          </w:tcPr>
          <w:p>
            <w:pPr>
              <w:pStyle w:val="182"/>
              <w:bidi w:val="0"/>
              <w:rPr>
                <w:color w:val="auto"/>
              </w:rPr>
            </w:pPr>
            <w:r>
              <w:rPr>
                <w:color w:val="auto"/>
              </w:rPr>
              <w:t>1.8</w:t>
            </w:r>
          </w:p>
        </w:tc>
        <w:tc>
          <w:tcPr>
            <w:tcW w:w="355" w:type="pct"/>
            <w:tcMar>
              <w:top w:w="0" w:type="dxa"/>
              <w:left w:w="0" w:type="dxa"/>
              <w:bottom w:w="0" w:type="dxa"/>
              <w:right w:w="0" w:type="dxa"/>
            </w:tcMar>
            <w:vAlign w:val="center"/>
          </w:tcPr>
          <w:p>
            <w:pPr>
              <w:pStyle w:val="182"/>
              <w:bidi w:val="0"/>
              <w:rPr>
                <w:color w:val="auto"/>
              </w:rPr>
            </w:pPr>
            <w:r>
              <w:rPr>
                <w:color w:val="auto"/>
              </w:rPr>
              <w:t>1.0</w:t>
            </w:r>
          </w:p>
        </w:tc>
        <w:tc>
          <w:tcPr>
            <w:tcW w:w="295" w:type="pct"/>
            <w:tcMar>
              <w:top w:w="0" w:type="dxa"/>
              <w:left w:w="0" w:type="dxa"/>
              <w:bottom w:w="0" w:type="dxa"/>
              <w:right w:w="0" w:type="dxa"/>
            </w:tcMar>
            <w:vAlign w:val="center"/>
          </w:tcPr>
          <w:p>
            <w:pPr>
              <w:pStyle w:val="182"/>
              <w:bidi w:val="0"/>
              <w:rPr>
                <w:color w:val="auto"/>
              </w:rPr>
            </w:pPr>
            <w:r>
              <w:rPr>
                <w:color w:val="auto"/>
              </w:rPr>
              <w:t>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6</w:t>
            </w:r>
          </w:p>
        </w:tc>
        <w:tc>
          <w:tcPr>
            <w:tcW w:w="188" w:type="pct"/>
            <w:tcMar>
              <w:top w:w="0" w:type="dxa"/>
              <w:left w:w="0" w:type="dxa"/>
              <w:bottom w:w="0" w:type="dxa"/>
              <w:right w:w="0" w:type="dxa"/>
            </w:tcMar>
            <w:vAlign w:val="center"/>
          </w:tcPr>
          <w:p>
            <w:pPr>
              <w:pStyle w:val="182"/>
              <w:bidi w:val="0"/>
              <w:rPr>
                <w:color w:val="auto"/>
              </w:rPr>
            </w:pPr>
            <w:r>
              <w:rPr>
                <w:color w:val="auto"/>
              </w:rPr>
              <w:t>1.6</w:t>
            </w:r>
          </w:p>
        </w:tc>
        <w:tc>
          <w:tcPr>
            <w:tcW w:w="305" w:type="pct"/>
            <w:tcMar>
              <w:top w:w="0" w:type="dxa"/>
              <w:left w:w="0" w:type="dxa"/>
              <w:bottom w:w="0" w:type="dxa"/>
              <w:right w:w="0" w:type="dxa"/>
            </w:tcMar>
            <w:vAlign w:val="center"/>
          </w:tcPr>
          <w:p>
            <w:pPr>
              <w:pStyle w:val="182"/>
              <w:bidi w:val="0"/>
              <w:rPr>
                <w:color w:val="auto"/>
              </w:rPr>
            </w:pPr>
            <w:r>
              <w:rPr>
                <w:color w:val="auto"/>
              </w:rPr>
              <w:t>1.2</w:t>
            </w:r>
          </w:p>
        </w:tc>
        <w:tc>
          <w:tcPr>
            <w:tcW w:w="261" w:type="pct"/>
            <w:tcMar>
              <w:top w:w="0" w:type="dxa"/>
              <w:left w:w="0" w:type="dxa"/>
              <w:bottom w:w="0" w:type="dxa"/>
              <w:right w:w="0" w:type="dxa"/>
            </w:tcMar>
            <w:vAlign w:val="center"/>
          </w:tcPr>
          <w:p>
            <w:pPr>
              <w:pStyle w:val="182"/>
              <w:bidi w:val="0"/>
              <w:rPr>
                <w:color w:val="auto"/>
              </w:rPr>
            </w:pPr>
            <w:r>
              <w:rPr>
                <w:color w:val="auto"/>
              </w:rPr>
              <w:t>12.0</w:t>
            </w:r>
          </w:p>
        </w:tc>
        <w:tc>
          <w:tcPr>
            <w:tcW w:w="288" w:type="pct"/>
            <w:tcMar>
              <w:top w:w="0" w:type="dxa"/>
              <w:left w:w="0" w:type="dxa"/>
              <w:bottom w:w="0" w:type="dxa"/>
              <w:right w:w="0" w:type="dxa"/>
            </w:tcMar>
            <w:vAlign w:val="center"/>
          </w:tcPr>
          <w:p>
            <w:pPr>
              <w:pStyle w:val="182"/>
              <w:bidi w:val="0"/>
              <w:rPr>
                <w:color w:val="auto"/>
              </w:rPr>
            </w:pPr>
            <w:r>
              <w:rPr>
                <w:color w:val="auto"/>
              </w:rPr>
              <w:t>14.2</w:t>
            </w:r>
          </w:p>
        </w:tc>
        <w:tc>
          <w:tcPr>
            <w:tcW w:w="261" w:type="pct"/>
            <w:tcMar>
              <w:top w:w="0" w:type="dxa"/>
              <w:left w:w="0" w:type="dxa"/>
              <w:bottom w:w="0" w:type="dxa"/>
              <w:right w:w="0" w:type="dxa"/>
            </w:tcMar>
            <w:vAlign w:val="center"/>
          </w:tcPr>
          <w:p>
            <w:pPr>
              <w:pStyle w:val="182"/>
              <w:bidi w:val="0"/>
              <w:rPr>
                <w:color w:val="auto"/>
              </w:rPr>
            </w:pPr>
            <w:r>
              <w:rPr>
                <w:color w:val="auto"/>
              </w:rPr>
              <w:t>10.4</w:t>
            </w:r>
          </w:p>
        </w:tc>
        <w:tc>
          <w:tcPr>
            <w:tcW w:w="265" w:type="pct"/>
            <w:tcMar>
              <w:top w:w="0" w:type="dxa"/>
              <w:left w:w="0" w:type="dxa"/>
              <w:bottom w:w="0" w:type="dxa"/>
              <w:right w:w="0" w:type="dxa"/>
            </w:tcMar>
            <w:vAlign w:val="center"/>
          </w:tcPr>
          <w:p>
            <w:pPr>
              <w:pStyle w:val="182"/>
              <w:bidi w:val="0"/>
              <w:rPr>
                <w:color w:val="auto"/>
              </w:rPr>
            </w:pPr>
            <w:r>
              <w:rPr>
                <w:color w:val="auto"/>
              </w:rPr>
              <w:t>6.2</w:t>
            </w:r>
          </w:p>
        </w:tc>
        <w:tc>
          <w:tcPr>
            <w:tcW w:w="188" w:type="pct"/>
            <w:tcMar>
              <w:top w:w="0" w:type="dxa"/>
              <w:left w:w="0" w:type="dxa"/>
              <w:bottom w:w="0" w:type="dxa"/>
              <w:right w:w="0" w:type="dxa"/>
            </w:tcMar>
            <w:vAlign w:val="center"/>
          </w:tcPr>
          <w:p>
            <w:pPr>
              <w:pStyle w:val="182"/>
              <w:bidi w:val="0"/>
              <w:rPr>
                <w:color w:val="auto"/>
              </w:rPr>
            </w:pPr>
            <w:r>
              <w:rPr>
                <w:color w:val="auto"/>
              </w:rPr>
              <w:t>3.8</w:t>
            </w:r>
          </w:p>
        </w:tc>
        <w:tc>
          <w:tcPr>
            <w:tcW w:w="257" w:type="pct"/>
            <w:tcMar>
              <w:top w:w="0" w:type="dxa"/>
              <w:left w:w="0" w:type="dxa"/>
              <w:bottom w:w="0" w:type="dxa"/>
              <w:right w:w="0" w:type="dxa"/>
            </w:tcMar>
            <w:vAlign w:val="center"/>
          </w:tcPr>
          <w:p>
            <w:pPr>
              <w:pStyle w:val="182"/>
              <w:bidi w:val="0"/>
              <w:rPr>
                <w:color w:val="auto"/>
              </w:rPr>
            </w:pPr>
            <w:r>
              <w:rPr>
                <w:color w:val="auto"/>
              </w:rPr>
              <w:t>4.6</w:t>
            </w:r>
          </w:p>
        </w:tc>
        <w:tc>
          <w:tcPr>
            <w:tcW w:w="255" w:type="pct"/>
            <w:tcMar>
              <w:top w:w="0" w:type="dxa"/>
              <w:left w:w="0" w:type="dxa"/>
              <w:bottom w:w="0" w:type="dxa"/>
              <w:right w:w="0" w:type="dxa"/>
            </w:tcMar>
            <w:vAlign w:val="center"/>
          </w:tcPr>
          <w:p>
            <w:pPr>
              <w:pStyle w:val="182"/>
              <w:bidi w:val="0"/>
              <w:rPr>
                <w:color w:val="auto"/>
              </w:rPr>
            </w:pPr>
            <w:r>
              <w:rPr>
                <w:color w:val="auto"/>
              </w:rPr>
              <w:t>11.1</w:t>
            </w:r>
          </w:p>
        </w:tc>
        <w:tc>
          <w:tcPr>
            <w:tcW w:w="305" w:type="pct"/>
            <w:tcMar>
              <w:top w:w="0" w:type="dxa"/>
              <w:left w:w="0" w:type="dxa"/>
              <w:bottom w:w="0" w:type="dxa"/>
              <w:right w:w="0" w:type="dxa"/>
            </w:tcMar>
            <w:vAlign w:val="center"/>
          </w:tcPr>
          <w:p>
            <w:pPr>
              <w:pStyle w:val="182"/>
              <w:bidi w:val="0"/>
              <w:rPr>
                <w:color w:val="auto"/>
              </w:rPr>
            </w:pPr>
            <w:r>
              <w:rPr>
                <w:color w:val="auto"/>
              </w:rPr>
              <w:t>10.2</w:t>
            </w:r>
          </w:p>
        </w:tc>
        <w:tc>
          <w:tcPr>
            <w:tcW w:w="255" w:type="pct"/>
            <w:tcMar>
              <w:top w:w="0" w:type="dxa"/>
              <w:left w:w="0" w:type="dxa"/>
              <w:bottom w:w="0" w:type="dxa"/>
              <w:right w:w="0" w:type="dxa"/>
            </w:tcMar>
            <w:vAlign w:val="center"/>
          </w:tcPr>
          <w:p>
            <w:pPr>
              <w:pStyle w:val="182"/>
              <w:bidi w:val="0"/>
              <w:rPr>
                <w:color w:val="auto"/>
              </w:rPr>
            </w:pPr>
            <w:r>
              <w:rPr>
                <w:color w:val="auto"/>
              </w:rPr>
              <w:t>7.8</w:t>
            </w:r>
          </w:p>
        </w:tc>
        <w:tc>
          <w:tcPr>
            <w:tcW w:w="362" w:type="pct"/>
            <w:tcMar>
              <w:top w:w="0" w:type="dxa"/>
              <w:left w:w="0" w:type="dxa"/>
              <w:bottom w:w="0" w:type="dxa"/>
              <w:right w:w="0" w:type="dxa"/>
            </w:tcMar>
            <w:vAlign w:val="center"/>
          </w:tcPr>
          <w:p>
            <w:pPr>
              <w:pStyle w:val="182"/>
              <w:bidi w:val="0"/>
              <w:rPr>
                <w:color w:val="auto"/>
              </w:rPr>
            </w:pPr>
            <w:r>
              <w:rPr>
                <w:color w:val="auto"/>
              </w:rPr>
              <w:t>3.1</w:t>
            </w:r>
          </w:p>
        </w:tc>
        <w:tc>
          <w:tcPr>
            <w:tcW w:w="207" w:type="pct"/>
            <w:tcMar>
              <w:top w:w="0" w:type="dxa"/>
              <w:left w:w="0" w:type="dxa"/>
              <w:bottom w:w="0" w:type="dxa"/>
              <w:right w:w="0" w:type="dxa"/>
            </w:tcMar>
            <w:vAlign w:val="center"/>
          </w:tcPr>
          <w:p>
            <w:pPr>
              <w:pStyle w:val="182"/>
              <w:bidi w:val="0"/>
              <w:rPr>
                <w:color w:val="auto"/>
              </w:rPr>
            </w:pPr>
            <w:r>
              <w:rPr>
                <w:color w:val="auto"/>
              </w:rPr>
              <w:t>2.1</w:t>
            </w:r>
          </w:p>
        </w:tc>
        <w:tc>
          <w:tcPr>
            <w:tcW w:w="387" w:type="pct"/>
            <w:tcMar>
              <w:top w:w="0" w:type="dxa"/>
              <w:left w:w="0" w:type="dxa"/>
              <w:bottom w:w="0" w:type="dxa"/>
              <w:right w:w="0" w:type="dxa"/>
            </w:tcMar>
            <w:vAlign w:val="center"/>
          </w:tcPr>
          <w:p>
            <w:pPr>
              <w:pStyle w:val="182"/>
              <w:bidi w:val="0"/>
              <w:rPr>
                <w:color w:val="auto"/>
              </w:rPr>
            </w:pPr>
            <w:r>
              <w:rPr>
                <w:color w:val="auto"/>
              </w:rPr>
              <w:t>1.6</w:t>
            </w:r>
          </w:p>
        </w:tc>
        <w:tc>
          <w:tcPr>
            <w:tcW w:w="267" w:type="pct"/>
            <w:tcMar>
              <w:top w:w="0" w:type="dxa"/>
              <w:left w:w="0" w:type="dxa"/>
              <w:bottom w:w="0" w:type="dxa"/>
              <w:right w:w="0" w:type="dxa"/>
            </w:tcMar>
            <w:vAlign w:val="center"/>
          </w:tcPr>
          <w:p>
            <w:pPr>
              <w:pStyle w:val="182"/>
              <w:bidi w:val="0"/>
              <w:rPr>
                <w:color w:val="auto"/>
              </w:rPr>
            </w:pPr>
            <w:r>
              <w:rPr>
                <w:color w:val="auto"/>
              </w:rPr>
              <w:t>1.9</w:t>
            </w:r>
          </w:p>
        </w:tc>
        <w:tc>
          <w:tcPr>
            <w:tcW w:w="355" w:type="pct"/>
            <w:tcMar>
              <w:top w:w="0" w:type="dxa"/>
              <w:left w:w="0" w:type="dxa"/>
              <w:bottom w:w="0" w:type="dxa"/>
              <w:right w:w="0" w:type="dxa"/>
            </w:tcMar>
            <w:vAlign w:val="center"/>
          </w:tcPr>
          <w:p>
            <w:pPr>
              <w:pStyle w:val="182"/>
              <w:bidi w:val="0"/>
              <w:rPr>
                <w:color w:val="auto"/>
              </w:rPr>
            </w:pPr>
            <w:r>
              <w:rPr>
                <w:color w:val="auto"/>
              </w:rPr>
              <w:t>1.0</w:t>
            </w:r>
          </w:p>
        </w:tc>
        <w:tc>
          <w:tcPr>
            <w:tcW w:w="295" w:type="pct"/>
            <w:tcMar>
              <w:top w:w="0" w:type="dxa"/>
              <w:left w:w="0" w:type="dxa"/>
              <w:bottom w:w="0" w:type="dxa"/>
              <w:right w:w="0" w:type="dxa"/>
            </w:tcMar>
            <w:vAlign w:val="center"/>
          </w:tcPr>
          <w:p>
            <w:pPr>
              <w:pStyle w:val="182"/>
              <w:bidi w:val="0"/>
              <w:rPr>
                <w:color w:val="auto"/>
              </w:rPr>
            </w:pPr>
            <w:r>
              <w:rPr>
                <w:color w:val="auto"/>
              </w:rPr>
              <w:t>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7</w:t>
            </w:r>
          </w:p>
        </w:tc>
        <w:tc>
          <w:tcPr>
            <w:tcW w:w="188" w:type="pct"/>
            <w:tcMar>
              <w:top w:w="0" w:type="dxa"/>
              <w:left w:w="0" w:type="dxa"/>
              <w:bottom w:w="0" w:type="dxa"/>
              <w:right w:w="0" w:type="dxa"/>
            </w:tcMar>
            <w:vAlign w:val="center"/>
          </w:tcPr>
          <w:p>
            <w:pPr>
              <w:pStyle w:val="182"/>
              <w:bidi w:val="0"/>
              <w:rPr>
                <w:color w:val="auto"/>
              </w:rPr>
            </w:pPr>
            <w:r>
              <w:rPr>
                <w:color w:val="auto"/>
              </w:rPr>
              <w:t>1.3</w:t>
            </w:r>
          </w:p>
        </w:tc>
        <w:tc>
          <w:tcPr>
            <w:tcW w:w="305" w:type="pct"/>
            <w:tcMar>
              <w:top w:w="0" w:type="dxa"/>
              <w:left w:w="0" w:type="dxa"/>
              <w:bottom w:w="0" w:type="dxa"/>
              <w:right w:w="0" w:type="dxa"/>
            </w:tcMar>
            <w:vAlign w:val="center"/>
          </w:tcPr>
          <w:p>
            <w:pPr>
              <w:pStyle w:val="182"/>
              <w:bidi w:val="0"/>
              <w:rPr>
                <w:color w:val="auto"/>
              </w:rPr>
            </w:pPr>
            <w:r>
              <w:rPr>
                <w:color w:val="auto"/>
              </w:rPr>
              <w:t>2.0</w:t>
            </w:r>
          </w:p>
        </w:tc>
        <w:tc>
          <w:tcPr>
            <w:tcW w:w="261" w:type="pct"/>
            <w:tcMar>
              <w:top w:w="0" w:type="dxa"/>
              <w:left w:w="0" w:type="dxa"/>
              <w:bottom w:w="0" w:type="dxa"/>
              <w:right w:w="0" w:type="dxa"/>
            </w:tcMar>
            <w:vAlign w:val="center"/>
          </w:tcPr>
          <w:p>
            <w:pPr>
              <w:pStyle w:val="182"/>
              <w:bidi w:val="0"/>
              <w:rPr>
                <w:color w:val="auto"/>
              </w:rPr>
            </w:pPr>
            <w:r>
              <w:rPr>
                <w:color w:val="auto"/>
              </w:rPr>
              <w:t>10.9</w:t>
            </w:r>
          </w:p>
        </w:tc>
        <w:tc>
          <w:tcPr>
            <w:tcW w:w="288" w:type="pct"/>
            <w:tcMar>
              <w:top w:w="0" w:type="dxa"/>
              <w:left w:w="0" w:type="dxa"/>
              <w:bottom w:w="0" w:type="dxa"/>
              <w:right w:w="0" w:type="dxa"/>
            </w:tcMar>
            <w:vAlign w:val="center"/>
          </w:tcPr>
          <w:p>
            <w:pPr>
              <w:pStyle w:val="182"/>
              <w:bidi w:val="0"/>
              <w:rPr>
                <w:color w:val="auto"/>
              </w:rPr>
            </w:pPr>
            <w:r>
              <w:rPr>
                <w:color w:val="auto"/>
              </w:rPr>
              <w:t>15.2</w:t>
            </w:r>
          </w:p>
        </w:tc>
        <w:tc>
          <w:tcPr>
            <w:tcW w:w="261" w:type="pct"/>
            <w:tcMar>
              <w:top w:w="0" w:type="dxa"/>
              <w:left w:w="0" w:type="dxa"/>
              <w:bottom w:w="0" w:type="dxa"/>
              <w:right w:w="0" w:type="dxa"/>
            </w:tcMar>
            <w:vAlign w:val="center"/>
          </w:tcPr>
          <w:p>
            <w:pPr>
              <w:pStyle w:val="182"/>
              <w:bidi w:val="0"/>
              <w:rPr>
                <w:color w:val="auto"/>
              </w:rPr>
            </w:pPr>
            <w:r>
              <w:rPr>
                <w:color w:val="auto"/>
              </w:rPr>
              <w:t>13.6</w:t>
            </w:r>
          </w:p>
        </w:tc>
        <w:tc>
          <w:tcPr>
            <w:tcW w:w="265" w:type="pct"/>
            <w:tcMar>
              <w:top w:w="0" w:type="dxa"/>
              <w:left w:w="0" w:type="dxa"/>
              <w:bottom w:w="0" w:type="dxa"/>
              <w:right w:w="0" w:type="dxa"/>
            </w:tcMar>
            <w:vAlign w:val="center"/>
          </w:tcPr>
          <w:p>
            <w:pPr>
              <w:pStyle w:val="182"/>
              <w:bidi w:val="0"/>
              <w:rPr>
                <w:color w:val="auto"/>
              </w:rPr>
            </w:pPr>
            <w:r>
              <w:rPr>
                <w:color w:val="auto"/>
              </w:rPr>
              <w:t>6.2</w:t>
            </w:r>
          </w:p>
        </w:tc>
        <w:tc>
          <w:tcPr>
            <w:tcW w:w="188" w:type="pct"/>
            <w:tcMar>
              <w:top w:w="0" w:type="dxa"/>
              <w:left w:w="0" w:type="dxa"/>
              <w:bottom w:w="0" w:type="dxa"/>
              <w:right w:w="0" w:type="dxa"/>
            </w:tcMar>
            <w:vAlign w:val="center"/>
          </w:tcPr>
          <w:p>
            <w:pPr>
              <w:pStyle w:val="182"/>
              <w:bidi w:val="0"/>
              <w:rPr>
                <w:color w:val="auto"/>
              </w:rPr>
            </w:pPr>
            <w:r>
              <w:rPr>
                <w:color w:val="auto"/>
              </w:rPr>
              <w:t>4.3</w:t>
            </w:r>
          </w:p>
        </w:tc>
        <w:tc>
          <w:tcPr>
            <w:tcW w:w="257" w:type="pct"/>
            <w:tcMar>
              <w:top w:w="0" w:type="dxa"/>
              <w:left w:w="0" w:type="dxa"/>
              <w:bottom w:w="0" w:type="dxa"/>
              <w:right w:w="0" w:type="dxa"/>
            </w:tcMar>
            <w:vAlign w:val="center"/>
          </w:tcPr>
          <w:p>
            <w:pPr>
              <w:pStyle w:val="182"/>
              <w:bidi w:val="0"/>
              <w:rPr>
                <w:color w:val="auto"/>
              </w:rPr>
            </w:pPr>
            <w:r>
              <w:rPr>
                <w:color w:val="auto"/>
              </w:rPr>
              <w:t>3.4</w:t>
            </w:r>
          </w:p>
        </w:tc>
        <w:tc>
          <w:tcPr>
            <w:tcW w:w="255" w:type="pct"/>
            <w:tcMar>
              <w:top w:w="0" w:type="dxa"/>
              <w:left w:w="0" w:type="dxa"/>
              <w:bottom w:w="0" w:type="dxa"/>
              <w:right w:w="0" w:type="dxa"/>
            </w:tcMar>
            <w:vAlign w:val="center"/>
          </w:tcPr>
          <w:p>
            <w:pPr>
              <w:pStyle w:val="182"/>
              <w:bidi w:val="0"/>
              <w:rPr>
                <w:color w:val="auto"/>
              </w:rPr>
            </w:pPr>
            <w:r>
              <w:rPr>
                <w:color w:val="auto"/>
              </w:rPr>
              <w:t>9.7</w:t>
            </w:r>
          </w:p>
        </w:tc>
        <w:tc>
          <w:tcPr>
            <w:tcW w:w="305" w:type="pct"/>
            <w:tcMar>
              <w:top w:w="0" w:type="dxa"/>
              <w:left w:w="0" w:type="dxa"/>
              <w:bottom w:w="0" w:type="dxa"/>
              <w:right w:w="0" w:type="dxa"/>
            </w:tcMar>
            <w:vAlign w:val="center"/>
          </w:tcPr>
          <w:p>
            <w:pPr>
              <w:pStyle w:val="182"/>
              <w:bidi w:val="0"/>
              <w:rPr>
                <w:color w:val="auto"/>
              </w:rPr>
            </w:pPr>
            <w:r>
              <w:rPr>
                <w:color w:val="auto"/>
              </w:rPr>
              <w:t>8.6</w:t>
            </w:r>
          </w:p>
        </w:tc>
        <w:tc>
          <w:tcPr>
            <w:tcW w:w="255" w:type="pct"/>
            <w:tcMar>
              <w:top w:w="0" w:type="dxa"/>
              <w:left w:w="0" w:type="dxa"/>
              <w:bottom w:w="0" w:type="dxa"/>
              <w:right w:w="0" w:type="dxa"/>
            </w:tcMar>
            <w:vAlign w:val="center"/>
          </w:tcPr>
          <w:p>
            <w:pPr>
              <w:pStyle w:val="182"/>
              <w:bidi w:val="0"/>
              <w:rPr>
                <w:color w:val="auto"/>
              </w:rPr>
            </w:pPr>
            <w:r>
              <w:rPr>
                <w:color w:val="auto"/>
              </w:rPr>
              <w:t>6.6</w:t>
            </w:r>
          </w:p>
        </w:tc>
        <w:tc>
          <w:tcPr>
            <w:tcW w:w="362" w:type="pct"/>
            <w:tcMar>
              <w:top w:w="0" w:type="dxa"/>
              <w:left w:w="0" w:type="dxa"/>
              <w:bottom w:w="0" w:type="dxa"/>
              <w:right w:w="0" w:type="dxa"/>
            </w:tcMar>
            <w:vAlign w:val="center"/>
          </w:tcPr>
          <w:p>
            <w:pPr>
              <w:pStyle w:val="182"/>
              <w:bidi w:val="0"/>
              <w:rPr>
                <w:color w:val="auto"/>
              </w:rPr>
            </w:pPr>
            <w:r>
              <w:rPr>
                <w:color w:val="auto"/>
              </w:rPr>
              <w:t>2.5</w:t>
            </w:r>
          </w:p>
        </w:tc>
        <w:tc>
          <w:tcPr>
            <w:tcW w:w="207" w:type="pct"/>
            <w:tcMar>
              <w:top w:w="0" w:type="dxa"/>
              <w:left w:w="0" w:type="dxa"/>
              <w:bottom w:w="0" w:type="dxa"/>
              <w:right w:w="0" w:type="dxa"/>
            </w:tcMar>
            <w:vAlign w:val="center"/>
          </w:tcPr>
          <w:p>
            <w:pPr>
              <w:pStyle w:val="182"/>
              <w:bidi w:val="0"/>
              <w:rPr>
                <w:color w:val="auto"/>
              </w:rPr>
            </w:pPr>
            <w:r>
              <w:rPr>
                <w:color w:val="auto"/>
              </w:rPr>
              <w:t>2.2</w:t>
            </w:r>
          </w:p>
        </w:tc>
        <w:tc>
          <w:tcPr>
            <w:tcW w:w="387" w:type="pct"/>
            <w:tcMar>
              <w:top w:w="0" w:type="dxa"/>
              <w:left w:w="0" w:type="dxa"/>
              <w:bottom w:w="0" w:type="dxa"/>
              <w:right w:w="0" w:type="dxa"/>
            </w:tcMar>
            <w:vAlign w:val="center"/>
          </w:tcPr>
          <w:p>
            <w:pPr>
              <w:pStyle w:val="182"/>
              <w:bidi w:val="0"/>
              <w:rPr>
                <w:color w:val="auto"/>
              </w:rPr>
            </w:pPr>
            <w:r>
              <w:rPr>
                <w:color w:val="auto"/>
              </w:rPr>
              <w:t>1.6</w:t>
            </w:r>
          </w:p>
        </w:tc>
        <w:tc>
          <w:tcPr>
            <w:tcW w:w="267" w:type="pct"/>
            <w:tcMar>
              <w:top w:w="0" w:type="dxa"/>
              <w:left w:w="0" w:type="dxa"/>
              <w:bottom w:w="0" w:type="dxa"/>
              <w:right w:w="0" w:type="dxa"/>
            </w:tcMar>
            <w:vAlign w:val="center"/>
          </w:tcPr>
          <w:p>
            <w:pPr>
              <w:pStyle w:val="182"/>
              <w:bidi w:val="0"/>
              <w:rPr>
                <w:color w:val="auto"/>
              </w:rPr>
            </w:pPr>
            <w:r>
              <w:rPr>
                <w:color w:val="auto"/>
              </w:rPr>
              <w:t>1.5</w:t>
            </w:r>
          </w:p>
        </w:tc>
        <w:tc>
          <w:tcPr>
            <w:tcW w:w="355" w:type="pct"/>
            <w:tcMar>
              <w:top w:w="0" w:type="dxa"/>
              <w:left w:w="0" w:type="dxa"/>
              <w:bottom w:w="0" w:type="dxa"/>
              <w:right w:w="0" w:type="dxa"/>
            </w:tcMar>
            <w:vAlign w:val="center"/>
          </w:tcPr>
          <w:p>
            <w:pPr>
              <w:pStyle w:val="182"/>
              <w:bidi w:val="0"/>
              <w:rPr>
                <w:color w:val="auto"/>
              </w:rPr>
            </w:pPr>
            <w:r>
              <w:rPr>
                <w:color w:val="auto"/>
              </w:rPr>
              <w:t>1.6</w:t>
            </w:r>
          </w:p>
        </w:tc>
        <w:tc>
          <w:tcPr>
            <w:tcW w:w="295" w:type="pct"/>
            <w:tcMar>
              <w:top w:w="0" w:type="dxa"/>
              <w:left w:w="0" w:type="dxa"/>
              <w:bottom w:w="0" w:type="dxa"/>
              <w:right w:w="0" w:type="dxa"/>
            </w:tcMar>
            <w:vAlign w:val="center"/>
          </w:tcPr>
          <w:p>
            <w:pPr>
              <w:pStyle w:val="182"/>
              <w:bidi w:val="0"/>
              <w:rPr>
                <w:color w:val="auto"/>
              </w:rPr>
            </w:pPr>
            <w:r>
              <w:rPr>
                <w:color w:val="auto"/>
              </w:rPr>
              <w:t>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8</w:t>
            </w:r>
          </w:p>
        </w:tc>
        <w:tc>
          <w:tcPr>
            <w:tcW w:w="188" w:type="pct"/>
            <w:tcMar>
              <w:top w:w="0" w:type="dxa"/>
              <w:left w:w="0" w:type="dxa"/>
              <w:bottom w:w="0" w:type="dxa"/>
              <w:right w:w="0" w:type="dxa"/>
            </w:tcMar>
            <w:vAlign w:val="center"/>
          </w:tcPr>
          <w:p>
            <w:pPr>
              <w:pStyle w:val="182"/>
              <w:bidi w:val="0"/>
              <w:rPr>
                <w:color w:val="auto"/>
              </w:rPr>
            </w:pPr>
            <w:r>
              <w:rPr>
                <w:color w:val="auto"/>
              </w:rPr>
              <w:t>1.7</w:t>
            </w:r>
          </w:p>
        </w:tc>
        <w:tc>
          <w:tcPr>
            <w:tcW w:w="305" w:type="pct"/>
            <w:tcMar>
              <w:top w:w="0" w:type="dxa"/>
              <w:left w:w="0" w:type="dxa"/>
              <w:bottom w:w="0" w:type="dxa"/>
              <w:right w:w="0" w:type="dxa"/>
            </w:tcMar>
            <w:vAlign w:val="center"/>
          </w:tcPr>
          <w:p>
            <w:pPr>
              <w:pStyle w:val="182"/>
              <w:bidi w:val="0"/>
              <w:rPr>
                <w:color w:val="auto"/>
              </w:rPr>
            </w:pPr>
            <w:r>
              <w:rPr>
                <w:color w:val="auto"/>
              </w:rPr>
              <w:t>2.1</w:t>
            </w:r>
          </w:p>
        </w:tc>
        <w:tc>
          <w:tcPr>
            <w:tcW w:w="261" w:type="pct"/>
            <w:tcMar>
              <w:top w:w="0" w:type="dxa"/>
              <w:left w:w="0" w:type="dxa"/>
              <w:bottom w:w="0" w:type="dxa"/>
              <w:right w:w="0" w:type="dxa"/>
            </w:tcMar>
            <w:vAlign w:val="center"/>
          </w:tcPr>
          <w:p>
            <w:pPr>
              <w:pStyle w:val="182"/>
              <w:bidi w:val="0"/>
              <w:rPr>
                <w:color w:val="auto"/>
              </w:rPr>
            </w:pPr>
            <w:r>
              <w:rPr>
                <w:color w:val="auto"/>
              </w:rPr>
              <w:t>16.0</w:t>
            </w:r>
          </w:p>
        </w:tc>
        <w:tc>
          <w:tcPr>
            <w:tcW w:w="288" w:type="pct"/>
            <w:tcMar>
              <w:top w:w="0" w:type="dxa"/>
              <w:left w:w="0" w:type="dxa"/>
              <w:bottom w:w="0" w:type="dxa"/>
              <w:right w:w="0" w:type="dxa"/>
            </w:tcMar>
            <w:vAlign w:val="center"/>
          </w:tcPr>
          <w:p>
            <w:pPr>
              <w:pStyle w:val="182"/>
              <w:bidi w:val="0"/>
              <w:rPr>
                <w:color w:val="auto"/>
              </w:rPr>
            </w:pPr>
            <w:r>
              <w:rPr>
                <w:color w:val="auto"/>
              </w:rPr>
              <w:t>17.6</w:t>
            </w:r>
          </w:p>
        </w:tc>
        <w:tc>
          <w:tcPr>
            <w:tcW w:w="261" w:type="pct"/>
            <w:tcMar>
              <w:top w:w="0" w:type="dxa"/>
              <w:left w:w="0" w:type="dxa"/>
              <w:bottom w:w="0" w:type="dxa"/>
              <w:right w:w="0" w:type="dxa"/>
            </w:tcMar>
            <w:vAlign w:val="center"/>
          </w:tcPr>
          <w:p>
            <w:pPr>
              <w:pStyle w:val="182"/>
              <w:bidi w:val="0"/>
              <w:rPr>
                <w:color w:val="auto"/>
              </w:rPr>
            </w:pPr>
            <w:r>
              <w:rPr>
                <w:color w:val="auto"/>
              </w:rPr>
              <w:t>13.3</w:t>
            </w:r>
          </w:p>
        </w:tc>
        <w:tc>
          <w:tcPr>
            <w:tcW w:w="265" w:type="pct"/>
            <w:tcMar>
              <w:top w:w="0" w:type="dxa"/>
              <w:left w:w="0" w:type="dxa"/>
              <w:bottom w:w="0" w:type="dxa"/>
              <w:right w:w="0" w:type="dxa"/>
            </w:tcMar>
            <w:vAlign w:val="center"/>
          </w:tcPr>
          <w:p>
            <w:pPr>
              <w:pStyle w:val="182"/>
              <w:bidi w:val="0"/>
              <w:rPr>
                <w:color w:val="auto"/>
              </w:rPr>
            </w:pPr>
            <w:r>
              <w:rPr>
                <w:color w:val="auto"/>
              </w:rPr>
              <w:t>4.8</w:t>
            </w:r>
          </w:p>
        </w:tc>
        <w:tc>
          <w:tcPr>
            <w:tcW w:w="188" w:type="pct"/>
            <w:tcMar>
              <w:top w:w="0" w:type="dxa"/>
              <w:left w:w="0" w:type="dxa"/>
              <w:bottom w:w="0" w:type="dxa"/>
              <w:right w:w="0" w:type="dxa"/>
            </w:tcMar>
            <w:vAlign w:val="center"/>
          </w:tcPr>
          <w:p>
            <w:pPr>
              <w:pStyle w:val="182"/>
              <w:bidi w:val="0"/>
              <w:rPr>
                <w:color w:val="auto"/>
              </w:rPr>
            </w:pPr>
            <w:r>
              <w:rPr>
                <w:color w:val="auto"/>
              </w:rPr>
              <w:t>3.4</w:t>
            </w:r>
          </w:p>
        </w:tc>
        <w:tc>
          <w:tcPr>
            <w:tcW w:w="257" w:type="pct"/>
            <w:tcMar>
              <w:top w:w="0" w:type="dxa"/>
              <w:left w:w="0" w:type="dxa"/>
              <w:bottom w:w="0" w:type="dxa"/>
              <w:right w:w="0" w:type="dxa"/>
            </w:tcMar>
            <w:vAlign w:val="center"/>
          </w:tcPr>
          <w:p>
            <w:pPr>
              <w:pStyle w:val="182"/>
              <w:bidi w:val="0"/>
              <w:rPr>
                <w:color w:val="auto"/>
              </w:rPr>
            </w:pPr>
            <w:r>
              <w:rPr>
                <w:color w:val="auto"/>
              </w:rPr>
              <w:t>3.0</w:t>
            </w:r>
          </w:p>
        </w:tc>
        <w:tc>
          <w:tcPr>
            <w:tcW w:w="255" w:type="pct"/>
            <w:tcMar>
              <w:top w:w="0" w:type="dxa"/>
              <w:left w:w="0" w:type="dxa"/>
              <w:bottom w:w="0" w:type="dxa"/>
              <w:right w:w="0" w:type="dxa"/>
            </w:tcMar>
            <w:vAlign w:val="center"/>
          </w:tcPr>
          <w:p>
            <w:pPr>
              <w:pStyle w:val="182"/>
              <w:bidi w:val="0"/>
              <w:rPr>
                <w:color w:val="auto"/>
              </w:rPr>
            </w:pPr>
            <w:r>
              <w:rPr>
                <w:color w:val="auto"/>
              </w:rPr>
              <w:t>6.0</w:t>
            </w:r>
          </w:p>
        </w:tc>
        <w:tc>
          <w:tcPr>
            <w:tcW w:w="305" w:type="pct"/>
            <w:tcMar>
              <w:top w:w="0" w:type="dxa"/>
              <w:left w:w="0" w:type="dxa"/>
              <w:bottom w:w="0" w:type="dxa"/>
              <w:right w:w="0" w:type="dxa"/>
            </w:tcMar>
            <w:vAlign w:val="center"/>
          </w:tcPr>
          <w:p>
            <w:pPr>
              <w:pStyle w:val="182"/>
              <w:bidi w:val="0"/>
              <w:rPr>
                <w:color w:val="auto"/>
              </w:rPr>
            </w:pPr>
            <w:r>
              <w:rPr>
                <w:color w:val="auto"/>
              </w:rPr>
              <w:t>5.3</w:t>
            </w:r>
          </w:p>
        </w:tc>
        <w:tc>
          <w:tcPr>
            <w:tcW w:w="255" w:type="pct"/>
            <w:tcMar>
              <w:top w:w="0" w:type="dxa"/>
              <w:left w:w="0" w:type="dxa"/>
              <w:bottom w:w="0" w:type="dxa"/>
              <w:right w:w="0" w:type="dxa"/>
            </w:tcMar>
            <w:vAlign w:val="center"/>
          </w:tcPr>
          <w:p>
            <w:pPr>
              <w:pStyle w:val="182"/>
              <w:bidi w:val="0"/>
              <w:rPr>
                <w:color w:val="auto"/>
              </w:rPr>
            </w:pPr>
            <w:r>
              <w:rPr>
                <w:color w:val="auto"/>
              </w:rPr>
              <w:t>4.8</w:t>
            </w:r>
          </w:p>
        </w:tc>
        <w:tc>
          <w:tcPr>
            <w:tcW w:w="362" w:type="pct"/>
            <w:tcMar>
              <w:top w:w="0" w:type="dxa"/>
              <w:left w:w="0" w:type="dxa"/>
              <w:bottom w:w="0" w:type="dxa"/>
              <w:right w:w="0" w:type="dxa"/>
            </w:tcMar>
            <w:vAlign w:val="center"/>
          </w:tcPr>
          <w:p>
            <w:pPr>
              <w:pStyle w:val="182"/>
              <w:bidi w:val="0"/>
              <w:rPr>
                <w:color w:val="auto"/>
              </w:rPr>
            </w:pPr>
            <w:r>
              <w:rPr>
                <w:color w:val="auto"/>
              </w:rPr>
              <w:t>1.9</w:t>
            </w:r>
          </w:p>
        </w:tc>
        <w:tc>
          <w:tcPr>
            <w:tcW w:w="207" w:type="pct"/>
            <w:tcMar>
              <w:top w:w="0" w:type="dxa"/>
              <w:left w:w="0" w:type="dxa"/>
              <w:bottom w:w="0" w:type="dxa"/>
              <w:right w:w="0" w:type="dxa"/>
            </w:tcMar>
            <w:vAlign w:val="center"/>
          </w:tcPr>
          <w:p>
            <w:pPr>
              <w:pStyle w:val="182"/>
              <w:bidi w:val="0"/>
              <w:rPr>
                <w:color w:val="auto"/>
              </w:rPr>
            </w:pPr>
            <w:r>
              <w:rPr>
                <w:color w:val="auto"/>
              </w:rPr>
              <w:t>2.7</w:t>
            </w:r>
          </w:p>
        </w:tc>
        <w:tc>
          <w:tcPr>
            <w:tcW w:w="387" w:type="pct"/>
            <w:tcMar>
              <w:top w:w="0" w:type="dxa"/>
              <w:left w:w="0" w:type="dxa"/>
              <w:bottom w:w="0" w:type="dxa"/>
              <w:right w:w="0" w:type="dxa"/>
            </w:tcMar>
            <w:vAlign w:val="center"/>
          </w:tcPr>
          <w:p>
            <w:pPr>
              <w:pStyle w:val="182"/>
              <w:bidi w:val="0"/>
              <w:rPr>
                <w:color w:val="auto"/>
              </w:rPr>
            </w:pPr>
            <w:r>
              <w:rPr>
                <w:color w:val="auto"/>
              </w:rPr>
              <w:t>2.2</w:t>
            </w:r>
          </w:p>
        </w:tc>
        <w:tc>
          <w:tcPr>
            <w:tcW w:w="267" w:type="pct"/>
            <w:tcMar>
              <w:top w:w="0" w:type="dxa"/>
              <w:left w:w="0" w:type="dxa"/>
              <w:bottom w:w="0" w:type="dxa"/>
              <w:right w:w="0" w:type="dxa"/>
            </w:tcMar>
            <w:vAlign w:val="center"/>
          </w:tcPr>
          <w:p>
            <w:pPr>
              <w:pStyle w:val="182"/>
              <w:bidi w:val="0"/>
              <w:rPr>
                <w:color w:val="auto"/>
              </w:rPr>
            </w:pPr>
            <w:r>
              <w:rPr>
                <w:color w:val="auto"/>
              </w:rPr>
              <w:t>2.1</w:t>
            </w:r>
          </w:p>
        </w:tc>
        <w:tc>
          <w:tcPr>
            <w:tcW w:w="355" w:type="pct"/>
            <w:tcMar>
              <w:top w:w="0" w:type="dxa"/>
              <w:left w:w="0" w:type="dxa"/>
              <w:bottom w:w="0" w:type="dxa"/>
              <w:right w:w="0" w:type="dxa"/>
            </w:tcMar>
            <w:vAlign w:val="center"/>
          </w:tcPr>
          <w:p>
            <w:pPr>
              <w:pStyle w:val="182"/>
              <w:bidi w:val="0"/>
              <w:rPr>
                <w:color w:val="auto"/>
              </w:rPr>
            </w:pPr>
            <w:r>
              <w:rPr>
                <w:color w:val="auto"/>
              </w:rPr>
              <w:t>1.3</w:t>
            </w:r>
          </w:p>
        </w:tc>
        <w:tc>
          <w:tcPr>
            <w:tcW w:w="295" w:type="pct"/>
            <w:tcMar>
              <w:top w:w="0" w:type="dxa"/>
              <w:left w:w="0" w:type="dxa"/>
              <w:bottom w:w="0" w:type="dxa"/>
              <w:right w:w="0" w:type="dxa"/>
            </w:tcMar>
            <w:vAlign w:val="center"/>
          </w:tcPr>
          <w:p>
            <w:pPr>
              <w:pStyle w:val="182"/>
              <w:bidi w:val="0"/>
              <w:rPr>
                <w:color w:val="auto"/>
              </w:rPr>
            </w:pPr>
            <w:r>
              <w:rPr>
                <w:color w:val="auto"/>
              </w:rPr>
              <w:t>11.8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9</w:t>
            </w:r>
          </w:p>
        </w:tc>
        <w:tc>
          <w:tcPr>
            <w:tcW w:w="188" w:type="pct"/>
            <w:tcMar>
              <w:top w:w="0" w:type="dxa"/>
              <w:left w:w="0" w:type="dxa"/>
              <w:bottom w:w="0" w:type="dxa"/>
              <w:right w:w="0" w:type="dxa"/>
            </w:tcMar>
            <w:vAlign w:val="center"/>
          </w:tcPr>
          <w:p>
            <w:pPr>
              <w:pStyle w:val="182"/>
              <w:bidi w:val="0"/>
              <w:rPr>
                <w:color w:val="auto"/>
              </w:rPr>
            </w:pPr>
            <w:r>
              <w:rPr>
                <w:color w:val="auto"/>
              </w:rPr>
              <w:t>1.7</w:t>
            </w:r>
          </w:p>
        </w:tc>
        <w:tc>
          <w:tcPr>
            <w:tcW w:w="305" w:type="pct"/>
            <w:tcMar>
              <w:top w:w="0" w:type="dxa"/>
              <w:left w:w="0" w:type="dxa"/>
              <w:bottom w:w="0" w:type="dxa"/>
              <w:right w:w="0" w:type="dxa"/>
            </w:tcMar>
            <w:vAlign w:val="center"/>
          </w:tcPr>
          <w:p>
            <w:pPr>
              <w:pStyle w:val="182"/>
              <w:bidi w:val="0"/>
              <w:rPr>
                <w:color w:val="auto"/>
              </w:rPr>
            </w:pPr>
            <w:r>
              <w:rPr>
                <w:color w:val="auto"/>
              </w:rPr>
              <w:t>2.4</w:t>
            </w:r>
          </w:p>
        </w:tc>
        <w:tc>
          <w:tcPr>
            <w:tcW w:w="261" w:type="pct"/>
            <w:tcMar>
              <w:top w:w="0" w:type="dxa"/>
              <w:left w:w="0" w:type="dxa"/>
              <w:bottom w:w="0" w:type="dxa"/>
              <w:right w:w="0" w:type="dxa"/>
            </w:tcMar>
            <w:vAlign w:val="center"/>
          </w:tcPr>
          <w:p>
            <w:pPr>
              <w:pStyle w:val="182"/>
              <w:bidi w:val="0"/>
              <w:rPr>
                <w:color w:val="auto"/>
              </w:rPr>
            </w:pPr>
            <w:r>
              <w:rPr>
                <w:color w:val="auto"/>
              </w:rPr>
              <w:t>13.2</w:t>
            </w:r>
          </w:p>
        </w:tc>
        <w:tc>
          <w:tcPr>
            <w:tcW w:w="288" w:type="pct"/>
            <w:tcMar>
              <w:top w:w="0" w:type="dxa"/>
              <w:left w:w="0" w:type="dxa"/>
              <w:bottom w:w="0" w:type="dxa"/>
              <w:right w:w="0" w:type="dxa"/>
            </w:tcMar>
            <w:vAlign w:val="center"/>
          </w:tcPr>
          <w:p>
            <w:pPr>
              <w:pStyle w:val="182"/>
              <w:bidi w:val="0"/>
              <w:rPr>
                <w:color w:val="auto"/>
              </w:rPr>
            </w:pPr>
            <w:r>
              <w:rPr>
                <w:color w:val="auto"/>
              </w:rPr>
              <w:t>15.3</w:t>
            </w:r>
          </w:p>
        </w:tc>
        <w:tc>
          <w:tcPr>
            <w:tcW w:w="261" w:type="pct"/>
            <w:tcMar>
              <w:top w:w="0" w:type="dxa"/>
              <w:left w:w="0" w:type="dxa"/>
              <w:bottom w:w="0" w:type="dxa"/>
              <w:right w:w="0" w:type="dxa"/>
            </w:tcMar>
            <w:vAlign w:val="center"/>
          </w:tcPr>
          <w:p>
            <w:pPr>
              <w:pStyle w:val="182"/>
              <w:bidi w:val="0"/>
              <w:rPr>
                <w:color w:val="auto"/>
              </w:rPr>
            </w:pPr>
            <w:r>
              <w:rPr>
                <w:color w:val="auto"/>
              </w:rPr>
              <w:t>10.5</w:t>
            </w:r>
          </w:p>
        </w:tc>
        <w:tc>
          <w:tcPr>
            <w:tcW w:w="265" w:type="pct"/>
            <w:tcMar>
              <w:top w:w="0" w:type="dxa"/>
              <w:left w:w="0" w:type="dxa"/>
              <w:bottom w:w="0" w:type="dxa"/>
              <w:right w:w="0" w:type="dxa"/>
            </w:tcMar>
            <w:vAlign w:val="center"/>
          </w:tcPr>
          <w:p>
            <w:pPr>
              <w:pStyle w:val="182"/>
              <w:bidi w:val="0"/>
              <w:rPr>
                <w:color w:val="auto"/>
              </w:rPr>
            </w:pPr>
            <w:r>
              <w:rPr>
                <w:color w:val="auto"/>
              </w:rPr>
              <w:t>5.0</w:t>
            </w:r>
          </w:p>
        </w:tc>
        <w:tc>
          <w:tcPr>
            <w:tcW w:w="188" w:type="pct"/>
            <w:tcMar>
              <w:top w:w="0" w:type="dxa"/>
              <w:left w:w="0" w:type="dxa"/>
              <w:bottom w:w="0" w:type="dxa"/>
              <w:right w:w="0" w:type="dxa"/>
            </w:tcMar>
            <w:vAlign w:val="center"/>
          </w:tcPr>
          <w:p>
            <w:pPr>
              <w:pStyle w:val="182"/>
              <w:bidi w:val="0"/>
              <w:rPr>
                <w:color w:val="auto"/>
              </w:rPr>
            </w:pPr>
            <w:r>
              <w:rPr>
                <w:color w:val="auto"/>
              </w:rPr>
              <w:t>2.9</w:t>
            </w:r>
          </w:p>
        </w:tc>
        <w:tc>
          <w:tcPr>
            <w:tcW w:w="257" w:type="pct"/>
            <w:tcMar>
              <w:top w:w="0" w:type="dxa"/>
              <w:left w:w="0" w:type="dxa"/>
              <w:bottom w:w="0" w:type="dxa"/>
              <w:right w:w="0" w:type="dxa"/>
            </w:tcMar>
            <w:vAlign w:val="center"/>
          </w:tcPr>
          <w:p>
            <w:pPr>
              <w:pStyle w:val="182"/>
              <w:bidi w:val="0"/>
              <w:rPr>
                <w:color w:val="auto"/>
              </w:rPr>
            </w:pPr>
            <w:r>
              <w:rPr>
                <w:color w:val="auto"/>
              </w:rPr>
              <w:t>1.9</w:t>
            </w:r>
          </w:p>
        </w:tc>
        <w:tc>
          <w:tcPr>
            <w:tcW w:w="255" w:type="pct"/>
            <w:tcMar>
              <w:top w:w="0" w:type="dxa"/>
              <w:left w:w="0" w:type="dxa"/>
              <w:bottom w:w="0" w:type="dxa"/>
              <w:right w:w="0" w:type="dxa"/>
            </w:tcMar>
            <w:vAlign w:val="center"/>
          </w:tcPr>
          <w:p>
            <w:pPr>
              <w:pStyle w:val="182"/>
              <w:bidi w:val="0"/>
              <w:rPr>
                <w:color w:val="auto"/>
              </w:rPr>
            </w:pPr>
            <w:r>
              <w:rPr>
                <w:color w:val="auto"/>
              </w:rPr>
              <w:t>6.1</w:t>
            </w:r>
          </w:p>
        </w:tc>
        <w:tc>
          <w:tcPr>
            <w:tcW w:w="305" w:type="pct"/>
            <w:tcMar>
              <w:top w:w="0" w:type="dxa"/>
              <w:left w:w="0" w:type="dxa"/>
              <w:bottom w:w="0" w:type="dxa"/>
              <w:right w:w="0" w:type="dxa"/>
            </w:tcMar>
            <w:vAlign w:val="center"/>
          </w:tcPr>
          <w:p>
            <w:pPr>
              <w:pStyle w:val="182"/>
              <w:bidi w:val="0"/>
              <w:rPr>
                <w:color w:val="auto"/>
              </w:rPr>
            </w:pPr>
            <w:r>
              <w:rPr>
                <w:color w:val="auto"/>
              </w:rPr>
              <w:t>6.1</w:t>
            </w:r>
          </w:p>
        </w:tc>
        <w:tc>
          <w:tcPr>
            <w:tcW w:w="255" w:type="pct"/>
            <w:tcMar>
              <w:top w:w="0" w:type="dxa"/>
              <w:left w:w="0" w:type="dxa"/>
              <w:bottom w:w="0" w:type="dxa"/>
              <w:right w:w="0" w:type="dxa"/>
            </w:tcMar>
            <w:vAlign w:val="center"/>
          </w:tcPr>
          <w:p>
            <w:pPr>
              <w:pStyle w:val="182"/>
              <w:bidi w:val="0"/>
              <w:rPr>
                <w:color w:val="auto"/>
              </w:rPr>
            </w:pPr>
            <w:r>
              <w:rPr>
                <w:color w:val="auto"/>
              </w:rPr>
              <w:t>5.2</w:t>
            </w:r>
          </w:p>
        </w:tc>
        <w:tc>
          <w:tcPr>
            <w:tcW w:w="362" w:type="pct"/>
            <w:tcMar>
              <w:top w:w="0" w:type="dxa"/>
              <w:left w:w="0" w:type="dxa"/>
              <w:bottom w:w="0" w:type="dxa"/>
              <w:right w:w="0" w:type="dxa"/>
            </w:tcMar>
            <w:vAlign w:val="center"/>
          </w:tcPr>
          <w:p>
            <w:pPr>
              <w:pStyle w:val="182"/>
              <w:bidi w:val="0"/>
              <w:rPr>
                <w:color w:val="auto"/>
              </w:rPr>
            </w:pPr>
            <w:r>
              <w:rPr>
                <w:color w:val="auto"/>
              </w:rPr>
              <w:t>2.9</w:t>
            </w:r>
          </w:p>
        </w:tc>
        <w:tc>
          <w:tcPr>
            <w:tcW w:w="207" w:type="pct"/>
            <w:tcMar>
              <w:top w:w="0" w:type="dxa"/>
              <w:left w:w="0" w:type="dxa"/>
              <w:bottom w:w="0" w:type="dxa"/>
              <w:right w:w="0" w:type="dxa"/>
            </w:tcMar>
            <w:vAlign w:val="center"/>
          </w:tcPr>
          <w:p>
            <w:pPr>
              <w:pStyle w:val="182"/>
              <w:bidi w:val="0"/>
              <w:rPr>
                <w:color w:val="auto"/>
              </w:rPr>
            </w:pPr>
            <w:r>
              <w:rPr>
                <w:color w:val="auto"/>
              </w:rPr>
              <w:t>3.8</w:t>
            </w:r>
          </w:p>
        </w:tc>
        <w:tc>
          <w:tcPr>
            <w:tcW w:w="387" w:type="pct"/>
            <w:tcMar>
              <w:top w:w="0" w:type="dxa"/>
              <w:left w:w="0" w:type="dxa"/>
              <w:bottom w:w="0" w:type="dxa"/>
              <w:right w:w="0" w:type="dxa"/>
            </w:tcMar>
            <w:vAlign w:val="center"/>
          </w:tcPr>
          <w:p>
            <w:pPr>
              <w:pStyle w:val="182"/>
              <w:bidi w:val="0"/>
              <w:rPr>
                <w:color w:val="auto"/>
              </w:rPr>
            </w:pPr>
            <w:r>
              <w:rPr>
                <w:color w:val="auto"/>
              </w:rPr>
              <w:t>2.6</w:t>
            </w:r>
          </w:p>
        </w:tc>
        <w:tc>
          <w:tcPr>
            <w:tcW w:w="267" w:type="pct"/>
            <w:tcMar>
              <w:top w:w="0" w:type="dxa"/>
              <w:left w:w="0" w:type="dxa"/>
              <w:bottom w:w="0" w:type="dxa"/>
              <w:right w:w="0" w:type="dxa"/>
            </w:tcMar>
            <w:vAlign w:val="center"/>
          </w:tcPr>
          <w:p>
            <w:pPr>
              <w:pStyle w:val="182"/>
              <w:bidi w:val="0"/>
              <w:rPr>
                <w:color w:val="auto"/>
              </w:rPr>
            </w:pPr>
            <w:r>
              <w:rPr>
                <w:color w:val="auto"/>
              </w:rPr>
              <w:t>2.4</w:t>
            </w:r>
          </w:p>
        </w:tc>
        <w:tc>
          <w:tcPr>
            <w:tcW w:w="355" w:type="pct"/>
            <w:tcMar>
              <w:top w:w="0" w:type="dxa"/>
              <w:left w:w="0" w:type="dxa"/>
              <w:bottom w:w="0" w:type="dxa"/>
              <w:right w:w="0" w:type="dxa"/>
            </w:tcMar>
            <w:vAlign w:val="center"/>
          </w:tcPr>
          <w:p>
            <w:pPr>
              <w:pStyle w:val="182"/>
              <w:bidi w:val="0"/>
              <w:rPr>
                <w:color w:val="auto"/>
              </w:rPr>
            </w:pPr>
            <w:r>
              <w:rPr>
                <w:color w:val="auto"/>
              </w:rPr>
              <w:t>1.3</w:t>
            </w:r>
          </w:p>
        </w:tc>
        <w:tc>
          <w:tcPr>
            <w:tcW w:w="295" w:type="pct"/>
            <w:tcMar>
              <w:top w:w="0" w:type="dxa"/>
              <w:left w:w="0" w:type="dxa"/>
              <w:bottom w:w="0" w:type="dxa"/>
              <w:right w:w="0" w:type="dxa"/>
            </w:tcMar>
            <w:vAlign w:val="center"/>
          </w:tcPr>
          <w:p>
            <w:pPr>
              <w:pStyle w:val="182"/>
              <w:bidi w:val="0"/>
              <w:rPr>
                <w:color w:val="auto"/>
              </w:rPr>
            </w:pPr>
            <w:r>
              <w:rPr>
                <w:color w:val="auto"/>
              </w:rPr>
              <w:t>16.5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10</w:t>
            </w:r>
          </w:p>
        </w:tc>
        <w:tc>
          <w:tcPr>
            <w:tcW w:w="188" w:type="pct"/>
            <w:tcMar>
              <w:top w:w="0" w:type="dxa"/>
              <w:left w:w="0" w:type="dxa"/>
              <w:bottom w:w="0" w:type="dxa"/>
              <w:right w:w="0" w:type="dxa"/>
            </w:tcMar>
            <w:vAlign w:val="center"/>
          </w:tcPr>
          <w:p>
            <w:pPr>
              <w:pStyle w:val="182"/>
              <w:bidi w:val="0"/>
              <w:rPr>
                <w:color w:val="auto"/>
              </w:rPr>
            </w:pPr>
            <w:r>
              <w:rPr>
                <w:color w:val="auto"/>
              </w:rPr>
              <w:t>1.6</w:t>
            </w:r>
          </w:p>
        </w:tc>
        <w:tc>
          <w:tcPr>
            <w:tcW w:w="305" w:type="pct"/>
            <w:tcMar>
              <w:top w:w="0" w:type="dxa"/>
              <w:left w:w="0" w:type="dxa"/>
              <w:bottom w:w="0" w:type="dxa"/>
              <w:right w:w="0" w:type="dxa"/>
            </w:tcMar>
            <w:vAlign w:val="center"/>
          </w:tcPr>
          <w:p>
            <w:pPr>
              <w:pStyle w:val="182"/>
              <w:bidi w:val="0"/>
              <w:rPr>
                <w:color w:val="auto"/>
              </w:rPr>
            </w:pPr>
            <w:r>
              <w:rPr>
                <w:color w:val="auto"/>
              </w:rPr>
              <w:t>1.5</w:t>
            </w:r>
          </w:p>
        </w:tc>
        <w:tc>
          <w:tcPr>
            <w:tcW w:w="261" w:type="pct"/>
            <w:tcMar>
              <w:top w:w="0" w:type="dxa"/>
              <w:left w:w="0" w:type="dxa"/>
              <w:bottom w:w="0" w:type="dxa"/>
              <w:right w:w="0" w:type="dxa"/>
            </w:tcMar>
            <w:vAlign w:val="center"/>
          </w:tcPr>
          <w:p>
            <w:pPr>
              <w:pStyle w:val="182"/>
              <w:bidi w:val="0"/>
              <w:rPr>
                <w:color w:val="auto"/>
              </w:rPr>
            </w:pPr>
            <w:r>
              <w:rPr>
                <w:color w:val="auto"/>
              </w:rPr>
              <w:t>10.3</w:t>
            </w:r>
          </w:p>
        </w:tc>
        <w:tc>
          <w:tcPr>
            <w:tcW w:w="288" w:type="pct"/>
            <w:tcMar>
              <w:top w:w="0" w:type="dxa"/>
              <w:left w:w="0" w:type="dxa"/>
              <w:bottom w:w="0" w:type="dxa"/>
              <w:right w:w="0" w:type="dxa"/>
            </w:tcMar>
            <w:vAlign w:val="center"/>
          </w:tcPr>
          <w:p>
            <w:pPr>
              <w:pStyle w:val="182"/>
              <w:bidi w:val="0"/>
              <w:rPr>
                <w:color w:val="auto"/>
              </w:rPr>
            </w:pPr>
            <w:r>
              <w:rPr>
                <w:color w:val="auto"/>
              </w:rPr>
              <w:t>17.6</w:t>
            </w:r>
          </w:p>
        </w:tc>
        <w:tc>
          <w:tcPr>
            <w:tcW w:w="261" w:type="pct"/>
            <w:tcMar>
              <w:top w:w="0" w:type="dxa"/>
              <w:left w:w="0" w:type="dxa"/>
              <w:bottom w:w="0" w:type="dxa"/>
              <w:right w:w="0" w:type="dxa"/>
            </w:tcMar>
            <w:vAlign w:val="center"/>
          </w:tcPr>
          <w:p>
            <w:pPr>
              <w:pStyle w:val="182"/>
              <w:bidi w:val="0"/>
              <w:rPr>
                <w:color w:val="auto"/>
              </w:rPr>
            </w:pPr>
            <w:r>
              <w:rPr>
                <w:color w:val="auto"/>
              </w:rPr>
              <w:t>7.1</w:t>
            </w:r>
          </w:p>
        </w:tc>
        <w:tc>
          <w:tcPr>
            <w:tcW w:w="265" w:type="pct"/>
            <w:tcMar>
              <w:top w:w="0" w:type="dxa"/>
              <w:left w:w="0" w:type="dxa"/>
              <w:bottom w:w="0" w:type="dxa"/>
              <w:right w:w="0" w:type="dxa"/>
            </w:tcMar>
            <w:vAlign w:val="center"/>
          </w:tcPr>
          <w:p>
            <w:pPr>
              <w:pStyle w:val="182"/>
              <w:bidi w:val="0"/>
              <w:rPr>
                <w:color w:val="auto"/>
              </w:rPr>
            </w:pPr>
            <w:r>
              <w:rPr>
                <w:color w:val="auto"/>
              </w:rPr>
              <w:t>3.0</w:t>
            </w:r>
          </w:p>
        </w:tc>
        <w:tc>
          <w:tcPr>
            <w:tcW w:w="188" w:type="pct"/>
            <w:tcMar>
              <w:top w:w="0" w:type="dxa"/>
              <w:left w:w="0" w:type="dxa"/>
              <w:bottom w:w="0" w:type="dxa"/>
              <w:right w:w="0" w:type="dxa"/>
            </w:tcMar>
            <w:vAlign w:val="center"/>
          </w:tcPr>
          <w:p>
            <w:pPr>
              <w:pStyle w:val="182"/>
              <w:bidi w:val="0"/>
              <w:rPr>
                <w:color w:val="auto"/>
              </w:rPr>
            </w:pPr>
            <w:r>
              <w:rPr>
                <w:color w:val="auto"/>
              </w:rPr>
              <w:t>2.5</w:t>
            </w:r>
          </w:p>
        </w:tc>
        <w:tc>
          <w:tcPr>
            <w:tcW w:w="257" w:type="pct"/>
            <w:tcMar>
              <w:top w:w="0" w:type="dxa"/>
              <w:left w:w="0" w:type="dxa"/>
              <w:bottom w:w="0" w:type="dxa"/>
              <w:right w:w="0" w:type="dxa"/>
            </w:tcMar>
            <w:vAlign w:val="center"/>
          </w:tcPr>
          <w:p>
            <w:pPr>
              <w:pStyle w:val="182"/>
              <w:bidi w:val="0"/>
              <w:rPr>
                <w:color w:val="auto"/>
              </w:rPr>
            </w:pPr>
            <w:r>
              <w:rPr>
                <w:color w:val="auto"/>
              </w:rPr>
              <w:t>1.4</w:t>
            </w:r>
          </w:p>
        </w:tc>
        <w:tc>
          <w:tcPr>
            <w:tcW w:w="255" w:type="pct"/>
            <w:tcMar>
              <w:top w:w="0" w:type="dxa"/>
              <w:left w:w="0" w:type="dxa"/>
              <w:bottom w:w="0" w:type="dxa"/>
              <w:right w:w="0" w:type="dxa"/>
            </w:tcMar>
            <w:vAlign w:val="center"/>
          </w:tcPr>
          <w:p>
            <w:pPr>
              <w:pStyle w:val="182"/>
              <w:bidi w:val="0"/>
              <w:rPr>
                <w:color w:val="auto"/>
              </w:rPr>
            </w:pPr>
            <w:r>
              <w:rPr>
                <w:color w:val="auto"/>
              </w:rPr>
              <w:t>4.8</w:t>
            </w:r>
          </w:p>
        </w:tc>
        <w:tc>
          <w:tcPr>
            <w:tcW w:w="305" w:type="pct"/>
            <w:tcMar>
              <w:top w:w="0" w:type="dxa"/>
              <w:left w:w="0" w:type="dxa"/>
              <w:bottom w:w="0" w:type="dxa"/>
              <w:right w:w="0" w:type="dxa"/>
            </w:tcMar>
            <w:vAlign w:val="center"/>
          </w:tcPr>
          <w:p>
            <w:pPr>
              <w:pStyle w:val="182"/>
              <w:bidi w:val="0"/>
              <w:rPr>
                <w:color w:val="auto"/>
              </w:rPr>
            </w:pPr>
            <w:r>
              <w:rPr>
                <w:color w:val="auto"/>
              </w:rPr>
              <w:t>10.0</w:t>
            </w:r>
          </w:p>
        </w:tc>
        <w:tc>
          <w:tcPr>
            <w:tcW w:w="255" w:type="pct"/>
            <w:tcMar>
              <w:top w:w="0" w:type="dxa"/>
              <w:left w:w="0" w:type="dxa"/>
              <w:bottom w:w="0" w:type="dxa"/>
              <w:right w:w="0" w:type="dxa"/>
            </w:tcMar>
            <w:vAlign w:val="center"/>
          </w:tcPr>
          <w:p>
            <w:pPr>
              <w:pStyle w:val="182"/>
              <w:bidi w:val="0"/>
              <w:rPr>
                <w:color w:val="auto"/>
              </w:rPr>
            </w:pPr>
            <w:r>
              <w:rPr>
                <w:color w:val="auto"/>
              </w:rPr>
              <w:t>9.3</w:t>
            </w:r>
          </w:p>
        </w:tc>
        <w:tc>
          <w:tcPr>
            <w:tcW w:w="362" w:type="pct"/>
            <w:tcMar>
              <w:top w:w="0" w:type="dxa"/>
              <w:left w:w="0" w:type="dxa"/>
              <w:bottom w:w="0" w:type="dxa"/>
              <w:right w:w="0" w:type="dxa"/>
            </w:tcMar>
            <w:vAlign w:val="center"/>
          </w:tcPr>
          <w:p>
            <w:pPr>
              <w:pStyle w:val="182"/>
              <w:bidi w:val="0"/>
              <w:rPr>
                <w:color w:val="auto"/>
              </w:rPr>
            </w:pPr>
            <w:r>
              <w:rPr>
                <w:color w:val="auto"/>
              </w:rPr>
              <w:t>5.4</w:t>
            </w:r>
          </w:p>
        </w:tc>
        <w:tc>
          <w:tcPr>
            <w:tcW w:w="207" w:type="pct"/>
            <w:tcMar>
              <w:top w:w="0" w:type="dxa"/>
              <w:left w:w="0" w:type="dxa"/>
              <w:bottom w:w="0" w:type="dxa"/>
              <w:right w:w="0" w:type="dxa"/>
            </w:tcMar>
            <w:vAlign w:val="center"/>
          </w:tcPr>
          <w:p>
            <w:pPr>
              <w:pStyle w:val="182"/>
              <w:bidi w:val="0"/>
              <w:rPr>
                <w:color w:val="auto"/>
              </w:rPr>
            </w:pPr>
            <w:r>
              <w:rPr>
                <w:color w:val="auto"/>
              </w:rPr>
              <w:t>3.6</w:t>
            </w:r>
          </w:p>
        </w:tc>
        <w:tc>
          <w:tcPr>
            <w:tcW w:w="387" w:type="pct"/>
            <w:tcMar>
              <w:top w:w="0" w:type="dxa"/>
              <w:left w:w="0" w:type="dxa"/>
              <w:bottom w:w="0" w:type="dxa"/>
              <w:right w:w="0" w:type="dxa"/>
            </w:tcMar>
            <w:vAlign w:val="center"/>
          </w:tcPr>
          <w:p>
            <w:pPr>
              <w:pStyle w:val="182"/>
              <w:bidi w:val="0"/>
              <w:rPr>
                <w:color w:val="auto"/>
              </w:rPr>
            </w:pPr>
            <w:r>
              <w:rPr>
                <w:color w:val="auto"/>
              </w:rPr>
              <w:t>1.7</w:t>
            </w:r>
          </w:p>
        </w:tc>
        <w:tc>
          <w:tcPr>
            <w:tcW w:w="267" w:type="pct"/>
            <w:tcMar>
              <w:top w:w="0" w:type="dxa"/>
              <w:left w:w="0" w:type="dxa"/>
              <w:bottom w:w="0" w:type="dxa"/>
              <w:right w:w="0" w:type="dxa"/>
            </w:tcMar>
            <w:vAlign w:val="center"/>
          </w:tcPr>
          <w:p>
            <w:pPr>
              <w:pStyle w:val="182"/>
              <w:bidi w:val="0"/>
              <w:rPr>
                <w:color w:val="auto"/>
              </w:rPr>
            </w:pPr>
            <w:r>
              <w:rPr>
                <w:color w:val="auto"/>
              </w:rPr>
              <w:t>2.0</w:t>
            </w:r>
          </w:p>
        </w:tc>
        <w:tc>
          <w:tcPr>
            <w:tcW w:w="355" w:type="pct"/>
            <w:tcMar>
              <w:top w:w="0" w:type="dxa"/>
              <w:left w:w="0" w:type="dxa"/>
              <w:bottom w:w="0" w:type="dxa"/>
              <w:right w:w="0" w:type="dxa"/>
            </w:tcMar>
            <w:vAlign w:val="center"/>
          </w:tcPr>
          <w:p>
            <w:pPr>
              <w:pStyle w:val="182"/>
              <w:bidi w:val="0"/>
              <w:rPr>
                <w:color w:val="auto"/>
              </w:rPr>
            </w:pPr>
            <w:r>
              <w:rPr>
                <w:color w:val="auto"/>
              </w:rPr>
              <w:t>0.8</w:t>
            </w:r>
          </w:p>
        </w:tc>
        <w:tc>
          <w:tcPr>
            <w:tcW w:w="295" w:type="pct"/>
            <w:tcMar>
              <w:top w:w="0" w:type="dxa"/>
              <w:left w:w="0" w:type="dxa"/>
              <w:bottom w:w="0" w:type="dxa"/>
              <w:right w:w="0" w:type="dxa"/>
            </w:tcMar>
            <w:vAlign w:val="center"/>
          </w:tcPr>
          <w:p>
            <w:pPr>
              <w:pStyle w:val="182"/>
              <w:bidi w:val="0"/>
              <w:rPr>
                <w:color w:val="auto"/>
              </w:rPr>
            </w:pPr>
            <w:r>
              <w:rPr>
                <w:color w:val="auto"/>
              </w:rPr>
              <w:t>17.6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11</w:t>
            </w:r>
          </w:p>
        </w:tc>
        <w:tc>
          <w:tcPr>
            <w:tcW w:w="188" w:type="pct"/>
            <w:tcMar>
              <w:top w:w="0" w:type="dxa"/>
              <w:left w:w="0" w:type="dxa"/>
              <w:bottom w:w="0" w:type="dxa"/>
              <w:right w:w="0" w:type="dxa"/>
            </w:tcMar>
            <w:vAlign w:val="center"/>
          </w:tcPr>
          <w:p>
            <w:pPr>
              <w:pStyle w:val="182"/>
              <w:bidi w:val="0"/>
              <w:rPr>
                <w:color w:val="auto"/>
              </w:rPr>
            </w:pPr>
            <w:r>
              <w:rPr>
                <w:color w:val="auto"/>
              </w:rPr>
              <w:t>1.4</w:t>
            </w:r>
          </w:p>
        </w:tc>
        <w:tc>
          <w:tcPr>
            <w:tcW w:w="305" w:type="pct"/>
            <w:tcMar>
              <w:top w:w="0" w:type="dxa"/>
              <w:left w:w="0" w:type="dxa"/>
              <w:bottom w:w="0" w:type="dxa"/>
              <w:right w:w="0" w:type="dxa"/>
            </w:tcMar>
            <w:vAlign w:val="center"/>
          </w:tcPr>
          <w:p>
            <w:pPr>
              <w:pStyle w:val="182"/>
              <w:bidi w:val="0"/>
              <w:rPr>
                <w:color w:val="auto"/>
              </w:rPr>
            </w:pPr>
            <w:r>
              <w:rPr>
                <w:color w:val="auto"/>
              </w:rPr>
              <w:t>1.6</w:t>
            </w:r>
          </w:p>
        </w:tc>
        <w:tc>
          <w:tcPr>
            <w:tcW w:w="261" w:type="pct"/>
            <w:tcMar>
              <w:top w:w="0" w:type="dxa"/>
              <w:left w:w="0" w:type="dxa"/>
              <w:bottom w:w="0" w:type="dxa"/>
              <w:right w:w="0" w:type="dxa"/>
            </w:tcMar>
            <w:vAlign w:val="center"/>
          </w:tcPr>
          <w:p>
            <w:pPr>
              <w:pStyle w:val="182"/>
              <w:bidi w:val="0"/>
              <w:rPr>
                <w:color w:val="auto"/>
              </w:rPr>
            </w:pPr>
            <w:r>
              <w:rPr>
                <w:color w:val="auto"/>
              </w:rPr>
              <w:t>10.7</w:t>
            </w:r>
          </w:p>
        </w:tc>
        <w:tc>
          <w:tcPr>
            <w:tcW w:w="288" w:type="pct"/>
            <w:tcMar>
              <w:top w:w="0" w:type="dxa"/>
              <w:left w:w="0" w:type="dxa"/>
              <w:bottom w:w="0" w:type="dxa"/>
              <w:right w:w="0" w:type="dxa"/>
            </w:tcMar>
            <w:vAlign w:val="center"/>
          </w:tcPr>
          <w:p>
            <w:pPr>
              <w:pStyle w:val="182"/>
              <w:bidi w:val="0"/>
              <w:rPr>
                <w:color w:val="auto"/>
              </w:rPr>
            </w:pPr>
            <w:r>
              <w:rPr>
                <w:color w:val="auto"/>
              </w:rPr>
              <w:t>16.3</w:t>
            </w:r>
          </w:p>
        </w:tc>
        <w:tc>
          <w:tcPr>
            <w:tcW w:w="261" w:type="pct"/>
            <w:tcMar>
              <w:top w:w="0" w:type="dxa"/>
              <w:left w:w="0" w:type="dxa"/>
              <w:bottom w:w="0" w:type="dxa"/>
              <w:right w:w="0" w:type="dxa"/>
            </w:tcMar>
            <w:vAlign w:val="center"/>
          </w:tcPr>
          <w:p>
            <w:pPr>
              <w:pStyle w:val="182"/>
              <w:bidi w:val="0"/>
              <w:rPr>
                <w:color w:val="auto"/>
              </w:rPr>
            </w:pPr>
            <w:r>
              <w:rPr>
                <w:color w:val="auto"/>
              </w:rPr>
              <w:t>10.2</w:t>
            </w:r>
          </w:p>
        </w:tc>
        <w:tc>
          <w:tcPr>
            <w:tcW w:w="265" w:type="pct"/>
            <w:tcMar>
              <w:top w:w="0" w:type="dxa"/>
              <w:left w:w="0" w:type="dxa"/>
              <w:bottom w:w="0" w:type="dxa"/>
              <w:right w:w="0" w:type="dxa"/>
            </w:tcMar>
            <w:vAlign w:val="center"/>
          </w:tcPr>
          <w:p>
            <w:pPr>
              <w:pStyle w:val="182"/>
              <w:bidi w:val="0"/>
              <w:rPr>
                <w:color w:val="auto"/>
              </w:rPr>
            </w:pPr>
            <w:r>
              <w:rPr>
                <w:color w:val="auto"/>
              </w:rPr>
              <w:t>2.2</w:t>
            </w:r>
          </w:p>
        </w:tc>
        <w:tc>
          <w:tcPr>
            <w:tcW w:w="188" w:type="pct"/>
            <w:tcMar>
              <w:top w:w="0" w:type="dxa"/>
              <w:left w:w="0" w:type="dxa"/>
              <w:bottom w:w="0" w:type="dxa"/>
              <w:right w:w="0" w:type="dxa"/>
            </w:tcMar>
            <w:vAlign w:val="center"/>
          </w:tcPr>
          <w:p>
            <w:pPr>
              <w:pStyle w:val="182"/>
              <w:bidi w:val="0"/>
              <w:rPr>
                <w:color w:val="auto"/>
              </w:rPr>
            </w:pPr>
            <w:r>
              <w:rPr>
                <w:color w:val="auto"/>
              </w:rPr>
              <w:t>1.6</w:t>
            </w:r>
          </w:p>
        </w:tc>
        <w:tc>
          <w:tcPr>
            <w:tcW w:w="257" w:type="pct"/>
            <w:tcMar>
              <w:top w:w="0" w:type="dxa"/>
              <w:left w:w="0" w:type="dxa"/>
              <w:bottom w:w="0" w:type="dxa"/>
              <w:right w:w="0" w:type="dxa"/>
            </w:tcMar>
            <w:vAlign w:val="center"/>
          </w:tcPr>
          <w:p>
            <w:pPr>
              <w:pStyle w:val="182"/>
              <w:bidi w:val="0"/>
              <w:rPr>
                <w:color w:val="auto"/>
              </w:rPr>
            </w:pPr>
            <w:r>
              <w:rPr>
                <w:color w:val="auto"/>
              </w:rPr>
              <w:t>1.4</w:t>
            </w:r>
          </w:p>
        </w:tc>
        <w:tc>
          <w:tcPr>
            <w:tcW w:w="255" w:type="pct"/>
            <w:tcMar>
              <w:top w:w="0" w:type="dxa"/>
              <w:left w:w="0" w:type="dxa"/>
              <w:bottom w:w="0" w:type="dxa"/>
              <w:right w:w="0" w:type="dxa"/>
            </w:tcMar>
            <w:vAlign w:val="center"/>
          </w:tcPr>
          <w:p>
            <w:pPr>
              <w:pStyle w:val="182"/>
              <w:bidi w:val="0"/>
              <w:rPr>
                <w:color w:val="auto"/>
              </w:rPr>
            </w:pPr>
            <w:r>
              <w:rPr>
                <w:color w:val="auto"/>
              </w:rPr>
              <w:t>3.5</w:t>
            </w:r>
          </w:p>
        </w:tc>
        <w:tc>
          <w:tcPr>
            <w:tcW w:w="305" w:type="pct"/>
            <w:tcMar>
              <w:top w:w="0" w:type="dxa"/>
              <w:left w:w="0" w:type="dxa"/>
              <w:bottom w:w="0" w:type="dxa"/>
              <w:right w:w="0" w:type="dxa"/>
            </w:tcMar>
            <w:vAlign w:val="center"/>
          </w:tcPr>
          <w:p>
            <w:pPr>
              <w:pStyle w:val="182"/>
              <w:bidi w:val="0"/>
              <w:rPr>
                <w:color w:val="auto"/>
              </w:rPr>
            </w:pPr>
            <w:r>
              <w:rPr>
                <w:color w:val="auto"/>
              </w:rPr>
              <w:t>9.0</w:t>
            </w:r>
          </w:p>
        </w:tc>
        <w:tc>
          <w:tcPr>
            <w:tcW w:w="255" w:type="pct"/>
            <w:tcMar>
              <w:top w:w="0" w:type="dxa"/>
              <w:left w:w="0" w:type="dxa"/>
              <w:bottom w:w="0" w:type="dxa"/>
              <w:right w:w="0" w:type="dxa"/>
            </w:tcMar>
            <w:vAlign w:val="center"/>
          </w:tcPr>
          <w:p>
            <w:pPr>
              <w:pStyle w:val="182"/>
              <w:bidi w:val="0"/>
              <w:rPr>
                <w:color w:val="auto"/>
              </w:rPr>
            </w:pPr>
            <w:r>
              <w:rPr>
                <w:color w:val="auto"/>
              </w:rPr>
              <w:t>9.0</w:t>
            </w:r>
          </w:p>
        </w:tc>
        <w:tc>
          <w:tcPr>
            <w:tcW w:w="362" w:type="pct"/>
            <w:tcMar>
              <w:top w:w="0" w:type="dxa"/>
              <w:left w:w="0" w:type="dxa"/>
              <w:bottom w:w="0" w:type="dxa"/>
              <w:right w:w="0" w:type="dxa"/>
            </w:tcMar>
            <w:vAlign w:val="center"/>
          </w:tcPr>
          <w:p>
            <w:pPr>
              <w:pStyle w:val="182"/>
              <w:bidi w:val="0"/>
              <w:rPr>
                <w:color w:val="auto"/>
              </w:rPr>
            </w:pPr>
            <w:r>
              <w:rPr>
                <w:color w:val="auto"/>
              </w:rPr>
              <w:t>6.3</w:t>
            </w:r>
          </w:p>
        </w:tc>
        <w:tc>
          <w:tcPr>
            <w:tcW w:w="207" w:type="pct"/>
            <w:tcMar>
              <w:top w:w="0" w:type="dxa"/>
              <w:left w:w="0" w:type="dxa"/>
              <w:bottom w:w="0" w:type="dxa"/>
              <w:right w:w="0" w:type="dxa"/>
            </w:tcMar>
            <w:vAlign w:val="center"/>
          </w:tcPr>
          <w:p>
            <w:pPr>
              <w:pStyle w:val="182"/>
              <w:bidi w:val="0"/>
              <w:rPr>
                <w:color w:val="auto"/>
              </w:rPr>
            </w:pPr>
            <w:r>
              <w:rPr>
                <w:color w:val="auto"/>
              </w:rPr>
              <w:t>5.3</w:t>
            </w:r>
          </w:p>
        </w:tc>
        <w:tc>
          <w:tcPr>
            <w:tcW w:w="387" w:type="pct"/>
            <w:tcMar>
              <w:top w:w="0" w:type="dxa"/>
              <w:left w:w="0" w:type="dxa"/>
              <w:bottom w:w="0" w:type="dxa"/>
              <w:right w:w="0" w:type="dxa"/>
            </w:tcMar>
            <w:vAlign w:val="center"/>
          </w:tcPr>
          <w:p>
            <w:pPr>
              <w:pStyle w:val="182"/>
              <w:bidi w:val="0"/>
              <w:rPr>
                <w:color w:val="auto"/>
              </w:rPr>
            </w:pPr>
            <w:r>
              <w:rPr>
                <w:color w:val="auto"/>
              </w:rPr>
              <w:t>2.5</w:t>
            </w:r>
          </w:p>
        </w:tc>
        <w:tc>
          <w:tcPr>
            <w:tcW w:w="267" w:type="pct"/>
            <w:tcMar>
              <w:top w:w="0" w:type="dxa"/>
              <w:left w:w="0" w:type="dxa"/>
              <w:bottom w:w="0" w:type="dxa"/>
              <w:right w:w="0" w:type="dxa"/>
            </w:tcMar>
            <w:vAlign w:val="center"/>
          </w:tcPr>
          <w:p>
            <w:pPr>
              <w:pStyle w:val="182"/>
              <w:bidi w:val="0"/>
              <w:rPr>
                <w:color w:val="auto"/>
              </w:rPr>
            </w:pPr>
            <w:r>
              <w:rPr>
                <w:color w:val="auto"/>
              </w:rPr>
              <w:t>2.1</w:t>
            </w:r>
          </w:p>
        </w:tc>
        <w:tc>
          <w:tcPr>
            <w:tcW w:w="355" w:type="pct"/>
            <w:tcMar>
              <w:top w:w="0" w:type="dxa"/>
              <w:left w:w="0" w:type="dxa"/>
              <w:bottom w:w="0" w:type="dxa"/>
              <w:right w:w="0" w:type="dxa"/>
            </w:tcMar>
            <w:vAlign w:val="center"/>
          </w:tcPr>
          <w:p>
            <w:pPr>
              <w:pStyle w:val="182"/>
              <w:bidi w:val="0"/>
              <w:rPr>
                <w:color w:val="auto"/>
              </w:rPr>
            </w:pPr>
            <w:r>
              <w:rPr>
                <w:color w:val="auto"/>
              </w:rPr>
              <w:t>1.3</w:t>
            </w:r>
          </w:p>
        </w:tc>
        <w:tc>
          <w:tcPr>
            <w:tcW w:w="295" w:type="pct"/>
            <w:tcMar>
              <w:top w:w="0" w:type="dxa"/>
              <w:left w:w="0" w:type="dxa"/>
              <w:bottom w:w="0" w:type="dxa"/>
              <w:right w:w="0" w:type="dxa"/>
            </w:tcMar>
            <w:vAlign w:val="center"/>
          </w:tcPr>
          <w:p>
            <w:pPr>
              <w:pStyle w:val="182"/>
              <w:bidi w:val="0"/>
              <w:rPr>
                <w:color w:val="auto"/>
              </w:rPr>
            </w:pPr>
            <w:r>
              <w:rPr>
                <w:color w:val="auto"/>
              </w:rPr>
              <w:t>15.6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pStyle w:val="182"/>
              <w:bidi w:val="0"/>
              <w:rPr>
                <w:color w:val="auto"/>
              </w:rPr>
            </w:pPr>
            <w:r>
              <w:rPr>
                <w:color w:val="auto"/>
              </w:rPr>
              <w:t>12</w:t>
            </w:r>
          </w:p>
        </w:tc>
        <w:tc>
          <w:tcPr>
            <w:tcW w:w="188" w:type="pct"/>
            <w:tcMar>
              <w:top w:w="0" w:type="dxa"/>
              <w:left w:w="0" w:type="dxa"/>
              <w:bottom w:w="0" w:type="dxa"/>
              <w:right w:w="0" w:type="dxa"/>
            </w:tcMar>
            <w:vAlign w:val="center"/>
          </w:tcPr>
          <w:p>
            <w:pPr>
              <w:pStyle w:val="182"/>
              <w:bidi w:val="0"/>
              <w:rPr>
                <w:color w:val="auto"/>
              </w:rPr>
            </w:pPr>
            <w:r>
              <w:rPr>
                <w:color w:val="auto"/>
              </w:rPr>
              <w:t>1.5</w:t>
            </w:r>
          </w:p>
        </w:tc>
        <w:tc>
          <w:tcPr>
            <w:tcW w:w="305" w:type="pct"/>
            <w:tcMar>
              <w:top w:w="0" w:type="dxa"/>
              <w:left w:w="0" w:type="dxa"/>
              <w:bottom w:w="0" w:type="dxa"/>
              <w:right w:w="0" w:type="dxa"/>
            </w:tcMar>
            <w:vAlign w:val="center"/>
          </w:tcPr>
          <w:p>
            <w:pPr>
              <w:pStyle w:val="182"/>
              <w:bidi w:val="0"/>
              <w:rPr>
                <w:color w:val="auto"/>
              </w:rPr>
            </w:pPr>
            <w:r>
              <w:rPr>
                <w:color w:val="auto"/>
              </w:rPr>
              <w:t>1.9</w:t>
            </w:r>
          </w:p>
        </w:tc>
        <w:tc>
          <w:tcPr>
            <w:tcW w:w="261" w:type="pct"/>
            <w:tcMar>
              <w:top w:w="0" w:type="dxa"/>
              <w:left w:w="0" w:type="dxa"/>
              <w:bottom w:w="0" w:type="dxa"/>
              <w:right w:w="0" w:type="dxa"/>
            </w:tcMar>
            <w:vAlign w:val="center"/>
          </w:tcPr>
          <w:p>
            <w:pPr>
              <w:pStyle w:val="182"/>
              <w:bidi w:val="0"/>
              <w:rPr>
                <w:color w:val="auto"/>
              </w:rPr>
            </w:pPr>
            <w:r>
              <w:rPr>
                <w:color w:val="auto"/>
              </w:rPr>
              <w:t>12.2</w:t>
            </w:r>
          </w:p>
        </w:tc>
        <w:tc>
          <w:tcPr>
            <w:tcW w:w="288" w:type="pct"/>
            <w:tcMar>
              <w:top w:w="0" w:type="dxa"/>
              <w:left w:w="0" w:type="dxa"/>
              <w:bottom w:w="0" w:type="dxa"/>
              <w:right w:w="0" w:type="dxa"/>
            </w:tcMar>
            <w:vAlign w:val="center"/>
          </w:tcPr>
          <w:p>
            <w:pPr>
              <w:pStyle w:val="182"/>
              <w:bidi w:val="0"/>
              <w:rPr>
                <w:color w:val="auto"/>
              </w:rPr>
            </w:pPr>
            <w:r>
              <w:rPr>
                <w:color w:val="auto"/>
              </w:rPr>
              <w:t>18.5</w:t>
            </w:r>
          </w:p>
        </w:tc>
        <w:tc>
          <w:tcPr>
            <w:tcW w:w="261" w:type="pct"/>
            <w:tcMar>
              <w:top w:w="0" w:type="dxa"/>
              <w:left w:w="0" w:type="dxa"/>
              <w:bottom w:w="0" w:type="dxa"/>
              <w:right w:w="0" w:type="dxa"/>
            </w:tcMar>
            <w:vAlign w:val="center"/>
          </w:tcPr>
          <w:p>
            <w:pPr>
              <w:pStyle w:val="182"/>
              <w:bidi w:val="0"/>
              <w:rPr>
                <w:color w:val="auto"/>
              </w:rPr>
            </w:pPr>
            <w:r>
              <w:rPr>
                <w:color w:val="auto"/>
              </w:rPr>
              <w:t>11.2</w:t>
            </w:r>
          </w:p>
        </w:tc>
        <w:tc>
          <w:tcPr>
            <w:tcW w:w="265" w:type="pct"/>
            <w:tcMar>
              <w:top w:w="0" w:type="dxa"/>
              <w:left w:w="0" w:type="dxa"/>
              <w:bottom w:w="0" w:type="dxa"/>
              <w:right w:w="0" w:type="dxa"/>
            </w:tcMar>
            <w:vAlign w:val="center"/>
          </w:tcPr>
          <w:p>
            <w:pPr>
              <w:pStyle w:val="182"/>
              <w:bidi w:val="0"/>
              <w:rPr>
                <w:color w:val="auto"/>
              </w:rPr>
            </w:pPr>
            <w:r>
              <w:rPr>
                <w:color w:val="auto"/>
              </w:rPr>
              <w:t>3.0</w:t>
            </w:r>
          </w:p>
        </w:tc>
        <w:tc>
          <w:tcPr>
            <w:tcW w:w="188" w:type="pct"/>
            <w:tcMar>
              <w:top w:w="0" w:type="dxa"/>
              <w:left w:w="0" w:type="dxa"/>
              <w:bottom w:w="0" w:type="dxa"/>
              <w:right w:w="0" w:type="dxa"/>
            </w:tcMar>
            <w:vAlign w:val="center"/>
          </w:tcPr>
          <w:p>
            <w:pPr>
              <w:pStyle w:val="182"/>
              <w:bidi w:val="0"/>
              <w:rPr>
                <w:color w:val="auto"/>
              </w:rPr>
            </w:pPr>
            <w:r>
              <w:rPr>
                <w:color w:val="auto"/>
              </w:rPr>
              <w:t>1.7</w:t>
            </w:r>
          </w:p>
        </w:tc>
        <w:tc>
          <w:tcPr>
            <w:tcW w:w="257" w:type="pct"/>
            <w:tcMar>
              <w:top w:w="0" w:type="dxa"/>
              <w:left w:w="0" w:type="dxa"/>
              <w:bottom w:w="0" w:type="dxa"/>
              <w:right w:w="0" w:type="dxa"/>
            </w:tcMar>
            <w:vAlign w:val="center"/>
          </w:tcPr>
          <w:p>
            <w:pPr>
              <w:pStyle w:val="182"/>
              <w:bidi w:val="0"/>
              <w:rPr>
                <w:color w:val="auto"/>
              </w:rPr>
            </w:pPr>
            <w:r>
              <w:rPr>
                <w:color w:val="auto"/>
              </w:rPr>
              <w:t>1.3</w:t>
            </w:r>
          </w:p>
        </w:tc>
        <w:tc>
          <w:tcPr>
            <w:tcW w:w="255" w:type="pct"/>
            <w:tcMar>
              <w:top w:w="0" w:type="dxa"/>
              <w:left w:w="0" w:type="dxa"/>
              <w:bottom w:w="0" w:type="dxa"/>
              <w:right w:w="0" w:type="dxa"/>
            </w:tcMar>
            <w:vAlign w:val="center"/>
          </w:tcPr>
          <w:p>
            <w:pPr>
              <w:pStyle w:val="182"/>
              <w:bidi w:val="0"/>
              <w:rPr>
                <w:color w:val="auto"/>
              </w:rPr>
            </w:pPr>
            <w:r>
              <w:rPr>
                <w:color w:val="auto"/>
              </w:rPr>
              <w:t>4.2</w:t>
            </w:r>
          </w:p>
        </w:tc>
        <w:tc>
          <w:tcPr>
            <w:tcW w:w="305" w:type="pct"/>
            <w:tcMar>
              <w:top w:w="0" w:type="dxa"/>
              <w:left w:w="0" w:type="dxa"/>
              <w:bottom w:w="0" w:type="dxa"/>
              <w:right w:w="0" w:type="dxa"/>
            </w:tcMar>
            <w:vAlign w:val="center"/>
          </w:tcPr>
          <w:p>
            <w:pPr>
              <w:pStyle w:val="182"/>
              <w:bidi w:val="0"/>
              <w:rPr>
                <w:color w:val="auto"/>
              </w:rPr>
            </w:pPr>
            <w:r>
              <w:rPr>
                <w:color w:val="auto"/>
              </w:rPr>
              <w:t>6.9</w:t>
            </w:r>
          </w:p>
        </w:tc>
        <w:tc>
          <w:tcPr>
            <w:tcW w:w="255" w:type="pct"/>
            <w:tcMar>
              <w:top w:w="0" w:type="dxa"/>
              <w:left w:w="0" w:type="dxa"/>
              <w:bottom w:w="0" w:type="dxa"/>
              <w:right w:w="0" w:type="dxa"/>
            </w:tcMar>
            <w:vAlign w:val="center"/>
          </w:tcPr>
          <w:p>
            <w:pPr>
              <w:pStyle w:val="182"/>
              <w:bidi w:val="0"/>
              <w:rPr>
                <w:color w:val="auto"/>
              </w:rPr>
            </w:pPr>
            <w:r>
              <w:rPr>
                <w:color w:val="auto"/>
              </w:rPr>
              <w:t>8.1</w:t>
            </w:r>
          </w:p>
        </w:tc>
        <w:tc>
          <w:tcPr>
            <w:tcW w:w="362" w:type="pct"/>
            <w:tcMar>
              <w:top w:w="0" w:type="dxa"/>
              <w:left w:w="0" w:type="dxa"/>
              <w:bottom w:w="0" w:type="dxa"/>
              <w:right w:w="0" w:type="dxa"/>
            </w:tcMar>
            <w:vAlign w:val="center"/>
          </w:tcPr>
          <w:p>
            <w:pPr>
              <w:pStyle w:val="182"/>
              <w:bidi w:val="0"/>
              <w:rPr>
                <w:color w:val="auto"/>
              </w:rPr>
            </w:pPr>
            <w:r>
              <w:rPr>
                <w:color w:val="auto"/>
              </w:rPr>
              <w:t>7.4</w:t>
            </w:r>
          </w:p>
        </w:tc>
        <w:tc>
          <w:tcPr>
            <w:tcW w:w="207" w:type="pct"/>
            <w:tcMar>
              <w:top w:w="0" w:type="dxa"/>
              <w:left w:w="0" w:type="dxa"/>
              <w:bottom w:w="0" w:type="dxa"/>
              <w:right w:w="0" w:type="dxa"/>
            </w:tcMar>
            <w:vAlign w:val="center"/>
          </w:tcPr>
          <w:p>
            <w:pPr>
              <w:pStyle w:val="182"/>
              <w:bidi w:val="0"/>
              <w:rPr>
                <w:color w:val="auto"/>
              </w:rPr>
            </w:pPr>
            <w:r>
              <w:rPr>
                <w:color w:val="auto"/>
              </w:rPr>
              <w:t>6.2</w:t>
            </w:r>
          </w:p>
        </w:tc>
        <w:tc>
          <w:tcPr>
            <w:tcW w:w="387" w:type="pct"/>
            <w:tcMar>
              <w:top w:w="0" w:type="dxa"/>
              <w:left w:w="0" w:type="dxa"/>
              <w:bottom w:w="0" w:type="dxa"/>
              <w:right w:w="0" w:type="dxa"/>
            </w:tcMar>
            <w:vAlign w:val="center"/>
          </w:tcPr>
          <w:p>
            <w:pPr>
              <w:pStyle w:val="182"/>
              <w:bidi w:val="0"/>
              <w:rPr>
                <w:color w:val="auto"/>
              </w:rPr>
            </w:pPr>
            <w:r>
              <w:rPr>
                <w:color w:val="auto"/>
              </w:rPr>
              <w:t>3.0</w:t>
            </w:r>
          </w:p>
        </w:tc>
        <w:tc>
          <w:tcPr>
            <w:tcW w:w="267" w:type="pct"/>
            <w:tcMar>
              <w:top w:w="0" w:type="dxa"/>
              <w:left w:w="0" w:type="dxa"/>
              <w:bottom w:w="0" w:type="dxa"/>
              <w:right w:w="0" w:type="dxa"/>
            </w:tcMar>
            <w:vAlign w:val="center"/>
          </w:tcPr>
          <w:p>
            <w:pPr>
              <w:pStyle w:val="182"/>
              <w:bidi w:val="0"/>
              <w:rPr>
                <w:color w:val="auto"/>
              </w:rPr>
            </w:pPr>
            <w:r>
              <w:rPr>
                <w:color w:val="auto"/>
              </w:rPr>
              <w:t>1.7</w:t>
            </w:r>
          </w:p>
        </w:tc>
        <w:tc>
          <w:tcPr>
            <w:tcW w:w="355" w:type="pct"/>
            <w:tcMar>
              <w:top w:w="0" w:type="dxa"/>
              <w:left w:w="0" w:type="dxa"/>
              <w:bottom w:w="0" w:type="dxa"/>
              <w:right w:w="0" w:type="dxa"/>
            </w:tcMar>
            <w:vAlign w:val="center"/>
          </w:tcPr>
          <w:p>
            <w:pPr>
              <w:pStyle w:val="182"/>
              <w:bidi w:val="0"/>
              <w:rPr>
                <w:color w:val="auto"/>
              </w:rPr>
            </w:pPr>
            <w:r>
              <w:rPr>
                <w:color w:val="auto"/>
              </w:rPr>
              <w:t>1.1</w:t>
            </w:r>
          </w:p>
        </w:tc>
        <w:tc>
          <w:tcPr>
            <w:tcW w:w="295" w:type="pct"/>
            <w:tcMar>
              <w:top w:w="0" w:type="dxa"/>
              <w:left w:w="0" w:type="dxa"/>
              <w:bottom w:w="0" w:type="dxa"/>
              <w:right w:w="0" w:type="dxa"/>
            </w:tcMar>
            <w:vAlign w:val="center"/>
          </w:tcPr>
          <w:p>
            <w:pPr>
              <w:pStyle w:val="182"/>
              <w:bidi w:val="0"/>
              <w:rPr>
                <w:color w:val="auto"/>
              </w:rPr>
            </w:pPr>
            <w:r>
              <w:rPr>
                <w:color w:val="auto"/>
              </w:rPr>
              <w:t>10.0</w:t>
            </w:r>
          </w:p>
        </w:tc>
      </w:tr>
    </w:tbl>
    <w:p>
      <w:pPr>
        <w:jc w:val="center"/>
        <w:rPr>
          <w:b/>
          <w:color w:val="auto"/>
          <w:sz w:val="24"/>
          <w:szCs w:val="20"/>
        </w:rPr>
      </w:pPr>
      <w:r>
        <w:rPr>
          <w:color w:val="auto"/>
          <w:kern w:val="0"/>
          <w:sz w:val="24"/>
          <w:szCs w:val="20"/>
        </w:rPr>
        <w:drawing>
          <wp:inline distT="0" distB="0" distL="114300" distR="114300">
            <wp:extent cx="5124450" cy="2190750"/>
            <wp:effectExtent l="0" t="0" r="11430" b="3810"/>
            <wp:docPr id="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1"/>
                    <pic:cNvPicPr>
                      <a:picLocks noChangeAspect="1"/>
                    </pic:cNvPicPr>
                  </pic:nvPicPr>
                  <pic:blipFill>
                    <a:blip r:embed="rId61"/>
                    <a:srcRect r="2031" b="2969"/>
                    <a:stretch>
                      <a:fillRect/>
                    </a:stretch>
                  </pic:blipFill>
                  <pic:spPr>
                    <a:xfrm>
                      <a:off x="0" y="0"/>
                      <a:ext cx="5124450" cy="2190750"/>
                    </a:xfrm>
                    <a:prstGeom prst="rect">
                      <a:avLst/>
                    </a:prstGeom>
                    <a:noFill/>
                    <a:ln>
                      <a:noFill/>
                    </a:ln>
                  </pic:spPr>
                </pic:pic>
              </a:graphicData>
            </a:graphic>
          </wp:inline>
        </w:drawing>
      </w:r>
      <w:r>
        <w:rPr>
          <w:b/>
          <w:color w:val="auto"/>
          <w:sz w:val="24"/>
          <w:szCs w:val="20"/>
        </w:rPr>
        <w:t xml:space="preserve"> </w:t>
      </w:r>
      <w:r>
        <w:rPr>
          <w:color w:val="auto"/>
          <w:kern w:val="0"/>
          <w:sz w:val="24"/>
          <w:szCs w:val="20"/>
        </w:rPr>
        <w:drawing>
          <wp:inline distT="0" distB="0" distL="114300" distR="114300">
            <wp:extent cx="5219700" cy="2286000"/>
            <wp:effectExtent l="0" t="0" r="7620" b="0"/>
            <wp:docPr id="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2"/>
                    <pic:cNvPicPr>
                      <a:picLocks noChangeAspect="1"/>
                    </pic:cNvPicPr>
                  </pic:nvPicPr>
                  <pic:blipFill>
                    <a:blip r:embed="rId62"/>
                    <a:srcRect r="3316" b="5154"/>
                    <a:stretch>
                      <a:fillRect/>
                    </a:stretch>
                  </pic:blipFill>
                  <pic:spPr>
                    <a:xfrm>
                      <a:off x="0" y="0"/>
                      <a:ext cx="5219700" cy="2286000"/>
                    </a:xfrm>
                    <a:prstGeom prst="rect">
                      <a:avLst/>
                    </a:prstGeom>
                    <a:noFill/>
                    <a:ln>
                      <a:noFill/>
                    </a:ln>
                  </pic:spPr>
                </pic:pic>
              </a:graphicData>
            </a:graphic>
          </wp:inline>
        </w:drawing>
      </w:r>
      <w:r>
        <w:rPr>
          <w:b/>
          <w:color w:val="auto"/>
          <w:sz w:val="24"/>
          <w:szCs w:val="20"/>
        </w:rPr>
        <w:t xml:space="preserve"> </w:t>
      </w:r>
    </w:p>
    <w:p>
      <w:pPr>
        <w:ind w:left="0" w:leftChars="0" w:firstLine="0" w:firstLineChars="0"/>
        <w:jc w:val="both"/>
        <w:rPr>
          <w:b/>
          <w:color w:val="auto"/>
          <w:sz w:val="24"/>
          <w:szCs w:val="20"/>
        </w:rPr>
      </w:pPr>
      <w:r>
        <w:rPr>
          <w:color w:val="auto"/>
          <w:kern w:val="0"/>
          <w:sz w:val="24"/>
          <w:szCs w:val="20"/>
        </w:rPr>
        <w:drawing>
          <wp:inline distT="0" distB="0" distL="114300" distR="114300">
            <wp:extent cx="5305425" cy="4933950"/>
            <wp:effectExtent l="0" t="0" r="13335" b="3810"/>
            <wp:docPr id="6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3"/>
                    <pic:cNvPicPr>
                      <a:picLocks noChangeAspect="1"/>
                    </pic:cNvPicPr>
                  </pic:nvPicPr>
                  <pic:blipFill>
                    <a:blip r:embed="rId63"/>
                    <a:srcRect r="3131"/>
                    <a:stretch>
                      <a:fillRect/>
                    </a:stretch>
                  </pic:blipFill>
                  <pic:spPr>
                    <a:xfrm>
                      <a:off x="0" y="0"/>
                      <a:ext cx="5305425" cy="4933950"/>
                    </a:xfrm>
                    <a:prstGeom prst="rect">
                      <a:avLst/>
                    </a:prstGeom>
                    <a:noFill/>
                    <a:ln>
                      <a:noFill/>
                    </a:ln>
                  </pic:spPr>
                </pic:pic>
              </a:graphicData>
            </a:graphic>
          </wp:inline>
        </w:drawing>
      </w:r>
      <w:r>
        <w:rPr>
          <w:color w:val="auto"/>
          <w:kern w:val="0"/>
          <w:sz w:val="24"/>
          <w:szCs w:val="20"/>
        </w:rPr>
        <w:drawing>
          <wp:inline distT="0" distB="0" distL="114300" distR="114300">
            <wp:extent cx="5133975" cy="2444115"/>
            <wp:effectExtent l="0" t="0" r="1905" b="9525"/>
            <wp:docPr id="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pic:cNvPicPr>
                      <a:picLocks noChangeAspect="1"/>
                    </pic:cNvPicPr>
                  </pic:nvPicPr>
                  <pic:blipFill>
                    <a:blip r:embed="rId64"/>
                    <a:srcRect l="867" r="2380"/>
                    <a:stretch>
                      <a:fillRect/>
                    </a:stretch>
                  </pic:blipFill>
                  <pic:spPr>
                    <a:xfrm>
                      <a:off x="0" y="0"/>
                      <a:ext cx="5133975" cy="2444115"/>
                    </a:xfrm>
                    <a:prstGeom prst="rect">
                      <a:avLst/>
                    </a:prstGeom>
                    <a:noFill/>
                    <a:ln>
                      <a:noFill/>
                    </a:ln>
                  </pic:spPr>
                </pic:pic>
              </a:graphicData>
            </a:graphic>
          </wp:inline>
        </w:drawing>
      </w:r>
      <w:r>
        <w:rPr>
          <w:b/>
          <w:color w:val="auto"/>
          <w:sz w:val="24"/>
          <w:szCs w:val="20"/>
        </w:rPr>
        <w:drawing>
          <wp:inline distT="0" distB="0" distL="114300" distR="114300">
            <wp:extent cx="5295900" cy="2286000"/>
            <wp:effectExtent l="0" t="0" r="7620" b="0"/>
            <wp:docPr id="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5"/>
                    <pic:cNvPicPr>
                      <a:picLocks noChangeAspect="1"/>
                    </pic:cNvPicPr>
                  </pic:nvPicPr>
                  <pic:blipFill>
                    <a:blip r:embed="rId65"/>
                    <a:stretch>
                      <a:fillRect/>
                    </a:stretch>
                  </pic:blipFill>
                  <pic:spPr>
                    <a:xfrm>
                      <a:off x="0" y="0"/>
                      <a:ext cx="5295900" cy="2286000"/>
                    </a:xfrm>
                    <a:prstGeom prst="rect">
                      <a:avLst/>
                    </a:prstGeom>
                    <a:noFill/>
                    <a:ln>
                      <a:noFill/>
                    </a:ln>
                  </pic:spPr>
                </pic:pic>
              </a:graphicData>
            </a:graphic>
          </wp:inline>
        </w:drawing>
      </w:r>
    </w:p>
    <w:p>
      <w:pPr>
        <w:bidi w:val="0"/>
        <w:ind w:left="0" w:leftChars="0" w:firstLine="0" w:firstLineChars="0"/>
        <w:jc w:val="both"/>
        <w:rPr>
          <w:color w:val="auto"/>
          <w:kern w:val="0"/>
          <w:sz w:val="24"/>
          <w:szCs w:val="20"/>
        </w:rPr>
      </w:pPr>
      <w:r>
        <w:rPr>
          <w:color w:val="auto"/>
          <w:kern w:val="0"/>
          <w:sz w:val="24"/>
          <w:szCs w:val="20"/>
        </w:rPr>
        <w:drawing>
          <wp:inline distT="0" distB="0" distL="114300" distR="114300">
            <wp:extent cx="5305425" cy="2371725"/>
            <wp:effectExtent l="0" t="0" r="13335" b="5715"/>
            <wp:docPr id="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6"/>
                    <pic:cNvPicPr>
                      <a:picLocks noChangeAspect="1"/>
                    </pic:cNvPicPr>
                  </pic:nvPicPr>
                  <pic:blipFill>
                    <a:blip r:embed="rId66"/>
                    <a:stretch>
                      <a:fillRect/>
                    </a:stretch>
                  </pic:blipFill>
                  <pic:spPr>
                    <a:xfrm>
                      <a:off x="0" y="0"/>
                      <a:ext cx="5305425" cy="2371725"/>
                    </a:xfrm>
                    <a:prstGeom prst="rect">
                      <a:avLst/>
                    </a:prstGeom>
                    <a:noFill/>
                    <a:ln>
                      <a:noFill/>
                    </a:ln>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5</w:t>
      </w:r>
      <w:r>
        <w:rPr>
          <w:rFonts w:hint="eastAsia"/>
          <w:color w:val="auto"/>
          <w:lang w:val="en-US" w:eastAsia="zh-CN"/>
        </w:rPr>
        <w:t>.1</w:t>
      </w:r>
      <w:r>
        <w:rPr>
          <w:color w:val="auto"/>
        </w:rPr>
        <w:t>-</w:t>
      </w:r>
      <w:r>
        <w:rPr>
          <w:rFonts w:hint="eastAsia"/>
          <w:color w:val="auto"/>
          <w:lang w:val="en-US" w:eastAsia="zh-CN"/>
        </w:rPr>
        <w:t>2</w:t>
      </w:r>
      <w:r>
        <w:rPr>
          <w:color w:val="auto"/>
        </w:rPr>
        <w:t xml:space="preserve">  </w:t>
      </w:r>
      <w:r>
        <w:rPr>
          <w:rFonts w:hint="eastAsia"/>
          <w:color w:val="auto"/>
        </w:rPr>
        <w:t>新乡月风向玫瑰图</w:t>
      </w:r>
    </w:p>
    <w:p>
      <w:pPr>
        <w:bidi w:val="0"/>
        <w:rPr>
          <w:color w:val="auto"/>
        </w:rPr>
      </w:pPr>
      <w:r>
        <w:rPr>
          <w:rFonts w:hint="eastAsia"/>
          <w:color w:val="auto"/>
        </w:rPr>
        <w:t>3、</w:t>
      </w:r>
      <w:r>
        <w:rPr>
          <w:color w:val="auto"/>
        </w:rPr>
        <w:t>风速年际变化特征与周期分析</w:t>
      </w:r>
    </w:p>
    <w:p>
      <w:pPr>
        <w:bidi w:val="0"/>
        <w:rPr>
          <w:color w:val="auto"/>
        </w:rPr>
      </w:pPr>
      <w:r>
        <w:rPr>
          <w:rFonts w:hint="eastAsia"/>
          <w:color w:val="auto"/>
        </w:rPr>
        <w:t>根据近</w:t>
      </w:r>
      <w:r>
        <w:rPr>
          <w:color w:val="auto"/>
        </w:rPr>
        <w:t>20</w:t>
      </w:r>
      <w:r>
        <w:rPr>
          <w:rFonts w:hint="eastAsia"/>
          <w:color w:val="auto"/>
        </w:rPr>
        <w:t>年资料分析，新乡气象站风速呈现下降趋势，每年下降</w:t>
      </w:r>
      <w:r>
        <w:rPr>
          <w:color w:val="auto"/>
        </w:rPr>
        <w:t>0.02%</w:t>
      </w:r>
      <w:r>
        <w:rPr>
          <w:rFonts w:hint="eastAsia"/>
          <w:color w:val="auto"/>
        </w:rPr>
        <w:t>，</w:t>
      </w:r>
      <w:r>
        <w:rPr>
          <w:color w:val="auto"/>
        </w:rPr>
        <w:t>2004</w:t>
      </w:r>
      <w:r>
        <w:rPr>
          <w:rFonts w:hint="eastAsia"/>
          <w:color w:val="auto"/>
        </w:rPr>
        <w:t>年年平均风速最大（</w:t>
      </w:r>
      <w:r>
        <w:rPr>
          <w:color w:val="auto"/>
        </w:rPr>
        <w:t>2.4</w:t>
      </w:r>
      <w:r>
        <w:rPr>
          <w:rFonts w:hint="eastAsia"/>
          <w:color w:val="auto"/>
        </w:rPr>
        <w:t>米</w:t>
      </w:r>
      <w:r>
        <w:rPr>
          <w:color w:val="auto"/>
        </w:rPr>
        <w:t>/</w:t>
      </w:r>
      <w:r>
        <w:rPr>
          <w:rFonts w:hint="eastAsia"/>
          <w:color w:val="auto"/>
        </w:rPr>
        <w:t>秒），</w:t>
      </w:r>
      <w:r>
        <w:rPr>
          <w:color w:val="auto"/>
        </w:rPr>
        <w:t>2012</w:t>
      </w:r>
      <w:r>
        <w:rPr>
          <w:rFonts w:hint="eastAsia"/>
          <w:color w:val="auto"/>
        </w:rPr>
        <w:t>年年平均风速最小（</w:t>
      </w:r>
      <w:r>
        <w:rPr>
          <w:color w:val="auto"/>
        </w:rPr>
        <w:t>1.8</w:t>
      </w:r>
      <w:r>
        <w:rPr>
          <w:rFonts w:hint="eastAsia"/>
          <w:color w:val="auto"/>
        </w:rPr>
        <w:t>米</w:t>
      </w:r>
      <w:r>
        <w:rPr>
          <w:color w:val="auto"/>
        </w:rPr>
        <w:t>/</w:t>
      </w:r>
      <w:r>
        <w:rPr>
          <w:rFonts w:hint="eastAsia"/>
          <w:color w:val="auto"/>
        </w:rPr>
        <w:t>秒），周期为</w:t>
      </w:r>
      <w:r>
        <w:rPr>
          <w:color w:val="auto"/>
        </w:rPr>
        <w:t>4</w:t>
      </w:r>
      <w:r>
        <w:rPr>
          <w:rFonts w:hint="eastAsia"/>
          <w:color w:val="auto"/>
        </w:rPr>
        <w:t>年。新乡近</w:t>
      </w:r>
      <w:r>
        <w:rPr>
          <w:color w:val="auto"/>
        </w:rPr>
        <w:t>20</w:t>
      </w:r>
      <w:r>
        <w:rPr>
          <w:rFonts w:hint="eastAsia"/>
          <w:color w:val="auto"/>
        </w:rPr>
        <w:t>年风速变化见下图：</w:t>
      </w:r>
    </w:p>
    <w:p>
      <w:pPr>
        <w:tabs>
          <w:tab w:val="left" w:pos="1155"/>
        </w:tabs>
        <w:spacing w:line="500" w:lineRule="exact"/>
        <w:ind w:firstLine="480" w:firstLineChars="200"/>
        <w:rPr>
          <w:rFonts w:eastAsia="黑体"/>
          <w:color w:val="auto"/>
          <w:sz w:val="24"/>
        </w:rPr>
      </w:pPr>
    </w:p>
    <w:p>
      <w:pPr>
        <w:tabs>
          <w:tab w:val="left" w:pos="1155"/>
        </w:tabs>
        <w:spacing w:line="500" w:lineRule="exact"/>
        <w:ind w:firstLine="480" w:firstLineChars="200"/>
        <w:rPr>
          <w:rFonts w:eastAsia="黑体"/>
          <w:color w:val="auto"/>
          <w:sz w:val="24"/>
        </w:rPr>
      </w:pPr>
    </w:p>
    <w:p>
      <w:pPr>
        <w:tabs>
          <w:tab w:val="left" w:pos="1155"/>
        </w:tabs>
        <w:spacing w:line="500" w:lineRule="exact"/>
        <w:ind w:firstLine="480" w:firstLineChars="200"/>
        <w:rPr>
          <w:rFonts w:eastAsia="黑体"/>
          <w:color w:val="auto"/>
          <w:sz w:val="24"/>
        </w:rPr>
      </w:pPr>
    </w:p>
    <w:p>
      <w:pPr>
        <w:tabs>
          <w:tab w:val="left" w:pos="1155"/>
        </w:tabs>
        <w:spacing w:line="500" w:lineRule="exact"/>
        <w:ind w:firstLine="480" w:firstLineChars="200"/>
        <w:rPr>
          <w:rFonts w:eastAsia="黑体"/>
          <w:color w:val="auto"/>
          <w:sz w:val="24"/>
        </w:rPr>
      </w:pPr>
    </w:p>
    <w:p>
      <w:pPr>
        <w:tabs>
          <w:tab w:val="left" w:pos="1155"/>
        </w:tabs>
        <w:spacing w:line="500" w:lineRule="exact"/>
        <w:ind w:firstLine="480" w:firstLineChars="200"/>
        <w:rPr>
          <w:rFonts w:eastAsia="黑体"/>
          <w:color w:val="auto"/>
          <w:sz w:val="24"/>
        </w:rPr>
      </w:pPr>
    </w:p>
    <w:p>
      <w:pPr>
        <w:tabs>
          <w:tab w:val="left" w:pos="1155"/>
        </w:tabs>
        <w:spacing w:line="500" w:lineRule="exact"/>
        <w:ind w:firstLine="480" w:firstLineChars="200"/>
        <w:rPr>
          <w:rFonts w:eastAsia="黑体"/>
          <w:color w:val="auto"/>
          <w:sz w:val="24"/>
        </w:rPr>
      </w:pPr>
    </w:p>
    <w:p>
      <w:pPr>
        <w:pStyle w:val="95"/>
        <w:spacing w:line="240" w:lineRule="auto"/>
        <w:ind w:firstLine="0"/>
        <w:jc w:val="center"/>
        <w:rPr>
          <w:color w:val="auto"/>
          <w:sz w:val="24"/>
          <w:lang w:val="en-US"/>
        </w:rPr>
      </w:pPr>
      <w:r>
        <w:rPr>
          <w:color w:val="auto"/>
          <w:sz w:val="24"/>
          <w:szCs w:val="20"/>
          <w:lang w:val="en-US" w:eastAsia="zh-CN"/>
        </w:rPr>
        <w:drawing>
          <wp:inline distT="0" distB="0" distL="114300" distR="114300">
            <wp:extent cx="4667250" cy="3562350"/>
            <wp:effectExtent l="0" t="0" r="11430" b="3810"/>
            <wp:docPr id="73" name="图片 27" descr="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7" descr="IM 10"/>
                    <pic:cNvPicPr>
                      <a:picLocks noChangeAspect="1"/>
                    </pic:cNvPicPr>
                  </pic:nvPicPr>
                  <pic:blipFill>
                    <a:blip r:embed="rId67"/>
                    <a:stretch>
                      <a:fillRect/>
                    </a:stretch>
                  </pic:blipFill>
                  <pic:spPr>
                    <a:xfrm>
                      <a:off x="0" y="0"/>
                      <a:ext cx="4667250" cy="3562350"/>
                    </a:xfrm>
                    <a:prstGeom prst="rect">
                      <a:avLst/>
                    </a:prstGeom>
                    <a:noFill/>
                    <a:ln>
                      <a:noFill/>
                    </a:ln>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5</w:t>
      </w:r>
      <w:r>
        <w:rPr>
          <w:rFonts w:hint="eastAsia"/>
          <w:color w:val="auto"/>
          <w:lang w:val="en-US" w:eastAsia="zh-CN"/>
        </w:rPr>
        <w:t>.1</w:t>
      </w:r>
      <w:r>
        <w:rPr>
          <w:color w:val="auto"/>
        </w:rPr>
        <w:t>-</w:t>
      </w:r>
      <w:r>
        <w:rPr>
          <w:rFonts w:hint="eastAsia"/>
          <w:color w:val="auto"/>
          <w:lang w:val="en-US" w:eastAsia="zh-CN"/>
        </w:rPr>
        <w:t xml:space="preserve">3  </w:t>
      </w:r>
      <w:r>
        <w:rPr>
          <w:rFonts w:hint="eastAsia"/>
          <w:color w:val="auto"/>
        </w:rPr>
        <w:t>新乡年平均风速（单位：</w:t>
      </w:r>
      <w:r>
        <w:rPr>
          <w:color w:val="auto"/>
        </w:rPr>
        <w:t>m/s</w:t>
      </w:r>
      <w:r>
        <w:rPr>
          <w:rFonts w:hint="eastAsia"/>
          <w:color w:val="auto"/>
        </w:rPr>
        <w:t>，虚线为趋势线）</w:t>
      </w:r>
    </w:p>
    <w:p>
      <w:pPr>
        <w:pStyle w:val="9"/>
        <w:bidi w:val="0"/>
        <w:rPr>
          <w:color w:val="auto"/>
          <w:lang w:val="en-US"/>
        </w:rPr>
      </w:pPr>
      <w:r>
        <w:rPr>
          <w:rFonts w:hint="eastAsia"/>
          <w:color w:val="auto"/>
          <w:lang w:eastAsia="zh-CN"/>
        </w:rPr>
        <w:t>5</w:t>
      </w:r>
      <w:r>
        <w:rPr>
          <w:rFonts w:hint="eastAsia"/>
          <w:color w:val="auto"/>
        </w:rPr>
        <w:t>.1.</w:t>
      </w:r>
      <w:r>
        <w:rPr>
          <w:rFonts w:hint="eastAsia"/>
          <w:color w:val="auto"/>
          <w:lang w:eastAsia="zh-CN"/>
        </w:rPr>
        <w:t>3气象站温度分析</w:t>
      </w:r>
    </w:p>
    <w:p>
      <w:pPr>
        <w:bidi w:val="0"/>
        <w:rPr>
          <w:color w:val="auto"/>
        </w:rPr>
      </w:pPr>
      <w:r>
        <w:rPr>
          <w:rFonts w:hint="eastAsia"/>
          <w:color w:val="auto"/>
        </w:rPr>
        <w:t>1</w:t>
      </w:r>
      <w:r>
        <w:rPr>
          <w:color w:val="auto"/>
        </w:rPr>
        <w:t>、月平均气温与极端气温</w:t>
      </w:r>
    </w:p>
    <w:p>
      <w:pPr>
        <w:bidi w:val="0"/>
        <w:rPr>
          <w:color w:val="auto"/>
        </w:rPr>
      </w:pPr>
      <w:r>
        <w:rPr>
          <w:rFonts w:hint="eastAsia"/>
          <w:color w:val="auto"/>
        </w:rPr>
        <w:t>新乡气象站</w:t>
      </w:r>
      <w:r>
        <w:rPr>
          <w:color w:val="auto"/>
        </w:rPr>
        <w:t>07</w:t>
      </w:r>
      <w:r>
        <w:rPr>
          <w:rFonts w:hint="eastAsia"/>
          <w:color w:val="auto"/>
        </w:rPr>
        <w:t>月气温最高（</w:t>
      </w:r>
      <w:r>
        <w:rPr>
          <w:color w:val="auto"/>
        </w:rPr>
        <w:t>27.7</w:t>
      </w:r>
      <w:r>
        <w:rPr>
          <w:rFonts w:hint="eastAsia"/>
          <w:color w:val="auto"/>
        </w:rPr>
        <w:t>℃），</w:t>
      </w:r>
      <w:r>
        <w:rPr>
          <w:color w:val="auto"/>
        </w:rPr>
        <w:t>01</w:t>
      </w:r>
      <w:r>
        <w:rPr>
          <w:rFonts w:hint="eastAsia"/>
          <w:color w:val="auto"/>
        </w:rPr>
        <w:t>月气温最低（</w:t>
      </w:r>
      <w:r>
        <w:rPr>
          <w:color w:val="auto"/>
        </w:rPr>
        <w:t>0.1</w:t>
      </w:r>
      <w:r>
        <w:rPr>
          <w:rFonts w:hint="eastAsia"/>
          <w:color w:val="auto"/>
        </w:rPr>
        <w:t>℃），近</w:t>
      </w:r>
      <w:r>
        <w:rPr>
          <w:color w:val="auto"/>
        </w:rPr>
        <w:t>20</w:t>
      </w:r>
      <w:r>
        <w:rPr>
          <w:rFonts w:hint="eastAsia"/>
          <w:color w:val="auto"/>
        </w:rPr>
        <w:t>年极端最高气温出现在</w:t>
      </w:r>
      <w:r>
        <w:rPr>
          <w:color w:val="auto"/>
        </w:rPr>
        <w:t>2009-06-25</w:t>
      </w:r>
      <w:r>
        <w:rPr>
          <w:rFonts w:hint="eastAsia"/>
          <w:color w:val="auto"/>
        </w:rPr>
        <w:t>（</w:t>
      </w:r>
      <w:r>
        <w:rPr>
          <w:color w:val="auto"/>
        </w:rPr>
        <w:t>40.9</w:t>
      </w:r>
      <w:r>
        <w:rPr>
          <w:rFonts w:hint="eastAsia"/>
          <w:color w:val="auto"/>
        </w:rPr>
        <w:t>），近</w:t>
      </w:r>
      <w:r>
        <w:rPr>
          <w:color w:val="auto"/>
        </w:rPr>
        <w:t>20</w:t>
      </w:r>
      <w:r>
        <w:rPr>
          <w:rFonts w:hint="eastAsia"/>
          <w:color w:val="auto"/>
        </w:rPr>
        <w:t>年极端最低气温出现</w:t>
      </w:r>
      <w:r>
        <w:rPr>
          <w:color w:val="auto"/>
        </w:rPr>
        <w:t>2016-01-24</w:t>
      </w:r>
      <w:r>
        <w:rPr>
          <w:rFonts w:hint="eastAsia"/>
          <w:color w:val="auto"/>
        </w:rPr>
        <w:t>（</w:t>
      </w:r>
      <w:r>
        <w:rPr>
          <w:color w:val="auto"/>
        </w:rPr>
        <w:t>-13.1</w:t>
      </w:r>
      <w:r>
        <w:rPr>
          <w:rFonts w:hint="eastAsia"/>
          <w:color w:val="auto"/>
        </w:rPr>
        <w:t>）。</w:t>
      </w:r>
    </w:p>
    <w:p>
      <w:pPr>
        <w:adjustRightInd w:val="0"/>
        <w:snapToGrid w:val="0"/>
        <w:ind w:left="0" w:leftChars="0" w:firstLine="0" w:firstLineChars="0"/>
        <w:jc w:val="center"/>
        <w:rPr>
          <w:color w:val="auto"/>
          <w:kern w:val="0"/>
          <w:sz w:val="24"/>
        </w:rPr>
      </w:pPr>
      <w:r>
        <w:rPr>
          <w:color w:val="auto"/>
          <w:kern w:val="0"/>
          <w:sz w:val="24"/>
          <w:szCs w:val="20"/>
        </w:rPr>
        <w:drawing>
          <wp:inline distT="0" distB="0" distL="114300" distR="114300">
            <wp:extent cx="4299585" cy="2950210"/>
            <wp:effectExtent l="0" t="0" r="13335" b="6350"/>
            <wp:docPr id="78" name="图片 28" descr="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descr="IM 11"/>
                    <pic:cNvPicPr>
                      <a:picLocks noChangeAspect="1"/>
                    </pic:cNvPicPr>
                  </pic:nvPicPr>
                  <pic:blipFill>
                    <a:blip r:embed="rId68"/>
                    <a:srcRect t="5281"/>
                    <a:stretch>
                      <a:fillRect/>
                    </a:stretch>
                  </pic:blipFill>
                  <pic:spPr>
                    <a:xfrm>
                      <a:off x="0" y="0"/>
                      <a:ext cx="4299585" cy="2950210"/>
                    </a:xfrm>
                    <a:prstGeom prst="rect">
                      <a:avLst/>
                    </a:prstGeom>
                    <a:noFill/>
                    <a:ln>
                      <a:noFill/>
                    </a:ln>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5</w:t>
      </w:r>
      <w:r>
        <w:rPr>
          <w:rFonts w:hint="eastAsia"/>
          <w:color w:val="auto"/>
          <w:lang w:val="en-US" w:eastAsia="zh-CN"/>
        </w:rPr>
        <w:t>.1</w:t>
      </w:r>
      <w:r>
        <w:rPr>
          <w:color w:val="auto"/>
        </w:rPr>
        <w:t>-</w:t>
      </w:r>
      <w:r>
        <w:rPr>
          <w:rFonts w:hint="eastAsia"/>
          <w:color w:val="auto"/>
          <w:lang w:val="en-US" w:eastAsia="zh-CN"/>
        </w:rPr>
        <w:t xml:space="preserve">4  </w:t>
      </w:r>
      <w:r>
        <w:rPr>
          <w:rFonts w:hint="eastAsia"/>
          <w:color w:val="auto"/>
        </w:rPr>
        <w:t>新乡月平均气温（单位：℃）</w:t>
      </w:r>
    </w:p>
    <w:p>
      <w:pPr>
        <w:bidi w:val="0"/>
        <w:rPr>
          <w:color w:val="auto"/>
        </w:rPr>
      </w:pPr>
      <w:r>
        <w:rPr>
          <w:rFonts w:hint="eastAsia"/>
          <w:color w:val="auto"/>
        </w:rPr>
        <w:t>2</w:t>
      </w:r>
      <w:r>
        <w:rPr>
          <w:color w:val="auto"/>
        </w:rPr>
        <w:t>、温度年际变化趋势与周期分析</w:t>
      </w:r>
    </w:p>
    <w:p>
      <w:pPr>
        <w:bidi w:val="0"/>
        <w:rPr>
          <w:color w:val="auto"/>
        </w:rPr>
      </w:pPr>
      <w:r>
        <w:rPr>
          <w:rFonts w:hint="eastAsia"/>
          <w:color w:val="auto"/>
        </w:rPr>
        <w:t>新乡气象站近</w:t>
      </w:r>
      <w:r>
        <w:rPr>
          <w:color w:val="auto"/>
        </w:rPr>
        <w:t>20</w:t>
      </w:r>
      <w:r>
        <w:rPr>
          <w:rFonts w:hint="eastAsia"/>
          <w:color w:val="auto"/>
        </w:rPr>
        <w:t>年气温呈现上升趋势，每年上升</w:t>
      </w:r>
      <w:r>
        <w:rPr>
          <w:color w:val="auto"/>
        </w:rPr>
        <w:t>0.08%</w:t>
      </w:r>
      <w:r>
        <w:rPr>
          <w:rFonts w:hint="eastAsia"/>
          <w:color w:val="auto"/>
        </w:rPr>
        <w:t>，</w:t>
      </w:r>
      <w:r>
        <w:rPr>
          <w:color w:val="auto"/>
        </w:rPr>
        <w:t>2019</w:t>
      </w:r>
      <w:r>
        <w:rPr>
          <w:rFonts w:hint="eastAsia"/>
          <w:color w:val="auto"/>
          <w:lang w:eastAsia="zh-CN"/>
        </w:rPr>
        <w:t>年</w:t>
      </w:r>
      <w:r>
        <w:rPr>
          <w:rFonts w:hint="eastAsia"/>
          <w:color w:val="auto"/>
        </w:rPr>
        <w:t>平均气温最高（</w:t>
      </w:r>
      <w:r>
        <w:rPr>
          <w:color w:val="auto"/>
        </w:rPr>
        <w:t>16.2</w:t>
      </w:r>
      <w:r>
        <w:rPr>
          <w:rFonts w:hint="eastAsia"/>
          <w:color w:val="auto"/>
        </w:rPr>
        <w:t>℃），</w:t>
      </w:r>
      <w:r>
        <w:rPr>
          <w:color w:val="auto"/>
        </w:rPr>
        <w:t>2003</w:t>
      </w:r>
      <w:r>
        <w:rPr>
          <w:rFonts w:hint="eastAsia"/>
          <w:color w:val="auto"/>
        </w:rPr>
        <w:t>年年平均气温最低（</w:t>
      </w:r>
      <w:r>
        <w:rPr>
          <w:color w:val="auto"/>
        </w:rPr>
        <w:t>14.2</w:t>
      </w:r>
      <w:r>
        <w:rPr>
          <w:rFonts w:hint="eastAsia"/>
          <w:color w:val="auto"/>
        </w:rPr>
        <w:t>℃），无明显周期。新乡近</w:t>
      </w:r>
      <w:r>
        <w:rPr>
          <w:color w:val="auto"/>
        </w:rPr>
        <w:t>20</w:t>
      </w:r>
      <w:r>
        <w:rPr>
          <w:rFonts w:hint="eastAsia"/>
          <w:color w:val="auto"/>
        </w:rPr>
        <w:t>年年平均气温变化见下图：</w:t>
      </w:r>
    </w:p>
    <w:p>
      <w:pPr>
        <w:jc w:val="center"/>
        <w:rPr>
          <w:color w:val="auto"/>
          <w:kern w:val="0"/>
          <w:sz w:val="24"/>
          <w:szCs w:val="20"/>
        </w:rPr>
      </w:pPr>
      <w:r>
        <w:rPr>
          <w:color w:val="auto"/>
          <w:kern w:val="0"/>
          <w:sz w:val="24"/>
          <w:szCs w:val="20"/>
        </w:rPr>
        <w:drawing>
          <wp:inline distT="0" distB="0" distL="114300" distR="114300">
            <wp:extent cx="4400550" cy="2838450"/>
            <wp:effectExtent l="0" t="0" r="3810" b="11430"/>
            <wp:docPr id="80" name="图片 29" descr="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9" descr="IM 12"/>
                    <pic:cNvPicPr>
                      <a:picLocks noChangeAspect="1"/>
                    </pic:cNvPicPr>
                  </pic:nvPicPr>
                  <pic:blipFill>
                    <a:blip r:embed="rId69"/>
                    <a:srcRect t="4507"/>
                    <a:stretch>
                      <a:fillRect/>
                    </a:stretch>
                  </pic:blipFill>
                  <pic:spPr>
                    <a:xfrm>
                      <a:off x="0" y="0"/>
                      <a:ext cx="4400550" cy="2838450"/>
                    </a:xfrm>
                    <a:prstGeom prst="rect">
                      <a:avLst/>
                    </a:prstGeom>
                    <a:noFill/>
                    <a:ln>
                      <a:noFill/>
                    </a:ln>
                  </pic:spPr>
                </pic:pic>
              </a:graphicData>
            </a:graphic>
          </wp:inline>
        </w:drawing>
      </w:r>
    </w:p>
    <w:p>
      <w:pPr>
        <w:pStyle w:val="181"/>
        <w:bidi w:val="0"/>
        <w:ind w:left="0" w:leftChars="0" w:firstLine="0" w:firstLineChars="0"/>
        <w:jc w:val="center"/>
        <w:rPr>
          <w:rFonts w:hint="eastAsia"/>
          <w:b/>
          <w:color w:val="auto"/>
          <w:sz w:val="24"/>
          <w:szCs w:val="20"/>
        </w:rPr>
      </w:pPr>
      <w:r>
        <w:rPr>
          <w:rFonts w:hint="eastAsia"/>
          <w:b/>
          <w:color w:val="auto"/>
          <w:sz w:val="24"/>
          <w:szCs w:val="20"/>
        </w:rPr>
        <w:t>图</w:t>
      </w:r>
      <w:r>
        <w:rPr>
          <w:b/>
          <w:color w:val="auto"/>
          <w:sz w:val="24"/>
          <w:szCs w:val="20"/>
        </w:rPr>
        <w:t>5</w:t>
      </w:r>
      <w:r>
        <w:rPr>
          <w:rFonts w:hint="eastAsia"/>
          <w:b/>
          <w:color w:val="auto"/>
          <w:sz w:val="24"/>
          <w:szCs w:val="20"/>
          <w:lang w:val="en-US" w:eastAsia="zh-CN"/>
        </w:rPr>
        <w:t>.1</w:t>
      </w:r>
      <w:r>
        <w:rPr>
          <w:b/>
          <w:color w:val="auto"/>
          <w:sz w:val="24"/>
          <w:szCs w:val="20"/>
        </w:rPr>
        <w:t>-</w:t>
      </w:r>
      <w:r>
        <w:rPr>
          <w:rFonts w:hint="eastAsia"/>
          <w:b/>
          <w:color w:val="auto"/>
          <w:sz w:val="24"/>
          <w:szCs w:val="20"/>
          <w:lang w:val="en-US" w:eastAsia="zh-CN"/>
        </w:rPr>
        <w:t xml:space="preserve">5  </w:t>
      </w:r>
      <w:r>
        <w:rPr>
          <w:rFonts w:hint="eastAsia"/>
          <w:b/>
          <w:color w:val="auto"/>
          <w:sz w:val="24"/>
          <w:szCs w:val="20"/>
        </w:rPr>
        <w:t>新乡（</w:t>
      </w:r>
      <w:r>
        <w:rPr>
          <w:b/>
          <w:color w:val="auto"/>
          <w:sz w:val="24"/>
          <w:szCs w:val="20"/>
        </w:rPr>
        <w:t>2001-2019</w:t>
      </w:r>
      <w:r>
        <w:rPr>
          <w:rFonts w:hint="eastAsia"/>
          <w:b/>
          <w:color w:val="auto"/>
          <w:sz w:val="24"/>
          <w:szCs w:val="20"/>
        </w:rPr>
        <w:t>）年平均气温（单位：</w:t>
      </w:r>
      <w:r>
        <w:rPr>
          <w:rFonts w:hint="eastAsia" w:ascii="宋体" w:hAnsi="宋体" w:cs="宋体"/>
          <w:b/>
          <w:color w:val="auto"/>
          <w:sz w:val="24"/>
          <w:szCs w:val="20"/>
        </w:rPr>
        <w:t>℃</w:t>
      </w:r>
      <w:r>
        <w:rPr>
          <w:rFonts w:hint="eastAsia"/>
          <w:b/>
          <w:color w:val="auto"/>
          <w:sz w:val="24"/>
          <w:szCs w:val="20"/>
        </w:rPr>
        <w:t>，虚线为趋势线）</w:t>
      </w:r>
    </w:p>
    <w:p>
      <w:pPr>
        <w:pStyle w:val="95"/>
        <w:ind w:firstLine="0"/>
        <w:rPr>
          <w:b/>
          <w:color w:val="auto"/>
          <w:sz w:val="24"/>
          <w:szCs w:val="24"/>
          <w:lang w:val="en-US" w:eastAsia="zh-CN"/>
        </w:rPr>
      </w:pPr>
      <w:r>
        <w:rPr>
          <w:rStyle w:val="174"/>
          <w:rFonts w:hint="eastAsia"/>
          <w:color w:val="auto"/>
          <w:lang w:eastAsia="zh-CN"/>
        </w:rPr>
        <w:t>5</w:t>
      </w:r>
      <w:r>
        <w:rPr>
          <w:rStyle w:val="174"/>
          <w:rFonts w:hint="eastAsia"/>
          <w:color w:val="auto"/>
        </w:rPr>
        <w:t>.1.1.</w:t>
      </w:r>
      <w:r>
        <w:rPr>
          <w:rStyle w:val="174"/>
          <w:rFonts w:hint="eastAsia"/>
          <w:color w:val="auto"/>
          <w:lang w:eastAsia="zh-CN"/>
        </w:rPr>
        <w:t>4气象站</w:t>
      </w:r>
      <w:r>
        <w:rPr>
          <w:rStyle w:val="174"/>
          <w:color w:val="auto"/>
          <w:lang w:val="en-US" w:eastAsia="zh-CN"/>
        </w:rPr>
        <w:t>相对湿度分</w:t>
      </w:r>
      <w:r>
        <w:rPr>
          <w:b/>
          <w:color w:val="auto"/>
          <w:sz w:val="24"/>
          <w:szCs w:val="24"/>
          <w:lang w:val="en-US" w:eastAsia="zh-CN"/>
        </w:rPr>
        <w:t>析</w:t>
      </w:r>
    </w:p>
    <w:p>
      <w:pPr>
        <w:bidi w:val="0"/>
        <w:rPr>
          <w:color w:val="auto"/>
        </w:rPr>
      </w:pPr>
      <w:r>
        <w:rPr>
          <w:color w:val="auto"/>
        </w:rPr>
        <w:t>A</w:t>
      </w:r>
      <w:r>
        <w:rPr>
          <w:rFonts w:hint="eastAsia"/>
          <w:color w:val="auto"/>
          <w:lang w:eastAsia="zh-CN"/>
        </w:rPr>
        <w:t>.</w:t>
      </w:r>
      <w:r>
        <w:rPr>
          <w:rFonts w:hint="eastAsia"/>
          <w:color w:val="auto"/>
        </w:rPr>
        <w:t>月平均降水与极端降水</w:t>
      </w:r>
    </w:p>
    <w:p>
      <w:pPr>
        <w:bidi w:val="0"/>
        <w:rPr>
          <w:color w:val="auto"/>
          <w:kern w:val="0"/>
        </w:rPr>
      </w:pPr>
      <w:r>
        <w:rPr>
          <w:rFonts w:hint="eastAsia"/>
          <w:color w:val="auto"/>
        </w:rPr>
        <w:t>新乡气象站07月降水量最大（180.5毫米），12月降水量最小（5.2毫米），近20年极端最大日降水出现在2016-07-09（414.0毫米）。</w:t>
      </w:r>
    </w:p>
    <w:p>
      <w:pPr>
        <w:jc w:val="center"/>
        <w:rPr>
          <w:b/>
          <w:color w:val="auto"/>
          <w:sz w:val="24"/>
          <w:szCs w:val="20"/>
        </w:rPr>
      </w:pPr>
      <w:r>
        <w:rPr>
          <w:b/>
          <w:color w:val="auto"/>
          <w:sz w:val="24"/>
          <w:szCs w:val="20"/>
        </w:rPr>
        <w:drawing>
          <wp:inline distT="0" distB="0" distL="114300" distR="114300">
            <wp:extent cx="4210050" cy="2647950"/>
            <wp:effectExtent l="0" t="0" r="11430" b="3810"/>
            <wp:docPr id="81" name="图片 30" descr="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descr="IM 13"/>
                    <pic:cNvPicPr>
                      <a:picLocks noChangeAspect="1"/>
                    </pic:cNvPicPr>
                  </pic:nvPicPr>
                  <pic:blipFill>
                    <a:blip r:embed="rId70"/>
                    <a:srcRect t="4016"/>
                    <a:stretch>
                      <a:fillRect/>
                    </a:stretch>
                  </pic:blipFill>
                  <pic:spPr>
                    <a:xfrm>
                      <a:off x="0" y="0"/>
                      <a:ext cx="4210050" cy="2647950"/>
                    </a:xfrm>
                    <a:prstGeom prst="rect">
                      <a:avLst/>
                    </a:prstGeom>
                    <a:noFill/>
                    <a:ln>
                      <a:noFill/>
                    </a:ln>
                  </pic:spPr>
                </pic:pic>
              </a:graphicData>
            </a:graphic>
          </wp:inline>
        </w:drawing>
      </w:r>
    </w:p>
    <w:p>
      <w:pPr>
        <w:pStyle w:val="181"/>
        <w:bidi w:val="0"/>
        <w:ind w:left="0" w:leftChars="0" w:firstLine="0" w:firstLineChars="0"/>
        <w:jc w:val="center"/>
        <w:rPr>
          <w:color w:val="auto"/>
        </w:rPr>
      </w:pPr>
      <w:r>
        <w:rPr>
          <w:rFonts w:hint="eastAsia"/>
          <w:color w:val="auto"/>
        </w:rPr>
        <w:t>图5</w:t>
      </w:r>
      <w:r>
        <w:rPr>
          <w:rFonts w:hint="eastAsia"/>
          <w:color w:val="auto"/>
          <w:lang w:val="en-US" w:eastAsia="zh-CN"/>
        </w:rPr>
        <w:t>.1</w:t>
      </w:r>
      <w:r>
        <w:rPr>
          <w:rFonts w:hint="eastAsia"/>
          <w:color w:val="auto"/>
        </w:rPr>
        <w:t>-</w:t>
      </w:r>
      <w:r>
        <w:rPr>
          <w:rFonts w:hint="eastAsia"/>
          <w:color w:val="auto"/>
          <w:lang w:val="en-US" w:eastAsia="zh-CN"/>
        </w:rPr>
        <w:t>6</w:t>
      </w:r>
      <w:r>
        <w:rPr>
          <w:rFonts w:hint="eastAsia"/>
          <w:color w:val="auto"/>
        </w:rPr>
        <w:t xml:space="preserve">  新乡月平均降水量（单位：毫米）</w:t>
      </w:r>
    </w:p>
    <w:p>
      <w:pPr>
        <w:bidi w:val="0"/>
        <w:rPr>
          <w:color w:val="auto"/>
        </w:rPr>
      </w:pPr>
      <w:r>
        <w:rPr>
          <w:rFonts w:hint="eastAsia"/>
          <w:color w:val="auto"/>
        </w:rPr>
        <w:t>2、降水年际变化趋势与周期分析</w:t>
      </w:r>
    </w:p>
    <w:p>
      <w:pPr>
        <w:bidi w:val="0"/>
        <w:rPr>
          <w:color w:val="auto"/>
        </w:rPr>
      </w:pPr>
      <w:r>
        <w:rPr>
          <w:rFonts w:hint="eastAsia"/>
          <w:color w:val="auto"/>
        </w:rPr>
        <w:t>新乡气象站近</w:t>
      </w:r>
      <w:r>
        <w:rPr>
          <w:color w:val="auto"/>
        </w:rPr>
        <w:t>20</w:t>
      </w:r>
      <w:r>
        <w:rPr>
          <w:rFonts w:hint="eastAsia"/>
          <w:color w:val="auto"/>
        </w:rPr>
        <w:t>年年降水总量无明显变化趋势，</w:t>
      </w:r>
      <w:r>
        <w:rPr>
          <w:color w:val="auto"/>
        </w:rPr>
        <w:t>2016</w:t>
      </w:r>
      <w:r>
        <w:rPr>
          <w:rFonts w:hint="eastAsia"/>
          <w:color w:val="auto"/>
        </w:rPr>
        <w:t>年年总降水量最大（</w:t>
      </w:r>
      <w:r>
        <w:rPr>
          <w:color w:val="auto"/>
        </w:rPr>
        <w:t>994.3</w:t>
      </w:r>
      <w:r>
        <w:rPr>
          <w:rFonts w:hint="eastAsia"/>
          <w:color w:val="auto"/>
        </w:rPr>
        <w:t>毫米），</w:t>
      </w:r>
      <w:r>
        <w:rPr>
          <w:color w:val="auto"/>
        </w:rPr>
        <w:t>2002</w:t>
      </w:r>
      <w:r>
        <w:rPr>
          <w:rFonts w:hint="eastAsia"/>
          <w:color w:val="auto"/>
        </w:rPr>
        <w:t>年年总降水量最小（</w:t>
      </w:r>
      <w:r>
        <w:rPr>
          <w:color w:val="auto"/>
        </w:rPr>
        <w:t>327.7</w:t>
      </w:r>
      <w:r>
        <w:rPr>
          <w:rFonts w:hint="eastAsia"/>
          <w:color w:val="auto"/>
        </w:rPr>
        <w:t>毫米），周期为</w:t>
      </w:r>
      <w:r>
        <w:rPr>
          <w:color w:val="auto"/>
        </w:rPr>
        <w:t>5</w:t>
      </w:r>
      <w:r>
        <w:rPr>
          <w:rFonts w:hint="eastAsia"/>
          <w:color w:val="auto"/>
        </w:rPr>
        <w:t>年。</w:t>
      </w:r>
    </w:p>
    <w:p>
      <w:pPr>
        <w:jc w:val="center"/>
        <w:rPr>
          <w:b/>
          <w:color w:val="auto"/>
          <w:sz w:val="24"/>
          <w:szCs w:val="20"/>
        </w:rPr>
      </w:pPr>
      <w:r>
        <w:rPr>
          <w:color w:val="auto"/>
          <w:kern w:val="0"/>
          <w:sz w:val="24"/>
          <w:szCs w:val="20"/>
        </w:rPr>
        <w:drawing>
          <wp:inline distT="0" distB="0" distL="114300" distR="114300">
            <wp:extent cx="4114800" cy="2838450"/>
            <wp:effectExtent l="0" t="0" r="0" b="11430"/>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71"/>
                    <a:stretch>
                      <a:fillRect/>
                    </a:stretch>
                  </pic:blipFill>
                  <pic:spPr>
                    <a:xfrm>
                      <a:off x="0" y="0"/>
                      <a:ext cx="4114800" cy="2838450"/>
                    </a:xfrm>
                    <a:prstGeom prst="rect">
                      <a:avLst/>
                    </a:prstGeom>
                    <a:noFill/>
                    <a:ln>
                      <a:noFill/>
                    </a:ln>
                  </pic:spPr>
                </pic:pic>
              </a:graphicData>
            </a:graphic>
          </wp:inline>
        </w:drawing>
      </w:r>
    </w:p>
    <w:p>
      <w:pPr>
        <w:pStyle w:val="181"/>
        <w:bidi w:val="0"/>
        <w:rPr>
          <w:rFonts w:hint="eastAsia"/>
          <w:color w:val="auto"/>
        </w:rPr>
      </w:pPr>
      <w:r>
        <w:rPr>
          <w:rFonts w:hint="eastAsia"/>
          <w:color w:val="auto"/>
        </w:rPr>
        <w:t>图</w:t>
      </w:r>
      <w:r>
        <w:rPr>
          <w:color w:val="auto"/>
        </w:rPr>
        <w:t>5</w:t>
      </w:r>
      <w:r>
        <w:rPr>
          <w:rFonts w:hint="eastAsia"/>
          <w:color w:val="auto"/>
          <w:lang w:val="en-US" w:eastAsia="zh-CN"/>
        </w:rPr>
        <w:t>.1</w:t>
      </w:r>
      <w:r>
        <w:rPr>
          <w:color w:val="auto"/>
        </w:rPr>
        <w:t>-</w:t>
      </w:r>
      <w:r>
        <w:rPr>
          <w:rFonts w:hint="eastAsia"/>
          <w:color w:val="auto"/>
          <w:lang w:val="en-US" w:eastAsia="zh-CN"/>
        </w:rPr>
        <w:t>7</w:t>
      </w:r>
      <w:r>
        <w:rPr>
          <w:rFonts w:hint="eastAsia"/>
          <w:color w:val="auto"/>
        </w:rPr>
        <w:t xml:space="preserve">  新乡（</w:t>
      </w:r>
      <w:r>
        <w:rPr>
          <w:color w:val="auto"/>
        </w:rPr>
        <w:t>2001-2019</w:t>
      </w:r>
      <w:r>
        <w:rPr>
          <w:rFonts w:hint="eastAsia"/>
          <w:color w:val="auto"/>
        </w:rPr>
        <w:t>）年总降水量（单位</w:t>
      </w:r>
      <w:r>
        <w:rPr>
          <w:rFonts w:hint="eastAsia"/>
          <w:color w:val="auto"/>
          <w:lang w:eastAsia="zh-CN"/>
        </w:rPr>
        <w:t>：</w:t>
      </w:r>
      <w:r>
        <w:rPr>
          <w:color w:val="auto"/>
        </w:rPr>
        <w:t>mm</w:t>
      </w:r>
      <w:r>
        <w:rPr>
          <w:rFonts w:hint="eastAsia"/>
          <w:color w:val="auto"/>
          <w:lang w:eastAsia="zh-CN"/>
        </w:rPr>
        <w:t>，</w:t>
      </w:r>
      <w:r>
        <w:rPr>
          <w:rFonts w:hint="eastAsia"/>
          <w:color w:val="auto"/>
        </w:rPr>
        <w:t>虚线为趋势线）</w:t>
      </w:r>
    </w:p>
    <w:p>
      <w:pPr>
        <w:pStyle w:val="9"/>
        <w:bidi w:val="0"/>
        <w:rPr>
          <w:color w:val="auto"/>
          <w:lang w:val="en-US" w:eastAsia="zh-CN"/>
        </w:rPr>
      </w:pPr>
      <w:r>
        <w:rPr>
          <w:rFonts w:hint="eastAsia"/>
          <w:color w:val="auto"/>
          <w:lang w:eastAsia="zh-CN"/>
        </w:rPr>
        <w:t>5</w:t>
      </w:r>
      <w:r>
        <w:rPr>
          <w:rFonts w:hint="eastAsia"/>
          <w:color w:val="auto"/>
        </w:rPr>
        <w:t>.1.</w:t>
      </w:r>
      <w:r>
        <w:rPr>
          <w:rFonts w:hint="eastAsia"/>
          <w:color w:val="auto"/>
          <w:lang w:eastAsia="zh-CN"/>
        </w:rPr>
        <w:t>4气象站</w:t>
      </w:r>
      <w:r>
        <w:rPr>
          <w:color w:val="auto"/>
          <w:lang w:val="en-US" w:eastAsia="zh-CN"/>
        </w:rPr>
        <w:t>湿度分析</w:t>
      </w:r>
    </w:p>
    <w:p>
      <w:pPr>
        <w:bidi w:val="0"/>
        <w:rPr>
          <w:color w:val="auto"/>
        </w:rPr>
      </w:pPr>
      <w:r>
        <w:rPr>
          <w:rFonts w:hint="eastAsia"/>
          <w:color w:val="auto"/>
        </w:rPr>
        <w:t>A</w:t>
      </w:r>
      <w:r>
        <w:rPr>
          <w:rFonts w:hint="eastAsia"/>
          <w:color w:val="auto"/>
          <w:lang w:eastAsia="zh-CN"/>
        </w:rPr>
        <w:t>.</w:t>
      </w:r>
      <w:r>
        <w:rPr>
          <w:rFonts w:hint="eastAsia"/>
          <w:color w:val="auto"/>
        </w:rPr>
        <w:t>月相对湿度分析</w:t>
      </w:r>
    </w:p>
    <w:p>
      <w:pPr>
        <w:bidi w:val="0"/>
        <w:rPr>
          <w:color w:val="auto"/>
        </w:rPr>
      </w:pPr>
      <w:r>
        <w:rPr>
          <w:rFonts w:hint="eastAsia"/>
          <w:color w:val="auto"/>
        </w:rPr>
        <w:t>新乡气象站08月平均相对湿度最大（76.0%），03月平均相对湿度最小（51.8%）。</w:t>
      </w:r>
    </w:p>
    <w:p>
      <w:pPr>
        <w:ind w:left="0" w:leftChars="0" w:firstLine="0" w:firstLineChars="0"/>
        <w:jc w:val="center"/>
        <w:rPr>
          <w:b/>
          <w:color w:val="auto"/>
          <w:sz w:val="24"/>
          <w:szCs w:val="20"/>
        </w:rPr>
      </w:pPr>
      <w:r>
        <w:rPr>
          <w:color w:val="auto"/>
          <w:sz w:val="24"/>
          <w:szCs w:val="20"/>
        </w:rPr>
        <w:drawing>
          <wp:inline distT="0" distB="0" distL="114300" distR="114300">
            <wp:extent cx="3752850" cy="2924175"/>
            <wp:effectExtent l="0" t="0" r="11430" b="1905"/>
            <wp:docPr id="7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2"/>
                    <pic:cNvPicPr>
                      <a:picLocks noChangeAspect="1"/>
                    </pic:cNvPicPr>
                  </pic:nvPicPr>
                  <pic:blipFill>
                    <a:blip r:embed="rId72"/>
                    <a:stretch>
                      <a:fillRect/>
                    </a:stretch>
                  </pic:blipFill>
                  <pic:spPr>
                    <a:xfrm>
                      <a:off x="0" y="0"/>
                      <a:ext cx="3752850" cy="2924175"/>
                    </a:xfrm>
                    <a:prstGeom prst="rect">
                      <a:avLst/>
                    </a:prstGeom>
                    <a:noFill/>
                    <a:ln>
                      <a:noFill/>
                    </a:ln>
                  </pic:spPr>
                </pic:pic>
              </a:graphicData>
            </a:graphic>
          </wp:inline>
        </w:drawing>
      </w:r>
    </w:p>
    <w:p>
      <w:pPr>
        <w:pStyle w:val="181"/>
        <w:bidi w:val="0"/>
        <w:ind w:left="0" w:leftChars="0" w:firstLine="0" w:firstLineChars="0"/>
        <w:jc w:val="center"/>
        <w:rPr>
          <w:color w:val="auto"/>
        </w:rPr>
      </w:pPr>
      <w:r>
        <w:rPr>
          <w:rFonts w:hint="eastAsia"/>
          <w:color w:val="auto"/>
        </w:rPr>
        <w:t>图5</w:t>
      </w:r>
      <w:r>
        <w:rPr>
          <w:rFonts w:hint="eastAsia"/>
          <w:color w:val="auto"/>
          <w:lang w:val="en-US" w:eastAsia="zh-CN"/>
        </w:rPr>
        <w:t>.1</w:t>
      </w:r>
      <w:r>
        <w:rPr>
          <w:rFonts w:hint="eastAsia"/>
          <w:color w:val="auto"/>
        </w:rPr>
        <w:t>-</w:t>
      </w:r>
      <w:r>
        <w:rPr>
          <w:rFonts w:hint="eastAsia"/>
          <w:color w:val="auto"/>
          <w:lang w:val="en-US" w:eastAsia="zh-CN"/>
        </w:rPr>
        <w:t>8</w:t>
      </w:r>
      <w:r>
        <w:rPr>
          <w:rFonts w:hint="eastAsia"/>
          <w:color w:val="auto"/>
        </w:rPr>
        <w:t xml:space="preserve">  新乡月平均相对湿度（纵轴为百分比）</w:t>
      </w:r>
    </w:p>
    <w:p>
      <w:pPr>
        <w:bidi w:val="0"/>
        <w:rPr>
          <w:color w:val="auto"/>
        </w:rPr>
      </w:pPr>
      <w:r>
        <w:rPr>
          <w:rFonts w:hint="eastAsia"/>
          <w:color w:val="auto"/>
        </w:rPr>
        <w:t>B</w:t>
      </w:r>
      <w:r>
        <w:rPr>
          <w:rFonts w:hint="eastAsia"/>
          <w:color w:val="auto"/>
          <w:lang w:eastAsia="zh-CN"/>
        </w:rPr>
        <w:t>.</w:t>
      </w:r>
      <w:r>
        <w:rPr>
          <w:rFonts w:hint="eastAsia"/>
          <w:color w:val="auto"/>
        </w:rPr>
        <w:t>相对湿度年际变化趋势与周期分析</w:t>
      </w:r>
    </w:p>
    <w:p>
      <w:pPr>
        <w:bidi w:val="0"/>
        <w:rPr>
          <w:color w:val="auto"/>
        </w:rPr>
      </w:pPr>
      <w:r>
        <w:rPr>
          <w:color w:val="auto"/>
        </w:rPr>
        <w:t>新乡气象站近20年年平均相对湿度呈现下降趋势</w:t>
      </w:r>
      <w:r>
        <w:rPr>
          <w:rFonts w:hint="eastAsia"/>
          <w:color w:val="auto"/>
        </w:rPr>
        <w:t>，</w:t>
      </w:r>
      <w:r>
        <w:rPr>
          <w:color w:val="auto"/>
        </w:rPr>
        <w:t>每年下降0.4</w:t>
      </w:r>
      <w:r>
        <w:rPr>
          <w:rFonts w:hint="eastAsia"/>
          <w:color w:val="auto"/>
        </w:rPr>
        <w:t>8</w:t>
      </w:r>
      <w:r>
        <w:rPr>
          <w:color w:val="auto"/>
        </w:rPr>
        <w:t>%，2003年年平均相对湿度最大（72.0%），2019年年平均相对湿度最小（5</w:t>
      </w:r>
      <w:r>
        <w:rPr>
          <w:rFonts w:hint="eastAsia"/>
          <w:color w:val="auto"/>
        </w:rPr>
        <w:t>7</w:t>
      </w:r>
      <w:r>
        <w:rPr>
          <w:color w:val="auto"/>
        </w:rPr>
        <w:t>.7%），无明显周期。</w:t>
      </w:r>
      <w:r>
        <w:rPr>
          <w:rFonts w:hint="eastAsia"/>
          <w:color w:val="auto"/>
        </w:rPr>
        <w:t>新乡近20年</w:t>
      </w:r>
      <w:r>
        <w:rPr>
          <w:color w:val="auto"/>
        </w:rPr>
        <w:t>年平均相对湿度</w:t>
      </w:r>
      <w:r>
        <w:rPr>
          <w:rFonts w:hint="eastAsia"/>
          <w:color w:val="auto"/>
        </w:rPr>
        <w:t>变化见下图：</w:t>
      </w:r>
    </w:p>
    <w:p>
      <w:pPr>
        <w:jc w:val="center"/>
        <w:rPr>
          <w:b/>
          <w:color w:val="auto"/>
          <w:sz w:val="24"/>
          <w:szCs w:val="20"/>
        </w:rPr>
      </w:pPr>
      <w:r>
        <w:rPr>
          <w:color w:val="auto"/>
          <w:sz w:val="24"/>
          <w:szCs w:val="20"/>
        </w:rPr>
        <w:drawing>
          <wp:inline distT="0" distB="0" distL="114300" distR="114300">
            <wp:extent cx="3752850" cy="2838450"/>
            <wp:effectExtent l="0" t="0" r="11430" b="11430"/>
            <wp:docPr id="8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3"/>
                    <pic:cNvPicPr>
                      <a:picLocks noChangeAspect="1"/>
                    </pic:cNvPicPr>
                  </pic:nvPicPr>
                  <pic:blipFill>
                    <a:blip r:embed="rId73"/>
                    <a:srcRect t="3279"/>
                    <a:stretch>
                      <a:fillRect/>
                    </a:stretch>
                  </pic:blipFill>
                  <pic:spPr>
                    <a:xfrm>
                      <a:off x="0" y="0"/>
                      <a:ext cx="3752850" cy="2838450"/>
                    </a:xfrm>
                    <a:prstGeom prst="rect">
                      <a:avLst/>
                    </a:prstGeom>
                    <a:noFill/>
                    <a:ln>
                      <a:noFill/>
                    </a:ln>
                  </pic:spPr>
                </pic:pic>
              </a:graphicData>
            </a:graphic>
          </wp:inline>
        </w:drawing>
      </w:r>
    </w:p>
    <w:p>
      <w:pPr>
        <w:pStyle w:val="181"/>
        <w:bidi w:val="0"/>
        <w:ind w:left="0" w:leftChars="0" w:firstLine="0" w:firstLineChars="0"/>
        <w:jc w:val="center"/>
        <w:rPr>
          <w:color w:val="auto"/>
        </w:rPr>
      </w:pPr>
      <w:r>
        <w:rPr>
          <w:color w:val="auto"/>
        </w:rPr>
        <w:t>图</w:t>
      </w:r>
      <w:r>
        <w:rPr>
          <w:rFonts w:hint="eastAsia"/>
          <w:color w:val="auto"/>
        </w:rPr>
        <w:t>5</w:t>
      </w:r>
      <w:r>
        <w:rPr>
          <w:rFonts w:hint="eastAsia"/>
          <w:color w:val="auto"/>
          <w:lang w:val="en-US" w:eastAsia="zh-CN"/>
        </w:rPr>
        <w:t>.1</w:t>
      </w:r>
      <w:r>
        <w:rPr>
          <w:rFonts w:hint="eastAsia"/>
          <w:color w:val="auto"/>
        </w:rPr>
        <w:t>-</w:t>
      </w:r>
      <w:r>
        <w:rPr>
          <w:rFonts w:hint="eastAsia"/>
          <w:color w:val="auto"/>
          <w:lang w:val="en-US" w:eastAsia="zh-CN"/>
        </w:rPr>
        <w:t>9</w:t>
      </w:r>
      <w:r>
        <w:rPr>
          <w:color w:val="auto"/>
        </w:rPr>
        <w:t xml:space="preserve"> </w:t>
      </w:r>
      <w:r>
        <w:rPr>
          <w:rFonts w:hint="eastAsia"/>
          <w:color w:val="auto"/>
        </w:rPr>
        <w:t xml:space="preserve"> </w:t>
      </w:r>
      <w:r>
        <w:rPr>
          <w:color w:val="auto"/>
        </w:rPr>
        <w:t>新乡年平均相对湿度（纵轴为百分比，虚线为趋势线）</w:t>
      </w:r>
    </w:p>
    <w:p>
      <w:pPr>
        <w:pStyle w:val="7"/>
        <w:bidi w:val="0"/>
        <w:rPr>
          <w:color w:val="auto"/>
        </w:rPr>
      </w:pPr>
      <w:bookmarkStart w:id="292" w:name="_Toc324839612"/>
      <w:bookmarkStart w:id="293" w:name="_Toc29442"/>
      <w:bookmarkStart w:id="294" w:name="_Toc4692"/>
      <w:bookmarkStart w:id="295" w:name="_Toc67041057"/>
      <w:bookmarkStart w:id="296" w:name="_Toc324839315"/>
      <w:bookmarkStart w:id="297" w:name="_Toc66346623"/>
      <w:bookmarkStart w:id="298" w:name="_Toc5514"/>
      <w:r>
        <w:rPr>
          <w:rFonts w:hint="eastAsia"/>
          <w:color w:val="auto"/>
        </w:rPr>
        <w:t>5.</w:t>
      </w:r>
      <w:bookmarkEnd w:id="292"/>
      <w:bookmarkEnd w:id="293"/>
      <w:bookmarkEnd w:id="294"/>
      <w:bookmarkEnd w:id="295"/>
      <w:bookmarkEnd w:id="296"/>
      <w:bookmarkEnd w:id="297"/>
      <w:r>
        <w:rPr>
          <w:rFonts w:hint="eastAsia"/>
          <w:color w:val="auto"/>
          <w:lang w:val="en-US" w:eastAsia="zh-CN"/>
        </w:rPr>
        <w:t>2</w:t>
      </w:r>
      <w:r>
        <w:rPr>
          <w:rFonts w:hint="eastAsia"/>
          <w:color w:val="auto"/>
        </w:rPr>
        <w:t>大气环境影响预测与评价</w:t>
      </w:r>
      <w:bookmarkEnd w:id="298"/>
    </w:p>
    <w:p>
      <w:pPr>
        <w:pStyle w:val="9"/>
        <w:bidi w:val="0"/>
        <w:rPr>
          <w:color w:val="auto"/>
        </w:rPr>
      </w:pPr>
      <w:r>
        <w:rPr>
          <w:rFonts w:hint="eastAsia"/>
          <w:color w:val="auto"/>
        </w:rPr>
        <w:t>5.</w:t>
      </w:r>
      <w:r>
        <w:rPr>
          <w:rFonts w:hint="eastAsia"/>
          <w:color w:val="auto"/>
          <w:lang w:val="en-US" w:eastAsia="zh-CN"/>
        </w:rPr>
        <w:t>2</w:t>
      </w:r>
      <w:r>
        <w:rPr>
          <w:rFonts w:hint="eastAsia"/>
          <w:color w:val="auto"/>
        </w:rPr>
        <w:t>.</w:t>
      </w:r>
      <w:r>
        <w:rPr>
          <w:color w:val="auto"/>
        </w:rPr>
        <w:t>1环境空气质量预测</w:t>
      </w:r>
    </w:p>
    <w:p>
      <w:pPr>
        <w:pStyle w:val="10"/>
        <w:bidi w:val="0"/>
        <w:rPr>
          <w:color w:val="auto"/>
        </w:rPr>
      </w:pPr>
      <w:r>
        <w:rPr>
          <w:color w:val="auto"/>
        </w:rPr>
        <w:t>5.</w:t>
      </w:r>
      <w:r>
        <w:rPr>
          <w:rFonts w:hint="eastAsia"/>
          <w:color w:val="auto"/>
          <w:lang w:val="en-US" w:eastAsia="zh-CN"/>
        </w:rPr>
        <w:t>2</w:t>
      </w:r>
      <w:r>
        <w:rPr>
          <w:color w:val="auto"/>
        </w:rPr>
        <w:t>.1.1预测因子</w:t>
      </w:r>
    </w:p>
    <w:p>
      <w:pPr>
        <w:bidi w:val="0"/>
        <w:rPr>
          <w:color w:val="auto"/>
        </w:rPr>
      </w:pPr>
      <w:r>
        <w:rPr>
          <w:color w:val="auto"/>
        </w:rPr>
        <w:t>按HJ2.1的要求识别大气环境影响因素，并筛选出大气环境影响评价因子。大气环境影响评价因子主要为项目排放的基本污染物及其他污染物。</w:t>
      </w:r>
    </w:p>
    <w:p>
      <w:pPr>
        <w:bidi w:val="0"/>
        <w:rPr>
          <w:color w:val="auto"/>
        </w:rPr>
      </w:pPr>
      <w:r>
        <w:rPr>
          <w:rFonts w:hint="eastAsia"/>
          <w:color w:val="auto"/>
        </w:rPr>
        <w:t>根据工程分析内容，本项目</w:t>
      </w:r>
      <w:r>
        <w:rPr>
          <w:rFonts w:hint="eastAsia"/>
          <w:color w:val="auto"/>
          <w:lang w:val="en-US" w:eastAsia="zh-CN"/>
        </w:rPr>
        <w:t>木质素混合物干燥</w:t>
      </w:r>
      <w:r>
        <w:rPr>
          <w:rFonts w:hint="eastAsia"/>
          <w:color w:val="auto"/>
        </w:rPr>
        <w:t>产生有组织污染物，无组织污染物</w:t>
      </w:r>
      <w:r>
        <w:rPr>
          <w:rFonts w:hint="eastAsia"/>
          <w:color w:val="auto"/>
          <w:lang w:eastAsia="zh-CN"/>
        </w:rPr>
        <w:t>主要作为</w:t>
      </w:r>
      <w:r>
        <w:rPr>
          <w:rFonts w:hint="eastAsia"/>
          <w:color w:val="auto"/>
        </w:rPr>
        <w:t>原料堆场扬尘</w:t>
      </w:r>
      <w:r>
        <w:rPr>
          <w:rFonts w:hint="eastAsia"/>
          <w:color w:val="auto"/>
          <w:lang w:eastAsia="zh-CN"/>
        </w:rPr>
        <w:t>，</w:t>
      </w:r>
      <w:r>
        <w:rPr>
          <w:rFonts w:hint="eastAsia"/>
          <w:color w:val="auto"/>
          <w:lang w:val="en-US" w:eastAsia="zh-CN"/>
        </w:rPr>
        <w:t>木质素</w:t>
      </w:r>
      <w:r>
        <w:rPr>
          <w:rFonts w:hint="eastAsia"/>
          <w:b/>
          <w:bCs/>
          <w:color w:val="auto"/>
          <w:u w:val="single"/>
          <w:lang w:val="en-US" w:eastAsia="zh-CN"/>
        </w:rPr>
        <w:t>混合物</w:t>
      </w:r>
      <w:r>
        <w:rPr>
          <w:rFonts w:hint="eastAsia"/>
          <w:color w:val="auto"/>
          <w:lang w:val="en-US" w:eastAsia="zh-CN"/>
        </w:rPr>
        <w:t>收集、分装扬尘，依托硫酸储罐产生的硫酸雾</w:t>
      </w:r>
      <w:r>
        <w:rPr>
          <w:rFonts w:hint="eastAsia"/>
          <w:color w:val="auto"/>
        </w:rPr>
        <w:t>。</w:t>
      </w:r>
      <w:r>
        <w:rPr>
          <w:color w:val="auto"/>
        </w:rPr>
        <w:t>根据《环境影响评价技术导则</w:t>
      </w:r>
      <w:r>
        <w:rPr>
          <w:rFonts w:hint="eastAsia"/>
          <w:color w:val="auto"/>
          <w:lang w:val="en-US" w:eastAsia="zh-CN"/>
        </w:rPr>
        <w:t xml:space="preserve"> </w:t>
      </w:r>
      <w:r>
        <w:rPr>
          <w:color w:val="auto"/>
        </w:rPr>
        <w:t>大气环境》（HJ2.2-2018），当建设项目排放的SO</w:t>
      </w:r>
      <w:r>
        <w:rPr>
          <w:color w:val="auto"/>
          <w:vertAlign w:val="subscript"/>
        </w:rPr>
        <w:t>2</w:t>
      </w:r>
      <w:r>
        <w:rPr>
          <w:color w:val="auto"/>
        </w:rPr>
        <w:t>和NO</w:t>
      </w:r>
      <w:r>
        <w:rPr>
          <w:rFonts w:hint="eastAsia"/>
          <w:color w:val="auto"/>
          <w:lang w:val="en-US" w:eastAsia="zh-CN"/>
        </w:rPr>
        <w:t>x</w:t>
      </w:r>
      <w:r>
        <w:rPr>
          <w:color w:val="auto"/>
        </w:rPr>
        <w:t>年排放量大于或等于500t/a时，评价因子应增加二次PM</w:t>
      </w:r>
      <w:r>
        <w:rPr>
          <w:color w:val="auto"/>
          <w:vertAlign w:val="subscript"/>
        </w:rPr>
        <w:t>2.5</w:t>
      </w:r>
      <w:r>
        <w:rPr>
          <w:color w:val="auto"/>
        </w:rPr>
        <w:t>。本项目不设锅炉，无SO</w:t>
      </w:r>
      <w:r>
        <w:rPr>
          <w:color w:val="auto"/>
          <w:vertAlign w:val="subscript"/>
        </w:rPr>
        <w:t>2</w:t>
      </w:r>
      <w:r>
        <w:rPr>
          <w:color w:val="auto"/>
        </w:rPr>
        <w:t>和NO</w:t>
      </w:r>
      <w:r>
        <w:rPr>
          <w:color w:val="auto"/>
          <w:vertAlign w:val="subscript"/>
        </w:rPr>
        <w:t>X</w:t>
      </w:r>
      <w:r>
        <w:rPr>
          <w:color w:val="auto"/>
        </w:rPr>
        <w:t>的排放，因此本项目评价时无需增加二次PM</w:t>
      </w:r>
      <w:r>
        <w:rPr>
          <w:color w:val="auto"/>
          <w:vertAlign w:val="subscript"/>
        </w:rPr>
        <w:t>2.5</w:t>
      </w:r>
      <w:r>
        <w:rPr>
          <w:color w:val="auto"/>
        </w:rPr>
        <w:t>。</w:t>
      </w:r>
    </w:p>
    <w:p>
      <w:pPr>
        <w:bidi w:val="0"/>
        <w:rPr>
          <w:color w:val="auto"/>
        </w:rPr>
      </w:pPr>
      <w:r>
        <w:rPr>
          <w:color w:val="auto"/>
        </w:rPr>
        <w:t>综上所述，本项目大气评价因子为</w:t>
      </w:r>
      <w:r>
        <w:rPr>
          <w:rFonts w:hint="eastAsia"/>
          <w:color w:val="auto"/>
          <w:lang w:val="en-US" w:eastAsia="zh-CN"/>
        </w:rPr>
        <w:t>颗粒物</w:t>
      </w:r>
      <w:r>
        <w:rPr>
          <w:rFonts w:hint="eastAsia"/>
          <w:color w:val="auto"/>
          <w:lang w:eastAsia="zh-CN"/>
        </w:rPr>
        <w:t>、</w:t>
      </w:r>
      <w:r>
        <w:rPr>
          <w:rFonts w:hint="eastAsia"/>
          <w:color w:val="auto"/>
          <w:lang w:val="en-US" w:eastAsia="zh-CN"/>
        </w:rPr>
        <w:t>硫酸雾</w:t>
      </w:r>
      <w:r>
        <w:rPr>
          <w:color w:val="auto"/>
        </w:rPr>
        <w:t>。</w:t>
      </w:r>
    </w:p>
    <w:p>
      <w:pPr>
        <w:pStyle w:val="10"/>
        <w:bidi w:val="0"/>
        <w:rPr>
          <w:color w:val="auto"/>
        </w:rPr>
      </w:pPr>
      <w:bookmarkStart w:id="299" w:name="_Toc324839615"/>
      <w:bookmarkStart w:id="300" w:name="_Toc324839318"/>
      <w:r>
        <w:rPr>
          <w:color w:val="auto"/>
        </w:rPr>
        <w:t>5.</w:t>
      </w:r>
      <w:r>
        <w:rPr>
          <w:rFonts w:hint="eastAsia"/>
          <w:color w:val="auto"/>
          <w:lang w:val="en-US" w:eastAsia="zh-CN"/>
        </w:rPr>
        <w:t>2</w:t>
      </w:r>
      <w:r>
        <w:rPr>
          <w:color w:val="auto"/>
        </w:rPr>
        <w:t>.1.</w:t>
      </w:r>
      <w:r>
        <w:rPr>
          <w:rFonts w:hint="eastAsia"/>
          <w:color w:val="auto"/>
        </w:rPr>
        <w:t>2</w:t>
      </w:r>
      <w:r>
        <w:rPr>
          <w:color w:val="auto"/>
        </w:rPr>
        <w:t>评价标准</w:t>
      </w:r>
      <w:bookmarkEnd w:id="299"/>
      <w:bookmarkEnd w:id="300"/>
    </w:p>
    <w:p>
      <w:pPr>
        <w:bidi w:val="0"/>
        <w:rPr>
          <w:color w:val="auto"/>
        </w:rPr>
      </w:pPr>
      <w:r>
        <w:rPr>
          <w:rFonts w:hint="eastAsia"/>
          <w:color w:val="auto"/>
          <w:lang w:val="en-US" w:eastAsia="zh-CN"/>
        </w:rPr>
        <w:t>颗粒物</w:t>
      </w:r>
      <w:r>
        <w:rPr>
          <w:rFonts w:hint="eastAsia"/>
          <w:color w:val="auto"/>
          <w:lang w:eastAsia="zh-CN"/>
        </w:rPr>
        <w:t>、</w:t>
      </w:r>
      <w:r>
        <w:rPr>
          <w:rFonts w:hint="eastAsia"/>
          <w:color w:val="auto"/>
          <w:lang w:val="en-US" w:eastAsia="zh-CN"/>
        </w:rPr>
        <w:t>硫酸雾</w:t>
      </w:r>
      <w:r>
        <w:rPr>
          <w:color w:val="auto"/>
        </w:rPr>
        <w:t>的评价标准见表5.</w:t>
      </w:r>
      <w:r>
        <w:rPr>
          <w:rFonts w:hint="eastAsia"/>
          <w:color w:val="auto"/>
          <w:lang w:val="en-US" w:eastAsia="zh-CN"/>
        </w:rPr>
        <w:t>2</w:t>
      </w:r>
      <w:r>
        <w:rPr>
          <w:color w:val="auto"/>
        </w:rPr>
        <w:t>-1。</w:t>
      </w:r>
    </w:p>
    <w:p>
      <w:pPr>
        <w:pStyle w:val="181"/>
        <w:bidi w:val="0"/>
        <w:rPr>
          <w:b/>
          <w:bCs/>
          <w:color w:val="auto"/>
        </w:rPr>
      </w:pPr>
      <w:r>
        <w:rPr>
          <w:b/>
          <w:bCs/>
          <w:color w:val="auto"/>
        </w:rPr>
        <w:t>表5</w:t>
      </w:r>
      <w:r>
        <w:rPr>
          <w:rFonts w:hint="eastAsia"/>
          <w:b/>
          <w:bCs/>
          <w:color w:val="auto"/>
        </w:rPr>
        <w:t>.</w:t>
      </w:r>
      <w:r>
        <w:rPr>
          <w:rFonts w:hint="eastAsia"/>
          <w:b/>
          <w:bCs/>
          <w:color w:val="auto"/>
          <w:lang w:val="en-US" w:eastAsia="zh-CN"/>
        </w:rPr>
        <w:t>2</w:t>
      </w:r>
      <w:r>
        <w:rPr>
          <w:b/>
          <w:bCs/>
          <w:color w:val="auto"/>
        </w:rPr>
        <w:t xml:space="preserve">-1  </w:t>
      </w:r>
      <w:r>
        <w:rPr>
          <w:rFonts w:hint="eastAsia"/>
          <w:b/>
          <w:bCs/>
          <w:color w:val="auto"/>
          <w:lang w:val="en-US" w:eastAsia="zh-CN"/>
        </w:rPr>
        <w:t xml:space="preserve">         </w:t>
      </w:r>
      <w:r>
        <w:rPr>
          <w:b/>
          <w:bCs/>
          <w:color w:val="auto"/>
        </w:rPr>
        <w:t>环境空气质量评价标准</w:t>
      </w:r>
      <w:r>
        <w:rPr>
          <w:rFonts w:hint="eastAsia"/>
          <w:b/>
          <w:bCs/>
          <w:color w:val="auto"/>
        </w:rPr>
        <w:t xml:space="preserve"> </w:t>
      </w:r>
      <w:r>
        <w:rPr>
          <w:b/>
          <w:bCs/>
          <w:color w:val="auto"/>
        </w:rPr>
        <w:t xml:space="preserve">     </w:t>
      </w:r>
      <w:r>
        <w:rPr>
          <w:rFonts w:hint="eastAsia"/>
          <w:b/>
          <w:bCs/>
          <w:color w:val="auto"/>
        </w:rPr>
        <w:t>单位：</w:t>
      </w:r>
      <w:r>
        <w:rPr>
          <w:b/>
          <w:bCs/>
          <w:color w:val="auto"/>
        </w:rPr>
        <w:t>μg/m</w:t>
      </w:r>
      <w:r>
        <w:rPr>
          <w:b/>
          <w:bCs/>
          <w:color w:val="auto"/>
          <w:vertAlign w:val="superscript"/>
        </w:rPr>
        <w:t>3</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300"/>
        <w:gridCol w:w="3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6" w:type="pct"/>
            <w:vAlign w:val="center"/>
          </w:tcPr>
          <w:p>
            <w:pPr>
              <w:pStyle w:val="182"/>
              <w:bidi w:val="0"/>
              <w:rPr>
                <w:b/>
                <w:bCs/>
                <w:color w:val="auto"/>
              </w:rPr>
            </w:pPr>
            <w:r>
              <w:rPr>
                <w:b/>
                <w:bCs/>
                <w:color w:val="auto"/>
              </w:rPr>
              <w:t>评价因子</w:t>
            </w:r>
          </w:p>
        </w:tc>
        <w:tc>
          <w:tcPr>
            <w:tcW w:w="1349" w:type="pct"/>
            <w:vAlign w:val="center"/>
          </w:tcPr>
          <w:p>
            <w:pPr>
              <w:pStyle w:val="182"/>
              <w:bidi w:val="0"/>
              <w:rPr>
                <w:b/>
                <w:bCs/>
                <w:color w:val="auto"/>
              </w:rPr>
            </w:pPr>
            <w:r>
              <w:rPr>
                <w:b/>
                <w:bCs/>
                <w:color w:val="auto"/>
              </w:rPr>
              <w:t>标准值</w:t>
            </w:r>
          </w:p>
        </w:tc>
        <w:tc>
          <w:tcPr>
            <w:tcW w:w="1984" w:type="pct"/>
            <w:vAlign w:val="center"/>
          </w:tcPr>
          <w:p>
            <w:pPr>
              <w:pStyle w:val="182"/>
              <w:bidi w:val="0"/>
              <w:rPr>
                <w:b/>
                <w:bCs/>
                <w:color w:val="auto"/>
              </w:rPr>
            </w:pPr>
            <w:r>
              <w:rPr>
                <w:b/>
                <w:bCs/>
                <w:color w:val="auto"/>
              </w:rPr>
              <w:t>限值来源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6" w:type="pct"/>
            <w:vAlign w:val="center"/>
          </w:tcPr>
          <w:p>
            <w:pPr>
              <w:pStyle w:val="182"/>
              <w:bidi w:val="0"/>
              <w:rPr>
                <w:rFonts w:hint="eastAsia" w:eastAsia="宋体"/>
                <w:color w:val="auto"/>
                <w:lang w:eastAsia="zh-CN"/>
              </w:rPr>
            </w:pPr>
            <w:r>
              <w:rPr>
                <w:rFonts w:hint="eastAsia"/>
                <w:color w:val="auto"/>
                <w:lang w:val="en-US" w:eastAsia="zh-CN"/>
              </w:rPr>
              <w:t>颗粒物</w:t>
            </w:r>
          </w:p>
        </w:tc>
        <w:tc>
          <w:tcPr>
            <w:tcW w:w="1349" w:type="pct"/>
            <w:vAlign w:val="center"/>
          </w:tcPr>
          <w:p>
            <w:pPr>
              <w:pStyle w:val="182"/>
              <w:bidi w:val="0"/>
              <w:rPr>
                <w:color w:val="auto"/>
              </w:rPr>
            </w:pPr>
            <w:r>
              <w:rPr>
                <w:color w:val="auto"/>
              </w:rPr>
              <w:t>900</w:t>
            </w:r>
          </w:p>
        </w:tc>
        <w:tc>
          <w:tcPr>
            <w:tcW w:w="1984" w:type="pct"/>
            <w:vAlign w:val="center"/>
          </w:tcPr>
          <w:p>
            <w:pPr>
              <w:pStyle w:val="182"/>
              <w:bidi w:val="0"/>
              <w:rPr>
                <w:color w:val="auto"/>
              </w:rPr>
            </w:pPr>
            <w:r>
              <w:rPr>
                <w:color w:val="auto"/>
              </w:rPr>
              <w:t>《环境空气质量标准》（GB3095-2012）二级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6" w:type="pct"/>
            <w:vAlign w:val="center"/>
          </w:tcPr>
          <w:p>
            <w:pPr>
              <w:pStyle w:val="182"/>
              <w:bidi w:val="0"/>
              <w:rPr>
                <w:rFonts w:hint="eastAsia" w:eastAsia="宋体"/>
                <w:color w:val="auto"/>
                <w:lang w:val="en-US" w:eastAsia="zh-CN"/>
              </w:rPr>
            </w:pPr>
            <w:r>
              <w:rPr>
                <w:rFonts w:hint="eastAsia"/>
                <w:color w:val="auto"/>
                <w:lang w:val="en-US" w:eastAsia="zh-CN"/>
              </w:rPr>
              <w:t>硫酸雾</w:t>
            </w:r>
          </w:p>
        </w:tc>
        <w:tc>
          <w:tcPr>
            <w:tcW w:w="1349" w:type="pct"/>
            <w:vAlign w:val="center"/>
          </w:tcPr>
          <w:p>
            <w:pPr>
              <w:pStyle w:val="182"/>
              <w:bidi w:val="0"/>
              <w:rPr>
                <w:rFonts w:hint="default" w:eastAsia="宋体"/>
                <w:color w:val="auto"/>
                <w:lang w:val="en-US" w:eastAsia="zh-CN"/>
              </w:rPr>
            </w:pPr>
            <w:r>
              <w:rPr>
                <w:rFonts w:hint="eastAsia"/>
                <w:color w:val="auto"/>
                <w:lang w:val="en-US" w:eastAsia="zh-CN"/>
              </w:rPr>
              <w:t>300</w:t>
            </w:r>
          </w:p>
        </w:tc>
        <w:tc>
          <w:tcPr>
            <w:tcW w:w="1984" w:type="pct"/>
            <w:vAlign w:val="center"/>
          </w:tcPr>
          <w:p>
            <w:pPr>
              <w:pStyle w:val="182"/>
              <w:bidi w:val="0"/>
              <w:rPr>
                <w:color w:val="auto"/>
              </w:rPr>
            </w:pPr>
            <w:r>
              <w:rPr>
                <w:rFonts w:hint="eastAsia"/>
                <w:color w:val="auto"/>
              </w:rPr>
              <w:t>《环境影响评价技术导则</w:t>
            </w:r>
            <w:r>
              <w:rPr>
                <w:rFonts w:hint="eastAsia"/>
                <w:color w:val="auto"/>
                <w:lang w:val="en-US" w:eastAsia="zh-CN"/>
              </w:rPr>
              <w:t xml:space="preserve"> </w:t>
            </w:r>
            <w:r>
              <w:rPr>
                <w:rFonts w:hint="eastAsia"/>
                <w:color w:val="auto"/>
              </w:rPr>
              <w:t>大气环境》（HJ2.2-2018）附录D</w:t>
            </w:r>
          </w:p>
        </w:tc>
      </w:tr>
    </w:tbl>
    <w:p>
      <w:pPr>
        <w:pStyle w:val="10"/>
        <w:bidi w:val="0"/>
        <w:rPr>
          <w:color w:val="auto"/>
        </w:rPr>
      </w:pPr>
      <w:r>
        <w:rPr>
          <w:color w:val="auto"/>
        </w:rPr>
        <w:t>5.</w:t>
      </w:r>
      <w:r>
        <w:rPr>
          <w:rFonts w:hint="eastAsia"/>
          <w:color w:val="auto"/>
          <w:lang w:val="en-US" w:eastAsia="zh-CN"/>
        </w:rPr>
        <w:t>2</w:t>
      </w:r>
      <w:r>
        <w:rPr>
          <w:color w:val="auto"/>
        </w:rPr>
        <w:t>.1.3预测参数</w:t>
      </w:r>
    </w:p>
    <w:p>
      <w:pPr>
        <w:bidi w:val="0"/>
        <w:rPr>
          <w:color w:val="auto"/>
        </w:rPr>
      </w:pPr>
      <w:r>
        <w:rPr>
          <w:color w:val="auto"/>
        </w:rPr>
        <w:t>本次工程</w:t>
      </w:r>
      <w:r>
        <w:rPr>
          <w:rFonts w:hint="eastAsia"/>
          <w:color w:val="auto"/>
          <w:lang w:eastAsia="zh-CN"/>
        </w:rPr>
        <w:t>涉及的</w:t>
      </w:r>
      <w:r>
        <w:rPr>
          <w:color w:val="auto"/>
        </w:rPr>
        <w:t>废气污染源</w:t>
      </w:r>
      <w:r>
        <w:rPr>
          <w:rFonts w:hint="eastAsia"/>
          <w:color w:val="auto"/>
        </w:rPr>
        <w:t>（面源）</w:t>
      </w:r>
      <w:r>
        <w:rPr>
          <w:color w:val="auto"/>
        </w:rPr>
        <w:t>的各项污染物参数见下表。</w:t>
      </w:r>
    </w:p>
    <w:p>
      <w:pPr>
        <w:pStyle w:val="181"/>
        <w:bidi w:val="0"/>
        <w:rPr>
          <w:color w:val="auto"/>
        </w:rPr>
      </w:pPr>
      <w:r>
        <w:rPr>
          <w:rFonts w:hint="eastAsia"/>
          <w:color w:val="auto"/>
        </w:rPr>
        <w:t>表5.2-2                 面源排放参数</w:t>
      </w:r>
    </w:p>
    <w:tbl>
      <w:tblPr>
        <w:tblStyle w:val="3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661"/>
        <w:gridCol w:w="532"/>
        <w:gridCol w:w="501"/>
        <w:gridCol w:w="643"/>
        <w:gridCol w:w="643"/>
        <w:gridCol w:w="641"/>
        <w:gridCol w:w="641"/>
        <w:gridCol w:w="818"/>
        <w:gridCol w:w="701"/>
        <w:gridCol w:w="689"/>
        <w:gridCol w:w="1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vMerge w:val="restart"/>
            <w:vAlign w:val="center"/>
          </w:tcPr>
          <w:p>
            <w:pPr>
              <w:pStyle w:val="182"/>
              <w:bidi w:val="0"/>
              <w:rPr>
                <w:b/>
                <w:bCs/>
                <w:color w:val="auto"/>
              </w:rPr>
            </w:pPr>
            <w:r>
              <w:rPr>
                <w:b/>
                <w:bCs/>
                <w:color w:val="auto"/>
              </w:rPr>
              <w:t>面源名称</w:t>
            </w:r>
          </w:p>
        </w:tc>
        <w:tc>
          <w:tcPr>
            <w:tcW w:w="700" w:type="pct"/>
            <w:gridSpan w:val="2"/>
            <w:vAlign w:val="center"/>
          </w:tcPr>
          <w:p>
            <w:pPr>
              <w:pStyle w:val="182"/>
              <w:bidi w:val="0"/>
              <w:rPr>
                <w:b/>
                <w:bCs/>
                <w:color w:val="auto"/>
              </w:rPr>
            </w:pPr>
            <w:r>
              <w:rPr>
                <w:b/>
                <w:bCs/>
                <w:color w:val="auto"/>
              </w:rPr>
              <w:t>面源起点</w:t>
            </w:r>
          </w:p>
          <w:p>
            <w:pPr>
              <w:pStyle w:val="182"/>
              <w:bidi w:val="0"/>
              <w:rPr>
                <w:b/>
                <w:bCs/>
                <w:color w:val="auto"/>
              </w:rPr>
            </w:pPr>
            <w:r>
              <w:rPr>
                <w:b/>
                <w:bCs/>
                <w:color w:val="auto"/>
              </w:rPr>
              <w:t>坐标</w:t>
            </w:r>
          </w:p>
        </w:tc>
        <w:tc>
          <w:tcPr>
            <w:tcW w:w="294" w:type="pct"/>
            <w:vMerge w:val="restart"/>
            <w:vAlign w:val="center"/>
          </w:tcPr>
          <w:p>
            <w:pPr>
              <w:pStyle w:val="182"/>
              <w:bidi w:val="0"/>
              <w:rPr>
                <w:b/>
                <w:bCs/>
                <w:color w:val="auto"/>
              </w:rPr>
            </w:pPr>
            <w:r>
              <w:rPr>
                <w:b/>
                <w:bCs/>
                <w:color w:val="auto"/>
              </w:rPr>
              <w:t>海拔高度/m</w:t>
            </w:r>
          </w:p>
        </w:tc>
        <w:tc>
          <w:tcPr>
            <w:tcW w:w="377" w:type="pct"/>
            <w:vMerge w:val="restart"/>
            <w:vAlign w:val="center"/>
          </w:tcPr>
          <w:p>
            <w:pPr>
              <w:pStyle w:val="182"/>
              <w:bidi w:val="0"/>
              <w:rPr>
                <w:b/>
                <w:bCs/>
                <w:color w:val="auto"/>
              </w:rPr>
            </w:pPr>
            <w:r>
              <w:rPr>
                <w:b/>
                <w:bCs/>
                <w:color w:val="auto"/>
              </w:rPr>
              <w:t>面源长度/m</w:t>
            </w:r>
          </w:p>
        </w:tc>
        <w:tc>
          <w:tcPr>
            <w:tcW w:w="377" w:type="pct"/>
            <w:vMerge w:val="restart"/>
            <w:vAlign w:val="center"/>
          </w:tcPr>
          <w:p>
            <w:pPr>
              <w:pStyle w:val="182"/>
              <w:bidi w:val="0"/>
              <w:rPr>
                <w:b/>
                <w:bCs/>
                <w:color w:val="auto"/>
              </w:rPr>
            </w:pPr>
            <w:r>
              <w:rPr>
                <w:b/>
                <w:bCs/>
                <w:color w:val="auto"/>
              </w:rPr>
              <w:t>面源宽度/m</w:t>
            </w:r>
          </w:p>
        </w:tc>
        <w:tc>
          <w:tcPr>
            <w:tcW w:w="376" w:type="pct"/>
            <w:vMerge w:val="restart"/>
            <w:vAlign w:val="center"/>
          </w:tcPr>
          <w:p>
            <w:pPr>
              <w:pStyle w:val="182"/>
              <w:bidi w:val="0"/>
              <w:rPr>
                <w:b/>
                <w:bCs/>
                <w:color w:val="auto"/>
              </w:rPr>
            </w:pPr>
            <w:r>
              <w:rPr>
                <w:b/>
                <w:bCs/>
                <w:color w:val="auto"/>
              </w:rPr>
              <w:t>与正北夹角/°</w:t>
            </w:r>
          </w:p>
        </w:tc>
        <w:tc>
          <w:tcPr>
            <w:tcW w:w="376" w:type="pct"/>
            <w:vMerge w:val="restart"/>
            <w:vAlign w:val="center"/>
          </w:tcPr>
          <w:p>
            <w:pPr>
              <w:pStyle w:val="182"/>
              <w:bidi w:val="0"/>
              <w:rPr>
                <w:b/>
                <w:bCs/>
                <w:color w:val="auto"/>
              </w:rPr>
            </w:pPr>
            <w:r>
              <w:rPr>
                <w:rFonts w:hint="eastAsia"/>
                <w:b/>
                <w:bCs/>
                <w:color w:val="auto"/>
              </w:rPr>
              <w:t>面源有效排放高度/m</w:t>
            </w:r>
          </w:p>
        </w:tc>
        <w:tc>
          <w:tcPr>
            <w:tcW w:w="480" w:type="pct"/>
            <w:vMerge w:val="restart"/>
            <w:vAlign w:val="center"/>
          </w:tcPr>
          <w:p>
            <w:pPr>
              <w:pStyle w:val="182"/>
              <w:bidi w:val="0"/>
              <w:rPr>
                <w:b/>
                <w:bCs/>
                <w:color w:val="auto"/>
              </w:rPr>
            </w:pPr>
            <w:r>
              <w:rPr>
                <w:b/>
                <w:bCs/>
                <w:color w:val="auto"/>
              </w:rPr>
              <w:t>年排放小时数/h</w:t>
            </w:r>
          </w:p>
        </w:tc>
        <w:tc>
          <w:tcPr>
            <w:tcW w:w="411" w:type="pct"/>
            <w:vMerge w:val="restart"/>
            <w:vAlign w:val="center"/>
          </w:tcPr>
          <w:p>
            <w:pPr>
              <w:pStyle w:val="182"/>
              <w:bidi w:val="0"/>
              <w:rPr>
                <w:b/>
                <w:bCs/>
                <w:color w:val="auto"/>
              </w:rPr>
            </w:pPr>
            <w:r>
              <w:rPr>
                <w:b/>
                <w:bCs/>
                <w:color w:val="auto"/>
              </w:rPr>
              <w:t>排放工况</w:t>
            </w:r>
          </w:p>
        </w:tc>
        <w:tc>
          <w:tcPr>
            <w:tcW w:w="1144" w:type="pct"/>
            <w:gridSpan w:val="2"/>
            <w:vAlign w:val="center"/>
          </w:tcPr>
          <w:p>
            <w:pPr>
              <w:pStyle w:val="182"/>
              <w:bidi w:val="0"/>
              <w:rPr>
                <w:b/>
                <w:bCs/>
                <w:color w:val="auto"/>
              </w:rPr>
            </w:pPr>
            <w:r>
              <w:rPr>
                <w:b/>
                <w:bCs/>
                <w:color w:val="auto"/>
              </w:rPr>
              <w:t>污染物排放速率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vMerge w:val="continue"/>
            <w:vAlign w:val="center"/>
          </w:tcPr>
          <w:p>
            <w:pPr>
              <w:pStyle w:val="182"/>
              <w:bidi w:val="0"/>
              <w:rPr>
                <w:b/>
                <w:bCs/>
                <w:color w:val="auto"/>
              </w:rPr>
            </w:pPr>
          </w:p>
        </w:tc>
        <w:tc>
          <w:tcPr>
            <w:tcW w:w="388" w:type="pct"/>
            <w:vAlign w:val="center"/>
          </w:tcPr>
          <w:p>
            <w:pPr>
              <w:pStyle w:val="182"/>
              <w:bidi w:val="0"/>
              <w:rPr>
                <w:b/>
                <w:bCs/>
                <w:color w:val="auto"/>
              </w:rPr>
            </w:pPr>
            <w:r>
              <w:rPr>
                <w:rFonts w:hint="eastAsia"/>
                <w:b/>
                <w:bCs/>
                <w:color w:val="auto"/>
              </w:rPr>
              <w:t>X</w:t>
            </w:r>
          </w:p>
        </w:tc>
        <w:tc>
          <w:tcPr>
            <w:tcW w:w="311" w:type="pct"/>
            <w:vAlign w:val="center"/>
          </w:tcPr>
          <w:p>
            <w:pPr>
              <w:pStyle w:val="182"/>
              <w:bidi w:val="0"/>
              <w:rPr>
                <w:b/>
                <w:bCs/>
                <w:color w:val="auto"/>
              </w:rPr>
            </w:pPr>
            <w:r>
              <w:rPr>
                <w:rFonts w:hint="eastAsia"/>
                <w:b/>
                <w:bCs/>
                <w:color w:val="auto"/>
              </w:rPr>
              <w:t>Y</w:t>
            </w:r>
          </w:p>
        </w:tc>
        <w:tc>
          <w:tcPr>
            <w:tcW w:w="294" w:type="pct"/>
            <w:vMerge w:val="continue"/>
            <w:vAlign w:val="center"/>
          </w:tcPr>
          <w:p>
            <w:pPr>
              <w:pStyle w:val="182"/>
              <w:bidi w:val="0"/>
              <w:rPr>
                <w:b/>
                <w:bCs/>
                <w:color w:val="auto"/>
              </w:rPr>
            </w:pPr>
          </w:p>
        </w:tc>
        <w:tc>
          <w:tcPr>
            <w:tcW w:w="377" w:type="pct"/>
            <w:vMerge w:val="continue"/>
            <w:vAlign w:val="center"/>
          </w:tcPr>
          <w:p>
            <w:pPr>
              <w:pStyle w:val="182"/>
              <w:bidi w:val="0"/>
              <w:rPr>
                <w:b/>
                <w:bCs/>
                <w:color w:val="auto"/>
              </w:rPr>
            </w:pPr>
          </w:p>
        </w:tc>
        <w:tc>
          <w:tcPr>
            <w:tcW w:w="377" w:type="pct"/>
            <w:vMerge w:val="continue"/>
            <w:vAlign w:val="center"/>
          </w:tcPr>
          <w:p>
            <w:pPr>
              <w:pStyle w:val="182"/>
              <w:bidi w:val="0"/>
              <w:rPr>
                <w:b/>
                <w:bCs/>
                <w:color w:val="auto"/>
              </w:rPr>
            </w:pPr>
          </w:p>
        </w:tc>
        <w:tc>
          <w:tcPr>
            <w:tcW w:w="376" w:type="pct"/>
            <w:vMerge w:val="continue"/>
            <w:vAlign w:val="center"/>
          </w:tcPr>
          <w:p>
            <w:pPr>
              <w:pStyle w:val="182"/>
              <w:bidi w:val="0"/>
              <w:rPr>
                <w:b/>
                <w:bCs/>
                <w:color w:val="auto"/>
              </w:rPr>
            </w:pPr>
          </w:p>
        </w:tc>
        <w:tc>
          <w:tcPr>
            <w:tcW w:w="376" w:type="pct"/>
            <w:vMerge w:val="continue"/>
            <w:vAlign w:val="center"/>
          </w:tcPr>
          <w:p>
            <w:pPr>
              <w:pStyle w:val="182"/>
              <w:bidi w:val="0"/>
              <w:rPr>
                <w:b/>
                <w:bCs/>
                <w:color w:val="auto"/>
              </w:rPr>
            </w:pPr>
          </w:p>
        </w:tc>
        <w:tc>
          <w:tcPr>
            <w:tcW w:w="480" w:type="pct"/>
            <w:vMerge w:val="continue"/>
            <w:vAlign w:val="center"/>
          </w:tcPr>
          <w:p>
            <w:pPr>
              <w:pStyle w:val="182"/>
              <w:bidi w:val="0"/>
              <w:rPr>
                <w:b/>
                <w:bCs/>
                <w:color w:val="auto"/>
              </w:rPr>
            </w:pPr>
          </w:p>
        </w:tc>
        <w:tc>
          <w:tcPr>
            <w:tcW w:w="411" w:type="pct"/>
            <w:vMerge w:val="continue"/>
            <w:vAlign w:val="center"/>
          </w:tcPr>
          <w:p>
            <w:pPr>
              <w:pStyle w:val="182"/>
              <w:bidi w:val="0"/>
              <w:rPr>
                <w:b/>
                <w:bCs/>
                <w:color w:val="auto"/>
              </w:rPr>
            </w:pPr>
          </w:p>
        </w:tc>
        <w:tc>
          <w:tcPr>
            <w:tcW w:w="404" w:type="pct"/>
            <w:vAlign w:val="center"/>
          </w:tcPr>
          <w:p>
            <w:pPr>
              <w:pStyle w:val="182"/>
              <w:bidi w:val="0"/>
              <w:rPr>
                <w:rFonts w:hint="eastAsia" w:eastAsia="宋体"/>
                <w:b/>
                <w:bCs/>
                <w:color w:val="auto"/>
                <w:lang w:eastAsia="zh-CN"/>
              </w:rPr>
            </w:pPr>
            <w:r>
              <w:rPr>
                <w:rFonts w:hint="eastAsia"/>
                <w:b/>
                <w:bCs/>
                <w:color w:val="auto"/>
                <w:lang w:val="en-US" w:eastAsia="zh-CN"/>
              </w:rPr>
              <w:t>颗粒物</w:t>
            </w:r>
          </w:p>
        </w:tc>
        <w:tc>
          <w:tcPr>
            <w:tcW w:w="740" w:type="pct"/>
            <w:vAlign w:val="center"/>
          </w:tcPr>
          <w:p>
            <w:pPr>
              <w:pStyle w:val="182"/>
              <w:bidi w:val="0"/>
              <w:rPr>
                <w:rFonts w:hint="eastAsia" w:eastAsia="宋体"/>
                <w:b/>
                <w:bCs/>
                <w:color w:val="auto"/>
                <w:lang w:val="en-US" w:eastAsia="zh-CN"/>
              </w:rPr>
            </w:pPr>
            <w:r>
              <w:rPr>
                <w:rFonts w:hint="eastAsia"/>
                <w:b/>
                <w:bCs/>
                <w:color w:val="auto"/>
                <w:lang w:val="en-US" w:eastAsia="zh-CN"/>
              </w:rPr>
              <w:t>硫酸雾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vAlign w:val="center"/>
          </w:tcPr>
          <w:p>
            <w:pPr>
              <w:pStyle w:val="182"/>
              <w:bidi w:val="0"/>
              <w:rPr>
                <w:color w:val="auto"/>
              </w:rPr>
            </w:pPr>
            <w:r>
              <w:rPr>
                <w:rFonts w:hint="eastAsia"/>
                <w:color w:val="auto"/>
              </w:rPr>
              <w:t>菌草堆料库</w:t>
            </w:r>
          </w:p>
        </w:tc>
        <w:tc>
          <w:tcPr>
            <w:tcW w:w="388" w:type="pct"/>
            <w:vAlign w:val="center"/>
          </w:tcPr>
          <w:p>
            <w:pPr>
              <w:pStyle w:val="182"/>
              <w:bidi w:val="0"/>
              <w:rPr>
                <w:color w:val="auto"/>
              </w:rPr>
            </w:pPr>
            <w:r>
              <w:rPr>
                <w:rFonts w:hint="eastAsia"/>
                <w:color w:val="auto"/>
              </w:rPr>
              <w:t>5</w:t>
            </w:r>
            <w:r>
              <w:rPr>
                <w:color w:val="auto"/>
              </w:rPr>
              <w:t>2</w:t>
            </w:r>
          </w:p>
        </w:tc>
        <w:tc>
          <w:tcPr>
            <w:tcW w:w="311" w:type="pct"/>
            <w:vAlign w:val="center"/>
          </w:tcPr>
          <w:p>
            <w:pPr>
              <w:pStyle w:val="182"/>
              <w:bidi w:val="0"/>
              <w:rPr>
                <w:color w:val="auto"/>
              </w:rPr>
            </w:pPr>
            <w:r>
              <w:rPr>
                <w:rFonts w:hint="eastAsia"/>
                <w:color w:val="auto"/>
              </w:rPr>
              <w:t>1</w:t>
            </w:r>
            <w:r>
              <w:rPr>
                <w:color w:val="auto"/>
              </w:rPr>
              <w:t>19</w:t>
            </w:r>
          </w:p>
        </w:tc>
        <w:tc>
          <w:tcPr>
            <w:tcW w:w="294" w:type="pct"/>
            <w:vAlign w:val="center"/>
          </w:tcPr>
          <w:p>
            <w:pPr>
              <w:pStyle w:val="182"/>
              <w:bidi w:val="0"/>
              <w:rPr>
                <w:color w:val="auto"/>
              </w:rPr>
            </w:pPr>
            <w:r>
              <w:rPr>
                <w:color w:val="auto"/>
              </w:rPr>
              <w:t>71</w:t>
            </w:r>
          </w:p>
        </w:tc>
        <w:tc>
          <w:tcPr>
            <w:tcW w:w="377" w:type="pct"/>
            <w:vAlign w:val="center"/>
          </w:tcPr>
          <w:p>
            <w:pPr>
              <w:pStyle w:val="182"/>
              <w:bidi w:val="0"/>
              <w:rPr>
                <w:color w:val="auto"/>
              </w:rPr>
            </w:pPr>
            <w:r>
              <w:rPr>
                <w:rFonts w:hint="eastAsia"/>
                <w:color w:val="auto"/>
              </w:rPr>
              <w:t>1</w:t>
            </w:r>
            <w:r>
              <w:rPr>
                <w:color w:val="auto"/>
              </w:rPr>
              <w:t>76</w:t>
            </w:r>
          </w:p>
        </w:tc>
        <w:tc>
          <w:tcPr>
            <w:tcW w:w="377" w:type="pct"/>
            <w:vAlign w:val="center"/>
          </w:tcPr>
          <w:p>
            <w:pPr>
              <w:pStyle w:val="182"/>
              <w:bidi w:val="0"/>
              <w:rPr>
                <w:color w:val="auto"/>
              </w:rPr>
            </w:pPr>
            <w:r>
              <w:rPr>
                <w:rFonts w:hint="eastAsia"/>
                <w:color w:val="auto"/>
              </w:rPr>
              <w:t>3</w:t>
            </w:r>
            <w:r>
              <w:rPr>
                <w:color w:val="auto"/>
              </w:rPr>
              <w:t>6</w:t>
            </w:r>
          </w:p>
        </w:tc>
        <w:tc>
          <w:tcPr>
            <w:tcW w:w="376" w:type="pct"/>
            <w:vAlign w:val="center"/>
          </w:tcPr>
          <w:p>
            <w:pPr>
              <w:pStyle w:val="182"/>
              <w:bidi w:val="0"/>
              <w:rPr>
                <w:color w:val="auto"/>
              </w:rPr>
            </w:pPr>
            <w:r>
              <w:rPr>
                <w:color w:val="auto"/>
              </w:rPr>
              <w:t>30</w:t>
            </w:r>
          </w:p>
        </w:tc>
        <w:tc>
          <w:tcPr>
            <w:tcW w:w="376" w:type="pct"/>
            <w:vAlign w:val="center"/>
          </w:tcPr>
          <w:p>
            <w:pPr>
              <w:pStyle w:val="182"/>
              <w:bidi w:val="0"/>
              <w:rPr>
                <w:color w:val="auto"/>
              </w:rPr>
            </w:pPr>
            <w:r>
              <w:rPr>
                <w:rFonts w:hint="eastAsia"/>
                <w:color w:val="auto"/>
              </w:rPr>
              <w:t>1</w:t>
            </w:r>
            <w:r>
              <w:rPr>
                <w:color w:val="auto"/>
              </w:rPr>
              <w:t>2</w:t>
            </w:r>
          </w:p>
        </w:tc>
        <w:tc>
          <w:tcPr>
            <w:tcW w:w="480" w:type="pct"/>
            <w:vAlign w:val="center"/>
          </w:tcPr>
          <w:p>
            <w:pPr>
              <w:pStyle w:val="182"/>
              <w:bidi w:val="0"/>
              <w:rPr>
                <w:rFonts w:hint="default" w:eastAsia="宋体"/>
                <w:color w:val="auto"/>
                <w:lang w:val="en-US" w:eastAsia="zh-CN"/>
              </w:rPr>
            </w:pPr>
            <w:r>
              <w:rPr>
                <w:rFonts w:hint="eastAsia"/>
                <w:color w:val="auto"/>
                <w:lang w:val="en-US" w:eastAsia="zh-CN"/>
              </w:rPr>
              <w:t>7920</w:t>
            </w:r>
          </w:p>
        </w:tc>
        <w:tc>
          <w:tcPr>
            <w:tcW w:w="411" w:type="pct"/>
            <w:vAlign w:val="center"/>
          </w:tcPr>
          <w:p>
            <w:pPr>
              <w:pStyle w:val="182"/>
              <w:bidi w:val="0"/>
              <w:rPr>
                <w:color w:val="auto"/>
              </w:rPr>
            </w:pPr>
            <w:r>
              <w:rPr>
                <w:color w:val="auto"/>
              </w:rPr>
              <w:t>正常</w:t>
            </w:r>
          </w:p>
        </w:tc>
        <w:tc>
          <w:tcPr>
            <w:tcW w:w="404" w:type="pct"/>
            <w:vAlign w:val="center"/>
          </w:tcPr>
          <w:p>
            <w:pPr>
              <w:pStyle w:val="182"/>
              <w:bidi w:val="0"/>
              <w:rPr>
                <w:color w:val="auto"/>
              </w:rPr>
            </w:pPr>
            <w:r>
              <w:rPr>
                <w:rFonts w:hint="eastAsia"/>
                <w:color w:val="auto"/>
              </w:rPr>
              <w:t>0.1t/a</w:t>
            </w:r>
          </w:p>
        </w:tc>
        <w:tc>
          <w:tcPr>
            <w:tcW w:w="740" w:type="pct"/>
            <w:vAlign w:val="center"/>
          </w:tcPr>
          <w:p>
            <w:pPr>
              <w:pStyle w:val="182"/>
              <w:bidi w:val="0"/>
              <w:rPr>
                <w:rFonts w:hint="eastAsia" w:eastAsia="宋体"/>
                <w:color w:val="auto"/>
                <w:lang w:val="en-US" w:eastAsia="zh-CN"/>
              </w:rPr>
            </w:pPr>
            <w:r>
              <w:rPr>
                <w:rFonts w:hint="eastAsia"/>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vAlign w:val="center"/>
          </w:tcPr>
          <w:p>
            <w:pPr>
              <w:pStyle w:val="182"/>
              <w:bidi w:val="0"/>
              <w:rPr>
                <w:rFonts w:hint="eastAsia" w:eastAsia="宋体"/>
                <w:color w:val="auto"/>
                <w:lang w:val="en-US" w:eastAsia="zh-CN"/>
              </w:rPr>
            </w:pPr>
            <w:r>
              <w:rPr>
                <w:rFonts w:hint="eastAsia"/>
                <w:color w:val="auto"/>
                <w:lang w:val="en-US" w:eastAsia="zh-CN"/>
              </w:rPr>
              <w:t>酸站</w:t>
            </w:r>
          </w:p>
        </w:tc>
        <w:tc>
          <w:tcPr>
            <w:tcW w:w="388" w:type="pct"/>
            <w:vAlign w:val="center"/>
          </w:tcPr>
          <w:p>
            <w:pPr>
              <w:pStyle w:val="182"/>
              <w:bidi w:val="0"/>
              <w:rPr>
                <w:rFonts w:hint="default" w:eastAsia="宋体"/>
                <w:color w:val="auto"/>
                <w:lang w:val="en-US" w:eastAsia="zh-CN"/>
              </w:rPr>
            </w:pPr>
            <w:r>
              <w:rPr>
                <w:rFonts w:hint="eastAsia"/>
                <w:color w:val="auto"/>
                <w:lang w:val="en-US" w:eastAsia="zh-CN"/>
              </w:rPr>
              <w:t>882</w:t>
            </w:r>
          </w:p>
        </w:tc>
        <w:tc>
          <w:tcPr>
            <w:tcW w:w="311" w:type="pct"/>
            <w:vAlign w:val="center"/>
          </w:tcPr>
          <w:p>
            <w:pPr>
              <w:pStyle w:val="182"/>
              <w:bidi w:val="0"/>
              <w:rPr>
                <w:rFonts w:hint="default" w:eastAsia="宋体"/>
                <w:color w:val="auto"/>
                <w:lang w:val="en-US" w:eastAsia="zh-CN"/>
              </w:rPr>
            </w:pPr>
            <w:r>
              <w:rPr>
                <w:rFonts w:hint="eastAsia"/>
                <w:color w:val="auto"/>
                <w:lang w:val="en-US" w:eastAsia="zh-CN"/>
              </w:rPr>
              <w:t>619</w:t>
            </w:r>
          </w:p>
        </w:tc>
        <w:tc>
          <w:tcPr>
            <w:tcW w:w="294" w:type="pct"/>
            <w:vAlign w:val="center"/>
          </w:tcPr>
          <w:p>
            <w:pPr>
              <w:pStyle w:val="182"/>
              <w:bidi w:val="0"/>
              <w:rPr>
                <w:rFonts w:hint="default" w:eastAsia="宋体"/>
                <w:color w:val="auto"/>
                <w:lang w:val="en-US" w:eastAsia="zh-CN"/>
              </w:rPr>
            </w:pPr>
            <w:r>
              <w:rPr>
                <w:rFonts w:hint="eastAsia"/>
                <w:color w:val="auto"/>
                <w:lang w:val="en-US" w:eastAsia="zh-CN"/>
              </w:rPr>
              <w:t>71</w:t>
            </w:r>
          </w:p>
        </w:tc>
        <w:tc>
          <w:tcPr>
            <w:tcW w:w="377" w:type="pct"/>
            <w:vAlign w:val="center"/>
          </w:tcPr>
          <w:p>
            <w:pPr>
              <w:pStyle w:val="182"/>
              <w:bidi w:val="0"/>
              <w:rPr>
                <w:rFonts w:hint="default" w:eastAsia="宋体"/>
                <w:color w:val="auto"/>
                <w:lang w:val="en-US" w:eastAsia="zh-CN"/>
              </w:rPr>
            </w:pPr>
            <w:r>
              <w:rPr>
                <w:rFonts w:hint="eastAsia"/>
                <w:color w:val="auto"/>
                <w:lang w:val="en-US" w:eastAsia="zh-CN"/>
              </w:rPr>
              <w:t>48</w:t>
            </w:r>
          </w:p>
        </w:tc>
        <w:tc>
          <w:tcPr>
            <w:tcW w:w="377" w:type="pct"/>
            <w:vAlign w:val="center"/>
          </w:tcPr>
          <w:p>
            <w:pPr>
              <w:pStyle w:val="182"/>
              <w:bidi w:val="0"/>
              <w:rPr>
                <w:rFonts w:hint="default" w:eastAsia="宋体"/>
                <w:color w:val="auto"/>
                <w:lang w:val="en-US" w:eastAsia="zh-CN"/>
              </w:rPr>
            </w:pPr>
            <w:r>
              <w:rPr>
                <w:rFonts w:hint="eastAsia"/>
                <w:color w:val="auto"/>
                <w:lang w:val="en-US" w:eastAsia="zh-CN"/>
              </w:rPr>
              <w:t>25</w:t>
            </w:r>
          </w:p>
        </w:tc>
        <w:tc>
          <w:tcPr>
            <w:tcW w:w="376" w:type="pct"/>
            <w:vAlign w:val="center"/>
          </w:tcPr>
          <w:p>
            <w:pPr>
              <w:pStyle w:val="182"/>
              <w:bidi w:val="0"/>
              <w:rPr>
                <w:rFonts w:hint="default" w:eastAsia="宋体"/>
                <w:color w:val="auto"/>
                <w:lang w:val="en-US" w:eastAsia="zh-CN"/>
              </w:rPr>
            </w:pPr>
            <w:r>
              <w:rPr>
                <w:rFonts w:hint="eastAsia"/>
                <w:color w:val="auto"/>
                <w:lang w:val="en-US" w:eastAsia="zh-CN"/>
              </w:rPr>
              <w:t>30</w:t>
            </w:r>
          </w:p>
        </w:tc>
        <w:tc>
          <w:tcPr>
            <w:tcW w:w="376" w:type="pct"/>
            <w:vAlign w:val="center"/>
          </w:tcPr>
          <w:p>
            <w:pPr>
              <w:pStyle w:val="182"/>
              <w:bidi w:val="0"/>
              <w:rPr>
                <w:rFonts w:hint="eastAsia" w:eastAsia="宋体"/>
                <w:color w:val="auto"/>
                <w:lang w:val="en-US" w:eastAsia="zh-CN"/>
              </w:rPr>
            </w:pPr>
            <w:r>
              <w:rPr>
                <w:rFonts w:hint="eastAsia"/>
                <w:color w:val="auto"/>
                <w:lang w:val="en-US" w:eastAsia="zh-CN"/>
              </w:rPr>
              <w:t>5</w:t>
            </w:r>
          </w:p>
        </w:tc>
        <w:tc>
          <w:tcPr>
            <w:tcW w:w="480" w:type="pct"/>
            <w:vAlign w:val="center"/>
          </w:tcPr>
          <w:p>
            <w:pPr>
              <w:pStyle w:val="182"/>
              <w:bidi w:val="0"/>
              <w:rPr>
                <w:rFonts w:hint="default"/>
                <w:color w:val="auto"/>
                <w:lang w:val="en-US" w:eastAsia="zh-CN"/>
              </w:rPr>
            </w:pPr>
            <w:r>
              <w:rPr>
                <w:rFonts w:hint="eastAsia"/>
                <w:color w:val="auto"/>
                <w:lang w:val="en-US" w:eastAsia="zh-CN"/>
              </w:rPr>
              <w:t>7920</w:t>
            </w:r>
          </w:p>
        </w:tc>
        <w:tc>
          <w:tcPr>
            <w:tcW w:w="411" w:type="pct"/>
            <w:vAlign w:val="center"/>
          </w:tcPr>
          <w:p>
            <w:pPr>
              <w:pStyle w:val="182"/>
              <w:bidi w:val="0"/>
              <w:rPr>
                <w:rFonts w:hint="eastAsia" w:eastAsia="宋体"/>
                <w:color w:val="auto"/>
                <w:lang w:val="en-US" w:eastAsia="zh-CN"/>
              </w:rPr>
            </w:pPr>
            <w:r>
              <w:rPr>
                <w:rFonts w:hint="eastAsia"/>
                <w:color w:val="auto"/>
                <w:lang w:val="en-US" w:eastAsia="zh-CN"/>
              </w:rPr>
              <w:t>正常</w:t>
            </w:r>
          </w:p>
        </w:tc>
        <w:tc>
          <w:tcPr>
            <w:tcW w:w="404" w:type="pct"/>
            <w:vAlign w:val="center"/>
          </w:tcPr>
          <w:p>
            <w:pPr>
              <w:pStyle w:val="182"/>
              <w:bidi w:val="0"/>
              <w:rPr>
                <w:rFonts w:hint="eastAsia" w:eastAsia="宋体"/>
                <w:color w:val="auto"/>
                <w:lang w:val="en-US" w:eastAsia="zh-CN"/>
              </w:rPr>
            </w:pPr>
            <w:r>
              <w:rPr>
                <w:rFonts w:hint="eastAsia"/>
                <w:color w:val="auto"/>
                <w:lang w:val="en-US" w:eastAsia="zh-CN"/>
              </w:rPr>
              <w:t>/</w:t>
            </w:r>
          </w:p>
        </w:tc>
        <w:tc>
          <w:tcPr>
            <w:tcW w:w="740" w:type="pct"/>
            <w:vAlign w:val="center"/>
          </w:tcPr>
          <w:p>
            <w:pPr>
              <w:pStyle w:val="182"/>
              <w:bidi w:val="0"/>
              <w:rPr>
                <w:rFonts w:hint="default" w:eastAsia="宋体"/>
                <w:color w:val="auto"/>
                <w:lang w:val="en-US" w:eastAsia="zh-CN"/>
              </w:rPr>
            </w:pPr>
            <w:r>
              <w:rPr>
                <w:rFonts w:hint="eastAsia"/>
                <w:color w:val="auto"/>
                <w:lang w:val="en-US" w:eastAsia="zh-CN"/>
              </w:rPr>
              <w:t>0.00061kg/a</w:t>
            </w:r>
          </w:p>
        </w:tc>
      </w:tr>
    </w:tbl>
    <w:p>
      <w:pPr>
        <w:bidi w:val="0"/>
        <w:rPr>
          <w:color w:val="auto"/>
        </w:rPr>
      </w:pPr>
      <w:r>
        <w:rPr>
          <w:color w:val="auto"/>
        </w:rPr>
        <w:t>采用《环境影响评价技术导则大气环境》（HJ2.2-2018）推荐的估算模式AERSCREEN计算工程主要污染源污染物的最大落地浓度及其出现距离，估算模型参数见下表。</w:t>
      </w:r>
    </w:p>
    <w:p>
      <w:pPr>
        <w:pStyle w:val="181"/>
        <w:bidi w:val="0"/>
        <w:rPr>
          <w:color w:val="auto"/>
        </w:rPr>
      </w:pPr>
      <w:r>
        <w:rPr>
          <w:color w:val="auto"/>
        </w:rPr>
        <w:t>表5.</w:t>
      </w:r>
      <w:r>
        <w:rPr>
          <w:rFonts w:hint="eastAsia"/>
          <w:color w:val="auto"/>
          <w:lang w:val="en-US" w:eastAsia="zh-CN"/>
        </w:rPr>
        <w:t>2</w:t>
      </w:r>
      <w:r>
        <w:rPr>
          <w:color w:val="auto"/>
        </w:rPr>
        <w:t>-</w:t>
      </w:r>
      <w:r>
        <w:rPr>
          <w:rFonts w:hint="eastAsia"/>
          <w:color w:val="auto"/>
          <w:lang w:val="en-US" w:eastAsia="zh-CN"/>
        </w:rPr>
        <w:t>3</w:t>
      </w:r>
      <w:r>
        <w:rPr>
          <w:color w:val="auto"/>
        </w:rPr>
        <w:t xml:space="preserve">  </w:t>
      </w:r>
      <w:r>
        <w:rPr>
          <w:rFonts w:hint="eastAsia"/>
          <w:color w:val="auto"/>
          <w:lang w:val="en-US" w:eastAsia="zh-CN"/>
        </w:rPr>
        <w:t xml:space="preserve">             </w:t>
      </w:r>
      <w:r>
        <w:rPr>
          <w:color w:val="auto"/>
        </w:rPr>
        <w:t>估算模型参数表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196"/>
        <w:gridCol w:w="3390"/>
        <w:gridCol w:w="2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pPr>
              <w:pStyle w:val="182"/>
              <w:bidi w:val="0"/>
              <w:rPr>
                <w:b/>
                <w:bCs/>
                <w:color w:val="auto"/>
              </w:rPr>
            </w:pPr>
            <w:r>
              <w:rPr>
                <w:b/>
                <w:bCs/>
                <w:color w:val="auto"/>
              </w:rPr>
              <w:t>参数</w:t>
            </w:r>
          </w:p>
        </w:tc>
        <w:tc>
          <w:tcPr>
            <w:tcW w:w="2781" w:type="dxa"/>
            <w:tcBorders>
              <w:tl2br w:val="nil"/>
              <w:tr2bl w:val="nil"/>
            </w:tcBorders>
            <w:vAlign w:val="center"/>
          </w:tcPr>
          <w:p>
            <w:pPr>
              <w:pStyle w:val="182"/>
              <w:bidi w:val="0"/>
              <w:rPr>
                <w:b/>
                <w:bCs/>
                <w:color w:val="auto"/>
              </w:rPr>
            </w:pPr>
            <w:r>
              <w:rPr>
                <w:b/>
                <w:bCs/>
                <w:color w:val="auto"/>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restart"/>
            <w:tcBorders>
              <w:tl2br w:val="nil"/>
              <w:tr2bl w:val="nil"/>
            </w:tcBorders>
            <w:vAlign w:val="center"/>
          </w:tcPr>
          <w:p>
            <w:pPr>
              <w:pStyle w:val="182"/>
              <w:bidi w:val="0"/>
              <w:rPr>
                <w:color w:val="auto"/>
              </w:rPr>
            </w:pPr>
            <w:r>
              <w:rPr>
                <w:color w:val="auto"/>
              </w:rPr>
              <w:t>城市/农村选项</w:t>
            </w:r>
          </w:p>
        </w:tc>
        <w:tc>
          <w:tcPr>
            <w:tcW w:w="3391" w:type="dxa"/>
            <w:tcBorders>
              <w:tl2br w:val="nil"/>
              <w:tr2bl w:val="nil"/>
            </w:tcBorders>
            <w:vAlign w:val="center"/>
          </w:tcPr>
          <w:p>
            <w:pPr>
              <w:pStyle w:val="182"/>
              <w:bidi w:val="0"/>
              <w:rPr>
                <w:color w:val="auto"/>
              </w:rPr>
            </w:pPr>
            <w:r>
              <w:rPr>
                <w:color w:val="auto"/>
              </w:rPr>
              <w:t>城市/农村</w:t>
            </w:r>
          </w:p>
        </w:tc>
        <w:tc>
          <w:tcPr>
            <w:tcW w:w="2781" w:type="dxa"/>
            <w:tcBorders>
              <w:tl2br w:val="nil"/>
              <w:tr2bl w:val="nil"/>
            </w:tcBorders>
            <w:vAlign w:val="center"/>
          </w:tcPr>
          <w:p>
            <w:pPr>
              <w:pStyle w:val="182"/>
              <w:bidi w:val="0"/>
              <w:rPr>
                <w:color w:val="auto"/>
              </w:rPr>
            </w:pPr>
            <w:r>
              <w:rPr>
                <w:color w:val="auto"/>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continue"/>
            <w:tcBorders>
              <w:tl2br w:val="nil"/>
              <w:tr2bl w:val="nil"/>
            </w:tcBorders>
            <w:vAlign w:val="center"/>
          </w:tcPr>
          <w:p>
            <w:pPr>
              <w:pStyle w:val="182"/>
              <w:bidi w:val="0"/>
              <w:rPr>
                <w:color w:val="auto"/>
              </w:rPr>
            </w:pPr>
          </w:p>
        </w:tc>
        <w:tc>
          <w:tcPr>
            <w:tcW w:w="3391" w:type="dxa"/>
            <w:tcBorders>
              <w:tl2br w:val="nil"/>
              <w:tr2bl w:val="nil"/>
            </w:tcBorders>
            <w:vAlign w:val="center"/>
          </w:tcPr>
          <w:p>
            <w:pPr>
              <w:pStyle w:val="182"/>
              <w:bidi w:val="0"/>
              <w:rPr>
                <w:color w:val="auto"/>
              </w:rPr>
            </w:pPr>
            <w:r>
              <w:rPr>
                <w:color w:val="auto"/>
              </w:rPr>
              <w:t>人口数（城市选项时）</w:t>
            </w:r>
          </w:p>
        </w:tc>
        <w:tc>
          <w:tcPr>
            <w:tcW w:w="2781" w:type="dxa"/>
            <w:tcBorders>
              <w:tl2br w:val="nil"/>
              <w:tr2bl w:val="nil"/>
            </w:tcBorders>
            <w:vAlign w:val="center"/>
          </w:tcPr>
          <w:p>
            <w:pPr>
              <w:pStyle w:val="182"/>
              <w:bidi w:val="0"/>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pPr>
              <w:pStyle w:val="182"/>
              <w:bidi w:val="0"/>
              <w:rPr>
                <w:color w:val="auto"/>
              </w:rPr>
            </w:pPr>
            <w:r>
              <w:rPr>
                <w:color w:val="auto"/>
              </w:rPr>
              <w:t>最高环境温度/℃</w:t>
            </w:r>
          </w:p>
        </w:tc>
        <w:tc>
          <w:tcPr>
            <w:tcW w:w="2781" w:type="dxa"/>
            <w:tcBorders>
              <w:tl2br w:val="nil"/>
              <w:tr2bl w:val="nil"/>
            </w:tcBorders>
            <w:vAlign w:val="center"/>
          </w:tcPr>
          <w:p>
            <w:pPr>
              <w:pStyle w:val="182"/>
              <w:bidi w:val="0"/>
              <w:rPr>
                <w:color w:val="auto"/>
              </w:rPr>
            </w:pPr>
            <w:r>
              <w:rPr>
                <w:color w:val="auto"/>
              </w:rPr>
              <w:t>40.9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pPr>
              <w:pStyle w:val="182"/>
              <w:bidi w:val="0"/>
              <w:rPr>
                <w:color w:val="auto"/>
              </w:rPr>
            </w:pPr>
            <w:r>
              <w:rPr>
                <w:color w:val="auto"/>
              </w:rPr>
              <w:t>最低环境温度/℃</w:t>
            </w:r>
          </w:p>
        </w:tc>
        <w:tc>
          <w:tcPr>
            <w:tcW w:w="2781" w:type="dxa"/>
            <w:tcBorders>
              <w:tl2br w:val="nil"/>
              <w:tr2bl w:val="nil"/>
            </w:tcBorders>
            <w:vAlign w:val="center"/>
          </w:tcPr>
          <w:p>
            <w:pPr>
              <w:pStyle w:val="182"/>
              <w:bidi w:val="0"/>
              <w:rPr>
                <w:color w:val="auto"/>
              </w:rPr>
            </w:pPr>
            <w:r>
              <w:rPr>
                <w:color w:val="auto"/>
              </w:rPr>
              <w:t>-13.1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pPr>
              <w:pStyle w:val="182"/>
              <w:bidi w:val="0"/>
              <w:rPr>
                <w:color w:val="auto"/>
              </w:rPr>
            </w:pPr>
            <w:r>
              <w:rPr>
                <w:color w:val="auto"/>
              </w:rPr>
              <w:t>土地利用类型</w:t>
            </w:r>
          </w:p>
        </w:tc>
        <w:tc>
          <w:tcPr>
            <w:tcW w:w="2781" w:type="dxa"/>
            <w:tcBorders>
              <w:tl2br w:val="nil"/>
              <w:tr2bl w:val="nil"/>
            </w:tcBorders>
            <w:vAlign w:val="center"/>
          </w:tcPr>
          <w:p>
            <w:pPr>
              <w:pStyle w:val="182"/>
              <w:bidi w:val="0"/>
              <w:rPr>
                <w:color w:val="auto"/>
              </w:rPr>
            </w:pPr>
            <w:r>
              <w:rPr>
                <w:rFonts w:hint="eastAsia"/>
                <w:color w:val="auto"/>
              </w:rPr>
              <w:t>农作地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pPr>
              <w:pStyle w:val="182"/>
              <w:bidi w:val="0"/>
              <w:rPr>
                <w:color w:val="auto"/>
              </w:rPr>
            </w:pPr>
            <w:r>
              <w:rPr>
                <w:color w:val="auto"/>
              </w:rPr>
              <w:t>区域湿度条件</w:t>
            </w:r>
          </w:p>
        </w:tc>
        <w:tc>
          <w:tcPr>
            <w:tcW w:w="2781" w:type="dxa"/>
            <w:tcBorders>
              <w:tl2br w:val="nil"/>
              <w:tr2bl w:val="nil"/>
            </w:tcBorders>
            <w:vAlign w:val="center"/>
          </w:tcPr>
          <w:p>
            <w:pPr>
              <w:pStyle w:val="182"/>
              <w:bidi w:val="0"/>
              <w:rPr>
                <w:color w:val="auto"/>
              </w:rPr>
            </w:pPr>
            <w:r>
              <w:rPr>
                <w:color w:val="auto"/>
              </w:rPr>
              <w:t>中等湿度气候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restart"/>
            <w:tcBorders>
              <w:tl2br w:val="nil"/>
              <w:tr2bl w:val="nil"/>
            </w:tcBorders>
            <w:vAlign w:val="center"/>
          </w:tcPr>
          <w:p>
            <w:pPr>
              <w:pStyle w:val="182"/>
              <w:bidi w:val="0"/>
              <w:rPr>
                <w:color w:val="auto"/>
              </w:rPr>
            </w:pPr>
            <w:r>
              <w:rPr>
                <w:color w:val="auto"/>
              </w:rPr>
              <w:t>是否考虑地形</w:t>
            </w:r>
          </w:p>
        </w:tc>
        <w:tc>
          <w:tcPr>
            <w:tcW w:w="3391" w:type="dxa"/>
            <w:tcBorders>
              <w:tl2br w:val="nil"/>
              <w:tr2bl w:val="nil"/>
            </w:tcBorders>
            <w:vAlign w:val="center"/>
          </w:tcPr>
          <w:p>
            <w:pPr>
              <w:pStyle w:val="182"/>
              <w:bidi w:val="0"/>
              <w:rPr>
                <w:color w:val="auto"/>
              </w:rPr>
            </w:pPr>
            <w:r>
              <w:rPr>
                <w:color w:val="auto"/>
              </w:rPr>
              <w:t>考虑地形</w:t>
            </w:r>
          </w:p>
        </w:tc>
        <w:tc>
          <w:tcPr>
            <w:tcW w:w="2781" w:type="dxa"/>
            <w:tcBorders>
              <w:tl2br w:val="nil"/>
              <w:tr2bl w:val="nil"/>
            </w:tcBorders>
            <w:vAlign w:val="center"/>
          </w:tcPr>
          <w:p>
            <w:pPr>
              <w:pStyle w:val="182"/>
              <w:bidi w:val="0"/>
              <w:rPr>
                <w:color w:val="auto"/>
              </w:rPr>
            </w:pPr>
            <w:r>
              <w:rPr>
                <w:color w:val="auto"/>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continue"/>
            <w:tcBorders>
              <w:tl2br w:val="nil"/>
              <w:tr2bl w:val="nil"/>
            </w:tcBorders>
            <w:vAlign w:val="center"/>
          </w:tcPr>
          <w:p>
            <w:pPr>
              <w:pStyle w:val="182"/>
              <w:bidi w:val="0"/>
              <w:rPr>
                <w:color w:val="auto"/>
              </w:rPr>
            </w:pPr>
          </w:p>
        </w:tc>
        <w:tc>
          <w:tcPr>
            <w:tcW w:w="3391" w:type="dxa"/>
            <w:tcBorders>
              <w:tl2br w:val="nil"/>
              <w:tr2bl w:val="nil"/>
            </w:tcBorders>
            <w:vAlign w:val="center"/>
          </w:tcPr>
          <w:p>
            <w:pPr>
              <w:pStyle w:val="182"/>
              <w:bidi w:val="0"/>
              <w:rPr>
                <w:color w:val="auto"/>
              </w:rPr>
            </w:pPr>
            <w:r>
              <w:rPr>
                <w:color w:val="auto"/>
              </w:rPr>
              <w:t>地形数据分辨率/m</w:t>
            </w:r>
          </w:p>
        </w:tc>
        <w:tc>
          <w:tcPr>
            <w:tcW w:w="2781" w:type="dxa"/>
            <w:tcBorders>
              <w:tl2br w:val="nil"/>
              <w:tr2bl w:val="nil"/>
            </w:tcBorders>
            <w:vAlign w:val="center"/>
          </w:tcPr>
          <w:p>
            <w:pPr>
              <w:pStyle w:val="182"/>
              <w:bidi w:val="0"/>
              <w:rPr>
                <w:color w:val="auto"/>
              </w:rPr>
            </w:pPr>
            <w:r>
              <w:rPr>
                <w:color w:val="auto"/>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restart"/>
            <w:tcBorders>
              <w:tl2br w:val="nil"/>
              <w:tr2bl w:val="nil"/>
            </w:tcBorders>
            <w:vAlign w:val="center"/>
          </w:tcPr>
          <w:p>
            <w:pPr>
              <w:pStyle w:val="182"/>
              <w:bidi w:val="0"/>
              <w:rPr>
                <w:color w:val="auto"/>
              </w:rPr>
            </w:pPr>
            <w:r>
              <w:rPr>
                <w:color w:val="auto"/>
              </w:rPr>
              <w:t>是否考虑岸线熏烟</w:t>
            </w:r>
          </w:p>
        </w:tc>
        <w:tc>
          <w:tcPr>
            <w:tcW w:w="3391" w:type="dxa"/>
            <w:tcBorders>
              <w:tl2br w:val="nil"/>
              <w:tr2bl w:val="nil"/>
            </w:tcBorders>
            <w:vAlign w:val="center"/>
          </w:tcPr>
          <w:p>
            <w:pPr>
              <w:pStyle w:val="182"/>
              <w:bidi w:val="0"/>
              <w:rPr>
                <w:color w:val="auto"/>
              </w:rPr>
            </w:pPr>
            <w:r>
              <w:rPr>
                <w:color w:val="auto"/>
              </w:rPr>
              <w:t>考虑岸线熏烟</w:t>
            </w:r>
          </w:p>
        </w:tc>
        <w:tc>
          <w:tcPr>
            <w:tcW w:w="2781" w:type="dxa"/>
            <w:tcBorders>
              <w:tl2br w:val="nil"/>
              <w:tr2bl w:val="nil"/>
            </w:tcBorders>
            <w:vAlign w:val="center"/>
          </w:tcPr>
          <w:p>
            <w:pPr>
              <w:pStyle w:val="182"/>
              <w:bidi w:val="0"/>
              <w:rPr>
                <w:color w:val="auto"/>
              </w:rPr>
            </w:pPr>
            <w:r>
              <w:rPr>
                <w:color w:va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continue"/>
            <w:tcBorders>
              <w:tl2br w:val="nil"/>
              <w:tr2bl w:val="nil"/>
            </w:tcBorders>
            <w:vAlign w:val="center"/>
          </w:tcPr>
          <w:p>
            <w:pPr>
              <w:pStyle w:val="182"/>
              <w:bidi w:val="0"/>
              <w:rPr>
                <w:color w:val="auto"/>
              </w:rPr>
            </w:pPr>
          </w:p>
        </w:tc>
        <w:tc>
          <w:tcPr>
            <w:tcW w:w="3391" w:type="dxa"/>
            <w:tcBorders>
              <w:tl2br w:val="nil"/>
              <w:tr2bl w:val="nil"/>
            </w:tcBorders>
            <w:vAlign w:val="center"/>
          </w:tcPr>
          <w:p>
            <w:pPr>
              <w:pStyle w:val="182"/>
              <w:bidi w:val="0"/>
              <w:rPr>
                <w:color w:val="auto"/>
              </w:rPr>
            </w:pPr>
            <w:r>
              <w:rPr>
                <w:color w:val="auto"/>
              </w:rPr>
              <w:t>岸线距离/km</w:t>
            </w:r>
          </w:p>
        </w:tc>
        <w:tc>
          <w:tcPr>
            <w:tcW w:w="2781" w:type="dxa"/>
            <w:tcBorders>
              <w:tl2br w:val="nil"/>
              <w:tr2bl w:val="nil"/>
            </w:tcBorders>
            <w:vAlign w:val="center"/>
          </w:tcPr>
          <w:p>
            <w:pPr>
              <w:pStyle w:val="182"/>
              <w:bidi w:val="0"/>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continue"/>
            <w:tcBorders>
              <w:tl2br w:val="nil"/>
              <w:tr2bl w:val="nil"/>
            </w:tcBorders>
            <w:vAlign w:val="center"/>
          </w:tcPr>
          <w:p>
            <w:pPr>
              <w:pStyle w:val="182"/>
              <w:bidi w:val="0"/>
              <w:rPr>
                <w:color w:val="auto"/>
              </w:rPr>
            </w:pPr>
          </w:p>
        </w:tc>
        <w:tc>
          <w:tcPr>
            <w:tcW w:w="3391" w:type="dxa"/>
            <w:tcBorders>
              <w:tl2br w:val="nil"/>
              <w:tr2bl w:val="nil"/>
            </w:tcBorders>
            <w:vAlign w:val="center"/>
          </w:tcPr>
          <w:p>
            <w:pPr>
              <w:pStyle w:val="182"/>
              <w:bidi w:val="0"/>
              <w:rPr>
                <w:color w:val="auto"/>
              </w:rPr>
            </w:pPr>
            <w:r>
              <w:rPr>
                <w:color w:val="auto"/>
              </w:rPr>
              <w:t>岸线方向/ º</w:t>
            </w:r>
          </w:p>
        </w:tc>
        <w:tc>
          <w:tcPr>
            <w:tcW w:w="2781" w:type="dxa"/>
            <w:tcBorders>
              <w:tl2br w:val="nil"/>
              <w:tr2bl w:val="nil"/>
            </w:tcBorders>
            <w:vAlign w:val="center"/>
          </w:tcPr>
          <w:p>
            <w:pPr>
              <w:pStyle w:val="182"/>
              <w:bidi w:val="0"/>
              <w:rPr>
                <w:color w:val="auto"/>
              </w:rPr>
            </w:pPr>
            <w:r>
              <w:rPr>
                <w:color w:val="auto"/>
              </w:rPr>
              <w:t>/</w:t>
            </w:r>
          </w:p>
        </w:tc>
      </w:tr>
    </w:tbl>
    <w:p>
      <w:pPr>
        <w:pStyle w:val="181"/>
        <w:bidi w:val="0"/>
        <w:rPr>
          <w:color w:val="auto"/>
        </w:rPr>
      </w:pPr>
      <w:r>
        <w:rPr>
          <w:color w:val="auto"/>
        </w:rPr>
        <w:t>表</w:t>
      </w:r>
      <w:r>
        <w:rPr>
          <w:rFonts w:hint="eastAsia"/>
          <w:color w:val="auto"/>
        </w:rPr>
        <w:t>5</w:t>
      </w:r>
      <w:r>
        <w:rPr>
          <w:rFonts w:hint="eastAsia"/>
          <w:color w:val="auto"/>
          <w:lang w:val="en-US" w:eastAsia="zh-CN"/>
        </w:rPr>
        <w:t>.2</w:t>
      </w:r>
      <w:r>
        <w:rPr>
          <w:color w:val="auto"/>
        </w:rPr>
        <w:t>-</w:t>
      </w:r>
      <w:r>
        <w:rPr>
          <w:rFonts w:hint="eastAsia"/>
          <w:color w:val="auto"/>
          <w:lang w:val="en-US" w:eastAsia="zh-CN"/>
        </w:rPr>
        <w:t>4</w:t>
      </w:r>
      <w:r>
        <w:rPr>
          <w:color w:val="auto"/>
        </w:rPr>
        <w:t xml:space="preserve">                 项目点源参数表</w:t>
      </w:r>
    </w:p>
    <w:tbl>
      <w:tblPr>
        <w:tblStyle w:val="32"/>
        <w:tblW w:w="4997"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0" w:type="dxa"/>
          <w:bottom w:w="0" w:type="dxa"/>
          <w:right w:w="0" w:type="dxa"/>
        </w:tblCellMar>
      </w:tblPr>
      <w:tblGrid>
        <w:gridCol w:w="693"/>
        <w:gridCol w:w="693"/>
        <w:gridCol w:w="698"/>
        <w:gridCol w:w="650"/>
        <w:gridCol w:w="704"/>
        <w:gridCol w:w="702"/>
        <w:gridCol w:w="704"/>
        <w:gridCol w:w="704"/>
        <w:gridCol w:w="704"/>
        <w:gridCol w:w="707"/>
        <w:gridCol w:w="707"/>
        <w:gridCol w:w="659"/>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75" w:hRule="atLeast"/>
          <w:jc w:val="center"/>
        </w:trPr>
        <w:tc>
          <w:tcPr>
            <w:tcW w:w="416" w:type="pct"/>
            <w:vAlign w:val="center"/>
          </w:tcPr>
          <w:p>
            <w:pPr>
              <w:pStyle w:val="182"/>
              <w:bidi w:val="0"/>
              <w:rPr>
                <w:b/>
                <w:bCs/>
                <w:color w:val="auto"/>
                <w:u w:val="single"/>
              </w:rPr>
            </w:pPr>
            <w:r>
              <w:rPr>
                <w:b/>
                <w:bCs/>
                <w:color w:val="auto"/>
                <w:u w:val="single"/>
              </w:rPr>
              <w:t>点源</w:t>
            </w:r>
          </w:p>
          <w:p>
            <w:pPr>
              <w:pStyle w:val="182"/>
              <w:bidi w:val="0"/>
              <w:rPr>
                <w:b/>
                <w:bCs/>
                <w:color w:val="auto"/>
                <w:u w:val="single"/>
              </w:rPr>
            </w:pPr>
            <w:r>
              <w:rPr>
                <w:b/>
                <w:bCs/>
                <w:color w:val="auto"/>
                <w:u w:val="single"/>
              </w:rPr>
              <w:t>位置</w:t>
            </w:r>
          </w:p>
        </w:tc>
        <w:tc>
          <w:tcPr>
            <w:tcW w:w="416" w:type="pct"/>
            <w:vAlign w:val="center"/>
          </w:tcPr>
          <w:p>
            <w:pPr>
              <w:pStyle w:val="182"/>
              <w:bidi w:val="0"/>
              <w:rPr>
                <w:b/>
                <w:bCs/>
                <w:color w:val="auto"/>
                <w:u w:val="single"/>
              </w:rPr>
            </w:pPr>
            <w:r>
              <w:rPr>
                <w:b/>
                <w:bCs/>
                <w:color w:val="auto"/>
                <w:u w:val="single"/>
              </w:rPr>
              <w:t>排气筒编号</w:t>
            </w:r>
          </w:p>
        </w:tc>
        <w:tc>
          <w:tcPr>
            <w:tcW w:w="419" w:type="pct"/>
            <w:vAlign w:val="center"/>
          </w:tcPr>
          <w:p>
            <w:pPr>
              <w:pStyle w:val="182"/>
              <w:bidi w:val="0"/>
              <w:rPr>
                <w:b/>
                <w:bCs/>
                <w:color w:val="auto"/>
                <w:u w:val="single"/>
              </w:rPr>
            </w:pPr>
            <w:r>
              <w:rPr>
                <w:b/>
                <w:bCs/>
                <w:color w:val="auto"/>
                <w:u w:val="single"/>
              </w:rPr>
              <w:t>X</w:t>
            </w:r>
          </w:p>
          <w:p>
            <w:pPr>
              <w:pStyle w:val="182"/>
              <w:bidi w:val="0"/>
              <w:rPr>
                <w:b/>
                <w:bCs/>
                <w:color w:val="auto"/>
                <w:u w:val="single"/>
              </w:rPr>
            </w:pPr>
            <w:r>
              <w:rPr>
                <w:b/>
                <w:bCs/>
                <w:color w:val="auto"/>
                <w:u w:val="single"/>
              </w:rPr>
              <w:t>坐标</w:t>
            </w:r>
          </w:p>
        </w:tc>
        <w:tc>
          <w:tcPr>
            <w:tcW w:w="390" w:type="pct"/>
            <w:vAlign w:val="center"/>
          </w:tcPr>
          <w:p>
            <w:pPr>
              <w:pStyle w:val="182"/>
              <w:bidi w:val="0"/>
              <w:rPr>
                <w:b/>
                <w:bCs/>
                <w:color w:val="auto"/>
                <w:u w:val="single"/>
              </w:rPr>
            </w:pPr>
            <w:r>
              <w:rPr>
                <w:b/>
                <w:bCs/>
                <w:color w:val="auto"/>
                <w:u w:val="single"/>
              </w:rPr>
              <w:t>Y</w:t>
            </w:r>
          </w:p>
          <w:p>
            <w:pPr>
              <w:pStyle w:val="182"/>
              <w:bidi w:val="0"/>
              <w:rPr>
                <w:b/>
                <w:bCs/>
                <w:color w:val="auto"/>
                <w:u w:val="single"/>
              </w:rPr>
            </w:pPr>
            <w:r>
              <w:rPr>
                <w:b/>
                <w:bCs/>
                <w:color w:val="auto"/>
                <w:u w:val="single"/>
              </w:rPr>
              <w:t>坐标</w:t>
            </w:r>
          </w:p>
        </w:tc>
        <w:tc>
          <w:tcPr>
            <w:tcW w:w="422" w:type="pct"/>
            <w:vAlign w:val="center"/>
          </w:tcPr>
          <w:p>
            <w:pPr>
              <w:pStyle w:val="182"/>
              <w:bidi w:val="0"/>
              <w:rPr>
                <w:b/>
                <w:bCs/>
                <w:color w:val="auto"/>
                <w:u w:val="single"/>
              </w:rPr>
            </w:pPr>
            <w:r>
              <w:rPr>
                <w:b/>
                <w:bCs/>
                <w:color w:val="auto"/>
                <w:u w:val="single"/>
              </w:rPr>
              <w:t>排气筒底部海拔高度</w:t>
            </w:r>
          </w:p>
        </w:tc>
        <w:tc>
          <w:tcPr>
            <w:tcW w:w="421" w:type="pct"/>
            <w:vAlign w:val="center"/>
          </w:tcPr>
          <w:p>
            <w:pPr>
              <w:pStyle w:val="182"/>
              <w:bidi w:val="0"/>
              <w:rPr>
                <w:b/>
                <w:bCs/>
                <w:color w:val="auto"/>
                <w:u w:val="single"/>
              </w:rPr>
            </w:pPr>
            <w:r>
              <w:rPr>
                <w:b/>
                <w:bCs/>
                <w:color w:val="auto"/>
                <w:u w:val="single"/>
              </w:rPr>
              <w:t>排气筒高度</w:t>
            </w:r>
          </w:p>
        </w:tc>
        <w:tc>
          <w:tcPr>
            <w:tcW w:w="422" w:type="pct"/>
            <w:vAlign w:val="center"/>
          </w:tcPr>
          <w:p>
            <w:pPr>
              <w:pStyle w:val="182"/>
              <w:bidi w:val="0"/>
              <w:rPr>
                <w:b/>
                <w:bCs/>
                <w:color w:val="auto"/>
                <w:u w:val="single"/>
              </w:rPr>
            </w:pPr>
            <w:r>
              <w:rPr>
                <w:b/>
                <w:bCs/>
                <w:color w:val="auto"/>
                <w:u w:val="single"/>
              </w:rPr>
              <w:t>排气筒内径</w:t>
            </w:r>
          </w:p>
        </w:tc>
        <w:tc>
          <w:tcPr>
            <w:tcW w:w="422" w:type="pct"/>
            <w:vAlign w:val="center"/>
          </w:tcPr>
          <w:p>
            <w:pPr>
              <w:pStyle w:val="182"/>
              <w:bidi w:val="0"/>
              <w:rPr>
                <w:b/>
                <w:bCs/>
                <w:color w:val="auto"/>
                <w:u w:val="single"/>
              </w:rPr>
            </w:pPr>
            <w:r>
              <w:rPr>
                <w:b/>
                <w:bCs/>
                <w:color w:val="auto"/>
                <w:u w:val="single"/>
              </w:rPr>
              <w:t>烟气</w:t>
            </w:r>
          </w:p>
          <w:p>
            <w:pPr>
              <w:pStyle w:val="182"/>
              <w:bidi w:val="0"/>
              <w:rPr>
                <w:b/>
                <w:bCs/>
                <w:color w:val="auto"/>
                <w:u w:val="single"/>
              </w:rPr>
            </w:pPr>
            <w:r>
              <w:rPr>
                <w:b/>
                <w:bCs/>
                <w:color w:val="auto"/>
                <w:u w:val="single"/>
              </w:rPr>
              <w:t>速率</w:t>
            </w:r>
          </w:p>
        </w:tc>
        <w:tc>
          <w:tcPr>
            <w:tcW w:w="422" w:type="pct"/>
            <w:vAlign w:val="center"/>
          </w:tcPr>
          <w:p>
            <w:pPr>
              <w:pStyle w:val="182"/>
              <w:bidi w:val="0"/>
              <w:rPr>
                <w:b/>
                <w:bCs/>
                <w:color w:val="auto"/>
                <w:u w:val="single"/>
              </w:rPr>
            </w:pPr>
            <w:r>
              <w:rPr>
                <w:b/>
                <w:bCs/>
                <w:color w:val="auto"/>
                <w:u w:val="single"/>
              </w:rPr>
              <w:t>烟气出口温度</w:t>
            </w:r>
          </w:p>
        </w:tc>
        <w:tc>
          <w:tcPr>
            <w:tcW w:w="424" w:type="pct"/>
            <w:vAlign w:val="center"/>
          </w:tcPr>
          <w:p>
            <w:pPr>
              <w:pStyle w:val="182"/>
              <w:bidi w:val="0"/>
              <w:rPr>
                <w:b/>
                <w:bCs/>
                <w:color w:val="auto"/>
                <w:u w:val="single"/>
              </w:rPr>
            </w:pPr>
            <w:r>
              <w:rPr>
                <w:b/>
                <w:bCs/>
                <w:color w:val="auto"/>
                <w:u w:val="single"/>
              </w:rPr>
              <w:t>年排放小时数</w:t>
            </w:r>
          </w:p>
        </w:tc>
        <w:tc>
          <w:tcPr>
            <w:tcW w:w="424" w:type="pct"/>
            <w:vAlign w:val="center"/>
          </w:tcPr>
          <w:p>
            <w:pPr>
              <w:pStyle w:val="182"/>
              <w:bidi w:val="0"/>
              <w:rPr>
                <w:b/>
                <w:bCs/>
                <w:color w:val="auto"/>
                <w:u w:val="single"/>
              </w:rPr>
            </w:pPr>
            <w:r>
              <w:rPr>
                <w:b/>
                <w:bCs/>
                <w:color w:val="auto"/>
                <w:u w:val="single"/>
              </w:rPr>
              <w:t>排放</w:t>
            </w:r>
          </w:p>
          <w:p>
            <w:pPr>
              <w:pStyle w:val="182"/>
              <w:bidi w:val="0"/>
              <w:rPr>
                <w:b/>
                <w:bCs/>
                <w:color w:val="auto"/>
                <w:u w:val="single"/>
              </w:rPr>
            </w:pPr>
            <w:r>
              <w:rPr>
                <w:b/>
                <w:bCs/>
                <w:color w:val="auto"/>
                <w:u w:val="single"/>
              </w:rPr>
              <w:t>工况</w:t>
            </w:r>
          </w:p>
        </w:tc>
        <w:tc>
          <w:tcPr>
            <w:tcW w:w="395"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颗粒物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90" w:hRule="atLeast"/>
          <w:jc w:val="center"/>
        </w:trPr>
        <w:tc>
          <w:tcPr>
            <w:tcW w:w="416" w:type="pct"/>
            <w:vAlign w:val="center"/>
          </w:tcPr>
          <w:p>
            <w:pPr>
              <w:pStyle w:val="182"/>
              <w:bidi w:val="0"/>
              <w:rPr>
                <w:b/>
                <w:bCs/>
                <w:color w:val="auto"/>
                <w:u w:val="single"/>
              </w:rPr>
            </w:pPr>
            <w:r>
              <w:rPr>
                <w:b/>
                <w:bCs/>
                <w:color w:val="auto"/>
                <w:u w:val="single"/>
              </w:rPr>
              <w:t>单位</w:t>
            </w:r>
          </w:p>
        </w:tc>
        <w:tc>
          <w:tcPr>
            <w:tcW w:w="416" w:type="pct"/>
            <w:vAlign w:val="center"/>
          </w:tcPr>
          <w:p>
            <w:pPr>
              <w:pStyle w:val="182"/>
              <w:bidi w:val="0"/>
              <w:rPr>
                <w:b/>
                <w:bCs/>
                <w:color w:val="auto"/>
                <w:u w:val="single"/>
              </w:rPr>
            </w:pPr>
            <w:r>
              <w:rPr>
                <w:b/>
                <w:bCs/>
                <w:color w:val="auto"/>
                <w:u w:val="single"/>
              </w:rPr>
              <w:t>-</w:t>
            </w:r>
          </w:p>
        </w:tc>
        <w:tc>
          <w:tcPr>
            <w:tcW w:w="419" w:type="pct"/>
            <w:vAlign w:val="center"/>
          </w:tcPr>
          <w:p>
            <w:pPr>
              <w:pStyle w:val="182"/>
              <w:bidi w:val="0"/>
              <w:rPr>
                <w:b/>
                <w:bCs/>
                <w:color w:val="auto"/>
                <w:u w:val="single"/>
              </w:rPr>
            </w:pPr>
            <w:r>
              <w:rPr>
                <w:b/>
                <w:bCs/>
                <w:color w:val="auto"/>
                <w:u w:val="single"/>
              </w:rPr>
              <w:t>m</w:t>
            </w:r>
          </w:p>
        </w:tc>
        <w:tc>
          <w:tcPr>
            <w:tcW w:w="390" w:type="pct"/>
            <w:vAlign w:val="center"/>
          </w:tcPr>
          <w:p>
            <w:pPr>
              <w:pStyle w:val="182"/>
              <w:bidi w:val="0"/>
              <w:rPr>
                <w:b/>
                <w:bCs/>
                <w:color w:val="auto"/>
                <w:u w:val="single"/>
              </w:rPr>
            </w:pPr>
            <w:r>
              <w:rPr>
                <w:b/>
                <w:bCs/>
                <w:color w:val="auto"/>
                <w:u w:val="single"/>
              </w:rPr>
              <w:t>m</w:t>
            </w:r>
          </w:p>
        </w:tc>
        <w:tc>
          <w:tcPr>
            <w:tcW w:w="422" w:type="pct"/>
            <w:vAlign w:val="center"/>
          </w:tcPr>
          <w:p>
            <w:pPr>
              <w:pStyle w:val="182"/>
              <w:bidi w:val="0"/>
              <w:rPr>
                <w:b/>
                <w:bCs/>
                <w:color w:val="auto"/>
                <w:u w:val="single"/>
              </w:rPr>
            </w:pPr>
            <w:r>
              <w:rPr>
                <w:b/>
                <w:bCs/>
                <w:color w:val="auto"/>
                <w:u w:val="single"/>
              </w:rPr>
              <w:t>m</w:t>
            </w:r>
          </w:p>
        </w:tc>
        <w:tc>
          <w:tcPr>
            <w:tcW w:w="421" w:type="pct"/>
            <w:vAlign w:val="center"/>
          </w:tcPr>
          <w:p>
            <w:pPr>
              <w:pStyle w:val="182"/>
              <w:bidi w:val="0"/>
              <w:rPr>
                <w:b/>
                <w:bCs/>
                <w:color w:val="auto"/>
                <w:u w:val="single"/>
              </w:rPr>
            </w:pPr>
            <w:r>
              <w:rPr>
                <w:b/>
                <w:bCs/>
                <w:color w:val="auto"/>
                <w:u w:val="single"/>
              </w:rPr>
              <w:t>m</w:t>
            </w:r>
          </w:p>
        </w:tc>
        <w:tc>
          <w:tcPr>
            <w:tcW w:w="422" w:type="pct"/>
            <w:vAlign w:val="center"/>
          </w:tcPr>
          <w:p>
            <w:pPr>
              <w:pStyle w:val="182"/>
              <w:bidi w:val="0"/>
              <w:rPr>
                <w:b/>
                <w:bCs/>
                <w:color w:val="auto"/>
                <w:u w:val="single"/>
              </w:rPr>
            </w:pPr>
            <w:r>
              <w:rPr>
                <w:b/>
                <w:bCs/>
                <w:color w:val="auto"/>
                <w:u w:val="single"/>
              </w:rPr>
              <w:t>m</w:t>
            </w:r>
          </w:p>
        </w:tc>
        <w:tc>
          <w:tcPr>
            <w:tcW w:w="422" w:type="pct"/>
            <w:vAlign w:val="center"/>
          </w:tcPr>
          <w:p>
            <w:pPr>
              <w:pStyle w:val="182"/>
              <w:bidi w:val="0"/>
              <w:rPr>
                <w:b/>
                <w:bCs/>
                <w:color w:val="auto"/>
                <w:u w:val="single"/>
              </w:rPr>
            </w:pPr>
            <w:r>
              <w:rPr>
                <w:b/>
                <w:bCs/>
                <w:color w:val="auto"/>
                <w:u w:val="single"/>
              </w:rPr>
              <w:t>m/s</w:t>
            </w:r>
          </w:p>
        </w:tc>
        <w:tc>
          <w:tcPr>
            <w:tcW w:w="422" w:type="pct"/>
            <w:vAlign w:val="center"/>
          </w:tcPr>
          <w:p>
            <w:pPr>
              <w:pStyle w:val="182"/>
              <w:bidi w:val="0"/>
              <w:rPr>
                <w:b/>
                <w:bCs/>
                <w:color w:val="auto"/>
                <w:u w:val="single"/>
              </w:rPr>
            </w:pPr>
            <w:r>
              <w:rPr>
                <w:b/>
                <w:bCs/>
                <w:color w:val="auto"/>
                <w:u w:val="single"/>
              </w:rPr>
              <w:t>℃</w:t>
            </w:r>
          </w:p>
        </w:tc>
        <w:tc>
          <w:tcPr>
            <w:tcW w:w="424" w:type="pct"/>
            <w:vAlign w:val="center"/>
          </w:tcPr>
          <w:p>
            <w:pPr>
              <w:pStyle w:val="182"/>
              <w:bidi w:val="0"/>
              <w:rPr>
                <w:b/>
                <w:bCs/>
                <w:color w:val="auto"/>
                <w:u w:val="single"/>
              </w:rPr>
            </w:pPr>
            <w:r>
              <w:rPr>
                <w:b/>
                <w:bCs/>
                <w:color w:val="auto"/>
                <w:u w:val="single"/>
              </w:rPr>
              <w:t>h</w:t>
            </w:r>
          </w:p>
        </w:tc>
        <w:tc>
          <w:tcPr>
            <w:tcW w:w="424" w:type="pct"/>
            <w:vAlign w:val="center"/>
          </w:tcPr>
          <w:p>
            <w:pPr>
              <w:pStyle w:val="182"/>
              <w:bidi w:val="0"/>
              <w:rPr>
                <w:b/>
                <w:bCs/>
                <w:color w:val="auto"/>
                <w:u w:val="single"/>
              </w:rPr>
            </w:pPr>
            <w:r>
              <w:rPr>
                <w:b/>
                <w:bCs/>
                <w:color w:val="auto"/>
                <w:u w:val="single"/>
              </w:rPr>
              <w:t>-</w:t>
            </w:r>
          </w:p>
        </w:tc>
        <w:tc>
          <w:tcPr>
            <w:tcW w:w="395" w:type="pct"/>
            <w:vAlign w:val="center"/>
          </w:tcPr>
          <w:p>
            <w:pPr>
              <w:pStyle w:val="182"/>
              <w:bidi w:val="0"/>
              <w:rPr>
                <w:b/>
                <w:bCs/>
                <w:color w:val="auto"/>
                <w:u w:val="single"/>
              </w:rPr>
            </w:pPr>
            <w:r>
              <w:rPr>
                <w:b/>
                <w:bCs/>
                <w:color w:val="auto"/>
                <w:u w:val="single"/>
              </w:rPr>
              <w:t>kg/h</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425" w:hRule="atLeast"/>
          <w:jc w:val="center"/>
        </w:trPr>
        <w:tc>
          <w:tcPr>
            <w:tcW w:w="416"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木质素混合物干燥</w:t>
            </w:r>
          </w:p>
        </w:tc>
        <w:tc>
          <w:tcPr>
            <w:tcW w:w="416" w:type="pct"/>
            <w:vAlign w:val="center"/>
          </w:tcPr>
          <w:p>
            <w:pPr>
              <w:pStyle w:val="182"/>
              <w:bidi w:val="0"/>
              <w:rPr>
                <w:b/>
                <w:bCs/>
                <w:color w:val="auto"/>
                <w:u w:val="single"/>
              </w:rPr>
            </w:pPr>
            <w:r>
              <w:rPr>
                <w:b/>
                <w:bCs/>
                <w:color w:val="auto"/>
                <w:u w:val="single"/>
              </w:rPr>
              <w:t>P1</w:t>
            </w:r>
          </w:p>
        </w:tc>
        <w:tc>
          <w:tcPr>
            <w:tcW w:w="419" w:type="pct"/>
            <w:vAlign w:val="center"/>
          </w:tcPr>
          <w:p>
            <w:pPr>
              <w:pStyle w:val="182"/>
              <w:bidi w:val="0"/>
              <w:rPr>
                <w:b/>
                <w:bCs/>
                <w:color w:val="auto"/>
                <w:u w:val="single"/>
              </w:rPr>
            </w:pPr>
            <w:r>
              <w:rPr>
                <w:b/>
                <w:bCs/>
                <w:color w:val="auto"/>
                <w:u w:val="single"/>
              </w:rPr>
              <w:t>98</w:t>
            </w:r>
          </w:p>
        </w:tc>
        <w:tc>
          <w:tcPr>
            <w:tcW w:w="390" w:type="pct"/>
            <w:vAlign w:val="center"/>
          </w:tcPr>
          <w:p>
            <w:pPr>
              <w:pStyle w:val="182"/>
              <w:bidi w:val="0"/>
              <w:rPr>
                <w:b/>
                <w:bCs/>
                <w:color w:val="auto"/>
                <w:u w:val="single"/>
              </w:rPr>
            </w:pPr>
            <w:r>
              <w:rPr>
                <w:b/>
                <w:bCs/>
                <w:color w:val="auto"/>
                <w:u w:val="single"/>
              </w:rPr>
              <w:t>50</w:t>
            </w:r>
          </w:p>
        </w:tc>
        <w:tc>
          <w:tcPr>
            <w:tcW w:w="422" w:type="pct"/>
            <w:vAlign w:val="center"/>
          </w:tcPr>
          <w:p>
            <w:pPr>
              <w:pStyle w:val="182"/>
              <w:bidi w:val="0"/>
              <w:rPr>
                <w:rFonts w:hint="eastAsia" w:eastAsia="宋体"/>
                <w:b/>
                <w:bCs/>
                <w:color w:val="auto"/>
                <w:u w:val="single"/>
                <w:lang w:val="en-US" w:eastAsia="zh-CN"/>
              </w:rPr>
            </w:pPr>
            <w:r>
              <w:rPr>
                <w:b/>
                <w:bCs/>
                <w:color w:val="auto"/>
                <w:u w:val="single"/>
              </w:rPr>
              <w:t>7</w:t>
            </w:r>
            <w:r>
              <w:rPr>
                <w:rFonts w:hint="eastAsia"/>
                <w:b/>
                <w:bCs/>
                <w:color w:val="auto"/>
                <w:u w:val="single"/>
                <w:lang w:val="en-US" w:eastAsia="zh-CN"/>
              </w:rPr>
              <w:t>2</w:t>
            </w:r>
          </w:p>
        </w:tc>
        <w:tc>
          <w:tcPr>
            <w:tcW w:w="421"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15</w:t>
            </w:r>
          </w:p>
        </w:tc>
        <w:tc>
          <w:tcPr>
            <w:tcW w:w="422"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1</w:t>
            </w:r>
          </w:p>
        </w:tc>
        <w:tc>
          <w:tcPr>
            <w:tcW w:w="42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3.54</w:t>
            </w:r>
          </w:p>
        </w:tc>
        <w:tc>
          <w:tcPr>
            <w:tcW w:w="42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120</w:t>
            </w:r>
          </w:p>
        </w:tc>
        <w:tc>
          <w:tcPr>
            <w:tcW w:w="42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7920</w:t>
            </w:r>
          </w:p>
        </w:tc>
        <w:tc>
          <w:tcPr>
            <w:tcW w:w="424" w:type="pct"/>
            <w:vAlign w:val="center"/>
          </w:tcPr>
          <w:p>
            <w:pPr>
              <w:pStyle w:val="182"/>
              <w:bidi w:val="0"/>
              <w:rPr>
                <w:b/>
                <w:bCs/>
                <w:color w:val="auto"/>
                <w:u w:val="single"/>
              </w:rPr>
            </w:pPr>
            <w:r>
              <w:rPr>
                <w:b/>
                <w:bCs/>
                <w:color w:val="auto"/>
                <w:u w:val="single"/>
              </w:rPr>
              <w:t>正常</w:t>
            </w:r>
          </w:p>
        </w:tc>
        <w:tc>
          <w:tcPr>
            <w:tcW w:w="395" w:type="pct"/>
            <w:tcBorders>
              <w:right w:val="single" w:color="auto" w:sz="4" w:space="0"/>
            </w:tcBorders>
            <w:vAlign w:val="center"/>
          </w:tcPr>
          <w:p>
            <w:pPr>
              <w:pStyle w:val="182"/>
              <w:bidi w:val="0"/>
              <w:rPr>
                <w:rFonts w:hint="default"/>
                <w:b/>
                <w:bCs/>
                <w:color w:val="auto"/>
                <w:u w:val="single"/>
                <w:lang w:val="en-US"/>
              </w:rPr>
            </w:pPr>
            <w:r>
              <w:rPr>
                <w:rFonts w:hint="eastAsia"/>
                <w:b/>
                <w:bCs/>
                <w:color w:val="auto"/>
                <w:u w:val="single"/>
                <w:lang w:val="en-US" w:eastAsia="zh-CN"/>
              </w:rPr>
              <w:t>0.0891</w:t>
            </w:r>
          </w:p>
        </w:tc>
      </w:tr>
    </w:tbl>
    <w:p>
      <w:pPr>
        <w:bidi w:val="0"/>
        <w:rPr>
          <w:b/>
          <w:bCs/>
          <w:color w:val="auto"/>
          <w:u w:val="single"/>
        </w:rPr>
      </w:pPr>
      <w:r>
        <w:rPr>
          <w:b/>
          <w:bCs/>
          <w:color w:val="auto"/>
          <w:u w:val="single"/>
        </w:rPr>
        <w:t>污染源估算模型计算结果见下表。</w:t>
      </w:r>
    </w:p>
    <w:p>
      <w:pPr>
        <w:pStyle w:val="181"/>
        <w:bidi w:val="0"/>
        <w:rPr>
          <w:color w:val="auto"/>
          <w:u w:val="single"/>
        </w:rPr>
      </w:pPr>
      <w:r>
        <w:rPr>
          <w:color w:val="auto"/>
          <w:u w:val="single"/>
        </w:rPr>
        <w:t>表</w:t>
      </w:r>
      <w:r>
        <w:rPr>
          <w:rFonts w:hint="eastAsia"/>
          <w:color w:val="auto"/>
          <w:u w:val="single"/>
          <w:lang w:val="en-US" w:eastAsia="zh-CN"/>
        </w:rPr>
        <w:t xml:space="preserve">5.2-5     </w:t>
      </w:r>
      <w:r>
        <w:rPr>
          <w:color w:val="auto"/>
          <w:u w:val="single"/>
        </w:rPr>
        <w:t>项目排放主要污染物估算模型计算结果表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61"/>
        <w:gridCol w:w="1923"/>
        <w:gridCol w:w="1329"/>
        <w:gridCol w:w="2684"/>
        <w:gridCol w:w="1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754" w:type="pct"/>
            <w:tcMar>
              <w:left w:w="28" w:type="dxa"/>
              <w:right w:w="28" w:type="dxa"/>
            </w:tcMar>
            <w:vAlign w:val="center"/>
          </w:tcPr>
          <w:p>
            <w:pPr>
              <w:pStyle w:val="182"/>
              <w:bidi w:val="0"/>
              <w:rPr>
                <w:b/>
                <w:bCs/>
                <w:color w:val="auto"/>
                <w:u w:val="single"/>
              </w:rPr>
            </w:pPr>
            <w:r>
              <w:rPr>
                <w:rFonts w:hint="eastAsia"/>
                <w:b/>
                <w:bCs/>
                <w:color w:val="auto"/>
                <w:u w:val="single"/>
              </w:rPr>
              <w:t>项目</w:t>
            </w:r>
          </w:p>
        </w:tc>
        <w:tc>
          <w:tcPr>
            <w:tcW w:w="1149" w:type="pct"/>
            <w:tcMar>
              <w:left w:w="28" w:type="dxa"/>
              <w:right w:w="28" w:type="dxa"/>
            </w:tcMar>
            <w:vAlign w:val="center"/>
          </w:tcPr>
          <w:p>
            <w:pPr>
              <w:pStyle w:val="182"/>
              <w:bidi w:val="0"/>
              <w:rPr>
                <w:b/>
                <w:bCs/>
                <w:color w:val="auto"/>
                <w:u w:val="single"/>
              </w:rPr>
            </w:pPr>
            <w:r>
              <w:rPr>
                <w:rFonts w:hint="eastAsia"/>
                <w:b/>
                <w:bCs/>
                <w:color w:val="auto"/>
                <w:u w:val="single"/>
              </w:rPr>
              <w:t>污染源</w:t>
            </w:r>
          </w:p>
        </w:tc>
        <w:tc>
          <w:tcPr>
            <w:tcW w:w="794" w:type="pct"/>
            <w:tcMar>
              <w:left w:w="28" w:type="dxa"/>
              <w:right w:w="28" w:type="dxa"/>
            </w:tcMar>
            <w:vAlign w:val="center"/>
          </w:tcPr>
          <w:p>
            <w:pPr>
              <w:pStyle w:val="182"/>
              <w:bidi w:val="0"/>
              <w:rPr>
                <w:b/>
                <w:bCs/>
                <w:color w:val="auto"/>
                <w:u w:val="single"/>
              </w:rPr>
            </w:pPr>
            <w:r>
              <w:rPr>
                <w:rFonts w:hint="eastAsia"/>
                <w:b/>
                <w:bCs/>
                <w:color w:val="auto"/>
                <w:u w:val="single"/>
              </w:rPr>
              <w:t>污染物</w:t>
            </w:r>
          </w:p>
        </w:tc>
        <w:tc>
          <w:tcPr>
            <w:tcW w:w="1604" w:type="pct"/>
            <w:tcMar>
              <w:left w:w="28" w:type="dxa"/>
              <w:right w:w="28" w:type="dxa"/>
            </w:tcMar>
            <w:vAlign w:val="center"/>
          </w:tcPr>
          <w:p>
            <w:pPr>
              <w:pStyle w:val="182"/>
              <w:bidi w:val="0"/>
              <w:rPr>
                <w:b/>
                <w:bCs/>
                <w:color w:val="auto"/>
                <w:u w:val="single"/>
              </w:rPr>
            </w:pPr>
            <w:r>
              <w:rPr>
                <w:rFonts w:hint="eastAsia"/>
                <w:b/>
                <w:bCs/>
                <w:color w:val="auto"/>
                <w:u w:val="single"/>
              </w:rPr>
              <w:t>下风向最大浓度</w:t>
            </w:r>
            <w:r>
              <w:rPr>
                <w:b/>
                <w:bCs/>
                <w:color w:val="auto"/>
                <w:u w:val="single"/>
              </w:rPr>
              <w:t>（μg/m</w:t>
            </w:r>
            <w:r>
              <w:rPr>
                <w:b/>
                <w:bCs/>
                <w:color w:val="auto"/>
                <w:u w:val="single"/>
                <w:vertAlign w:val="superscript"/>
              </w:rPr>
              <w:t>3</w:t>
            </w:r>
            <w:r>
              <w:rPr>
                <w:b/>
                <w:bCs/>
                <w:color w:val="auto"/>
                <w:u w:val="single"/>
              </w:rPr>
              <w:t>）</w:t>
            </w:r>
          </w:p>
        </w:tc>
        <w:tc>
          <w:tcPr>
            <w:tcW w:w="697" w:type="pct"/>
            <w:tcMar>
              <w:left w:w="28" w:type="dxa"/>
              <w:right w:w="28" w:type="dxa"/>
            </w:tcMar>
            <w:vAlign w:val="center"/>
          </w:tcPr>
          <w:p>
            <w:pPr>
              <w:pStyle w:val="182"/>
              <w:bidi w:val="0"/>
              <w:rPr>
                <w:b/>
                <w:bCs/>
                <w:color w:val="auto"/>
                <w:u w:val="single"/>
              </w:rPr>
            </w:pPr>
            <w:r>
              <w:rPr>
                <w:b/>
                <w:bCs/>
                <w:color w:val="auto"/>
                <w:u w:val="single"/>
              </w:rPr>
              <w:t>Pmax(%)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754" w:type="pct"/>
            <w:tcMar>
              <w:left w:w="28" w:type="dxa"/>
              <w:right w:w="28" w:type="dxa"/>
            </w:tcMar>
            <w:vAlign w:val="center"/>
          </w:tcPr>
          <w:p>
            <w:pPr>
              <w:pStyle w:val="182"/>
              <w:bidi w:val="0"/>
              <w:rPr>
                <w:b/>
                <w:bCs/>
                <w:color w:val="auto"/>
                <w:u w:val="single"/>
              </w:rPr>
            </w:pPr>
            <w:r>
              <w:rPr>
                <w:rFonts w:hint="eastAsia"/>
                <w:b/>
                <w:bCs/>
                <w:color w:val="auto"/>
                <w:u w:val="single"/>
              </w:rPr>
              <w:t>无组织</w:t>
            </w:r>
          </w:p>
        </w:tc>
        <w:tc>
          <w:tcPr>
            <w:tcW w:w="1149" w:type="pct"/>
            <w:tcMar>
              <w:left w:w="28" w:type="dxa"/>
              <w:right w:w="28" w:type="dxa"/>
            </w:tcMar>
            <w:vAlign w:val="center"/>
          </w:tcPr>
          <w:p>
            <w:pPr>
              <w:pStyle w:val="182"/>
              <w:bidi w:val="0"/>
              <w:rPr>
                <w:b/>
                <w:bCs/>
                <w:color w:val="auto"/>
                <w:u w:val="single"/>
              </w:rPr>
            </w:pPr>
            <w:r>
              <w:rPr>
                <w:rFonts w:hint="eastAsia"/>
                <w:b/>
                <w:bCs/>
                <w:color w:val="auto"/>
                <w:u w:val="single"/>
              </w:rPr>
              <w:t>菌草堆料库</w:t>
            </w:r>
          </w:p>
        </w:tc>
        <w:tc>
          <w:tcPr>
            <w:tcW w:w="794" w:type="pct"/>
            <w:tcMar>
              <w:left w:w="28" w:type="dxa"/>
              <w:right w:w="28" w:type="dxa"/>
            </w:tcMar>
            <w:vAlign w:val="center"/>
          </w:tcPr>
          <w:p>
            <w:pPr>
              <w:pStyle w:val="182"/>
              <w:bidi w:val="0"/>
              <w:rPr>
                <w:rFonts w:hint="default"/>
                <w:b/>
                <w:bCs/>
                <w:color w:val="auto"/>
                <w:u w:val="single"/>
                <w:lang w:val="en-US"/>
              </w:rPr>
            </w:pPr>
            <w:r>
              <w:rPr>
                <w:rFonts w:hint="eastAsia"/>
                <w:b/>
                <w:bCs/>
                <w:color w:val="auto"/>
                <w:u w:val="single"/>
                <w:lang w:val="en-US" w:eastAsia="zh-CN"/>
              </w:rPr>
              <w:t>颗粒物</w:t>
            </w:r>
          </w:p>
        </w:tc>
        <w:tc>
          <w:tcPr>
            <w:tcW w:w="1604" w:type="pct"/>
            <w:tcMar>
              <w:left w:w="28" w:type="dxa"/>
              <w:right w:w="28" w:type="dxa"/>
            </w:tcMar>
            <w:vAlign w:val="center"/>
          </w:tcPr>
          <w:p>
            <w:pPr>
              <w:pStyle w:val="182"/>
              <w:bidi w:val="0"/>
              <w:rPr>
                <w:b/>
                <w:bCs/>
                <w:color w:val="auto"/>
                <w:u w:val="single"/>
              </w:rPr>
            </w:pPr>
            <w:r>
              <w:rPr>
                <w:b/>
                <w:bCs/>
                <w:color w:val="auto"/>
                <w:u w:val="single"/>
              </w:rPr>
              <w:t>24.11</w:t>
            </w:r>
          </w:p>
        </w:tc>
        <w:tc>
          <w:tcPr>
            <w:tcW w:w="697" w:type="pct"/>
            <w:tcMar>
              <w:left w:w="28" w:type="dxa"/>
              <w:right w:w="28" w:type="dxa"/>
            </w:tcMar>
            <w:vAlign w:val="center"/>
          </w:tcPr>
          <w:p>
            <w:pPr>
              <w:pStyle w:val="182"/>
              <w:bidi w:val="0"/>
              <w:rPr>
                <w:b/>
                <w:bCs/>
                <w:color w:val="auto"/>
                <w:u w:val="single"/>
              </w:rPr>
            </w:pPr>
            <w:r>
              <w:rPr>
                <w:b/>
                <w:bCs/>
                <w:color w:val="auto"/>
                <w:u w:val="single"/>
              </w:rPr>
              <w:t>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1261" w:type="dxa"/>
            <w:tcMar>
              <w:left w:w="28" w:type="dxa"/>
              <w:right w:w="28" w:type="dxa"/>
            </w:tcMar>
            <w:vAlign w:val="center"/>
          </w:tcPr>
          <w:p>
            <w:pPr>
              <w:pStyle w:val="182"/>
              <w:bidi w:val="0"/>
              <w:ind w:firstLine="0" w:firstLineChars="0"/>
              <w:rPr>
                <w:rFonts w:hint="eastAsia" w:eastAsia="宋体"/>
                <w:b/>
                <w:bCs/>
                <w:color w:val="auto"/>
                <w:u w:val="single"/>
                <w:lang w:val="en-US" w:eastAsia="zh-CN"/>
              </w:rPr>
            </w:pPr>
            <w:r>
              <w:rPr>
                <w:rFonts w:hint="eastAsia"/>
                <w:b/>
                <w:bCs/>
                <w:color w:val="auto"/>
                <w:u w:val="single"/>
                <w:lang w:val="en-US" w:eastAsia="zh-CN"/>
              </w:rPr>
              <w:t>无组织</w:t>
            </w:r>
          </w:p>
        </w:tc>
        <w:tc>
          <w:tcPr>
            <w:tcW w:w="1923" w:type="dxa"/>
            <w:tcMar>
              <w:left w:w="28" w:type="dxa"/>
              <w:right w:w="28" w:type="dxa"/>
            </w:tcMar>
            <w:vAlign w:val="center"/>
          </w:tcPr>
          <w:p>
            <w:pPr>
              <w:pStyle w:val="182"/>
              <w:bidi w:val="0"/>
              <w:ind w:firstLine="0" w:firstLineChars="0"/>
              <w:rPr>
                <w:rFonts w:hint="eastAsia" w:eastAsia="宋体"/>
                <w:b/>
                <w:bCs/>
                <w:color w:val="auto"/>
                <w:u w:val="single"/>
                <w:lang w:val="en-US" w:eastAsia="zh-CN"/>
              </w:rPr>
            </w:pPr>
            <w:r>
              <w:rPr>
                <w:rFonts w:hint="eastAsia"/>
                <w:b/>
                <w:bCs/>
                <w:color w:val="auto"/>
                <w:u w:val="single"/>
                <w:lang w:val="en-US" w:eastAsia="zh-CN"/>
              </w:rPr>
              <w:t>酸站</w:t>
            </w:r>
          </w:p>
        </w:tc>
        <w:tc>
          <w:tcPr>
            <w:tcW w:w="1329" w:type="dxa"/>
            <w:tcMar>
              <w:left w:w="28" w:type="dxa"/>
              <w:right w:w="28" w:type="dxa"/>
            </w:tcMar>
            <w:vAlign w:val="center"/>
          </w:tcPr>
          <w:p>
            <w:pPr>
              <w:pStyle w:val="182"/>
              <w:bidi w:val="0"/>
              <w:ind w:firstLine="0" w:firstLineChars="0"/>
              <w:rPr>
                <w:rFonts w:hint="eastAsia" w:eastAsia="宋体"/>
                <w:b/>
                <w:bCs/>
                <w:color w:val="auto"/>
                <w:u w:val="single"/>
                <w:lang w:val="en-US" w:eastAsia="zh-CN"/>
              </w:rPr>
            </w:pPr>
            <w:r>
              <w:rPr>
                <w:rFonts w:hint="eastAsia"/>
                <w:b/>
                <w:bCs/>
                <w:color w:val="auto"/>
                <w:u w:val="single"/>
                <w:lang w:val="en-US" w:eastAsia="zh-CN"/>
              </w:rPr>
              <w:t>硫酸雾</w:t>
            </w:r>
          </w:p>
        </w:tc>
        <w:tc>
          <w:tcPr>
            <w:tcW w:w="2684" w:type="dxa"/>
            <w:tcMar>
              <w:left w:w="28" w:type="dxa"/>
              <w:right w:w="28" w:type="dxa"/>
            </w:tcMar>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0.0002</w:t>
            </w:r>
          </w:p>
        </w:tc>
        <w:tc>
          <w:tcPr>
            <w:tcW w:w="1166" w:type="dxa"/>
            <w:tcMar>
              <w:left w:w="28" w:type="dxa"/>
              <w:right w:w="28" w:type="dxa"/>
            </w:tcMar>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1261" w:type="dxa"/>
            <w:tcMar>
              <w:left w:w="28" w:type="dxa"/>
              <w:right w:w="28" w:type="dxa"/>
            </w:tcMar>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有组织</w:t>
            </w:r>
          </w:p>
        </w:tc>
        <w:tc>
          <w:tcPr>
            <w:tcW w:w="1923" w:type="dxa"/>
            <w:tcMar>
              <w:left w:w="28" w:type="dxa"/>
              <w:right w:w="28" w:type="dxa"/>
            </w:tcMar>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木质素混合物干燥</w:t>
            </w:r>
          </w:p>
        </w:tc>
        <w:tc>
          <w:tcPr>
            <w:tcW w:w="1329" w:type="dxa"/>
            <w:tcMar>
              <w:left w:w="28" w:type="dxa"/>
              <w:right w:w="28" w:type="dxa"/>
            </w:tcMar>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颗粒物</w:t>
            </w:r>
          </w:p>
        </w:tc>
        <w:tc>
          <w:tcPr>
            <w:tcW w:w="2684" w:type="dxa"/>
            <w:tcMar>
              <w:left w:w="28" w:type="dxa"/>
              <w:right w:w="28" w:type="dxa"/>
            </w:tcMar>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1.6689</w:t>
            </w:r>
          </w:p>
        </w:tc>
        <w:tc>
          <w:tcPr>
            <w:tcW w:w="1166" w:type="dxa"/>
            <w:tcMar>
              <w:left w:w="28" w:type="dxa"/>
              <w:right w:w="28" w:type="dxa"/>
            </w:tcMar>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0.1854</w:t>
            </w:r>
          </w:p>
        </w:tc>
      </w:tr>
    </w:tbl>
    <w:p>
      <w:pPr>
        <w:bidi w:val="0"/>
        <w:ind w:firstLine="482" w:firstLineChars="200"/>
        <w:rPr>
          <w:rFonts w:hint="eastAsia"/>
          <w:b/>
          <w:bCs/>
          <w:color w:val="auto"/>
          <w:u w:val="single"/>
          <w:lang w:eastAsia="zh-CN"/>
        </w:rPr>
      </w:pPr>
      <w:r>
        <w:rPr>
          <w:b/>
          <w:bCs/>
          <w:color w:val="auto"/>
          <w:u w:val="single"/>
        </w:rPr>
        <w:t>由上表可知，</w:t>
      </w:r>
      <w:r>
        <w:rPr>
          <w:rFonts w:hint="eastAsia"/>
          <w:b/>
          <w:bCs/>
          <w:color w:val="auto"/>
          <w:u w:val="single"/>
        </w:rPr>
        <w:t>菌草堆料库</w:t>
      </w:r>
      <w:r>
        <w:rPr>
          <w:rFonts w:hint="eastAsia"/>
          <w:b/>
          <w:bCs/>
          <w:color w:val="auto"/>
          <w:u w:val="single"/>
          <w:lang w:val="en-US" w:eastAsia="zh-CN"/>
        </w:rPr>
        <w:t>颗粒物的</w:t>
      </w:r>
      <w:r>
        <w:rPr>
          <w:b/>
          <w:bCs/>
          <w:color w:val="auto"/>
          <w:u w:val="single"/>
        </w:rPr>
        <w:t>Pmax=2.68%</w:t>
      </w:r>
      <w:r>
        <w:rPr>
          <w:rFonts w:hint="eastAsia"/>
          <w:b/>
          <w:bCs/>
          <w:color w:val="auto"/>
          <w:u w:val="single"/>
        </w:rPr>
        <w:t>，1</w:t>
      </w:r>
      <w:r>
        <w:rPr>
          <w:b/>
          <w:bCs/>
          <w:color w:val="auto"/>
          <w:u w:val="single"/>
        </w:rPr>
        <w:t>%&lt;Pmax</w:t>
      </w:r>
      <w:r>
        <w:rPr>
          <w:rFonts w:hint="eastAsia"/>
          <w:b/>
          <w:bCs/>
          <w:color w:val="auto"/>
          <w:u w:val="single"/>
        </w:rPr>
        <w:t>&lt;</w:t>
      </w:r>
      <w:r>
        <w:rPr>
          <w:b/>
          <w:bCs/>
          <w:color w:val="auto"/>
          <w:u w:val="single"/>
        </w:rPr>
        <w:t>10%。</w:t>
      </w:r>
      <w:r>
        <w:rPr>
          <w:rFonts w:hint="eastAsia"/>
          <w:b/>
          <w:bCs/>
          <w:color w:val="auto"/>
          <w:u w:val="single"/>
          <w:lang w:val="en-US" w:eastAsia="zh-CN"/>
        </w:rPr>
        <w:t>硫酸雾</w:t>
      </w:r>
      <w:r>
        <w:rPr>
          <w:rFonts w:hint="eastAsia"/>
          <w:b/>
          <w:bCs/>
          <w:color w:val="auto"/>
          <w:u w:val="single"/>
        </w:rPr>
        <w:t>的Pmax=</w:t>
      </w:r>
      <w:r>
        <w:rPr>
          <w:rFonts w:hint="eastAsia"/>
          <w:b/>
          <w:bCs/>
          <w:color w:val="auto"/>
          <w:u w:val="single"/>
          <w:lang w:val="en-US" w:eastAsia="zh-CN"/>
        </w:rPr>
        <w:t>0.0001</w:t>
      </w:r>
      <w:r>
        <w:rPr>
          <w:rFonts w:hint="eastAsia"/>
          <w:b/>
          <w:bCs/>
          <w:color w:val="auto"/>
          <w:u w:val="single"/>
        </w:rPr>
        <w:t>%，Pmax&lt;1%</w:t>
      </w:r>
      <w:r>
        <w:rPr>
          <w:rFonts w:hint="eastAsia"/>
          <w:b/>
          <w:bCs/>
          <w:color w:val="auto"/>
          <w:u w:val="single"/>
          <w:lang w:eastAsia="zh-CN"/>
        </w:rPr>
        <w:t>。</w:t>
      </w:r>
      <w:r>
        <w:rPr>
          <w:rFonts w:hint="eastAsia"/>
          <w:b/>
          <w:bCs/>
          <w:color w:val="auto"/>
          <w:u w:val="single"/>
          <w:lang w:val="en-US" w:eastAsia="zh-CN"/>
        </w:rPr>
        <w:t>木质素混合物干燥颗粒物</w:t>
      </w:r>
      <w:r>
        <w:rPr>
          <w:rFonts w:hint="eastAsia"/>
          <w:b/>
          <w:bCs/>
          <w:color w:val="auto"/>
          <w:u w:val="single"/>
        </w:rPr>
        <w:t>的Pmax=</w:t>
      </w:r>
      <w:r>
        <w:rPr>
          <w:rFonts w:hint="eastAsia"/>
          <w:b/>
          <w:bCs/>
          <w:color w:val="auto"/>
          <w:u w:val="single"/>
          <w:lang w:val="en-US" w:eastAsia="zh-CN"/>
        </w:rPr>
        <w:t>0.1854</w:t>
      </w:r>
      <w:r>
        <w:rPr>
          <w:rFonts w:hint="eastAsia"/>
          <w:b/>
          <w:bCs/>
          <w:color w:val="auto"/>
          <w:u w:val="single"/>
        </w:rPr>
        <w:t>%，Pmax&lt;1%</w:t>
      </w:r>
      <w:r>
        <w:rPr>
          <w:rFonts w:hint="eastAsia"/>
          <w:b/>
          <w:bCs/>
          <w:color w:val="auto"/>
          <w:u w:val="single"/>
          <w:lang w:eastAsia="zh-CN"/>
        </w:rPr>
        <w:t>。</w:t>
      </w:r>
    </w:p>
    <w:p>
      <w:pPr>
        <w:pStyle w:val="9"/>
        <w:bidi w:val="0"/>
        <w:ind w:firstLine="0" w:firstLineChars="0"/>
        <w:rPr>
          <w:color w:val="auto"/>
        </w:rPr>
      </w:pPr>
      <w:r>
        <w:rPr>
          <w:rFonts w:hint="eastAsia"/>
          <w:color w:val="auto"/>
        </w:rPr>
        <w:t>5</w:t>
      </w:r>
      <w:r>
        <w:rPr>
          <w:color w:val="auto"/>
        </w:rPr>
        <w:t>.</w:t>
      </w:r>
      <w:r>
        <w:rPr>
          <w:rFonts w:hint="eastAsia"/>
          <w:color w:val="auto"/>
          <w:lang w:val="en-US" w:eastAsia="zh-CN"/>
        </w:rPr>
        <w:t>2</w:t>
      </w:r>
      <w:r>
        <w:rPr>
          <w:color w:val="auto"/>
        </w:rPr>
        <w:t>.2</w:t>
      </w:r>
      <w:r>
        <w:rPr>
          <w:rFonts w:hint="eastAsia"/>
          <w:color w:val="auto"/>
        </w:rPr>
        <w:t>污染物排放量核算</w:t>
      </w:r>
    </w:p>
    <w:p>
      <w:pPr>
        <w:bidi w:val="0"/>
        <w:rPr>
          <w:color w:val="auto"/>
        </w:rPr>
      </w:pPr>
      <w:r>
        <w:rPr>
          <w:rFonts w:hint="eastAsia"/>
          <w:color w:val="auto"/>
        </w:rPr>
        <w:t>根据《环境影响评价技术导则</w:t>
      </w:r>
      <w:r>
        <w:rPr>
          <w:rFonts w:hint="eastAsia"/>
          <w:color w:val="auto"/>
          <w:lang w:val="en-US" w:eastAsia="zh-CN"/>
        </w:rPr>
        <w:t xml:space="preserve"> </w:t>
      </w:r>
      <w:r>
        <w:rPr>
          <w:rFonts w:hint="eastAsia"/>
          <w:color w:val="auto"/>
        </w:rPr>
        <w:t>大气环境》（HJ2.2-2018），二级评价项目不进行进一步预测与评价，只对污染源排放量进行核算</w:t>
      </w:r>
      <w:r>
        <w:rPr>
          <w:rFonts w:hint="eastAsia"/>
          <w:color w:val="auto"/>
          <w:lang w:eastAsia="zh-CN"/>
        </w:rPr>
        <w:t>；</w:t>
      </w:r>
      <w:r>
        <w:rPr>
          <w:rFonts w:hint="eastAsia"/>
          <w:color w:val="auto"/>
          <w:lang w:val="en-US" w:eastAsia="zh-CN"/>
        </w:rPr>
        <w:t>三级项目不进行进一步预测与评价</w:t>
      </w:r>
      <w:r>
        <w:rPr>
          <w:rFonts w:hint="eastAsia"/>
          <w:color w:val="auto"/>
        </w:rPr>
        <w:t>。</w:t>
      </w:r>
    </w:p>
    <w:p>
      <w:pPr>
        <w:bidi w:val="0"/>
        <w:rPr>
          <w:color w:val="auto"/>
        </w:rPr>
      </w:pPr>
      <w:r>
        <w:rPr>
          <w:rFonts w:hint="eastAsia"/>
          <w:b/>
          <w:bCs/>
          <w:color w:val="auto"/>
          <w:u w:val="single"/>
        </w:rPr>
        <w:t>本项目木质素</w:t>
      </w:r>
      <w:r>
        <w:rPr>
          <w:rFonts w:hint="eastAsia"/>
          <w:b/>
          <w:bCs/>
          <w:color w:val="auto"/>
          <w:u w:val="single"/>
          <w:lang w:val="en-US" w:eastAsia="zh-CN"/>
        </w:rPr>
        <w:t>混合物</w:t>
      </w:r>
      <w:r>
        <w:rPr>
          <w:rFonts w:hint="eastAsia"/>
          <w:b/>
          <w:bCs/>
          <w:color w:val="auto"/>
          <w:u w:val="single"/>
        </w:rPr>
        <w:t>干燥产生有组织污染物，无组织污染物</w:t>
      </w:r>
      <w:r>
        <w:rPr>
          <w:rFonts w:hint="eastAsia"/>
          <w:b/>
          <w:bCs/>
          <w:color w:val="auto"/>
          <w:u w:val="single"/>
          <w:lang w:eastAsia="zh-CN"/>
        </w:rPr>
        <w:t>主要作为</w:t>
      </w:r>
      <w:r>
        <w:rPr>
          <w:rFonts w:hint="eastAsia"/>
          <w:b/>
          <w:bCs/>
          <w:color w:val="auto"/>
          <w:u w:val="single"/>
        </w:rPr>
        <w:t>原料堆场扬尘、木质素</w:t>
      </w:r>
      <w:r>
        <w:rPr>
          <w:rFonts w:hint="eastAsia"/>
          <w:b/>
          <w:bCs/>
          <w:color w:val="auto"/>
          <w:u w:val="single"/>
          <w:lang w:val="en-US" w:eastAsia="zh-CN"/>
        </w:rPr>
        <w:t>混合物收集</w:t>
      </w:r>
      <w:r>
        <w:rPr>
          <w:rFonts w:hint="eastAsia"/>
          <w:b/>
          <w:bCs/>
          <w:color w:val="auto"/>
          <w:u w:val="single"/>
          <w:lang w:eastAsia="zh-CN"/>
        </w:rPr>
        <w:t>，</w:t>
      </w:r>
      <w:r>
        <w:rPr>
          <w:rFonts w:hint="eastAsia"/>
          <w:b/>
          <w:bCs/>
          <w:color w:val="auto"/>
          <w:u w:val="single"/>
          <w:lang w:val="en-US" w:eastAsia="zh-CN"/>
        </w:rPr>
        <w:t>分装颗粒物</w:t>
      </w:r>
      <w:r>
        <w:rPr>
          <w:rFonts w:hint="eastAsia"/>
          <w:b/>
          <w:bCs/>
          <w:color w:val="auto"/>
          <w:u w:val="single"/>
        </w:rPr>
        <w:t>、硫酸使用过程中产生的硫酸雾。</w:t>
      </w:r>
      <w:r>
        <w:rPr>
          <w:color w:val="auto"/>
        </w:rPr>
        <w:t>排放量核算见表5.</w:t>
      </w:r>
      <w:r>
        <w:rPr>
          <w:rFonts w:hint="eastAsia"/>
          <w:color w:val="auto"/>
          <w:lang w:val="en-US" w:eastAsia="zh-CN"/>
        </w:rPr>
        <w:t>2</w:t>
      </w:r>
      <w:r>
        <w:rPr>
          <w:color w:val="auto"/>
        </w:rPr>
        <w:t>-</w:t>
      </w:r>
      <w:r>
        <w:rPr>
          <w:rFonts w:hint="eastAsia"/>
          <w:color w:val="auto"/>
          <w:lang w:val="en-US" w:eastAsia="zh-CN"/>
        </w:rPr>
        <w:t>6</w:t>
      </w:r>
      <w:r>
        <w:rPr>
          <w:color w:val="auto"/>
        </w:rPr>
        <w:t>。</w:t>
      </w:r>
    </w:p>
    <w:p>
      <w:pPr>
        <w:bidi w:val="0"/>
        <w:rPr>
          <w:color w:val="auto"/>
          <w:lang w:val="en-US"/>
        </w:rPr>
      </w:pPr>
      <w:r>
        <w:rPr>
          <w:rFonts w:hint="eastAsia"/>
          <w:color w:val="auto"/>
          <w:lang w:val="en-US"/>
        </w:rPr>
        <w:t>（</w:t>
      </w:r>
      <w:r>
        <w:rPr>
          <w:color w:val="auto"/>
          <w:lang w:val="en-US"/>
        </w:rPr>
        <w:t>1</w:t>
      </w:r>
      <w:r>
        <w:rPr>
          <w:rFonts w:hint="eastAsia"/>
          <w:color w:val="auto"/>
          <w:lang w:val="en-US"/>
        </w:rPr>
        <w:t>）有组织排放核算</w:t>
      </w:r>
    </w:p>
    <w:p>
      <w:pPr>
        <w:bidi w:val="0"/>
        <w:rPr>
          <w:color w:val="auto"/>
        </w:rPr>
      </w:pPr>
      <w:r>
        <w:rPr>
          <w:rFonts w:hint="eastAsia"/>
          <w:color w:val="auto"/>
          <w:lang w:val="en-US"/>
        </w:rPr>
        <w:t>本项目有组织大气污染物排放量核算见下表。</w:t>
      </w:r>
    </w:p>
    <w:p>
      <w:pPr>
        <w:pStyle w:val="181"/>
        <w:bidi w:val="0"/>
        <w:rPr>
          <w:b/>
          <w:bCs/>
          <w:color w:val="auto"/>
          <w:u w:val="single"/>
        </w:rPr>
      </w:pPr>
      <w:r>
        <w:rPr>
          <w:b/>
          <w:bCs/>
          <w:color w:val="auto"/>
          <w:u w:val="single"/>
        </w:rPr>
        <w:t>表</w:t>
      </w:r>
      <w:r>
        <w:rPr>
          <w:rFonts w:hint="eastAsia"/>
          <w:b/>
          <w:bCs/>
          <w:color w:val="auto"/>
          <w:u w:val="single"/>
          <w:lang w:val="en-US" w:eastAsia="zh-CN"/>
        </w:rPr>
        <w:t>5.2</w:t>
      </w:r>
      <w:r>
        <w:rPr>
          <w:b/>
          <w:bCs/>
          <w:color w:val="auto"/>
          <w:u w:val="single"/>
        </w:rPr>
        <w:t>-</w:t>
      </w:r>
      <w:r>
        <w:rPr>
          <w:rFonts w:hint="eastAsia"/>
          <w:b/>
          <w:bCs/>
          <w:color w:val="auto"/>
          <w:u w:val="single"/>
          <w:lang w:val="en-US" w:eastAsia="zh-CN"/>
        </w:rPr>
        <w:t>6</w:t>
      </w:r>
      <w:r>
        <w:rPr>
          <w:b/>
          <w:bCs/>
          <w:color w:val="auto"/>
          <w:u w:val="single"/>
        </w:rPr>
        <w:t xml:space="preserve">  </w:t>
      </w:r>
      <w:r>
        <w:rPr>
          <w:rFonts w:hint="eastAsia"/>
          <w:b/>
          <w:bCs/>
          <w:color w:val="auto"/>
          <w:u w:val="single"/>
          <w:lang w:val="en-US" w:eastAsia="zh-CN"/>
        </w:rPr>
        <w:t xml:space="preserve">        </w:t>
      </w:r>
      <w:r>
        <w:rPr>
          <w:b/>
          <w:bCs/>
          <w:color w:val="auto"/>
          <w:u w:val="single"/>
        </w:rPr>
        <w:t>大气污染物</w:t>
      </w:r>
      <w:r>
        <w:rPr>
          <w:rFonts w:hint="eastAsia"/>
          <w:b/>
          <w:bCs/>
          <w:color w:val="auto"/>
          <w:u w:val="single"/>
          <w:lang w:val="en-US" w:eastAsia="zh-CN"/>
        </w:rPr>
        <w:t>有组织</w:t>
      </w:r>
      <w:r>
        <w:rPr>
          <w:b/>
          <w:bCs/>
          <w:color w:val="auto"/>
          <w:u w:val="single"/>
        </w:rPr>
        <w:t>排放量核算表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562"/>
        <w:gridCol w:w="673"/>
        <w:gridCol w:w="544"/>
        <w:gridCol w:w="1231"/>
        <w:gridCol w:w="1956"/>
        <w:gridCol w:w="1036"/>
        <w:gridCol w:w="1220"/>
        <w:gridCol w:w="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Merge w:val="restart"/>
            <w:vAlign w:val="center"/>
          </w:tcPr>
          <w:p>
            <w:pPr>
              <w:pStyle w:val="182"/>
              <w:bidi w:val="0"/>
              <w:rPr>
                <w:b/>
                <w:bCs/>
                <w:color w:val="auto"/>
                <w:u w:val="single"/>
              </w:rPr>
            </w:pPr>
            <w:r>
              <w:rPr>
                <w:b/>
                <w:bCs/>
                <w:color w:val="auto"/>
                <w:u w:val="single"/>
              </w:rPr>
              <w:t>序号</w:t>
            </w:r>
          </w:p>
        </w:tc>
        <w:tc>
          <w:tcPr>
            <w:tcW w:w="389" w:type="pct"/>
            <w:vMerge w:val="restart"/>
            <w:vAlign w:val="center"/>
          </w:tcPr>
          <w:p>
            <w:pPr>
              <w:pStyle w:val="182"/>
              <w:bidi w:val="0"/>
              <w:rPr>
                <w:b/>
                <w:bCs/>
                <w:color w:val="auto"/>
                <w:u w:val="single"/>
              </w:rPr>
            </w:pPr>
            <w:r>
              <w:rPr>
                <w:b/>
                <w:bCs/>
                <w:color w:val="auto"/>
                <w:u w:val="single"/>
              </w:rPr>
              <w:t>位置</w:t>
            </w:r>
          </w:p>
        </w:tc>
        <w:tc>
          <w:tcPr>
            <w:tcW w:w="454" w:type="pct"/>
            <w:vMerge w:val="restart"/>
            <w:vAlign w:val="center"/>
          </w:tcPr>
          <w:p>
            <w:pPr>
              <w:pStyle w:val="182"/>
              <w:bidi w:val="0"/>
              <w:rPr>
                <w:b/>
                <w:bCs/>
                <w:color w:val="auto"/>
                <w:u w:val="single"/>
              </w:rPr>
            </w:pPr>
            <w:r>
              <w:rPr>
                <w:b/>
                <w:bCs/>
                <w:color w:val="auto"/>
                <w:u w:val="single"/>
              </w:rPr>
              <w:t>产污环节</w:t>
            </w:r>
          </w:p>
        </w:tc>
        <w:tc>
          <w:tcPr>
            <w:tcW w:w="378" w:type="pct"/>
            <w:vMerge w:val="restart"/>
            <w:vAlign w:val="center"/>
          </w:tcPr>
          <w:p>
            <w:pPr>
              <w:pStyle w:val="182"/>
              <w:bidi w:val="0"/>
              <w:rPr>
                <w:b/>
                <w:bCs/>
                <w:color w:val="auto"/>
                <w:u w:val="single"/>
              </w:rPr>
            </w:pPr>
            <w:r>
              <w:rPr>
                <w:b/>
                <w:bCs/>
                <w:color w:val="auto"/>
                <w:u w:val="single"/>
              </w:rPr>
              <w:t>污染物</w:t>
            </w:r>
          </w:p>
        </w:tc>
        <w:tc>
          <w:tcPr>
            <w:tcW w:w="781" w:type="pct"/>
            <w:vMerge w:val="restart"/>
            <w:vAlign w:val="center"/>
          </w:tcPr>
          <w:p>
            <w:pPr>
              <w:pStyle w:val="182"/>
              <w:bidi w:val="0"/>
              <w:rPr>
                <w:b/>
                <w:bCs/>
                <w:color w:val="auto"/>
                <w:u w:val="single"/>
              </w:rPr>
            </w:pPr>
            <w:r>
              <w:rPr>
                <w:b/>
                <w:bCs/>
                <w:color w:val="auto"/>
                <w:u w:val="single"/>
              </w:rPr>
              <w:t>主要污染防治措施</w:t>
            </w:r>
          </w:p>
        </w:tc>
        <w:tc>
          <w:tcPr>
            <w:tcW w:w="2264" w:type="pct"/>
            <w:gridSpan w:val="3"/>
            <w:vAlign w:val="center"/>
          </w:tcPr>
          <w:p>
            <w:pPr>
              <w:pStyle w:val="182"/>
              <w:bidi w:val="0"/>
              <w:rPr>
                <w:b/>
                <w:bCs/>
                <w:color w:val="auto"/>
                <w:u w:val="single"/>
              </w:rPr>
            </w:pPr>
            <w:r>
              <w:rPr>
                <w:b/>
                <w:bCs/>
                <w:color w:val="auto"/>
                <w:u w:val="single"/>
              </w:rPr>
              <w:t>国家或地方污染物排放标准</w:t>
            </w:r>
          </w:p>
        </w:tc>
        <w:tc>
          <w:tcPr>
            <w:tcW w:w="498" w:type="pct"/>
            <w:vMerge w:val="restart"/>
            <w:vAlign w:val="center"/>
          </w:tcPr>
          <w:p>
            <w:pPr>
              <w:pStyle w:val="182"/>
              <w:bidi w:val="0"/>
              <w:rPr>
                <w:b/>
                <w:bCs/>
                <w:color w:val="auto"/>
                <w:u w:val="single"/>
              </w:rPr>
            </w:pPr>
            <w:r>
              <w:rPr>
                <w:b/>
                <w:bCs/>
                <w:color w:val="auto"/>
                <w:u w:val="single"/>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Merge w:val="continue"/>
            <w:vAlign w:val="center"/>
          </w:tcPr>
          <w:p>
            <w:pPr>
              <w:pStyle w:val="182"/>
              <w:bidi w:val="0"/>
              <w:rPr>
                <w:b/>
                <w:bCs/>
                <w:color w:val="auto"/>
                <w:u w:val="single"/>
              </w:rPr>
            </w:pPr>
          </w:p>
        </w:tc>
        <w:tc>
          <w:tcPr>
            <w:tcW w:w="389" w:type="pct"/>
            <w:vMerge w:val="continue"/>
            <w:vAlign w:val="center"/>
          </w:tcPr>
          <w:p>
            <w:pPr>
              <w:pStyle w:val="182"/>
              <w:bidi w:val="0"/>
              <w:rPr>
                <w:b/>
                <w:bCs/>
                <w:color w:val="auto"/>
                <w:u w:val="single"/>
              </w:rPr>
            </w:pPr>
          </w:p>
        </w:tc>
        <w:tc>
          <w:tcPr>
            <w:tcW w:w="454" w:type="pct"/>
            <w:vMerge w:val="continue"/>
            <w:vAlign w:val="center"/>
          </w:tcPr>
          <w:p>
            <w:pPr>
              <w:pStyle w:val="182"/>
              <w:bidi w:val="0"/>
              <w:rPr>
                <w:b/>
                <w:bCs/>
                <w:color w:val="auto"/>
                <w:u w:val="single"/>
              </w:rPr>
            </w:pPr>
          </w:p>
        </w:tc>
        <w:tc>
          <w:tcPr>
            <w:tcW w:w="378" w:type="pct"/>
            <w:vMerge w:val="continue"/>
            <w:vAlign w:val="center"/>
          </w:tcPr>
          <w:p>
            <w:pPr>
              <w:pStyle w:val="182"/>
              <w:bidi w:val="0"/>
              <w:rPr>
                <w:b/>
                <w:bCs/>
                <w:color w:val="auto"/>
                <w:u w:val="single"/>
              </w:rPr>
            </w:pPr>
          </w:p>
        </w:tc>
        <w:tc>
          <w:tcPr>
            <w:tcW w:w="781" w:type="pct"/>
            <w:vMerge w:val="continue"/>
            <w:vAlign w:val="center"/>
          </w:tcPr>
          <w:p>
            <w:pPr>
              <w:pStyle w:val="182"/>
              <w:bidi w:val="0"/>
              <w:rPr>
                <w:b/>
                <w:bCs/>
                <w:color w:val="auto"/>
                <w:u w:val="single"/>
              </w:rPr>
            </w:pPr>
          </w:p>
        </w:tc>
        <w:tc>
          <w:tcPr>
            <w:tcW w:w="1059" w:type="pct"/>
            <w:vAlign w:val="center"/>
          </w:tcPr>
          <w:p>
            <w:pPr>
              <w:pStyle w:val="182"/>
              <w:bidi w:val="0"/>
              <w:rPr>
                <w:b/>
                <w:bCs/>
                <w:color w:val="auto"/>
                <w:u w:val="single"/>
              </w:rPr>
            </w:pPr>
            <w:r>
              <w:rPr>
                <w:b/>
                <w:bCs/>
                <w:color w:val="auto"/>
                <w:u w:val="single"/>
              </w:rPr>
              <w:t>标准名称</w:t>
            </w:r>
          </w:p>
        </w:tc>
        <w:tc>
          <w:tcPr>
            <w:tcW w:w="58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排放速率（kg/h）</w:t>
            </w:r>
          </w:p>
        </w:tc>
        <w:tc>
          <w:tcPr>
            <w:tcW w:w="615" w:type="pct"/>
            <w:vAlign w:val="center"/>
          </w:tcPr>
          <w:p>
            <w:pPr>
              <w:pStyle w:val="182"/>
              <w:bidi w:val="0"/>
              <w:rPr>
                <w:b/>
                <w:bCs/>
                <w:color w:val="auto"/>
                <w:u w:val="single"/>
              </w:rPr>
            </w:pPr>
            <w:r>
              <w:rPr>
                <w:b/>
                <w:bCs/>
                <w:color w:val="auto"/>
                <w:u w:val="single"/>
              </w:rPr>
              <w:t>浓度</w:t>
            </w:r>
            <w:r>
              <w:rPr>
                <w:rFonts w:hint="eastAsia"/>
                <w:b/>
                <w:bCs/>
                <w:color w:val="auto"/>
                <w:u w:val="single"/>
              </w:rPr>
              <w:t>限值</w:t>
            </w:r>
            <w:r>
              <w:rPr>
                <w:b/>
                <w:bCs/>
                <w:color w:val="auto"/>
                <w:u w:val="single"/>
              </w:rPr>
              <w:t>（mg/m</w:t>
            </w:r>
            <w:r>
              <w:rPr>
                <w:b/>
                <w:bCs/>
                <w:color w:val="auto"/>
                <w:u w:val="single"/>
                <w:vertAlign w:val="superscript"/>
              </w:rPr>
              <w:t>3</w:t>
            </w:r>
            <w:r>
              <w:rPr>
                <w:b/>
                <w:bCs/>
                <w:color w:val="auto"/>
                <w:u w:val="single"/>
              </w:rPr>
              <w:t>）</w:t>
            </w:r>
          </w:p>
        </w:tc>
        <w:tc>
          <w:tcPr>
            <w:tcW w:w="498" w:type="pct"/>
            <w:vMerge w:val="continue"/>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pPr>
              <w:pStyle w:val="182"/>
              <w:bidi w:val="0"/>
              <w:rPr>
                <w:rFonts w:hint="default"/>
                <w:b/>
                <w:bCs/>
                <w:color w:val="auto"/>
                <w:u w:val="single"/>
                <w:lang w:val="en-US" w:eastAsia="zh-CN"/>
              </w:rPr>
            </w:pPr>
            <w:r>
              <w:rPr>
                <w:rFonts w:hint="eastAsia"/>
                <w:b/>
                <w:bCs/>
                <w:color w:val="auto"/>
                <w:u w:val="single"/>
                <w:lang w:val="en-US" w:eastAsia="zh-CN"/>
              </w:rPr>
              <w:t>1</w:t>
            </w:r>
          </w:p>
        </w:tc>
        <w:tc>
          <w:tcPr>
            <w:tcW w:w="389" w:type="pct"/>
            <w:vAlign w:val="center"/>
          </w:tcPr>
          <w:p>
            <w:pPr>
              <w:pStyle w:val="182"/>
              <w:bidi w:val="0"/>
              <w:rPr>
                <w:rFonts w:hint="default"/>
                <w:b/>
                <w:bCs/>
                <w:color w:val="auto"/>
                <w:u w:val="single"/>
                <w:lang w:val="en-US" w:eastAsia="zh-CN"/>
              </w:rPr>
            </w:pPr>
            <w:r>
              <w:rPr>
                <w:rFonts w:hint="eastAsia"/>
                <w:b/>
                <w:bCs/>
                <w:color w:val="auto"/>
                <w:u w:val="single"/>
                <w:lang w:val="en-US" w:eastAsia="zh-CN"/>
              </w:rPr>
              <w:t>木质素烘干</w:t>
            </w:r>
          </w:p>
        </w:tc>
        <w:tc>
          <w:tcPr>
            <w:tcW w:w="454" w:type="pct"/>
            <w:vAlign w:val="center"/>
          </w:tcPr>
          <w:p>
            <w:pPr>
              <w:pStyle w:val="182"/>
              <w:bidi w:val="0"/>
              <w:rPr>
                <w:rFonts w:hint="default"/>
                <w:b/>
                <w:bCs/>
                <w:color w:val="auto"/>
                <w:u w:val="single"/>
                <w:lang w:val="en-US" w:eastAsia="zh-CN"/>
              </w:rPr>
            </w:pPr>
            <w:r>
              <w:rPr>
                <w:rFonts w:hint="eastAsia"/>
                <w:b/>
                <w:bCs/>
                <w:color w:val="auto"/>
                <w:u w:val="single"/>
                <w:lang w:val="en-US" w:eastAsia="zh-CN"/>
              </w:rPr>
              <w:t>干燥废气</w:t>
            </w:r>
          </w:p>
        </w:tc>
        <w:tc>
          <w:tcPr>
            <w:tcW w:w="378" w:type="pct"/>
            <w:vAlign w:val="center"/>
          </w:tcPr>
          <w:p>
            <w:pPr>
              <w:pStyle w:val="182"/>
              <w:bidi w:val="0"/>
              <w:rPr>
                <w:rFonts w:hint="default"/>
                <w:b/>
                <w:bCs/>
                <w:color w:val="auto"/>
                <w:u w:val="single"/>
                <w:lang w:val="en-US" w:eastAsia="zh-CN"/>
              </w:rPr>
            </w:pPr>
            <w:r>
              <w:rPr>
                <w:rFonts w:hint="eastAsia"/>
                <w:b/>
                <w:bCs/>
                <w:color w:val="auto"/>
                <w:u w:val="single"/>
                <w:lang w:val="en-US" w:eastAsia="zh-CN"/>
              </w:rPr>
              <w:t>粉尘</w:t>
            </w:r>
          </w:p>
        </w:tc>
        <w:tc>
          <w:tcPr>
            <w:tcW w:w="781"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袋式除尘</w:t>
            </w:r>
          </w:p>
        </w:tc>
        <w:tc>
          <w:tcPr>
            <w:tcW w:w="1059" w:type="pct"/>
            <w:vAlign w:val="center"/>
          </w:tcPr>
          <w:p>
            <w:pPr>
              <w:pStyle w:val="182"/>
              <w:bidi w:val="0"/>
              <w:rPr>
                <w:rFonts w:hint="default" w:eastAsia="宋体"/>
                <w:b/>
                <w:bCs/>
                <w:color w:val="auto"/>
                <w:u w:val="single"/>
                <w:lang w:val="en-US" w:eastAsia="zh-CN"/>
              </w:rPr>
            </w:pPr>
            <w:r>
              <w:rPr>
                <w:rFonts w:hint="eastAsia"/>
                <w:b/>
                <w:bCs/>
                <w:color w:val="auto"/>
                <w:u w:val="single"/>
                <w:lang w:eastAsia="zh-CN"/>
              </w:rPr>
              <w:t>《大气污染物综合排放标准》（GB16297-1996）表2</w:t>
            </w:r>
            <w:r>
              <w:rPr>
                <w:rFonts w:hint="eastAsia"/>
                <w:b/>
                <w:bCs/>
                <w:color w:val="auto"/>
                <w:u w:val="single"/>
                <w:lang w:val="en-US" w:eastAsia="zh-CN"/>
              </w:rPr>
              <w:t>有</w:t>
            </w:r>
            <w:r>
              <w:rPr>
                <w:rFonts w:hint="eastAsia"/>
                <w:b/>
                <w:bCs/>
                <w:color w:val="auto"/>
                <w:u w:val="single"/>
                <w:lang w:eastAsia="zh-CN"/>
              </w:rPr>
              <w:t>组织排放监控浓度限值；《新乡市生态环境局关于进一步规范工业企业颗粒物排放限值的通知》</w:t>
            </w:r>
          </w:p>
        </w:tc>
        <w:tc>
          <w:tcPr>
            <w:tcW w:w="589" w:type="pct"/>
            <w:vAlign w:val="center"/>
          </w:tcPr>
          <w:p>
            <w:pPr>
              <w:pStyle w:val="182"/>
              <w:bidi w:val="0"/>
              <w:rPr>
                <w:rFonts w:hint="default"/>
                <w:b/>
                <w:bCs/>
                <w:color w:val="auto"/>
                <w:u w:val="single"/>
                <w:lang w:val="en-US" w:eastAsia="zh-CN"/>
              </w:rPr>
            </w:pPr>
            <w:r>
              <w:rPr>
                <w:rFonts w:hint="eastAsia"/>
                <w:b/>
                <w:bCs/>
                <w:color w:val="auto"/>
                <w:u w:val="single"/>
                <w:lang w:val="en-US" w:eastAsia="zh-CN"/>
              </w:rPr>
              <w:t>3.5（15m）</w:t>
            </w:r>
          </w:p>
        </w:tc>
        <w:tc>
          <w:tcPr>
            <w:tcW w:w="615" w:type="pct"/>
            <w:vAlign w:val="center"/>
          </w:tcPr>
          <w:p>
            <w:pPr>
              <w:pStyle w:val="182"/>
              <w:bidi w:val="0"/>
              <w:rPr>
                <w:rFonts w:hint="default"/>
                <w:b/>
                <w:bCs/>
                <w:color w:val="auto"/>
                <w:u w:val="single"/>
                <w:lang w:val="en-US" w:eastAsia="zh-CN"/>
              </w:rPr>
            </w:pPr>
            <w:r>
              <w:rPr>
                <w:rFonts w:hint="eastAsia"/>
                <w:b/>
                <w:bCs/>
                <w:color w:val="auto"/>
                <w:u w:val="single"/>
                <w:lang w:val="en-US" w:eastAsia="zh-CN"/>
              </w:rPr>
              <w:t>10</w:t>
            </w:r>
          </w:p>
        </w:tc>
        <w:tc>
          <w:tcPr>
            <w:tcW w:w="498" w:type="pct"/>
            <w:vAlign w:val="center"/>
          </w:tcPr>
          <w:p>
            <w:pPr>
              <w:pStyle w:val="182"/>
              <w:bidi w:val="0"/>
              <w:rPr>
                <w:rFonts w:hint="default"/>
                <w:b/>
                <w:bCs/>
                <w:color w:val="auto"/>
                <w:u w:val="single"/>
                <w:lang w:val="en-US" w:eastAsia="zh-CN"/>
              </w:rPr>
            </w:pPr>
            <w:r>
              <w:rPr>
                <w:rFonts w:hint="eastAsia"/>
                <w:b/>
                <w:bCs/>
                <w:color w:val="auto"/>
                <w:u w:val="single"/>
                <w:lang w:val="en-US" w:eastAsia="zh-CN"/>
              </w:rPr>
              <w:t>0.706</w:t>
            </w:r>
          </w:p>
        </w:tc>
      </w:tr>
    </w:tbl>
    <w:p>
      <w:pPr>
        <w:bidi w:val="0"/>
        <w:rPr>
          <w:color w:val="auto"/>
          <w:lang w:val="en-US"/>
        </w:rPr>
      </w:pPr>
      <w:r>
        <w:rPr>
          <w:rFonts w:hint="eastAsia"/>
          <w:color w:val="auto"/>
          <w:lang w:val="en-US"/>
        </w:rPr>
        <w:t>（</w:t>
      </w:r>
      <w:r>
        <w:rPr>
          <w:color w:val="auto"/>
          <w:lang w:val="en-US"/>
        </w:rPr>
        <w:t>2</w:t>
      </w:r>
      <w:r>
        <w:rPr>
          <w:rFonts w:hint="eastAsia"/>
          <w:color w:val="auto"/>
          <w:lang w:val="en-US"/>
        </w:rPr>
        <w:t>）无组织排放核算</w:t>
      </w:r>
    </w:p>
    <w:p>
      <w:pPr>
        <w:bidi w:val="0"/>
        <w:rPr>
          <w:color w:val="auto"/>
        </w:rPr>
      </w:pPr>
      <w:r>
        <w:rPr>
          <w:rFonts w:hint="eastAsia"/>
          <w:color w:val="auto"/>
          <w:lang w:val="en-US"/>
        </w:rPr>
        <w:t>本项目无组织大气污染物排放量核算见下表。</w:t>
      </w:r>
    </w:p>
    <w:p>
      <w:pPr>
        <w:pStyle w:val="181"/>
        <w:bidi w:val="0"/>
        <w:rPr>
          <w:b/>
          <w:bCs/>
          <w:color w:val="auto"/>
          <w:u w:val="single"/>
        </w:rPr>
      </w:pPr>
      <w:r>
        <w:rPr>
          <w:b/>
          <w:bCs/>
          <w:color w:val="auto"/>
          <w:u w:val="single"/>
        </w:rPr>
        <w:t>表</w:t>
      </w:r>
      <w:r>
        <w:rPr>
          <w:rFonts w:hint="eastAsia"/>
          <w:b/>
          <w:bCs/>
          <w:color w:val="auto"/>
          <w:u w:val="single"/>
          <w:lang w:val="en-US" w:eastAsia="zh-CN"/>
        </w:rPr>
        <w:t>5.2</w:t>
      </w:r>
      <w:r>
        <w:rPr>
          <w:b/>
          <w:bCs/>
          <w:color w:val="auto"/>
          <w:u w:val="single"/>
        </w:rPr>
        <w:t>-</w:t>
      </w:r>
      <w:r>
        <w:rPr>
          <w:rFonts w:hint="eastAsia"/>
          <w:b/>
          <w:bCs/>
          <w:color w:val="auto"/>
          <w:u w:val="single"/>
          <w:lang w:val="en-US" w:eastAsia="zh-CN"/>
        </w:rPr>
        <w:t>7</w:t>
      </w:r>
      <w:r>
        <w:rPr>
          <w:b/>
          <w:bCs/>
          <w:color w:val="auto"/>
          <w:u w:val="single"/>
        </w:rPr>
        <w:t xml:space="preserve">  </w:t>
      </w:r>
      <w:r>
        <w:rPr>
          <w:rFonts w:hint="eastAsia"/>
          <w:b/>
          <w:bCs/>
          <w:color w:val="auto"/>
          <w:u w:val="single"/>
          <w:lang w:val="en-US" w:eastAsia="zh-CN"/>
        </w:rPr>
        <w:t xml:space="preserve">        </w:t>
      </w:r>
      <w:r>
        <w:rPr>
          <w:b/>
          <w:bCs/>
          <w:color w:val="auto"/>
          <w:u w:val="single"/>
        </w:rPr>
        <w:t>大气污染物排放量核算表</w:t>
      </w:r>
    </w:p>
    <w:tbl>
      <w:tblPr>
        <w:tblStyle w:val="33"/>
        <w:tblW w:w="50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4"/>
        <w:gridCol w:w="675"/>
        <w:gridCol w:w="788"/>
        <w:gridCol w:w="655"/>
        <w:gridCol w:w="1355"/>
        <w:gridCol w:w="1834"/>
        <w:gridCol w:w="1021"/>
        <w:gridCol w:w="1066"/>
        <w:gridCol w:w="8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Merge w:val="restart"/>
            <w:vAlign w:val="center"/>
          </w:tcPr>
          <w:p>
            <w:pPr>
              <w:pStyle w:val="182"/>
              <w:bidi w:val="0"/>
              <w:rPr>
                <w:b/>
                <w:bCs/>
                <w:color w:val="auto"/>
                <w:u w:val="single"/>
              </w:rPr>
            </w:pPr>
            <w:r>
              <w:rPr>
                <w:b/>
                <w:bCs/>
                <w:color w:val="auto"/>
                <w:u w:val="single"/>
              </w:rPr>
              <w:t>序号</w:t>
            </w:r>
          </w:p>
        </w:tc>
        <w:tc>
          <w:tcPr>
            <w:tcW w:w="389" w:type="pct"/>
            <w:vMerge w:val="restart"/>
            <w:vAlign w:val="center"/>
          </w:tcPr>
          <w:p>
            <w:pPr>
              <w:pStyle w:val="182"/>
              <w:bidi w:val="0"/>
              <w:rPr>
                <w:b/>
                <w:bCs/>
                <w:color w:val="auto"/>
                <w:u w:val="single"/>
              </w:rPr>
            </w:pPr>
            <w:r>
              <w:rPr>
                <w:b/>
                <w:bCs/>
                <w:color w:val="auto"/>
                <w:u w:val="single"/>
              </w:rPr>
              <w:t>位置</w:t>
            </w:r>
          </w:p>
        </w:tc>
        <w:tc>
          <w:tcPr>
            <w:tcW w:w="454" w:type="pct"/>
            <w:vMerge w:val="restart"/>
            <w:vAlign w:val="center"/>
          </w:tcPr>
          <w:p>
            <w:pPr>
              <w:pStyle w:val="182"/>
              <w:bidi w:val="0"/>
              <w:rPr>
                <w:b/>
                <w:bCs/>
                <w:color w:val="auto"/>
                <w:u w:val="single"/>
              </w:rPr>
            </w:pPr>
            <w:r>
              <w:rPr>
                <w:b/>
                <w:bCs/>
                <w:color w:val="auto"/>
                <w:u w:val="single"/>
              </w:rPr>
              <w:t>产污环节</w:t>
            </w:r>
          </w:p>
        </w:tc>
        <w:tc>
          <w:tcPr>
            <w:tcW w:w="378" w:type="pct"/>
            <w:vMerge w:val="restart"/>
            <w:vAlign w:val="center"/>
          </w:tcPr>
          <w:p>
            <w:pPr>
              <w:pStyle w:val="182"/>
              <w:bidi w:val="0"/>
              <w:rPr>
                <w:b/>
                <w:bCs/>
                <w:color w:val="auto"/>
                <w:u w:val="single"/>
              </w:rPr>
            </w:pPr>
            <w:r>
              <w:rPr>
                <w:b/>
                <w:bCs/>
                <w:color w:val="auto"/>
                <w:u w:val="single"/>
              </w:rPr>
              <w:t>污染物</w:t>
            </w:r>
          </w:p>
        </w:tc>
        <w:tc>
          <w:tcPr>
            <w:tcW w:w="782" w:type="pct"/>
            <w:vMerge w:val="restart"/>
            <w:vAlign w:val="center"/>
          </w:tcPr>
          <w:p>
            <w:pPr>
              <w:pStyle w:val="182"/>
              <w:bidi w:val="0"/>
              <w:rPr>
                <w:b/>
                <w:bCs/>
                <w:color w:val="auto"/>
                <w:u w:val="single"/>
              </w:rPr>
            </w:pPr>
            <w:r>
              <w:rPr>
                <w:b/>
                <w:bCs/>
                <w:color w:val="auto"/>
                <w:u w:val="single"/>
              </w:rPr>
              <w:t>主要污染防治措施</w:t>
            </w:r>
          </w:p>
        </w:tc>
        <w:tc>
          <w:tcPr>
            <w:tcW w:w="2263" w:type="pct"/>
            <w:gridSpan w:val="3"/>
            <w:vAlign w:val="center"/>
          </w:tcPr>
          <w:p>
            <w:pPr>
              <w:pStyle w:val="182"/>
              <w:bidi w:val="0"/>
              <w:rPr>
                <w:b/>
                <w:bCs/>
                <w:color w:val="auto"/>
                <w:u w:val="single"/>
              </w:rPr>
            </w:pPr>
            <w:r>
              <w:rPr>
                <w:b/>
                <w:bCs/>
                <w:color w:val="auto"/>
                <w:u w:val="single"/>
              </w:rPr>
              <w:t>国家或地方污染物排放标准</w:t>
            </w:r>
          </w:p>
        </w:tc>
        <w:tc>
          <w:tcPr>
            <w:tcW w:w="498" w:type="pct"/>
            <w:vMerge w:val="restart"/>
            <w:vAlign w:val="center"/>
          </w:tcPr>
          <w:p>
            <w:pPr>
              <w:pStyle w:val="182"/>
              <w:bidi w:val="0"/>
              <w:rPr>
                <w:b/>
                <w:bCs/>
                <w:color w:val="auto"/>
                <w:u w:val="single"/>
              </w:rPr>
            </w:pPr>
            <w:r>
              <w:rPr>
                <w:b/>
                <w:bCs/>
                <w:color w:val="auto"/>
                <w:u w:val="single"/>
              </w:rPr>
              <w:t>年排放量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Merge w:val="continue"/>
            <w:vAlign w:val="center"/>
          </w:tcPr>
          <w:p>
            <w:pPr>
              <w:pStyle w:val="182"/>
              <w:bidi w:val="0"/>
              <w:rPr>
                <w:b/>
                <w:bCs/>
                <w:color w:val="auto"/>
                <w:u w:val="single"/>
              </w:rPr>
            </w:pPr>
          </w:p>
        </w:tc>
        <w:tc>
          <w:tcPr>
            <w:tcW w:w="389" w:type="pct"/>
            <w:vMerge w:val="continue"/>
            <w:vAlign w:val="center"/>
          </w:tcPr>
          <w:p>
            <w:pPr>
              <w:pStyle w:val="182"/>
              <w:bidi w:val="0"/>
              <w:rPr>
                <w:b/>
                <w:bCs/>
                <w:color w:val="auto"/>
                <w:u w:val="single"/>
              </w:rPr>
            </w:pPr>
          </w:p>
        </w:tc>
        <w:tc>
          <w:tcPr>
            <w:tcW w:w="454" w:type="pct"/>
            <w:vMerge w:val="continue"/>
            <w:vAlign w:val="center"/>
          </w:tcPr>
          <w:p>
            <w:pPr>
              <w:pStyle w:val="182"/>
              <w:bidi w:val="0"/>
              <w:rPr>
                <w:b/>
                <w:bCs/>
                <w:color w:val="auto"/>
                <w:u w:val="single"/>
              </w:rPr>
            </w:pPr>
          </w:p>
        </w:tc>
        <w:tc>
          <w:tcPr>
            <w:tcW w:w="378" w:type="pct"/>
            <w:vMerge w:val="continue"/>
            <w:vAlign w:val="center"/>
          </w:tcPr>
          <w:p>
            <w:pPr>
              <w:pStyle w:val="182"/>
              <w:bidi w:val="0"/>
              <w:rPr>
                <w:b/>
                <w:bCs/>
                <w:color w:val="auto"/>
                <w:u w:val="single"/>
              </w:rPr>
            </w:pPr>
          </w:p>
        </w:tc>
        <w:tc>
          <w:tcPr>
            <w:tcW w:w="782" w:type="pct"/>
            <w:vMerge w:val="continue"/>
            <w:vAlign w:val="center"/>
          </w:tcPr>
          <w:p>
            <w:pPr>
              <w:pStyle w:val="182"/>
              <w:bidi w:val="0"/>
              <w:rPr>
                <w:b/>
                <w:bCs/>
                <w:color w:val="auto"/>
                <w:u w:val="single"/>
              </w:rPr>
            </w:pPr>
          </w:p>
        </w:tc>
        <w:tc>
          <w:tcPr>
            <w:tcW w:w="1058" w:type="pct"/>
            <w:vAlign w:val="center"/>
          </w:tcPr>
          <w:p>
            <w:pPr>
              <w:pStyle w:val="182"/>
              <w:bidi w:val="0"/>
              <w:rPr>
                <w:b/>
                <w:bCs/>
                <w:color w:val="auto"/>
                <w:u w:val="single"/>
              </w:rPr>
            </w:pPr>
            <w:r>
              <w:rPr>
                <w:b/>
                <w:bCs/>
                <w:color w:val="auto"/>
                <w:u w:val="single"/>
              </w:rPr>
              <w:t>标准名称</w:t>
            </w:r>
          </w:p>
        </w:tc>
        <w:tc>
          <w:tcPr>
            <w:tcW w:w="589"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排放速率（kg/h）</w:t>
            </w:r>
          </w:p>
        </w:tc>
        <w:tc>
          <w:tcPr>
            <w:tcW w:w="615" w:type="pct"/>
            <w:vAlign w:val="center"/>
          </w:tcPr>
          <w:p>
            <w:pPr>
              <w:pStyle w:val="182"/>
              <w:bidi w:val="0"/>
              <w:rPr>
                <w:b/>
                <w:bCs/>
                <w:color w:val="auto"/>
                <w:u w:val="single"/>
              </w:rPr>
            </w:pPr>
            <w:r>
              <w:rPr>
                <w:b/>
                <w:bCs/>
                <w:color w:val="auto"/>
                <w:u w:val="single"/>
              </w:rPr>
              <w:t>浓度</w:t>
            </w:r>
            <w:r>
              <w:rPr>
                <w:rFonts w:hint="eastAsia"/>
                <w:b/>
                <w:bCs/>
                <w:color w:val="auto"/>
                <w:u w:val="single"/>
              </w:rPr>
              <w:t>限值</w:t>
            </w:r>
            <w:r>
              <w:rPr>
                <w:b/>
                <w:bCs/>
                <w:color w:val="auto"/>
                <w:u w:val="single"/>
              </w:rPr>
              <w:t>（mg/m</w:t>
            </w:r>
            <w:r>
              <w:rPr>
                <w:b/>
                <w:bCs/>
                <w:color w:val="auto"/>
                <w:u w:val="single"/>
                <w:vertAlign w:val="superscript"/>
              </w:rPr>
              <w:t>3</w:t>
            </w:r>
            <w:r>
              <w:rPr>
                <w:b/>
                <w:bCs/>
                <w:color w:val="auto"/>
                <w:u w:val="single"/>
              </w:rPr>
              <w:t>）</w:t>
            </w:r>
          </w:p>
        </w:tc>
        <w:tc>
          <w:tcPr>
            <w:tcW w:w="498" w:type="pct"/>
            <w:vMerge w:val="continue"/>
            <w:vAlign w:val="center"/>
          </w:tcPr>
          <w:p>
            <w:pPr>
              <w:pStyle w:val="182"/>
              <w:bidi w:val="0"/>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pPr>
              <w:pStyle w:val="182"/>
              <w:bidi w:val="0"/>
              <w:rPr>
                <w:b/>
                <w:bCs/>
                <w:color w:val="auto"/>
                <w:u w:val="single"/>
              </w:rPr>
            </w:pPr>
            <w:r>
              <w:rPr>
                <w:b/>
                <w:bCs/>
                <w:color w:val="auto"/>
                <w:u w:val="single"/>
              </w:rPr>
              <w:t>1</w:t>
            </w:r>
          </w:p>
        </w:tc>
        <w:tc>
          <w:tcPr>
            <w:tcW w:w="389" w:type="pct"/>
            <w:vAlign w:val="center"/>
          </w:tcPr>
          <w:p>
            <w:pPr>
              <w:pStyle w:val="182"/>
              <w:bidi w:val="0"/>
              <w:rPr>
                <w:b/>
                <w:bCs/>
                <w:color w:val="auto"/>
                <w:u w:val="single"/>
              </w:rPr>
            </w:pPr>
            <w:r>
              <w:rPr>
                <w:rFonts w:hint="eastAsia"/>
                <w:b/>
                <w:bCs/>
                <w:color w:val="auto"/>
                <w:u w:val="single"/>
              </w:rPr>
              <w:t>菌草堆料库</w:t>
            </w:r>
          </w:p>
        </w:tc>
        <w:tc>
          <w:tcPr>
            <w:tcW w:w="454" w:type="pct"/>
            <w:vAlign w:val="center"/>
          </w:tcPr>
          <w:p>
            <w:pPr>
              <w:pStyle w:val="182"/>
              <w:bidi w:val="0"/>
              <w:rPr>
                <w:b/>
                <w:bCs/>
                <w:color w:val="auto"/>
                <w:u w:val="single"/>
              </w:rPr>
            </w:pPr>
            <w:r>
              <w:rPr>
                <w:b/>
                <w:bCs/>
                <w:color w:val="auto"/>
                <w:u w:val="single"/>
              </w:rPr>
              <w:t>装卸、存储</w:t>
            </w:r>
          </w:p>
        </w:tc>
        <w:tc>
          <w:tcPr>
            <w:tcW w:w="378"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无组织颗粒物</w:t>
            </w:r>
          </w:p>
        </w:tc>
        <w:tc>
          <w:tcPr>
            <w:tcW w:w="782" w:type="pct"/>
            <w:vAlign w:val="center"/>
          </w:tcPr>
          <w:p>
            <w:pPr>
              <w:pStyle w:val="182"/>
              <w:bidi w:val="0"/>
              <w:rPr>
                <w:b/>
                <w:bCs/>
                <w:color w:val="auto"/>
                <w:u w:val="single"/>
              </w:rPr>
            </w:pPr>
            <w:r>
              <w:rPr>
                <w:b/>
                <w:bCs/>
                <w:color w:val="auto"/>
                <w:u w:val="single"/>
              </w:rPr>
              <w:t>全封闭式原料库，</w:t>
            </w:r>
            <w:r>
              <w:rPr>
                <w:rFonts w:hint="eastAsia"/>
                <w:b/>
                <w:bCs/>
                <w:color w:val="auto"/>
                <w:u w:val="single"/>
              </w:rPr>
              <w:t>设置</w:t>
            </w:r>
            <w:r>
              <w:rPr>
                <w:b/>
                <w:bCs/>
                <w:color w:val="auto"/>
                <w:u w:val="single"/>
              </w:rPr>
              <w:t>雾化喷淋装置，地面硬化</w:t>
            </w:r>
          </w:p>
        </w:tc>
        <w:tc>
          <w:tcPr>
            <w:tcW w:w="1058" w:type="pct"/>
            <w:vMerge w:val="restart"/>
            <w:vAlign w:val="center"/>
          </w:tcPr>
          <w:p>
            <w:pPr>
              <w:pStyle w:val="182"/>
              <w:bidi w:val="0"/>
              <w:rPr>
                <w:rFonts w:hint="default" w:eastAsia="宋体"/>
                <w:b/>
                <w:bCs/>
                <w:color w:val="auto"/>
                <w:u w:val="single"/>
                <w:lang w:val="en-US" w:eastAsia="zh-CN"/>
              </w:rPr>
            </w:pPr>
            <w:r>
              <w:rPr>
                <w:b/>
                <w:bCs/>
                <w:color w:val="auto"/>
                <w:u w:val="single"/>
              </w:rPr>
              <w:t>《大气污染物综合排放标准》（GB16297-1996）</w:t>
            </w:r>
            <w:r>
              <w:rPr>
                <w:rFonts w:hint="eastAsia"/>
                <w:b/>
                <w:bCs/>
                <w:color w:val="auto"/>
                <w:u w:val="single"/>
                <w:lang w:eastAsia="zh-CN"/>
              </w:rPr>
              <w:t>；</w:t>
            </w:r>
            <w:r>
              <w:rPr>
                <w:b/>
                <w:bCs/>
                <w:color w:val="auto"/>
                <w:u w:val="single"/>
              </w:rPr>
              <w:t>《新乡市生态环境局关于进一步规范工业企业颗粒物排放限值的通知》</w:t>
            </w:r>
          </w:p>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p>
        </w:tc>
        <w:tc>
          <w:tcPr>
            <w:tcW w:w="589"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w:t>
            </w:r>
          </w:p>
        </w:tc>
        <w:tc>
          <w:tcPr>
            <w:tcW w:w="615" w:type="pct"/>
            <w:vAlign w:val="center"/>
          </w:tcPr>
          <w:p>
            <w:pPr>
              <w:pStyle w:val="182"/>
              <w:bidi w:val="0"/>
              <w:rPr>
                <w:b/>
                <w:bCs/>
                <w:color w:val="auto"/>
                <w:u w:val="single"/>
              </w:rPr>
            </w:pPr>
            <w:r>
              <w:rPr>
                <w:b/>
                <w:bCs/>
                <w:color w:val="auto"/>
                <w:u w:val="single"/>
              </w:rPr>
              <w:t>1.0</w:t>
            </w:r>
          </w:p>
        </w:tc>
        <w:tc>
          <w:tcPr>
            <w:tcW w:w="498" w:type="pct"/>
            <w:vAlign w:val="center"/>
          </w:tcPr>
          <w:p>
            <w:pPr>
              <w:pStyle w:val="182"/>
              <w:bidi w:val="0"/>
              <w:rPr>
                <w:rFonts w:hint="default" w:eastAsia="宋体"/>
                <w:b/>
                <w:bCs/>
                <w:color w:val="auto"/>
                <w:u w:val="single"/>
                <w:lang w:val="en-US" w:eastAsia="zh-CN"/>
              </w:rPr>
            </w:pPr>
            <w:r>
              <w:rPr>
                <w:rFonts w:hint="eastAsia"/>
                <w:b/>
                <w:bCs/>
                <w:color w:val="auto"/>
                <w:u w:val="single"/>
              </w:rPr>
              <w:t>0.</w:t>
            </w:r>
            <w:r>
              <w:rPr>
                <w:rFonts w:hint="eastAsia"/>
                <w:b/>
                <w:bCs/>
                <w:color w:val="auto"/>
                <w:u w:val="single"/>
                <w:lang w:val="en-US" w:eastAsia="zh-CN"/>
              </w:rPr>
              <w:t>1</w:t>
            </w:r>
            <w:r>
              <w:rPr>
                <w:rFonts w:hint="eastAsia"/>
                <w:b/>
                <w:bCs/>
                <w:color w:val="auto"/>
                <w:u w:val="singl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233"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2</w:t>
            </w:r>
          </w:p>
        </w:tc>
        <w:tc>
          <w:tcPr>
            <w:tcW w:w="389"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酸站</w:t>
            </w:r>
          </w:p>
        </w:tc>
        <w:tc>
          <w:tcPr>
            <w:tcW w:w="454"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大呼吸</w:t>
            </w:r>
          </w:p>
        </w:tc>
        <w:tc>
          <w:tcPr>
            <w:tcW w:w="378" w:type="pct"/>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硫酸雾</w:t>
            </w:r>
          </w:p>
        </w:tc>
        <w:tc>
          <w:tcPr>
            <w:tcW w:w="78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依托酸站处理设施（NaCO</w:t>
            </w:r>
            <w:r>
              <w:rPr>
                <w:rFonts w:hint="eastAsia"/>
                <w:b/>
                <w:bCs/>
                <w:color w:val="auto"/>
                <w:u w:val="single"/>
                <w:vertAlign w:val="subscript"/>
                <w:lang w:val="en-US" w:eastAsia="zh-CN"/>
              </w:rPr>
              <w:t>3</w:t>
            </w:r>
            <w:r>
              <w:rPr>
                <w:rFonts w:hint="eastAsia"/>
                <w:b/>
                <w:bCs/>
                <w:color w:val="auto"/>
                <w:u w:val="single"/>
                <w:lang w:val="en-US" w:eastAsia="zh-CN"/>
              </w:rPr>
              <w:t>喷淋装置+</w:t>
            </w:r>
            <w:r>
              <w:rPr>
                <w:rFonts w:hint="eastAsia"/>
                <w:b/>
                <w:bCs/>
                <w:color w:val="auto"/>
                <w:u w:val="single"/>
              </w:rPr>
              <w:t>活性炭吸附处理</w:t>
            </w:r>
            <w:r>
              <w:rPr>
                <w:rFonts w:hint="eastAsia"/>
                <w:b/>
                <w:bCs/>
                <w:color w:val="auto"/>
                <w:u w:val="single"/>
                <w:lang w:val="en-US" w:eastAsia="zh-CN"/>
              </w:rPr>
              <w:t>）</w:t>
            </w:r>
          </w:p>
        </w:tc>
        <w:tc>
          <w:tcPr>
            <w:tcW w:w="1058" w:type="pct"/>
            <w:vMerge w:val="continue"/>
            <w:vAlign w:val="center"/>
          </w:tcPr>
          <w:p>
            <w:pPr>
              <w:pStyle w:val="182"/>
              <w:bidi w:val="0"/>
              <w:rPr>
                <w:b/>
                <w:bCs/>
                <w:color w:val="auto"/>
                <w:u w:val="single"/>
              </w:rPr>
            </w:pPr>
          </w:p>
        </w:tc>
        <w:tc>
          <w:tcPr>
            <w:tcW w:w="589" w:type="pct"/>
            <w:vAlign w:val="center"/>
          </w:tcPr>
          <w:p>
            <w:pPr>
              <w:pStyle w:val="182"/>
              <w:bidi w:val="0"/>
              <w:rPr>
                <w:rFonts w:hint="default"/>
                <w:b/>
                <w:bCs/>
                <w:color w:val="auto"/>
                <w:u w:val="single"/>
                <w:lang w:val="en-US" w:eastAsia="zh-CN"/>
              </w:rPr>
            </w:pPr>
            <w:r>
              <w:rPr>
                <w:rFonts w:hint="eastAsia"/>
                <w:b/>
                <w:bCs/>
                <w:color w:val="auto"/>
                <w:u w:val="single"/>
                <w:lang w:val="en-US" w:eastAsia="zh-CN"/>
              </w:rPr>
              <w:t>/</w:t>
            </w:r>
          </w:p>
        </w:tc>
        <w:tc>
          <w:tcPr>
            <w:tcW w:w="615"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1.2</w:t>
            </w:r>
          </w:p>
        </w:tc>
        <w:tc>
          <w:tcPr>
            <w:tcW w:w="498" w:type="pct"/>
            <w:vAlign w:val="center"/>
          </w:tcPr>
          <w:p>
            <w:pPr>
              <w:pStyle w:val="182"/>
              <w:bidi w:val="0"/>
              <w:rPr>
                <w:rFonts w:hint="default"/>
                <w:b/>
                <w:bCs/>
                <w:color w:val="auto"/>
                <w:u w:val="single"/>
                <w:lang w:val="en-US" w:eastAsia="zh-CN"/>
              </w:rPr>
            </w:pPr>
            <w:r>
              <w:rPr>
                <w:rFonts w:hint="eastAsia"/>
                <w:b/>
                <w:bCs/>
                <w:color w:val="auto"/>
                <w:u w:val="single"/>
                <w:lang w:val="en-US" w:eastAsia="zh-CN"/>
              </w:rPr>
              <w:t>0.00061kg/a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pPr>
              <w:pStyle w:val="182"/>
              <w:bidi w:val="0"/>
              <w:rPr>
                <w:rFonts w:hint="default"/>
                <w:b/>
                <w:bCs/>
                <w:color w:val="auto"/>
                <w:u w:val="single"/>
                <w:lang w:val="en-US" w:eastAsia="zh-CN"/>
              </w:rPr>
            </w:pPr>
            <w:r>
              <w:rPr>
                <w:rFonts w:hint="eastAsia"/>
                <w:b/>
                <w:bCs/>
                <w:color w:val="auto"/>
                <w:u w:val="single"/>
                <w:lang w:val="en-US" w:eastAsia="zh-CN"/>
              </w:rPr>
              <w:t>3</w:t>
            </w:r>
          </w:p>
        </w:tc>
        <w:tc>
          <w:tcPr>
            <w:tcW w:w="389" w:type="pct"/>
            <w:vAlign w:val="center"/>
          </w:tcPr>
          <w:p>
            <w:pPr>
              <w:pStyle w:val="182"/>
              <w:bidi w:val="0"/>
              <w:rPr>
                <w:rFonts w:hint="default"/>
                <w:b/>
                <w:bCs/>
                <w:color w:val="auto"/>
                <w:u w:val="single"/>
                <w:lang w:val="en-US" w:eastAsia="zh-CN"/>
              </w:rPr>
            </w:pPr>
            <w:r>
              <w:rPr>
                <w:rFonts w:hint="eastAsia"/>
                <w:b/>
                <w:bCs/>
                <w:color w:val="auto"/>
                <w:u w:val="single"/>
                <w:lang w:val="en-US" w:eastAsia="zh-CN"/>
              </w:rPr>
              <w:t>木质素混合物烘干</w:t>
            </w:r>
          </w:p>
        </w:tc>
        <w:tc>
          <w:tcPr>
            <w:tcW w:w="454" w:type="pct"/>
            <w:vAlign w:val="center"/>
          </w:tcPr>
          <w:p>
            <w:pPr>
              <w:pStyle w:val="182"/>
              <w:bidi w:val="0"/>
              <w:rPr>
                <w:rFonts w:hint="default"/>
                <w:b/>
                <w:bCs/>
                <w:color w:val="auto"/>
                <w:u w:val="single"/>
                <w:lang w:val="en-US" w:eastAsia="zh-CN"/>
              </w:rPr>
            </w:pPr>
            <w:r>
              <w:rPr>
                <w:rFonts w:hint="eastAsia"/>
                <w:b/>
                <w:bCs/>
                <w:color w:val="auto"/>
                <w:u w:val="single"/>
                <w:lang w:val="en-US" w:eastAsia="zh-CN"/>
              </w:rPr>
              <w:t>干燥废气</w:t>
            </w:r>
          </w:p>
        </w:tc>
        <w:tc>
          <w:tcPr>
            <w:tcW w:w="378" w:type="pct"/>
            <w:vAlign w:val="center"/>
          </w:tcPr>
          <w:p>
            <w:pPr>
              <w:pStyle w:val="182"/>
              <w:bidi w:val="0"/>
              <w:rPr>
                <w:rFonts w:hint="default"/>
                <w:b/>
                <w:bCs/>
                <w:color w:val="auto"/>
                <w:u w:val="single"/>
                <w:lang w:val="en-US" w:eastAsia="zh-CN"/>
              </w:rPr>
            </w:pPr>
            <w:r>
              <w:rPr>
                <w:rFonts w:hint="eastAsia"/>
                <w:b/>
                <w:bCs/>
                <w:color w:val="auto"/>
                <w:u w:val="single"/>
                <w:lang w:val="en-US" w:eastAsia="zh-CN"/>
              </w:rPr>
              <w:t>有组织颗粒物</w:t>
            </w:r>
          </w:p>
        </w:tc>
        <w:tc>
          <w:tcPr>
            <w:tcW w:w="78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袋式除尘、洒水降尘</w:t>
            </w:r>
          </w:p>
        </w:tc>
        <w:tc>
          <w:tcPr>
            <w:tcW w:w="1058" w:type="pct"/>
            <w:vMerge w:val="continue"/>
            <w:vAlign w:val="center"/>
          </w:tcPr>
          <w:p>
            <w:pPr>
              <w:pStyle w:val="182"/>
              <w:bidi w:val="0"/>
              <w:rPr>
                <w:rFonts w:hint="default" w:eastAsia="宋体"/>
                <w:b/>
                <w:bCs/>
                <w:color w:val="auto"/>
                <w:u w:val="single"/>
                <w:lang w:val="en-US" w:eastAsia="zh-CN"/>
              </w:rPr>
            </w:pPr>
          </w:p>
        </w:tc>
        <w:tc>
          <w:tcPr>
            <w:tcW w:w="589" w:type="pct"/>
            <w:vAlign w:val="center"/>
          </w:tcPr>
          <w:p>
            <w:pPr>
              <w:pStyle w:val="182"/>
              <w:bidi w:val="0"/>
              <w:rPr>
                <w:rFonts w:hint="default"/>
                <w:b/>
                <w:bCs/>
                <w:color w:val="auto"/>
                <w:u w:val="single"/>
                <w:lang w:val="en-US" w:eastAsia="zh-CN"/>
              </w:rPr>
            </w:pPr>
            <w:r>
              <w:rPr>
                <w:rFonts w:hint="eastAsia"/>
                <w:b/>
                <w:bCs/>
                <w:color w:val="auto"/>
                <w:u w:val="single"/>
                <w:lang w:val="en-US" w:eastAsia="zh-CN"/>
              </w:rPr>
              <w:t>3.5（15m）</w:t>
            </w:r>
          </w:p>
        </w:tc>
        <w:tc>
          <w:tcPr>
            <w:tcW w:w="615" w:type="pct"/>
            <w:vAlign w:val="center"/>
          </w:tcPr>
          <w:p>
            <w:pPr>
              <w:pStyle w:val="182"/>
              <w:bidi w:val="0"/>
              <w:rPr>
                <w:rFonts w:hint="default"/>
                <w:b/>
                <w:bCs/>
                <w:color w:val="auto"/>
                <w:u w:val="single"/>
                <w:lang w:val="en-US" w:eastAsia="zh-CN"/>
              </w:rPr>
            </w:pPr>
            <w:r>
              <w:rPr>
                <w:rFonts w:hint="eastAsia"/>
                <w:b/>
                <w:bCs/>
                <w:color w:val="auto"/>
                <w:u w:val="single"/>
                <w:lang w:val="en-US" w:eastAsia="zh-CN"/>
              </w:rPr>
              <w:t>10</w:t>
            </w:r>
          </w:p>
        </w:tc>
        <w:tc>
          <w:tcPr>
            <w:tcW w:w="498" w:type="pct"/>
            <w:vAlign w:val="center"/>
          </w:tcPr>
          <w:p>
            <w:pPr>
              <w:pStyle w:val="182"/>
              <w:bidi w:val="0"/>
              <w:rPr>
                <w:rFonts w:hint="default"/>
                <w:b/>
                <w:bCs/>
                <w:color w:val="auto"/>
                <w:u w:val="single"/>
                <w:lang w:val="en-US" w:eastAsia="zh-CN"/>
              </w:rPr>
            </w:pPr>
            <w:r>
              <w:rPr>
                <w:rFonts w:hint="eastAsia"/>
                <w:b/>
                <w:bCs/>
                <w:color w:val="auto"/>
                <w:u w:val="single"/>
                <w:lang w:val="en-US" w:eastAsia="zh-CN"/>
              </w:rPr>
              <w:t>0.706</w:t>
            </w:r>
            <w:r>
              <w:rPr>
                <w:b/>
                <w:bCs/>
                <w:color w:val="auto"/>
                <w:u w:val="singl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cs="Times New Roman"/>
                <w:b/>
                <w:bCs/>
                <w:color w:val="auto"/>
                <w:kern w:val="2"/>
                <w:sz w:val="21"/>
                <w:szCs w:val="21"/>
                <w:u w:val="single"/>
                <w:lang w:val="en-US" w:eastAsia="zh-CN" w:bidi="ar-SA"/>
              </w:rPr>
              <w:t>4</w:t>
            </w:r>
          </w:p>
        </w:tc>
        <w:tc>
          <w:tcPr>
            <w:tcW w:w="389" w:type="pct"/>
            <w:vAlign w:val="center"/>
          </w:tcPr>
          <w:p>
            <w:pPr>
              <w:pStyle w:val="182"/>
              <w:bidi w:val="0"/>
              <w:ind w:firstLine="0" w:firstLineChars="0"/>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木质素混合物烘干</w:t>
            </w:r>
          </w:p>
        </w:tc>
        <w:tc>
          <w:tcPr>
            <w:tcW w:w="454"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收集、分装</w:t>
            </w:r>
          </w:p>
        </w:tc>
        <w:tc>
          <w:tcPr>
            <w:tcW w:w="378"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无组织颗粒物</w:t>
            </w:r>
          </w:p>
        </w:tc>
        <w:tc>
          <w:tcPr>
            <w:tcW w:w="782"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封闭车间，地面硬化</w:t>
            </w:r>
          </w:p>
        </w:tc>
        <w:tc>
          <w:tcPr>
            <w:tcW w:w="1058" w:type="pct"/>
            <w:vMerge w:val="continue"/>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p>
        </w:tc>
        <w:tc>
          <w:tcPr>
            <w:tcW w:w="589"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cs="Times New Roman"/>
                <w:b/>
                <w:bCs/>
                <w:color w:val="auto"/>
                <w:kern w:val="2"/>
                <w:sz w:val="21"/>
                <w:szCs w:val="21"/>
                <w:u w:val="single"/>
                <w:lang w:val="en-US" w:eastAsia="zh-CN" w:bidi="ar-SA"/>
              </w:rPr>
              <w:t>/</w:t>
            </w:r>
          </w:p>
        </w:tc>
        <w:tc>
          <w:tcPr>
            <w:tcW w:w="615"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b/>
                <w:bCs/>
                <w:color w:val="auto"/>
                <w:u w:val="single"/>
                <w:lang w:val="en-US" w:eastAsia="zh-CN"/>
              </w:rPr>
              <w:t>1.0</w:t>
            </w:r>
          </w:p>
        </w:tc>
        <w:tc>
          <w:tcPr>
            <w:tcW w:w="498" w:type="pct"/>
            <w:vAlign w:val="center"/>
          </w:tcPr>
          <w:p>
            <w:pPr>
              <w:pStyle w:val="182"/>
              <w:bidi w:val="0"/>
              <w:ind w:firstLine="0" w:firstLineChars="0"/>
              <w:rPr>
                <w:rFonts w:hint="default" w:ascii="Times New Roman" w:hAnsi="Times New Roman" w:eastAsia="宋体" w:cs="Times New Roman"/>
                <w:b/>
                <w:bCs/>
                <w:color w:val="auto"/>
                <w:kern w:val="2"/>
                <w:sz w:val="21"/>
                <w:szCs w:val="21"/>
                <w:u w:val="single"/>
                <w:lang w:val="en-US" w:eastAsia="zh-CN" w:bidi="ar-SA"/>
              </w:rPr>
            </w:pPr>
            <w:r>
              <w:rPr>
                <w:rFonts w:hint="eastAsia" w:cs="Times New Roman"/>
                <w:b/>
                <w:bCs/>
                <w:color w:val="auto"/>
                <w:kern w:val="2"/>
                <w:sz w:val="21"/>
                <w:szCs w:val="21"/>
                <w:u w:val="single"/>
                <w:lang w:val="en-US" w:eastAsia="zh-CN" w:bidi="ar-SA"/>
              </w:rPr>
              <w:t>0.035</w:t>
            </w:r>
            <w:r>
              <w:rPr>
                <w:b/>
                <w:bCs/>
                <w:color w:val="auto"/>
                <w:u w:val="single"/>
              </w:rPr>
              <w:t>t/a</w:t>
            </w:r>
          </w:p>
        </w:tc>
      </w:tr>
    </w:tbl>
    <w:p>
      <w:pPr>
        <w:pStyle w:val="181"/>
        <w:bidi w:val="0"/>
        <w:rPr>
          <w:color w:val="auto"/>
        </w:rPr>
      </w:pPr>
      <w:r>
        <w:rPr>
          <w:color w:val="auto"/>
        </w:rPr>
        <w:t>表5</w:t>
      </w:r>
      <w:r>
        <w:rPr>
          <w:rFonts w:hint="eastAsia"/>
          <w:color w:val="auto"/>
          <w:lang w:val="en-US" w:eastAsia="zh-CN"/>
        </w:rPr>
        <w:t>.2</w:t>
      </w:r>
      <w:r>
        <w:rPr>
          <w:color w:val="auto"/>
        </w:rPr>
        <w:t>-</w:t>
      </w:r>
      <w:r>
        <w:rPr>
          <w:rFonts w:hint="eastAsia"/>
          <w:color w:val="auto"/>
          <w:lang w:val="en-US" w:eastAsia="zh-CN"/>
        </w:rPr>
        <w:t>8</w:t>
      </w:r>
      <w:r>
        <w:rPr>
          <w:color w:val="auto"/>
        </w:rPr>
        <w:t xml:space="preserve">         </w:t>
      </w:r>
      <w:r>
        <w:rPr>
          <w:rFonts w:hint="eastAsia"/>
          <w:color w:val="auto"/>
        </w:rPr>
        <w:t>本项目</w:t>
      </w:r>
      <w:r>
        <w:rPr>
          <w:color w:val="auto"/>
        </w:rPr>
        <w:t>大气污染物年排放量核算表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848"/>
        <w:gridCol w:w="3132"/>
        <w:gridCol w:w="989"/>
        <w:gridCol w:w="23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4" w:type="pct"/>
            <w:vAlign w:val="center"/>
          </w:tcPr>
          <w:p>
            <w:pPr>
              <w:pStyle w:val="182"/>
              <w:bidi w:val="0"/>
              <w:rPr>
                <w:b/>
                <w:bCs/>
                <w:color w:val="auto"/>
                <w:u w:val="single"/>
              </w:rPr>
            </w:pPr>
            <w:r>
              <w:rPr>
                <w:rFonts w:hint="eastAsia"/>
                <w:b/>
                <w:bCs/>
                <w:color w:val="auto"/>
                <w:u w:val="single"/>
              </w:rPr>
              <w:t>序号</w:t>
            </w:r>
          </w:p>
        </w:tc>
        <w:tc>
          <w:tcPr>
            <w:tcW w:w="1871" w:type="pct"/>
            <w:vAlign w:val="center"/>
          </w:tcPr>
          <w:p>
            <w:pPr>
              <w:pStyle w:val="182"/>
              <w:bidi w:val="0"/>
              <w:rPr>
                <w:b/>
                <w:bCs/>
                <w:color w:val="auto"/>
                <w:u w:val="single"/>
              </w:rPr>
            </w:pPr>
            <w:r>
              <w:rPr>
                <w:rFonts w:hint="eastAsia"/>
                <w:b/>
                <w:bCs/>
                <w:color w:val="auto"/>
                <w:u w:val="single"/>
              </w:rPr>
              <w:t>污染物</w:t>
            </w:r>
          </w:p>
        </w:tc>
        <w:tc>
          <w:tcPr>
            <w:tcW w:w="2023" w:type="pct"/>
            <w:gridSpan w:val="2"/>
            <w:vAlign w:val="center"/>
          </w:tcPr>
          <w:p>
            <w:pPr>
              <w:pStyle w:val="182"/>
              <w:bidi w:val="0"/>
              <w:rPr>
                <w:b/>
                <w:bCs/>
                <w:color w:val="auto"/>
                <w:u w:val="single"/>
              </w:rPr>
            </w:pPr>
            <w:r>
              <w:rPr>
                <w:rFonts w:hint="eastAsia"/>
                <w:b/>
                <w:bCs/>
                <w:color w:val="auto"/>
                <w:u w:val="single"/>
              </w:rPr>
              <w:t>年排放量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4" w:type="pct"/>
            <w:vMerge w:val="restart"/>
            <w:vAlign w:val="center"/>
          </w:tcPr>
          <w:p>
            <w:pPr>
              <w:pStyle w:val="182"/>
              <w:bidi w:val="0"/>
              <w:rPr>
                <w:b/>
                <w:bCs/>
                <w:color w:val="auto"/>
                <w:u w:val="single"/>
              </w:rPr>
            </w:pPr>
            <w:r>
              <w:rPr>
                <w:b/>
                <w:bCs/>
                <w:color w:val="auto"/>
                <w:u w:val="single"/>
              </w:rPr>
              <w:t>1</w:t>
            </w:r>
          </w:p>
        </w:tc>
        <w:tc>
          <w:tcPr>
            <w:tcW w:w="1871" w:type="pct"/>
            <w:vMerge w:val="restart"/>
            <w:vAlign w:val="center"/>
          </w:tcPr>
          <w:p>
            <w:pPr>
              <w:pStyle w:val="182"/>
              <w:bidi w:val="0"/>
              <w:rPr>
                <w:rFonts w:hint="eastAsia"/>
                <w:b/>
                <w:bCs/>
                <w:color w:val="auto"/>
                <w:u w:val="single"/>
                <w:lang w:eastAsia="zh-CN"/>
              </w:rPr>
            </w:pPr>
            <w:r>
              <w:rPr>
                <w:rFonts w:hint="eastAsia"/>
                <w:b/>
                <w:bCs/>
                <w:color w:val="auto"/>
                <w:u w:val="single"/>
                <w:lang w:val="en-US" w:eastAsia="zh-CN"/>
              </w:rPr>
              <w:t>颗粒物</w:t>
            </w:r>
          </w:p>
        </w:tc>
        <w:tc>
          <w:tcPr>
            <w:tcW w:w="591" w:type="pct"/>
            <w:vAlign w:val="center"/>
          </w:tcPr>
          <w:p>
            <w:pPr>
              <w:pStyle w:val="182"/>
              <w:bidi w:val="0"/>
              <w:rPr>
                <w:b/>
                <w:bCs/>
                <w:color w:val="auto"/>
                <w:u w:val="single"/>
              </w:rPr>
            </w:pPr>
            <w:r>
              <w:rPr>
                <w:rFonts w:hint="eastAsia"/>
                <w:b/>
                <w:bCs/>
                <w:color w:val="auto"/>
                <w:u w:val="single"/>
              </w:rPr>
              <w:t>有组织</w:t>
            </w:r>
          </w:p>
        </w:tc>
        <w:tc>
          <w:tcPr>
            <w:tcW w:w="143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0.706</w:t>
            </w:r>
            <w:r>
              <w:rPr>
                <w:b/>
                <w:bCs/>
                <w:color w:val="auto"/>
                <w:u w:val="singl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4" w:type="pct"/>
            <w:vMerge w:val="continue"/>
            <w:vAlign w:val="center"/>
          </w:tcPr>
          <w:p>
            <w:pPr>
              <w:pStyle w:val="182"/>
              <w:bidi w:val="0"/>
              <w:rPr>
                <w:b/>
                <w:bCs/>
                <w:color w:val="auto"/>
                <w:u w:val="single"/>
              </w:rPr>
            </w:pPr>
          </w:p>
        </w:tc>
        <w:tc>
          <w:tcPr>
            <w:tcW w:w="1871" w:type="pct"/>
            <w:vMerge w:val="continue"/>
            <w:vAlign w:val="center"/>
          </w:tcPr>
          <w:p>
            <w:pPr>
              <w:pStyle w:val="182"/>
              <w:bidi w:val="0"/>
              <w:rPr>
                <w:b/>
                <w:bCs/>
                <w:color w:val="auto"/>
                <w:u w:val="single"/>
              </w:rPr>
            </w:pPr>
          </w:p>
        </w:tc>
        <w:tc>
          <w:tcPr>
            <w:tcW w:w="591" w:type="pct"/>
            <w:vAlign w:val="center"/>
          </w:tcPr>
          <w:p>
            <w:pPr>
              <w:pStyle w:val="182"/>
              <w:bidi w:val="0"/>
              <w:rPr>
                <w:b/>
                <w:bCs/>
                <w:color w:val="auto"/>
                <w:u w:val="single"/>
              </w:rPr>
            </w:pPr>
            <w:r>
              <w:rPr>
                <w:rFonts w:hint="eastAsia"/>
                <w:b/>
                <w:bCs/>
                <w:color w:val="auto"/>
                <w:u w:val="single"/>
              </w:rPr>
              <w:t>无组织</w:t>
            </w:r>
          </w:p>
        </w:tc>
        <w:tc>
          <w:tcPr>
            <w:tcW w:w="143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0.135</w:t>
            </w:r>
            <w:r>
              <w:rPr>
                <w:b/>
                <w:bCs/>
                <w:color w:val="auto"/>
                <w:u w:val="singl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4" w:type="pct"/>
            <w:vAlign w:val="center"/>
          </w:tcPr>
          <w:p>
            <w:pPr>
              <w:pStyle w:val="182"/>
              <w:bidi w:val="0"/>
              <w:rPr>
                <w:b/>
                <w:bCs/>
                <w:color w:val="auto"/>
                <w:u w:val="single"/>
              </w:rPr>
            </w:pPr>
            <w:r>
              <w:rPr>
                <w:b/>
                <w:bCs/>
                <w:color w:val="auto"/>
                <w:u w:val="single"/>
              </w:rPr>
              <w:t>2</w:t>
            </w:r>
          </w:p>
        </w:tc>
        <w:tc>
          <w:tcPr>
            <w:tcW w:w="1871"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硫酸雾</w:t>
            </w:r>
          </w:p>
        </w:tc>
        <w:tc>
          <w:tcPr>
            <w:tcW w:w="2023" w:type="pct"/>
            <w:gridSpan w:val="2"/>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0.00061</w:t>
            </w:r>
          </w:p>
        </w:tc>
      </w:tr>
    </w:tbl>
    <w:p>
      <w:pPr>
        <w:pStyle w:val="9"/>
        <w:bidi w:val="0"/>
        <w:rPr>
          <w:color w:val="auto"/>
        </w:rPr>
      </w:pPr>
      <w:r>
        <w:rPr>
          <w:color w:val="auto"/>
        </w:rPr>
        <w:t>5.</w:t>
      </w:r>
      <w:r>
        <w:rPr>
          <w:rFonts w:hint="eastAsia"/>
          <w:color w:val="auto"/>
          <w:lang w:val="en-US" w:eastAsia="zh-CN"/>
        </w:rPr>
        <w:t>2</w:t>
      </w:r>
      <w:r>
        <w:rPr>
          <w:color w:val="auto"/>
        </w:rPr>
        <w:t>.3大气环境影响评价结论</w:t>
      </w:r>
    </w:p>
    <w:p>
      <w:pPr>
        <w:bidi w:val="0"/>
        <w:rPr>
          <w:color w:val="auto"/>
        </w:rPr>
      </w:pPr>
      <w:r>
        <w:rPr>
          <w:color w:val="auto"/>
        </w:rPr>
        <w:t>（1）</w:t>
      </w:r>
      <w:bookmarkStart w:id="301" w:name="_Hlk121076661"/>
      <w:r>
        <w:rPr>
          <w:color w:val="auto"/>
        </w:rPr>
        <w:t>本项目各大气污染物的最大落地浓度均未达到标准值的10%，对周围环境的影响可接受。</w:t>
      </w:r>
    </w:p>
    <w:p>
      <w:pPr>
        <w:bidi w:val="0"/>
        <w:rPr>
          <w:color w:val="auto"/>
        </w:rPr>
      </w:pPr>
      <w:r>
        <w:rPr>
          <w:color w:val="auto"/>
        </w:rPr>
        <w:t>（2）本项目通过采取了严格的环保措施后，排放的</w:t>
      </w:r>
      <w:r>
        <w:rPr>
          <w:rFonts w:hint="eastAsia"/>
          <w:color w:val="auto"/>
          <w:lang w:val="en-US" w:eastAsia="zh-CN"/>
        </w:rPr>
        <w:t>有组织及无组织颗粒物均</w:t>
      </w:r>
      <w:r>
        <w:rPr>
          <w:color w:val="auto"/>
        </w:rPr>
        <w:t>可满足</w:t>
      </w:r>
      <w:r>
        <w:rPr>
          <w:rFonts w:hint="eastAsia"/>
          <w:color w:val="auto"/>
        </w:rPr>
        <w:t>《大气污染物综合排放标准》（GB16297-1996）表2排放浓度限值</w:t>
      </w:r>
      <w:r>
        <w:rPr>
          <w:rFonts w:hint="eastAsia"/>
          <w:color w:val="auto"/>
          <w:lang w:val="en-US" w:eastAsia="zh-CN"/>
        </w:rPr>
        <w:t>以及《新乡市生态环境局关于进一步规范工业企业颗粒物排放限值的通知》</w:t>
      </w:r>
      <w:r>
        <w:rPr>
          <w:rFonts w:hint="eastAsia"/>
          <w:color w:val="auto"/>
          <w:lang w:eastAsia="zh-CN"/>
        </w:rPr>
        <w:t>；</w:t>
      </w:r>
      <w:r>
        <w:rPr>
          <w:rFonts w:hint="eastAsia"/>
          <w:color w:val="auto"/>
          <w:lang w:val="en-US" w:eastAsia="zh-CN"/>
        </w:rPr>
        <w:t>新增硫酸雾的排放量可满足</w:t>
      </w:r>
      <w:r>
        <w:rPr>
          <w:rFonts w:hint="eastAsia"/>
          <w:color w:val="auto"/>
          <w:lang w:eastAsia="zh-CN"/>
        </w:rPr>
        <w:t>《</w:t>
      </w:r>
      <w:r>
        <w:rPr>
          <w:rFonts w:hint="eastAsia"/>
          <w:color w:val="auto"/>
        </w:rPr>
        <w:t>环境影响评价技术导则 大气环境》（HJ2.2-2018）附录D</w:t>
      </w:r>
      <w:r>
        <w:rPr>
          <w:color w:val="auto"/>
        </w:rPr>
        <w:t>。根据估算模型的计算结果，不会对周围村庄带来明显不利影响。</w:t>
      </w:r>
    </w:p>
    <w:bookmarkEnd w:id="301"/>
    <w:p>
      <w:pPr>
        <w:bidi w:val="0"/>
        <w:rPr>
          <w:color w:val="auto"/>
        </w:rPr>
      </w:pPr>
      <w:r>
        <w:rPr>
          <w:color w:val="auto"/>
        </w:rPr>
        <w:t>（3）总量控制</w:t>
      </w:r>
    </w:p>
    <w:p>
      <w:pPr>
        <w:bidi w:val="0"/>
        <w:rPr>
          <w:b/>
          <w:bCs/>
          <w:color w:val="auto"/>
          <w:u w:val="single"/>
        </w:rPr>
      </w:pPr>
      <w:r>
        <w:rPr>
          <w:b/>
          <w:bCs/>
          <w:color w:val="auto"/>
          <w:u w:val="single"/>
        </w:rPr>
        <w:t>根据核算，本项目总量控制指标为：</w:t>
      </w:r>
      <w:r>
        <w:rPr>
          <w:rFonts w:hint="eastAsia"/>
          <w:b/>
          <w:bCs/>
          <w:color w:val="auto"/>
          <w:u w:val="single"/>
          <w:lang w:val="en-US" w:eastAsia="zh-CN"/>
        </w:rPr>
        <w:t>有组织</w:t>
      </w:r>
      <w:r>
        <w:rPr>
          <w:b/>
          <w:bCs/>
          <w:color w:val="auto"/>
          <w:u w:val="single"/>
        </w:rPr>
        <w:t>颗粒物</w:t>
      </w:r>
      <w:r>
        <w:rPr>
          <w:rFonts w:hint="eastAsia"/>
          <w:b/>
          <w:bCs/>
          <w:color w:val="auto"/>
          <w:u w:val="single"/>
          <w:lang w:val="en-US" w:eastAsia="zh-CN"/>
        </w:rPr>
        <w:t>0.706 t/a</w:t>
      </w:r>
      <w:r>
        <w:rPr>
          <w:rFonts w:hint="eastAsia"/>
          <w:b/>
          <w:bCs/>
          <w:color w:val="auto"/>
          <w:u w:val="single"/>
          <w:lang w:eastAsia="zh-CN"/>
        </w:rPr>
        <w:t>，</w:t>
      </w:r>
      <w:r>
        <w:rPr>
          <w:rFonts w:hint="eastAsia"/>
          <w:b/>
          <w:bCs/>
          <w:color w:val="auto"/>
          <w:u w:val="single"/>
          <w:lang w:val="en-US" w:eastAsia="zh-CN"/>
        </w:rPr>
        <w:t>无组织</w:t>
      </w:r>
      <w:r>
        <w:rPr>
          <w:b/>
          <w:bCs/>
          <w:color w:val="auto"/>
          <w:u w:val="single"/>
        </w:rPr>
        <w:t>颗粒物0.</w:t>
      </w:r>
      <w:r>
        <w:rPr>
          <w:rFonts w:hint="eastAsia"/>
          <w:b/>
          <w:bCs/>
          <w:color w:val="auto"/>
          <w:u w:val="single"/>
          <w:lang w:val="en-US" w:eastAsia="zh-CN"/>
        </w:rPr>
        <w:t>135</w:t>
      </w:r>
      <w:r>
        <w:rPr>
          <w:b/>
          <w:bCs/>
          <w:color w:val="auto"/>
          <w:u w:val="single"/>
        </w:rPr>
        <w:t xml:space="preserve"> t/a。</w:t>
      </w:r>
    </w:p>
    <w:p>
      <w:pPr>
        <w:pStyle w:val="7"/>
        <w:bidi w:val="0"/>
        <w:rPr>
          <w:color w:val="auto"/>
        </w:rPr>
      </w:pPr>
      <w:bookmarkStart w:id="302" w:name="_Toc27053"/>
      <w:bookmarkStart w:id="303" w:name="_Toc67041058"/>
      <w:bookmarkStart w:id="304" w:name="_Toc12067"/>
      <w:bookmarkStart w:id="305" w:name="_Toc28866834"/>
      <w:bookmarkStart w:id="306" w:name="_Toc9453"/>
      <w:r>
        <w:rPr>
          <w:color w:val="auto"/>
        </w:rPr>
        <w:t>5.</w:t>
      </w:r>
      <w:r>
        <w:rPr>
          <w:rFonts w:hint="eastAsia"/>
          <w:color w:val="auto"/>
          <w:lang w:val="en-US" w:eastAsia="zh-CN"/>
        </w:rPr>
        <w:t>3</w:t>
      </w:r>
      <w:r>
        <w:rPr>
          <w:color w:val="auto"/>
        </w:rPr>
        <w:t>地表水环境影响评价</w:t>
      </w:r>
      <w:bookmarkEnd w:id="302"/>
      <w:bookmarkEnd w:id="303"/>
      <w:bookmarkEnd w:id="304"/>
      <w:bookmarkEnd w:id="305"/>
      <w:bookmarkEnd w:id="306"/>
    </w:p>
    <w:p>
      <w:pPr>
        <w:pStyle w:val="9"/>
        <w:bidi w:val="0"/>
        <w:rPr>
          <w:color w:val="auto"/>
        </w:rPr>
      </w:pPr>
      <w:bookmarkStart w:id="307" w:name="_Hlk79828007"/>
      <w:r>
        <w:rPr>
          <w:rFonts w:hint="eastAsia"/>
          <w:color w:val="auto"/>
        </w:rPr>
        <w:t>5.</w:t>
      </w:r>
      <w:r>
        <w:rPr>
          <w:rFonts w:hint="eastAsia"/>
          <w:color w:val="auto"/>
          <w:lang w:val="en-US" w:eastAsia="zh-CN"/>
        </w:rPr>
        <w:t>3</w:t>
      </w:r>
      <w:r>
        <w:rPr>
          <w:rFonts w:hint="eastAsia"/>
          <w:color w:val="auto"/>
        </w:rPr>
        <w:t>.1</w:t>
      </w:r>
      <w:r>
        <w:rPr>
          <w:color w:val="auto"/>
        </w:rPr>
        <w:t>项目废水排放情况</w:t>
      </w:r>
    </w:p>
    <w:p>
      <w:pPr>
        <w:bidi w:val="0"/>
        <w:rPr>
          <w:rFonts w:hint="eastAsia"/>
          <w:color w:val="auto"/>
        </w:rPr>
      </w:pPr>
      <w:r>
        <w:rPr>
          <w:rFonts w:hint="eastAsia"/>
          <w:color w:val="auto"/>
        </w:rPr>
        <w:t>工程外排废水主要有生活污水和水洗漂白工序产生的废水，其中生活污水排放量为0</w:t>
      </w:r>
      <w:r>
        <w:rPr>
          <w:color w:val="auto"/>
        </w:rPr>
        <w:t>.4</w:t>
      </w:r>
      <w:r>
        <w:rPr>
          <w:rFonts w:hint="eastAsia"/>
          <w:color w:val="auto"/>
        </w:rPr>
        <w:t>m</w:t>
      </w:r>
      <w:r>
        <w:rPr>
          <w:color w:val="auto"/>
          <w:vertAlign w:val="superscript"/>
        </w:rPr>
        <w:t>3</w:t>
      </w:r>
      <w:r>
        <w:rPr>
          <w:color w:val="auto"/>
        </w:rPr>
        <w:t>/h</w:t>
      </w:r>
      <w:r>
        <w:rPr>
          <w:rFonts w:hint="eastAsia"/>
          <w:color w:val="auto"/>
        </w:rPr>
        <w:t>，</w:t>
      </w:r>
      <w:r>
        <w:rPr>
          <w:rFonts w:hint="eastAsia"/>
          <w:color w:val="auto"/>
          <w:lang w:val="en-US" w:eastAsia="zh-CN"/>
        </w:rPr>
        <w:t>依托厂区生活设施处理后排放。</w:t>
      </w:r>
      <w:r>
        <w:rPr>
          <w:rFonts w:hint="eastAsia"/>
          <w:color w:val="auto"/>
        </w:rPr>
        <w:t>本项目建成后废水产生量为947.73 m</w:t>
      </w:r>
      <w:r>
        <w:rPr>
          <w:rFonts w:hint="eastAsia"/>
          <w:color w:val="auto"/>
          <w:vertAlign w:val="superscript"/>
        </w:rPr>
        <w:t>3</w:t>
      </w:r>
      <w:r>
        <w:rPr>
          <w:rFonts w:hint="eastAsia"/>
          <w:color w:val="auto"/>
        </w:rPr>
        <w:t>/d</w:t>
      </w:r>
      <w:r>
        <w:rPr>
          <w:rFonts w:hint="eastAsia"/>
          <w:color w:val="auto"/>
          <w:lang w:eastAsia="zh-CN"/>
        </w:rPr>
        <w:t>，</w:t>
      </w:r>
      <w:r>
        <w:rPr>
          <w:rFonts w:hint="eastAsia"/>
          <w:color w:val="auto"/>
        </w:rPr>
        <w:t>该项目产生的废水进入厂区内的3.8万t/d污水处理站处理，本项目废水采用的处理工艺为：“调节+混合池+沉淀+水解酸化+氧化沟+二沉池+混凝池+终沉池”，处理后的废水经污水管网，排入新乡市小店污水处理厂进一步处理，最终排入大沙河。</w:t>
      </w:r>
    </w:p>
    <w:p>
      <w:pPr>
        <w:bidi w:val="0"/>
        <w:rPr>
          <w:rFonts w:hint="eastAsia"/>
          <w:color w:val="auto"/>
        </w:rPr>
      </w:pPr>
      <w:r>
        <w:rPr>
          <w:rFonts w:hint="eastAsia"/>
          <w:color w:val="auto"/>
        </w:rPr>
        <w:t>本项目废水经厂区内的污水处理站处理后，厂区总排口处主要污染物的排放浓度为COD</w:t>
      </w:r>
      <w:r>
        <w:rPr>
          <w:color w:val="auto"/>
        </w:rPr>
        <w:t xml:space="preserve"> </w:t>
      </w:r>
      <w:r>
        <w:rPr>
          <w:rFonts w:hint="eastAsia"/>
          <w:color w:val="auto"/>
          <w:lang w:val="en-US" w:eastAsia="zh-CN"/>
        </w:rPr>
        <w:t>82.83</w:t>
      </w:r>
      <w:r>
        <w:rPr>
          <w:rFonts w:hint="eastAsia"/>
          <w:color w:val="auto"/>
        </w:rPr>
        <w:t>mg/L、N</w:t>
      </w:r>
      <w:r>
        <w:rPr>
          <w:color w:val="auto"/>
        </w:rPr>
        <w:t>H</w:t>
      </w:r>
      <w:r>
        <w:rPr>
          <w:color w:val="auto"/>
          <w:vertAlign w:val="subscript"/>
        </w:rPr>
        <w:t>3</w:t>
      </w:r>
      <w:r>
        <w:rPr>
          <w:color w:val="auto"/>
        </w:rPr>
        <w:t xml:space="preserve">-N </w:t>
      </w:r>
      <w:r>
        <w:rPr>
          <w:rFonts w:hint="eastAsia"/>
          <w:color w:val="auto"/>
          <w:lang w:val="en-US" w:eastAsia="zh-CN"/>
        </w:rPr>
        <w:t>4.87</w:t>
      </w:r>
      <w:r>
        <w:rPr>
          <w:color w:val="auto"/>
        </w:rPr>
        <w:t xml:space="preserve"> </w:t>
      </w:r>
      <w:r>
        <w:rPr>
          <w:rFonts w:hint="eastAsia"/>
          <w:color w:val="auto"/>
        </w:rPr>
        <w:t>mg/L、SS</w:t>
      </w:r>
      <w:r>
        <w:rPr>
          <w:color w:val="auto"/>
        </w:rPr>
        <w:t xml:space="preserve"> </w:t>
      </w:r>
      <w:r>
        <w:rPr>
          <w:rFonts w:hint="eastAsia"/>
          <w:color w:val="auto"/>
          <w:lang w:val="en-US" w:eastAsia="zh-CN"/>
        </w:rPr>
        <w:t>9.24</w:t>
      </w:r>
      <w:r>
        <w:rPr>
          <w:rFonts w:hint="eastAsia"/>
          <w:color w:val="auto"/>
        </w:rPr>
        <w:t>mg/L、BOD</w:t>
      </w:r>
      <w:r>
        <w:rPr>
          <w:color w:val="auto"/>
        </w:rPr>
        <w:t xml:space="preserve"> </w:t>
      </w:r>
      <w:r>
        <w:rPr>
          <w:rFonts w:hint="eastAsia"/>
          <w:color w:val="auto"/>
          <w:lang w:val="en-US" w:eastAsia="zh-CN"/>
        </w:rPr>
        <w:t>14.69</w:t>
      </w:r>
      <w:r>
        <w:rPr>
          <w:rFonts w:hint="eastAsia"/>
          <w:color w:val="auto"/>
        </w:rPr>
        <w:t>mg/L、TN</w:t>
      </w:r>
      <w:r>
        <w:rPr>
          <w:color w:val="auto"/>
        </w:rPr>
        <w:t xml:space="preserve"> </w:t>
      </w:r>
      <w:r>
        <w:rPr>
          <w:rFonts w:hint="eastAsia"/>
          <w:color w:val="auto"/>
          <w:lang w:val="en-US" w:eastAsia="zh-CN"/>
        </w:rPr>
        <w:t>10.03</w:t>
      </w:r>
      <w:r>
        <w:rPr>
          <w:rFonts w:hint="eastAsia"/>
          <w:color w:val="auto"/>
        </w:rPr>
        <w:t>mg/L、TP</w:t>
      </w:r>
      <w:r>
        <w:rPr>
          <w:color w:val="auto"/>
        </w:rPr>
        <w:t xml:space="preserve"> 0.</w:t>
      </w:r>
      <w:r>
        <w:rPr>
          <w:rFonts w:hint="eastAsia"/>
          <w:color w:val="auto"/>
          <w:lang w:val="en-US" w:eastAsia="zh-CN"/>
        </w:rPr>
        <w:t>31</w:t>
      </w:r>
      <w:r>
        <w:rPr>
          <w:rFonts w:hint="eastAsia"/>
          <w:color w:val="auto"/>
        </w:rPr>
        <w:t>mg/L，各污染因子均能满足《污水综合排放标准》（GB8978-1996）表4</w:t>
      </w:r>
      <w:r>
        <w:rPr>
          <w:rFonts w:hint="eastAsia"/>
          <w:color w:val="auto"/>
          <w:lang w:val="en-US" w:eastAsia="zh-CN"/>
        </w:rPr>
        <w:t>二级</w:t>
      </w:r>
      <w:r>
        <w:rPr>
          <w:rFonts w:hint="eastAsia"/>
          <w:color w:val="auto"/>
        </w:rPr>
        <w:t>（化纤浆粕工业）标准限值要求，</w:t>
      </w:r>
      <w:r>
        <w:rPr>
          <w:rFonts w:hint="eastAsia"/>
          <w:color w:val="auto"/>
          <w:lang w:val="en-US" w:eastAsia="zh-CN"/>
        </w:rPr>
        <w:t>企业</w:t>
      </w:r>
      <w:r>
        <w:rPr>
          <w:rFonts w:hint="eastAsia"/>
          <w:color w:val="auto"/>
        </w:rPr>
        <w:t>排污许可证废水最高允许排放浓度</w:t>
      </w:r>
      <w:r>
        <w:rPr>
          <w:rFonts w:hint="eastAsia"/>
          <w:color w:val="auto"/>
          <w:lang w:eastAsia="zh-CN"/>
        </w:rPr>
        <w:t>，</w:t>
      </w:r>
      <w:r>
        <w:rPr>
          <w:rFonts w:hint="eastAsia"/>
          <w:color w:val="auto"/>
        </w:rPr>
        <w:t>同时也可满足新乡市小店污水处理厂的收水水质要求。</w:t>
      </w:r>
    </w:p>
    <w:bookmarkEnd w:id="307"/>
    <w:p>
      <w:pPr>
        <w:pStyle w:val="9"/>
        <w:bidi w:val="0"/>
        <w:rPr>
          <w:color w:val="auto"/>
        </w:rPr>
      </w:pPr>
      <w:r>
        <w:rPr>
          <w:color w:val="auto"/>
        </w:rPr>
        <w:t>5.</w:t>
      </w:r>
      <w:r>
        <w:rPr>
          <w:rFonts w:hint="eastAsia"/>
          <w:color w:val="auto"/>
          <w:lang w:val="en-US" w:eastAsia="zh-CN"/>
        </w:rPr>
        <w:t>3</w:t>
      </w:r>
      <w:r>
        <w:rPr>
          <w:color w:val="auto"/>
        </w:rPr>
        <w:t>.</w:t>
      </w:r>
      <w:r>
        <w:rPr>
          <w:rFonts w:hint="eastAsia"/>
          <w:color w:val="auto"/>
          <w:lang w:val="en-US" w:eastAsia="zh-CN"/>
        </w:rPr>
        <w:t>2</w:t>
      </w:r>
      <w:r>
        <w:rPr>
          <w:rFonts w:hint="eastAsia"/>
          <w:color w:val="auto"/>
        </w:rPr>
        <w:t>新乡市小店</w:t>
      </w:r>
      <w:r>
        <w:rPr>
          <w:color w:val="auto"/>
        </w:rPr>
        <w:t>污水处理厂概况</w:t>
      </w:r>
    </w:p>
    <w:p>
      <w:pPr>
        <w:bidi w:val="0"/>
        <w:rPr>
          <w:color w:val="auto"/>
        </w:rPr>
      </w:pPr>
      <w:r>
        <w:rPr>
          <w:rFonts w:hint="eastAsia"/>
          <w:color w:val="auto"/>
        </w:rPr>
        <w:t>新乡市小店污水处理厂位于新长北线以北、东三干渠以西，紧邻规划区西边界，设计处理规模为10万m</w:t>
      </w:r>
      <w:r>
        <w:rPr>
          <w:rFonts w:hint="eastAsia"/>
          <w:color w:val="auto"/>
          <w:vertAlign w:val="superscript"/>
        </w:rPr>
        <w:t>3</w:t>
      </w:r>
      <w:r>
        <w:rPr>
          <w:rFonts w:hint="eastAsia"/>
          <w:color w:val="auto"/>
        </w:rPr>
        <w:t>/d，共分两期建设。目前均已建成正常运行。采用的工艺为“粗格栅</w:t>
      </w:r>
      <w:r>
        <w:rPr>
          <w:rFonts w:hint="eastAsia"/>
          <w:color w:val="auto"/>
          <w:lang w:eastAsia="zh-CN"/>
        </w:rPr>
        <w:t>－</w:t>
      </w:r>
      <w:r>
        <w:rPr>
          <w:rFonts w:hint="eastAsia"/>
          <w:color w:val="auto"/>
        </w:rPr>
        <w:t>细格栅</w:t>
      </w:r>
      <w:r>
        <w:rPr>
          <w:rFonts w:hint="eastAsia"/>
          <w:color w:val="auto"/>
          <w:lang w:eastAsia="zh-CN"/>
        </w:rPr>
        <w:t>－</w:t>
      </w:r>
      <w:r>
        <w:rPr>
          <w:rFonts w:hint="eastAsia"/>
          <w:color w:val="auto"/>
        </w:rPr>
        <w:t>沉砂池</w:t>
      </w:r>
      <w:r>
        <w:rPr>
          <w:rFonts w:hint="eastAsia"/>
          <w:color w:val="auto"/>
          <w:lang w:eastAsia="zh-CN"/>
        </w:rPr>
        <w:t>－</w:t>
      </w:r>
      <w:r>
        <w:rPr>
          <w:rFonts w:hint="eastAsia"/>
          <w:color w:val="auto"/>
        </w:rPr>
        <w:t>水解酸化池</w:t>
      </w:r>
      <w:r>
        <w:rPr>
          <w:rFonts w:hint="eastAsia"/>
          <w:color w:val="auto"/>
          <w:lang w:eastAsia="zh-CN"/>
        </w:rPr>
        <w:t>－</w:t>
      </w:r>
      <w:r>
        <w:rPr>
          <w:rFonts w:hint="eastAsia"/>
          <w:color w:val="auto"/>
        </w:rPr>
        <w:t>改良型A</w:t>
      </w:r>
      <w:r>
        <w:rPr>
          <w:rFonts w:hint="eastAsia"/>
          <w:color w:val="auto"/>
          <w:vertAlign w:val="superscript"/>
        </w:rPr>
        <w:t>2</w:t>
      </w:r>
      <w:r>
        <w:rPr>
          <w:rFonts w:hint="eastAsia"/>
          <w:color w:val="auto"/>
        </w:rPr>
        <w:t>/O</w:t>
      </w:r>
      <w:r>
        <w:rPr>
          <w:rFonts w:hint="eastAsia"/>
          <w:color w:val="auto"/>
          <w:lang w:eastAsia="zh-CN"/>
        </w:rPr>
        <w:t>－</w:t>
      </w:r>
      <w:r>
        <w:rPr>
          <w:rFonts w:hint="eastAsia"/>
          <w:color w:val="auto"/>
        </w:rPr>
        <w:t>二沉池</w:t>
      </w:r>
      <w:r>
        <w:rPr>
          <w:rFonts w:hint="eastAsia"/>
          <w:color w:val="auto"/>
          <w:lang w:eastAsia="zh-CN"/>
        </w:rPr>
        <w:t>－</w:t>
      </w:r>
      <w:r>
        <w:rPr>
          <w:rFonts w:hint="eastAsia"/>
          <w:color w:val="auto"/>
        </w:rPr>
        <w:t>反应沉淀池</w:t>
      </w:r>
      <w:r>
        <w:rPr>
          <w:rFonts w:hint="eastAsia"/>
          <w:color w:val="auto"/>
          <w:lang w:eastAsia="zh-CN"/>
        </w:rPr>
        <w:t>－</w:t>
      </w:r>
      <w:r>
        <w:rPr>
          <w:rFonts w:hint="eastAsia"/>
          <w:color w:val="auto"/>
        </w:rPr>
        <w:t>纤维球滤池</w:t>
      </w:r>
      <w:r>
        <w:rPr>
          <w:rFonts w:hint="eastAsia"/>
          <w:color w:val="auto"/>
          <w:lang w:eastAsia="zh-CN"/>
        </w:rPr>
        <w:t>－</w:t>
      </w:r>
      <w:r>
        <w:rPr>
          <w:rFonts w:hint="eastAsia"/>
          <w:color w:val="auto"/>
        </w:rPr>
        <w:t>消毒池”。设计进水水质为COD</w:t>
      </w:r>
      <w:r>
        <w:rPr>
          <w:color w:val="auto"/>
        </w:rPr>
        <w:t xml:space="preserve"> </w:t>
      </w:r>
      <w:r>
        <w:rPr>
          <w:rFonts w:hint="eastAsia"/>
          <w:color w:val="auto"/>
        </w:rPr>
        <w:t>350mg/L、SS</w:t>
      </w:r>
      <w:r>
        <w:rPr>
          <w:color w:val="auto"/>
        </w:rPr>
        <w:t xml:space="preserve"> </w:t>
      </w:r>
      <w:r>
        <w:rPr>
          <w:rFonts w:hint="eastAsia"/>
          <w:color w:val="auto"/>
        </w:rPr>
        <w:t>280mg/L、NH</w:t>
      </w:r>
      <w:r>
        <w:rPr>
          <w:rFonts w:hint="eastAsia"/>
          <w:color w:val="auto"/>
          <w:vertAlign w:val="subscript"/>
        </w:rPr>
        <w:t>3</w:t>
      </w:r>
      <w:r>
        <w:rPr>
          <w:rFonts w:hint="eastAsia"/>
          <w:color w:val="auto"/>
        </w:rPr>
        <w:t>-N 30mg/L、TN</w:t>
      </w:r>
      <w:r>
        <w:rPr>
          <w:color w:val="auto"/>
        </w:rPr>
        <w:t xml:space="preserve"> </w:t>
      </w:r>
      <w:r>
        <w:rPr>
          <w:rFonts w:hint="eastAsia"/>
          <w:color w:val="auto"/>
        </w:rPr>
        <w:t>40mg/L、TP</w:t>
      </w:r>
      <w:r>
        <w:rPr>
          <w:color w:val="auto"/>
        </w:rPr>
        <w:t xml:space="preserve"> </w:t>
      </w:r>
      <w:r>
        <w:rPr>
          <w:rFonts w:hint="eastAsia"/>
          <w:color w:val="auto"/>
        </w:rPr>
        <w:t>3mg/L，出水水质达到《地表水环境质量标准》（GB3838-2002）</w:t>
      </w:r>
      <w:r>
        <w:rPr>
          <w:rFonts w:hint="eastAsia" w:ascii="宋体" w:hAnsi="宋体" w:eastAsia="宋体" w:cs="宋体"/>
          <w:color w:val="auto"/>
        </w:rPr>
        <w:t>Ⅴ</w:t>
      </w:r>
      <w:r>
        <w:rPr>
          <w:color w:val="auto"/>
        </w:rPr>
        <w:t>类</w:t>
      </w:r>
      <w:r>
        <w:rPr>
          <w:rFonts w:hint="eastAsia"/>
          <w:color w:val="auto"/>
        </w:rPr>
        <w:t>标准和《城镇污水处理厂污染物排放标准》（GB18918-2002）一级A的要求：COD 40mg/L、NH</w:t>
      </w:r>
      <w:r>
        <w:rPr>
          <w:rFonts w:hint="eastAsia"/>
          <w:color w:val="auto"/>
          <w:vertAlign w:val="subscript"/>
        </w:rPr>
        <w:t>3</w:t>
      </w:r>
      <w:r>
        <w:rPr>
          <w:rFonts w:hint="eastAsia"/>
          <w:color w:val="auto"/>
        </w:rPr>
        <w:t>-N 2.0mg/L、TN 15mg/L、TP 0.4mg/L，最终排入大沙河。</w:t>
      </w:r>
    </w:p>
    <w:p>
      <w:pPr>
        <w:pStyle w:val="9"/>
        <w:bidi w:val="0"/>
        <w:rPr>
          <w:color w:val="auto"/>
        </w:rPr>
      </w:pPr>
      <w:r>
        <w:rPr>
          <w:color w:val="auto"/>
        </w:rPr>
        <w:t>5.</w:t>
      </w:r>
      <w:r>
        <w:rPr>
          <w:rFonts w:hint="eastAsia"/>
          <w:color w:val="auto"/>
          <w:lang w:val="en-US" w:eastAsia="zh-CN"/>
        </w:rPr>
        <w:t>3</w:t>
      </w:r>
      <w:r>
        <w:rPr>
          <w:color w:val="auto"/>
        </w:rPr>
        <w:t>.</w:t>
      </w:r>
      <w:r>
        <w:rPr>
          <w:rFonts w:hint="eastAsia"/>
          <w:color w:val="auto"/>
          <w:lang w:val="en-US" w:eastAsia="zh-CN"/>
        </w:rPr>
        <w:t>3</w:t>
      </w:r>
      <w:r>
        <w:rPr>
          <w:rFonts w:hint="eastAsia"/>
          <w:color w:val="auto"/>
        </w:rPr>
        <w:t>项目废水进入新乡市小店污水处理厂的可行性分析</w:t>
      </w:r>
    </w:p>
    <w:p>
      <w:pPr>
        <w:bidi w:val="0"/>
        <w:rPr>
          <w:color w:val="auto"/>
        </w:rPr>
      </w:pPr>
      <w:r>
        <w:rPr>
          <w:rFonts w:hint="eastAsia"/>
          <w:color w:val="auto"/>
        </w:rPr>
        <w:t>（1）水量及收水管网条件</w:t>
      </w:r>
    </w:p>
    <w:p>
      <w:pPr>
        <w:bidi w:val="0"/>
        <w:rPr>
          <w:color w:val="auto"/>
        </w:rPr>
      </w:pPr>
      <w:r>
        <w:rPr>
          <w:rFonts w:hint="eastAsia"/>
          <w:color w:val="auto"/>
        </w:rPr>
        <w:t>a．小店污水处理厂位于新长北线以北、东三干渠以西，紧邻规划区西边界，设计处理规模为10万m</w:t>
      </w:r>
      <w:r>
        <w:rPr>
          <w:rFonts w:hint="eastAsia"/>
          <w:color w:val="auto"/>
          <w:vertAlign w:val="superscript"/>
        </w:rPr>
        <w:t>3</w:t>
      </w:r>
      <w:r>
        <w:rPr>
          <w:rFonts w:hint="eastAsia"/>
          <w:color w:val="auto"/>
        </w:rPr>
        <w:t>/d，分两期建设。一期5万m</w:t>
      </w:r>
      <w:r>
        <w:rPr>
          <w:rFonts w:hint="eastAsia"/>
          <w:color w:val="auto"/>
          <w:vertAlign w:val="superscript"/>
        </w:rPr>
        <w:t>3</w:t>
      </w:r>
      <w:r>
        <w:rPr>
          <w:rFonts w:hint="eastAsia"/>
          <w:color w:val="auto"/>
        </w:rPr>
        <w:t>/d目前已运行多年，目前接近满负荷运营，二期工程已于2018年1月开始调试运行。小店污水处理厂的收水范围为小店新城生活污水、新乡市经济技术开发区的工业和生活污水，本项目属于小店污水处理厂的收水范围。</w:t>
      </w:r>
    </w:p>
    <w:p>
      <w:pPr>
        <w:bidi w:val="0"/>
        <w:rPr>
          <w:color w:val="auto"/>
        </w:rPr>
      </w:pPr>
      <w:r>
        <w:rPr>
          <w:rFonts w:hint="eastAsia"/>
          <w:color w:val="auto"/>
        </w:rPr>
        <w:t>本项目废水经厂区污水处理系统处理后排入小店污水处理厂进一步处理，处理后排入大沙河。经查阅小店污水处理厂在线监测信息，该污水处理厂现最大进水量为7.81万m</w:t>
      </w:r>
      <w:r>
        <w:rPr>
          <w:rFonts w:hint="eastAsia"/>
          <w:color w:val="auto"/>
          <w:vertAlign w:val="superscript"/>
        </w:rPr>
        <w:t>3</w:t>
      </w:r>
      <w:r>
        <w:rPr>
          <w:rFonts w:hint="eastAsia"/>
          <w:color w:val="auto"/>
        </w:rPr>
        <w:t>，小店污水处理厂尚有2.19万m</w:t>
      </w:r>
      <w:r>
        <w:rPr>
          <w:rFonts w:hint="eastAsia"/>
          <w:color w:val="auto"/>
          <w:vertAlign w:val="superscript"/>
        </w:rPr>
        <w:t>3</w:t>
      </w:r>
      <w:r>
        <w:rPr>
          <w:rFonts w:hint="eastAsia"/>
          <w:color w:val="auto"/>
        </w:rPr>
        <w:t>/d的余量。本项目新增外排废水</w:t>
      </w:r>
      <w:r>
        <w:rPr>
          <w:rFonts w:hint="eastAsia"/>
          <w:color w:val="auto"/>
          <w:lang w:val="en-US" w:eastAsia="zh-CN"/>
        </w:rPr>
        <w:t>947.73</w:t>
      </w:r>
      <w:r>
        <w:rPr>
          <w:rFonts w:hint="eastAsia"/>
          <w:color w:val="auto"/>
        </w:rPr>
        <w:t>m</w:t>
      </w:r>
      <w:r>
        <w:rPr>
          <w:rFonts w:hint="eastAsia"/>
          <w:color w:val="auto"/>
          <w:vertAlign w:val="superscript"/>
        </w:rPr>
        <w:t>3</w:t>
      </w:r>
      <w:r>
        <w:rPr>
          <w:rFonts w:hint="eastAsia"/>
          <w:color w:val="auto"/>
        </w:rPr>
        <w:t>/d，约占剩余处理能力的</w:t>
      </w:r>
      <w:r>
        <w:rPr>
          <w:rFonts w:hint="eastAsia"/>
          <w:color w:val="auto"/>
          <w:lang w:val="en-US" w:eastAsia="zh-CN"/>
        </w:rPr>
        <w:t>4.33</w:t>
      </w:r>
      <w:r>
        <w:rPr>
          <w:rFonts w:hint="eastAsia"/>
          <w:color w:val="auto"/>
        </w:rPr>
        <w:t>%，满足项目处理的需要，不会对污水处理厂造成冲击，可以稳定达标排放。</w:t>
      </w:r>
    </w:p>
    <w:p>
      <w:pPr>
        <w:bidi w:val="0"/>
        <w:rPr>
          <w:color w:val="auto"/>
        </w:rPr>
      </w:pPr>
      <w:r>
        <w:rPr>
          <w:rFonts w:hint="eastAsia"/>
          <w:color w:val="auto"/>
        </w:rPr>
        <w:t>b．小店污水处理厂管网铺设已完善并运行良好，本工程废水进入小店污水处理厂不存在管网制约因素。</w:t>
      </w:r>
    </w:p>
    <w:p>
      <w:pPr>
        <w:bidi w:val="0"/>
        <w:rPr>
          <w:color w:val="auto"/>
        </w:rPr>
      </w:pPr>
      <w:r>
        <w:rPr>
          <w:rFonts w:hint="eastAsia"/>
          <w:color w:val="auto"/>
        </w:rPr>
        <w:t>（2）水质</w:t>
      </w:r>
    </w:p>
    <w:p>
      <w:pPr>
        <w:bidi w:val="0"/>
        <w:rPr>
          <w:color w:val="auto"/>
        </w:rPr>
      </w:pPr>
      <w:r>
        <w:rPr>
          <w:rFonts w:hint="eastAsia"/>
          <w:color w:val="auto"/>
        </w:rPr>
        <w:t>本工程废水经公司污水处理站处理后经经开区管网入小店污水处理厂进行处理，厂区总排口水质见表</w:t>
      </w:r>
      <w:r>
        <w:rPr>
          <w:color w:val="auto"/>
        </w:rPr>
        <w:t>5.</w:t>
      </w:r>
      <w:r>
        <w:rPr>
          <w:rFonts w:hint="eastAsia"/>
          <w:color w:val="auto"/>
          <w:lang w:val="en-US" w:eastAsia="zh-CN"/>
        </w:rPr>
        <w:t>3</w:t>
      </w:r>
      <w:r>
        <w:rPr>
          <w:rFonts w:hint="eastAsia"/>
          <w:color w:val="auto"/>
        </w:rPr>
        <w:t>-</w:t>
      </w:r>
      <w:r>
        <w:rPr>
          <w:color w:val="auto"/>
        </w:rPr>
        <w:t>1</w:t>
      </w:r>
      <w:r>
        <w:rPr>
          <w:rFonts w:hint="eastAsia"/>
          <w:color w:val="auto"/>
        </w:rPr>
        <w:t>。</w:t>
      </w:r>
    </w:p>
    <w:p>
      <w:pPr>
        <w:pStyle w:val="181"/>
        <w:bidi w:val="0"/>
        <w:rPr>
          <w:color w:val="auto"/>
        </w:rPr>
      </w:pPr>
      <w:r>
        <w:rPr>
          <w:color w:val="auto"/>
        </w:rPr>
        <w:t>表5</w:t>
      </w:r>
      <w:r>
        <w:rPr>
          <w:rFonts w:hint="eastAsia"/>
          <w:color w:val="auto"/>
        </w:rPr>
        <w:t>.</w:t>
      </w:r>
      <w:r>
        <w:rPr>
          <w:rFonts w:hint="eastAsia"/>
          <w:color w:val="auto"/>
          <w:lang w:val="en-US" w:eastAsia="zh-CN"/>
        </w:rPr>
        <w:t>3</w:t>
      </w:r>
      <w:r>
        <w:rPr>
          <w:color w:val="auto"/>
        </w:rPr>
        <w:t>-1  项目排水与</w:t>
      </w:r>
      <w:r>
        <w:rPr>
          <w:rFonts w:hint="eastAsia"/>
          <w:color w:val="auto"/>
        </w:rPr>
        <w:t>小店</w:t>
      </w:r>
      <w:r>
        <w:rPr>
          <w:color w:val="auto"/>
        </w:rPr>
        <w:t>污水处理厂收水水质对比单位：mg/L</w:t>
      </w:r>
    </w:p>
    <w:tbl>
      <w:tblPr>
        <w:tblStyle w:val="32"/>
        <w:tblW w:w="4998"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812"/>
        <w:gridCol w:w="2425"/>
        <w:gridCol w:w="1057"/>
        <w:gridCol w:w="1057"/>
        <w:gridCol w:w="1057"/>
        <w:gridCol w:w="1057"/>
        <w:gridCol w:w="105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6" w:type="pct"/>
            <w:vAlign w:val="center"/>
          </w:tcPr>
          <w:p>
            <w:pPr>
              <w:pStyle w:val="182"/>
              <w:bidi w:val="0"/>
              <w:rPr>
                <w:b/>
                <w:bCs/>
                <w:color w:val="auto"/>
              </w:rPr>
            </w:pPr>
            <w:r>
              <w:rPr>
                <w:b/>
                <w:bCs/>
                <w:color w:val="auto"/>
              </w:rPr>
              <w:t>序号</w:t>
            </w:r>
          </w:p>
        </w:tc>
        <w:tc>
          <w:tcPr>
            <w:tcW w:w="1422" w:type="pct"/>
            <w:vAlign w:val="center"/>
          </w:tcPr>
          <w:p>
            <w:pPr>
              <w:pStyle w:val="182"/>
              <w:bidi w:val="0"/>
              <w:rPr>
                <w:b/>
                <w:bCs/>
                <w:color w:val="auto"/>
              </w:rPr>
            </w:pPr>
            <w:r>
              <w:rPr>
                <w:b/>
                <w:bCs/>
                <w:color w:val="auto"/>
              </w:rPr>
              <w:t>项目</w:t>
            </w:r>
          </w:p>
        </w:tc>
        <w:tc>
          <w:tcPr>
            <w:tcW w:w="620" w:type="pct"/>
            <w:vAlign w:val="center"/>
          </w:tcPr>
          <w:p>
            <w:pPr>
              <w:pStyle w:val="182"/>
              <w:bidi w:val="0"/>
              <w:rPr>
                <w:b/>
                <w:bCs/>
                <w:color w:val="auto"/>
              </w:rPr>
            </w:pPr>
            <w:r>
              <w:rPr>
                <w:b/>
                <w:bCs/>
                <w:color w:val="auto"/>
              </w:rPr>
              <w:t>COD</w:t>
            </w:r>
          </w:p>
        </w:tc>
        <w:tc>
          <w:tcPr>
            <w:tcW w:w="620" w:type="pct"/>
            <w:vAlign w:val="center"/>
          </w:tcPr>
          <w:p>
            <w:pPr>
              <w:pStyle w:val="182"/>
              <w:bidi w:val="0"/>
              <w:rPr>
                <w:b/>
                <w:bCs/>
                <w:color w:val="auto"/>
              </w:rPr>
            </w:pPr>
            <w:r>
              <w:rPr>
                <w:b/>
                <w:bCs/>
                <w:color w:val="auto"/>
              </w:rPr>
              <w:t>NH</w:t>
            </w:r>
            <w:r>
              <w:rPr>
                <w:b/>
                <w:bCs/>
                <w:color w:val="auto"/>
                <w:vertAlign w:val="subscript"/>
              </w:rPr>
              <w:t>3</w:t>
            </w:r>
            <w:r>
              <w:rPr>
                <w:b/>
                <w:bCs/>
                <w:color w:val="auto"/>
              </w:rPr>
              <w:t>-N</w:t>
            </w:r>
          </w:p>
        </w:tc>
        <w:tc>
          <w:tcPr>
            <w:tcW w:w="620" w:type="pct"/>
            <w:vAlign w:val="center"/>
          </w:tcPr>
          <w:p>
            <w:pPr>
              <w:pStyle w:val="182"/>
              <w:bidi w:val="0"/>
              <w:rPr>
                <w:b/>
                <w:bCs/>
                <w:color w:val="auto"/>
              </w:rPr>
            </w:pPr>
            <w:r>
              <w:rPr>
                <w:b/>
                <w:bCs/>
                <w:color w:val="auto"/>
              </w:rPr>
              <w:t>TP</w:t>
            </w:r>
          </w:p>
        </w:tc>
        <w:tc>
          <w:tcPr>
            <w:tcW w:w="620" w:type="pct"/>
            <w:vAlign w:val="center"/>
          </w:tcPr>
          <w:p>
            <w:pPr>
              <w:pStyle w:val="182"/>
              <w:bidi w:val="0"/>
              <w:rPr>
                <w:b/>
                <w:bCs/>
                <w:color w:val="auto"/>
              </w:rPr>
            </w:pPr>
            <w:r>
              <w:rPr>
                <w:b/>
                <w:bCs/>
                <w:color w:val="auto"/>
              </w:rPr>
              <w:t>TN</w:t>
            </w:r>
          </w:p>
        </w:tc>
        <w:tc>
          <w:tcPr>
            <w:tcW w:w="620" w:type="pct"/>
            <w:vAlign w:val="center"/>
          </w:tcPr>
          <w:p>
            <w:pPr>
              <w:pStyle w:val="182"/>
              <w:bidi w:val="0"/>
              <w:rPr>
                <w:b/>
                <w:bCs/>
                <w:color w:val="auto"/>
              </w:rPr>
            </w:pPr>
            <w:r>
              <w:rPr>
                <w:b/>
                <w:bCs/>
                <w:color w:val="auto"/>
              </w:rPr>
              <w:t>SS</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6" w:type="pct"/>
            <w:vAlign w:val="center"/>
          </w:tcPr>
          <w:p>
            <w:pPr>
              <w:pStyle w:val="182"/>
              <w:bidi w:val="0"/>
              <w:rPr>
                <w:b/>
                <w:bCs/>
                <w:color w:val="auto"/>
                <w:u w:val="single"/>
              </w:rPr>
            </w:pPr>
            <w:r>
              <w:rPr>
                <w:b/>
                <w:bCs/>
                <w:color w:val="auto"/>
                <w:u w:val="single"/>
              </w:rPr>
              <w:t>1</w:t>
            </w:r>
          </w:p>
        </w:tc>
        <w:tc>
          <w:tcPr>
            <w:tcW w:w="1422" w:type="pct"/>
            <w:vAlign w:val="center"/>
          </w:tcPr>
          <w:p>
            <w:pPr>
              <w:pStyle w:val="182"/>
              <w:bidi w:val="0"/>
              <w:rPr>
                <w:b/>
                <w:bCs/>
                <w:color w:val="auto"/>
                <w:u w:val="single"/>
              </w:rPr>
            </w:pPr>
            <w:r>
              <w:rPr>
                <w:b/>
                <w:bCs/>
                <w:color w:val="auto"/>
                <w:u w:val="single"/>
              </w:rPr>
              <w:t>全厂总排口</w:t>
            </w:r>
          </w:p>
        </w:tc>
        <w:tc>
          <w:tcPr>
            <w:tcW w:w="620"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82.83</w:t>
            </w:r>
          </w:p>
        </w:tc>
        <w:tc>
          <w:tcPr>
            <w:tcW w:w="620"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4.87</w:t>
            </w:r>
          </w:p>
        </w:tc>
        <w:tc>
          <w:tcPr>
            <w:tcW w:w="620" w:type="pct"/>
            <w:vAlign w:val="center"/>
          </w:tcPr>
          <w:p>
            <w:pPr>
              <w:pStyle w:val="182"/>
              <w:bidi w:val="0"/>
              <w:rPr>
                <w:rFonts w:hint="default" w:eastAsia="宋体"/>
                <w:b/>
                <w:bCs/>
                <w:color w:val="auto"/>
                <w:u w:val="single"/>
                <w:lang w:val="en-US" w:eastAsia="zh-CN"/>
              </w:rPr>
            </w:pPr>
            <w:r>
              <w:rPr>
                <w:rFonts w:hint="eastAsia"/>
                <w:b/>
                <w:bCs/>
                <w:color w:val="auto"/>
                <w:u w:val="single"/>
              </w:rPr>
              <w:t>0</w:t>
            </w:r>
            <w:r>
              <w:rPr>
                <w:b/>
                <w:bCs/>
                <w:color w:val="auto"/>
                <w:u w:val="single"/>
              </w:rPr>
              <w:t>.</w:t>
            </w:r>
            <w:r>
              <w:rPr>
                <w:rFonts w:hint="eastAsia"/>
                <w:b/>
                <w:bCs/>
                <w:color w:val="auto"/>
                <w:u w:val="single"/>
                <w:lang w:val="en-US" w:eastAsia="zh-CN"/>
              </w:rPr>
              <w:t>31</w:t>
            </w:r>
          </w:p>
        </w:tc>
        <w:tc>
          <w:tcPr>
            <w:tcW w:w="620"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10.03</w:t>
            </w:r>
          </w:p>
        </w:tc>
        <w:tc>
          <w:tcPr>
            <w:tcW w:w="620"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9.24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6" w:type="pct"/>
            <w:vAlign w:val="center"/>
          </w:tcPr>
          <w:p>
            <w:pPr>
              <w:pStyle w:val="182"/>
              <w:bidi w:val="0"/>
              <w:rPr>
                <w:color w:val="auto"/>
              </w:rPr>
            </w:pPr>
            <w:r>
              <w:rPr>
                <w:color w:val="auto"/>
              </w:rPr>
              <w:t>2</w:t>
            </w:r>
          </w:p>
        </w:tc>
        <w:tc>
          <w:tcPr>
            <w:tcW w:w="1422" w:type="pct"/>
            <w:vAlign w:val="center"/>
          </w:tcPr>
          <w:p>
            <w:pPr>
              <w:pStyle w:val="182"/>
              <w:bidi w:val="0"/>
              <w:rPr>
                <w:rFonts w:hint="eastAsia" w:eastAsia="宋体"/>
                <w:color w:val="auto"/>
                <w:lang w:eastAsia="zh-CN"/>
              </w:rPr>
            </w:pPr>
            <w:r>
              <w:rPr>
                <w:rFonts w:hint="eastAsia"/>
                <w:color w:val="auto"/>
              </w:rPr>
              <w:t>新乡市小店污水处理厂</w:t>
            </w:r>
            <w:r>
              <w:rPr>
                <w:color w:val="auto"/>
              </w:rPr>
              <w:t>收水</w:t>
            </w:r>
            <w:r>
              <w:rPr>
                <w:rFonts w:hint="eastAsia"/>
                <w:color w:val="auto"/>
                <w:lang w:val="en-US" w:eastAsia="zh-CN"/>
              </w:rPr>
              <w:t>标准</w:t>
            </w:r>
          </w:p>
        </w:tc>
        <w:tc>
          <w:tcPr>
            <w:tcW w:w="620" w:type="pct"/>
            <w:vAlign w:val="center"/>
          </w:tcPr>
          <w:p>
            <w:pPr>
              <w:pStyle w:val="182"/>
              <w:bidi w:val="0"/>
              <w:rPr>
                <w:rFonts w:hint="default" w:eastAsia="宋体"/>
                <w:color w:val="auto"/>
                <w:lang w:val="en-US" w:eastAsia="zh-CN"/>
              </w:rPr>
            </w:pPr>
            <w:r>
              <w:rPr>
                <w:rFonts w:hint="eastAsia"/>
                <w:color w:val="auto"/>
                <w:lang w:val="en-US" w:eastAsia="zh-CN"/>
              </w:rPr>
              <w:t>300</w:t>
            </w:r>
          </w:p>
        </w:tc>
        <w:tc>
          <w:tcPr>
            <w:tcW w:w="620" w:type="pct"/>
            <w:vAlign w:val="center"/>
          </w:tcPr>
          <w:p>
            <w:pPr>
              <w:pStyle w:val="182"/>
              <w:bidi w:val="0"/>
              <w:rPr>
                <w:rFonts w:hint="default" w:eastAsia="宋体"/>
                <w:color w:val="auto"/>
                <w:lang w:val="en-US" w:eastAsia="zh-CN"/>
              </w:rPr>
            </w:pPr>
            <w:r>
              <w:rPr>
                <w:rFonts w:hint="eastAsia"/>
                <w:color w:val="auto"/>
                <w:lang w:val="en-US" w:eastAsia="zh-CN"/>
              </w:rPr>
              <w:t>15</w:t>
            </w:r>
          </w:p>
        </w:tc>
        <w:tc>
          <w:tcPr>
            <w:tcW w:w="620" w:type="pct"/>
            <w:vAlign w:val="center"/>
          </w:tcPr>
          <w:p>
            <w:pPr>
              <w:pStyle w:val="182"/>
              <w:bidi w:val="0"/>
              <w:rPr>
                <w:rFonts w:hint="default" w:eastAsia="宋体"/>
                <w:color w:val="auto"/>
                <w:lang w:val="en-US" w:eastAsia="zh-CN"/>
              </w:rPr>
            </w:pPr>
            <w:r>
              <w:rPr>
                <w:rFonts w:hint="eastAsia"/>
                <w:color w:val="auto"/>
                <w:lang w:val="en-US" w:eastAsia="zh-CN"/>
              </w:rPr>
              <w:t>1.0</w:t>
            </w:r>
          </w:p>
        </w:tc>
        <w:tc>
          <w:tcPr>
            <w:tcW w:w="620" w:type="pct"/>
            <w:vAlign w:val="center"/>
          </w:tcPr>
          <w:p>
            <w:pPr>
              <w:pStyle w:val="182"/>
              <w:bidi w:val="0"/>
              <w:rPr>
                <w:color w:val="auto"/>
              </w:rPr>
            </w:pPr>
            <w:r>
              <w:rPr>
                <w:rFonts w:hint="eastAsia"/>
                <w:color w:val="auto"/>
              </w:rPr>
              <w:t>4</w:t>
            </w:r>
            <w:r>
              <w:rPr>
                <w:color w:val="auto"/>
              </w:rPr>
              <w:t>0</w:t>
            </w:r>
          </w:p>
        </w:tc>
        <w:tc>
          <w:tcPr>
            <w:tcW w:w="620" w:type="pct"/>
            <w:vAlign w:val="center"/>
          </w:tcPr>
          <w:p>
            <w:pPr>
              <w:pStyle w:val="182"/>
              <w:bidi w:val="0"/>
              <w:rPr>
                <w:rFonts w:hint="default" w:eastAsia="宋体"/>
                <w:color w:val="auto"/>
                <w:lang w:val="en-US" w:eastAsia="zh-CN"/>
              </w:rPr>
            </w:pPr>
            <w:r>
              <w:rPr>
                <w:rFonts w:hint="eastAsia"/>
                <w:color w:val="auto"/>
                <w:lang w:val="en-US" w:eastAsia="zh-CN"/>
              </w:rPr>
              <w:t>150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98" w:type="pct"/>
            <w:gridSpan w:val="2"/>
            <w:vAlign w:val="center"/>
          </w:tcPr>
          <w:p>
            <w:pPr>
              <w:pStyle w:val="182"/>
              <w:bidi w:val="0"/>
              <w:rPr>
                <w:color w:val="auto"/>
              </w:rPr>
            </w:pPr>
            <w:r>
              <w:rPr>
                <w:color w:val="auto"/>
              </w:rPr>
              <w:t>对标结果</w:t>
            </w:r>
          </w:p>
        </w:tc>
        <w:tc>
          <w:tcPr>
            <w:tcW w:w="620" w:type="pct"/>
            <w:vAlign w:val="center"/>
          </w:tcPr>
          <w:p>
            <w:pPr>
              <w:pStyle w:val="182"/>
              <w:bidi w:val="0"/>
              <w:rPr>
                <w:color w:val="auto"/>
              </w:rPr>
            </w:pPr>
            <w:r>
              <w:rPr>
                <w:color w:val="auto"/>
              </w:rPr>
              <w:t>达标</w:t>
            </w:r>
          </w:p>
        </w:tc>
        <w:tc>
          <w:tcPr>
            <w:tcW w:w="620" w:type="pct"/>
            <w:vAlign w:val="center"/>
          </w:tcPr>
          <w:p>
            <w:pPr>
              <w:pStyle w:val="182"/>
              <w:bidi w:val="0"/>
              <w:rPr>
                <w:color w:val="auto"/>
              </w:rPr>
            </w:pPr>
            <w:r>
              <w:rPr>
                <w:color w:val="auto"/>
              </w:rPr>
              <w:t>达标</w:t>
            </w:r>
          </w:p>
        </w:tc>
        <w:tc>
          <w:tcPr>
            <w:tcW w:w="620" w:type="pct"/>
            <w:vAlign w:val="center"/>
          </w:tcPr>
          <w:p>
            <w:pPr>
              <w:pStyle w:val="182"/>
              <w:bidi w:val="0"/>
              <w:rPr>
                <w:color w:val="auto"/>
              </w:rPr>
            </w:pPr>
            <w:r>
              <w:rPr>
                <w:color w:val="auto"/>
              </w:rPr>
              <w:t>达标</w:t>
            </w:r>
          </w:p>
        </w:tc>
        <w:tc>
          <w:tcPr>
            <w:tcW w:w="620" w:type="pct"/>
            <w:vAlign w:val="center"/>
          </w:tcPr>
          <w:p>
            <w:pPr>
              <w:pStyle w:val="182"/>
              <w:bidi w:val="0"/>
              <w:rPr>
                <w:color w:val="auto"/>
              </w:rPr>
            </w:pPr>
            <w:r>
              <w:rPr>
                <w:color w:val="auto"/>
              </w:rPr>
              <w:t>达标</w:t>
            </w:r>
          </w:p>
        </w:tc>
        <w:tc>
          <w:tcPr>
            <w:tcW w:w="620" w:type="pct"/>
            <w:vAlign w:val="center"/>
          </w:tcPr>
          <w:p>
            <w:pPr>
              <w:pStyle w:val="182"/>
              <w:bidi w:val="0"/>
              <w:rPr>
                <w:color w:val="auto"/>
              </w:rPr>
            </w:pPr>
            <w:r>
              <w:rPr>
                <w:color w:val="auto"/>
              </w:rPr>
              <w:t>达标</w:t>
            </w:r>
          </w:p>
        </w:tc>
      </w:tr>
    </w:tbl>
    <w:p>
      <w:pPr>
        <w:bidi w:val="0"/>
        <w:rPr>
          <w:color w:val="auto"/>
        </w:rPr>
      </w:pPr>
      <w:r>
        <w:rPr>
          <w:rFonts w:hint="eastAsia"/>
          <w:color w:val="auto"/>
        </w:rPr>
        <w:t>由上表可知，总排口水质能够满足小店污水处理厂进水水质要求。评价认为本项目废水排放不会对小店污水处理系统造成冲击或其他不利影响。</w:t>
      </w:r>
    </w:p>
    <w:p>
      <w:pPr>
        <w:bidi w:val="0"/>
        <w:rPr>
          <w:color w:val="auto"/>
        </w:rPr>
      </w:pPr>
      <w:r>
        <w:rPr>
          <w:rFonts w:hint="eastAsia"/>
          <w:color w:val="auto"/>
        </w:rPr>
        <w:t>综上所述，本工程废水进入小店污水处理厂处理的方案可行。</w:t>
      </w:r>
    </w:p>
    <w:p>
      <w:pPr>
        <w:pStyle w:val="9"/>
        <w:bidi w:val="0"/>
        <w:rPr>
          <w:color w:val="auto"/>
        </w:rPr>
      </w:pPr>
      <w:r>
        <w:rPr>
          <w:color w:val="auto"/>
        </w:rPr>
        <w:t>5.</w:t>
      </w:r>
      <w:r>
        <w:rPr>
          <w:rFonts w:hint="eastAsia"/>
          <w:color w:val="auto"/>
          <w:lang w:val="en-US" w:eastAsia="zh-CN"/>
        </w:rPr>
        <w:t>3</w:t>
      </w:r>
      <w:r>
        <w:rPr>
          <w:color w:val="auto"/>
        </w:rPr>
        <w:t>.</w:t>
      </w:r>
      <w:r>
        <w:rPr>
          <w:rFonts w:hint="eastAsia"/>
          <w:color w:val="auto"/>
          <w:lang w:val="en-US" w:eastAsia="zh-CN"/>
        </w:rPr>
        <w:t>4</w:t>
      </w:r>
      <w:r>
        <w:rPr>
          <w:rFonts w:hint="eastAsia"/>
          <w:color w:val="auto"/>
        </w:rPr>
        <w:t>依托污水处理设施稳定达标排放分析</w:t>
      </w:r>
    </w:p>
    <w:p>
      <w:pPr>
        <w:bidi w:val="0"/>
        <w:rPr>
          <w:color w:val="auto"/>
        </w:rPr>
      </w:pPr>
      <w:r>
        <w:rPr>
          <w:rFonts w:hint="eastAsia"/>
          <w:color w:val="auto"/>
        </w:rPr>
        <w:t>本项目废水经小店污水处理厂处理后，最终汇入大沙河。根据小店污水处理厂在线监测数据，上年度小店污水处理厂出水量及水质见下表。</w:t>
      </w:r>
    </w:p>
    <w:p>
      <w:pPr>
        <w:pStyle w:val="181"/>
        <w:bidi w:val="0"/>
        <w:rPr>
          <w:color w:val="auto"/>
        </w:rPr>
      </w:pPr>
      <w:r>
        <w:rPr>
          <w:rFonts w:hint="eastAsia"/>
          <w:color w:val="auto"/>
        </w:rPr>
        <w:t>表</w:t>
      </w:r>
      <w:r>
        <w:rPr>
          <w:color w:val="auto"/>
        </w:rPr>
        <w:t>5.</w:t>
      </w:r>
      <w:r>
        <w:rPr>
          <w:rFonts w:hint="eastAsia"/>
          <w:color w:val="auto"/>
          <w:lang w:val="en-US" w:eastAsia="zh-CN"/>
        </w:rPr>
        <w:t>3</w:t>
      </w:r>
      <w:r>
        <w:rPr>
          <w:rFonts w:hint="eastAsia"/>
          <w:color w:val="auto"/>
        </w:rPr>
        <w:t>-</w:t>
      </w:r>
      <w:r>
        <w:rPr>
          <w:color w:val="auto"/>
        </w:rPr>
        <w:t xml:space="preserve">2 </w:t>
      </w:r>
      <w:r>
        <w:rPr>
          <w:rFonts w:hint="eastAsia"/>
          <w:color w:val="auto"/>
          <w:lang w:val="en-US" w:eastAsia="zh-CN"/>
        </w:rPr>
        <w:t xml:space="preserve">           </w:t>
      </w:r>
      <w:r>
        <w:rPr>
          <w:rFonts w:hint="eastAsia"/>
          <w:color w:val="auto"/>
        </w:rPr>
        <w:t>小店污水处理厂出水一览表</w:t>
      </w:r>
    </w:p>
    <w:tbl>
      <w:tblPr>
        <w:tblStyle w:val="32"/>
        <w:tblW w:w="4998"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137"/>
        <w:gridCol w:w="1303"/>
        <w:gridCol w:w="1579"/>
        <w:gridCol w:w="1718"/>
        <w:gridCol w:w="1382"/>
        <w:gridCol w:w="140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7" w:type="pct"/>
            <w:vAlign w:val="center"/>
          </w:tcPr>
          <w:p>
            <w:pPr>
              <w:pStyle w:val="182"/>
              <w:bidi w:val="0"/>
              <w:rPr>
                <w:b/>
                <w:bCs/>
                <w:color w:val="auto"/>
              </w:rPr>
            </w:pPr>
            <w:r>
              <w:rPr>
                <w:rFonts w:hint="eastAsia"/>
                <w:b/>
                <w:bCs/>
                <w:color w:val="auto"/>
              </w:rPr>
              <w:t>指标</w:t>
            </w:r>
          </w:p>
        </w:tc>
        <w:tc>
          <w:tcPr>
            <w:tcW w:w="764" w:type="pct"/>
            <w:vAlign w:val="center"/>
          </w:tcPr>
          <w:p>
            <w:pPr>
              <w:pStyle w:val="182"/>
              <w:bidi w:val="0"/>
              <w:rPr>
                <w:b/>
                <w:bCs/>
                <w:color w:val="auto"/>
              </w:rPr>
            </w:pPr>
            <w:r>
              <w:rPr>
                <w:rFonts w:hint="eastAsia"/>
                <w:b/>
                <w:bCs/>
                <w:color w:val="auto"/>
              </w:rPr>
              <w:t>水量（t</w:t>
            </w:r>
            <w:r>
              <w:rPr>
                <w:b/>
                <w:bCs/>
                <w:color w:val="auto"/>
              </w:rPr>
              <w:t>/d</w:t>
            </w:r>
            <w:r>
              <w:rPr>
                <w:rFonts w:hint="eastAsia"/>
                <w:b/>
                <w:bCs/>
                <w:color w:val="auto"/>
              </w:rPr>
              <w:t>）</w:t>
            </w:r>
          </w:p>
        </w:tc>
        <w:tc>
          <w:tcPr>
            <w:tcW w:w="926" w:type="pct"/>
            <w:vAlign w:val="center"/>
          </w:tcPr>
          <w:p>
            <w:pPr>
              <w:pStyle w:val="182"/>
              <w:bidi w:val="0"/>
              <w:rPr>
                <w:b/>
                <w:bCs/>
                <w:color w:val="auto"/>
              </w:rPr>
            </w:pPr>
            <w:r>
              <w:rPr>
                <w:b/>
                <w:bCs/>
                <w:color w:val="auto"/>
              </w:rPr>
              <w:t>COD</w:t>
            </w:r>
            <w:r>
              <w:rPr>
                <w:rFonts w:hint="eastAsia"/>
                <w:b/>
                <w:bCs/>
                <w:color w:val="auto"/>
              </w:rPr>
              <w:t>（</w:t>
            </w:r>
            <w:r>
              <w:rPr>
                <w:b/>
                <w:bCs/>
                <w:color w:val="auto"/>
              </w:rPr>
              <w:t>mg/L</w:t>
            </w:r>
            <w:r>
              <w:rPr>
                <w:rFonts w:hint="eastAsia"/>
                <w:b/>
                <w:bCs/>
                <w:color w:val="auto"/>
              </w:rPr>
              <w:t>）</w:t>
            </w:r>
          </w:p>
        </w:tc>
        <w:tc>
          <w:tcPr>
            <w:tcW w:w="1007" w:type="pct"/>
            <w:vAlign w:val="center"/>
          </w:tcPr>
          <w:p>
            <w:pPr>
              <w:pStyle w:val="182"/>
              <w:bidi w:val="0"/>
              <w:rPr>
                <w:b/>
                <w:bCs/>
                <w:color w:val="auto"/>
              </w:rPr>
            </w:pPr>
            <w:r>
              <w:rPr>
                <w:b/>
                <w:bCs/>
                <w:color w:val="auto"/>
              </w:rPr>
              <w:t>NH</w:t>
            </w:r>
            <w:r>
              <w:rPr>
                <w:b/>
                <w:bCs/>
                <w:color w:val="auto"/>
                <w:vertAlign w:val="subscript"/>
              </w:rPr>
              <w:t>3</w:t>
            </w:r>
            <w:r>
              <w:rPr>
                <w:b/>
                <w:bCs/>
                <w:color w:val="auto"/>
              </w:rPr>
              <w:t>-N</w:t>
            </w:r>
            <w:r>
              <w:rPr>
                <w:rFonts w:hint="eastAsia"/>
                <w:b/>
                <w:bCs/>
                <w:color w:val="auto"/>
              </w:rPr>
              <w:t>（</w:t>
            </w:r>
            <w:r>
              <w:rPr>
                <w:b/>
                <w:bCs/>
                <w:color w:val="auto"/>
              </w:rPr>
              <w:t>mg/L</w:t>
            </w:r>
            <w:r>
              <w:rPr>
                <w:rFonts w:hint="eastAsia"/>
                <w:b/>
                <w:bCs/>
                <w:color w:val="auto"/>
              </w:rPr>
              <w:t>）</w:t>
            </w:r>
          </w:p>
        </w:tc>
        <w:tc>
          <w:tcPr>
            <w:tcW w:w="810" w:type="pct"/>
            <w:vAlign w:val="center"/>
          </w:tcPr>
          <w:p>
            <w:pPr>
              <w:pStyle w:val="182"/>
              <w:bidi w:val="0"/>
              <w:rPr>
                <w:b/>
                <w:bCs/>
                <w:color w:val="auto"/>
              </w:rPr>
            </w:pPr>
            <w:r>
              <w:rPr>
                <w:b/>
                <w:bCs/>
                <w:color w:val="auto"/>
              </w:rPr>
              <w:t>TP</w:t>
            </w:r>
            <w:r>
              <w:rPr>
                <w:rFonts w:hint="eastAsia"/>
                <w:b/>
                <w:bCs/>
                <w:color w:val="auto"/>
              </w:rPr>
              <w:t>（</w:t>
            </w:r>
            <w:r>
              <w:rPr>
                <w:b/>
                <w:bCs/>
                <w:color w:val="auto"/>
              </w:rPr>
              <w:t>mg/L</w:t>
            </w:r>
            <w:r>
              <w:rPr>
                <w:rFonts w:hint="eastAsia"/>
                <w:b/>
                <w:bCs/>
                <w:color w:val="auto"/>
              </w:rPr>
              <w:t>）</w:t>
            </w:r>
          </w:p>
        </w:tc>
        <w:tc>
          <w:tcPr>
            <w:tcW w:w="823" w:type="pct"/>
            <w:vAlign w:val="center"/>
          </w:tcPr>
          <w:p>
            <w:pPr>
              <w:pStyle w:val="182"/>
              <w:bidi w:val="0"/>
              <w:rPr>
                <w:b/>
                <w:bCs/>
                <w:color w:val="auto"/>
              </w:rPr>
            </w:pPr>
            <w:r>
              <w:rPr>
                <w:b/>
                <w:bCs/>
                <w:color w:val="auto"/>
              </w:rPr>
              <w:t>TN</w:t>
            </w:r>
            <w:r>
              <w:rPr>
                <w:rFonts w:hint="eastAsia"/>
                <w:b/>
                <w:bCs/>
                <w:color w:val="auto"/>
              </w:rPr>
              <w:t>（</w:t>
            </w:r>
            <w:r>
              <w:rPr>
                <w:b/>
                <w:bCs/>
                <w:color w:val="auto"/>
              </w:rPr>
              <w:t>mg/L</w:t>
            </w:r>
            <w:r>
              <w:rPr>
                <w:rFonts w:hint="eastAsia"/>
                <w:b/>
                <w:bCs/>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7" w:type="pct"/>
            <w:vAlign w:val="center"/>
          </w:tcPr>
          <w:p>
            <w:pPr>
              <w:pStyle w:val="182"/>
              <w:bidi w:val="0"/>
              <w:rPr>
                <w:color w:val="auto"/>
              </w:rPr>
            </w:pPr>
            <w:r>
              <w:rPr>
                <w:rFonts w:hint="eastAsia"/>
                <w:color w:val="auto"/>
              </w:rPr>
              <w:t>排放值</w:t>
            </w:r>
          </w:p>
        </w:tc>
        <w:tc>
          <w:tcPr>
            <w:tcW w:w="764" w:type="pct"/>
            <w:vAlign w:val="center"/>
          </w:tcPr>
          <w:p>
            <w:pPr>
              <w:pStyle w:val="182"/>
              <w:bidi w:val="0"/>
              <w:rPr>
                <w:color w:val="auto"/>
              </w:rPr>
            </w:pPr>
            <w:r>
              <w:rPr>
                <w:rFonts w:hint="eastAsia"/>
                <w:color w:val="auto"/>
              </w:rPr>
              <w:t>5</w:t>
            </w:r>
            <w:r>
              <w:rPr>
                <w:color w:val="auto"/>
              </w:rPr>
              <w:t>1385.54</w:t>
            </w:r>
          </w:p>
        </w:tc>
        <w:tc>
          <w:tcPr>
            <w:tcW w:w="926" w:type="pct"/>
            <w:vAlign w:val="center"/>
          </w:tcPr>
          <w:p>
            <w:pPr>
              <w:pStyle w:val="182"/>
              <w:bidi w:val="0"/>
              <w:rPr>
                <w:color w:val="auto"/>
              </w:rPr>
            </w:pPr>
            <w:r>
              <w:rPr>
                <w:rFonts w:hint="eastAsia"/>
                <w:color w:val="auto"/>
              </w:rPr>
              <w:t>3</w:t>
            </w:r>
            <w:r>
              <w:rPr>
                <w:color w:val="auto"/>
              </w:rPr>
              <w:t>1.89</w:t>
            </w:r>
          </w:p>
        </w:tc>
        <w:tc>
          <w:tcPr>
            <w:tcW w:w="1007" w:type="pct"/>
            <w:vAlign w:val="center"/>
          </w:tcPr>
          <w:p>
            <w:pPr>
              <w:pStyle w:val="182"/>
              <w:bidi w:val="0"/>
              <w:rPr>
                <w:color w:val="auto"/>
              </w:rPr>
            </w:pPr>
            <w:r>
              <w:rPr>
                <w:rFonts w:hint="eastAsia"/>
                <w:color w:val="auto"/>
              </w:rPr>
              <w:t>0</w:t>
            </w:r>
            <w:r>
              <w:rPr>
                <w:color w:val="auto"/>
              </w:rPr>
              <w:t>.76</w:t>
            </w:r>
          </w:p>
        </w:tc>
        <w:tc>
          <w:tcPr>
            <w:tcW w:w="810" w:type="pct"/>
            <w:vAlign w:val="center"/>
          </w:tcPr>
          <w:p>
            <w:pPr>
              <w:pStyle w:val="182"/>
              <w:bidi w:val="0"/>
              <w:rPr>
                <w:color w:val="auto"/>
              </w:rPr>
            </w:pPr>
            <w:r>
              <w:rPr>
                <w:rFonts w:hint="eastAsia"/>
                <w:color w:val="auto"/>
              </w:rPr>
              <w:t>0</w:t>
            </w:r>
            <w:r>
              <w:rPr>
                <w:color w:val="auto"/>
              </w:rPr>
              <w:t>.28</w:t>
            </w:r>
          </w:p>
        </w:tc>
        <w:tc>
          <w:tcPr>
            <w:tcW w:w="823" w:type="pct"/>
            <w:vAlign w:val="center"/>
          </w:tcPr>
          <w:p>
            <w:pPr>
              <w:pStyle w:val="182"/>
              <w:bidi w:val="0"/>
              <w:rPr>
                <w:color w:val="auto"/>
              </w:rPr>
            </w:pPr>
            <w:r>
              <w:rPr>
                <w:rFonts w:hint="eastAsia"/>
                <w:color w:val="auto"/>
              </w:rPr>
              <w:t>6</w:t>
            </w:r>
            <w:r>
              <w:rPr>
                <w:color w:val="auto"/>
              </w:rPr>
              <w:t>.99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7" w:type="pct"/>
            <w:vAlign w:val="center"/>
          </w:tcPr>
          <w:p>
            <w:pPr>
              <w:pStyle w:val="182"/>
              <w:bidi w:val="0"/>
              <w:rPr>
                <w:color w:val="auto"/>
              </w:rPr>
            </w:pPr>
            <w:r>
              <w:rPr>
                <w:rFonts w:hint="eastAsia"/>
                <w:color w:val="auto"/>
              </w:rPr>
              <w:t>标准值</w:t>
            </w:r>
          </w:p>
        </w:tc>
        <w:tc>
          <w:tcPr>
            <w:tcW w:w="764" w:type="pct"/>
            <w:vAlign w:val="center"/>
          </w:tcPr>
          <w:p>
            <w:pPr>
              <w:pStyle w:val="182"/>
              <w:bidi w:val="0"/>
              <w:rPr>
                <w:color w:val="auto"/>
              </w:rPr>
            </w:pPr>
            <w:r>
              <w:rPr>
                <w:rFonts w:hint="eastAsia"/>
                <w:color w:val="auto"/>
              </w:rPr>
              <w:t>/</w:t>
            </w:r>
          </w:p>
        </w:tc>
        <w:tc>
          <w:tcPr>
            <w:tcW w:w="926" w:type="pct"/>
            <w:vAlign w:val="center"/>
          </w:tcPr>
          <w:p>
            <w:pPr>
              <w:pStyle w:val="182"/>
              <w:bidi w:val="0"/>
              <w:rPr>
                <w:color w:val="auto"/>
              </w:rPr>
            </w:pPr>
            <w:r>
              <w:rPr>
                <w:rFonts w:hint="eastAsia"/>
                <w:color w:val="auto"/>
              </w:rPr>
              <w:t>4</w:t>
            </w:r>
            <w:r>
              <w:rPr>
                <w:color w:val="auto"/>
              </w:rPr>
              <w:t>0</w:t>
            </w:r>
          </w:p>
        </w:tc>
        <w:tc>
          <w:tcPr>
            <w:tcW w:w="1007" w:type="pct"/>
            <w:vAlign w:val="center"/>
          </w:tcPr>
          <w:p>
            <w:pPr>
              <w:pStyle w:val="182"/>
              <w:bidi w:val="0"/>
              <w:rPr>
                <w:color w:val="auto"/>
              </w:rPr>
            </w:pPr>
            <w:r>
              <w:rPr>
                <w:rFonts w:hint="eastAsia"/>
                <w:color w:val="auto"/>
              </w:rPr>
              <w:t>2</w:t>
            </w:r>
          </w:p>
        </w:tc>
        <w:tc>
          <w:tcPr>
            <w:tcW w:w="810" w:type="pct"/>
            <w:vAlign w:val="center"/>
          </w:tcPr>
          <w:p>
            <w:pPr>
              <w:pStyle w:val="182"/>
              <w:bidi w:val="0"/>
              <w:rPr>
                <w:color w:val="auto"/>
              </w:rPr>
            </w:pPr>
            <w:r>
              <w:rPr>
                <w:rFonts w:hint="eastAsia"/>
                <w:color w:val="auto"/>
              </w:rPr>
              <w:t>0</w:t>
            </w:r>
            <w:r>
              <w:rPr>
                <w:color w:val="auto"/>
              </w:rPr>
              <w:t>.4</w:t>
            </w:r>
          </w:p>
        </w:tc>
        <w:tc>
          <w:tcPr>
            <w:tcW w:w="823" w:type="pct"/>
            <w:vAlign w:val="center"/>
          </w:tcPr>
          <w:p>
            <w:pPr>
              <w:pStyle w:val="182"/>
              <w:bidi w:val="0"/>
              <w:rPr>
                <w:color w:val="auto"/>
              </w:rPr>
            </w:pPr>
            <w:r>
              <w:rPr>
                <w:rFonts w:hint="eastAsia"/>
                <w:color w:val="auto"/>
              </w:rPr>
              <w:t>1</w:t>
            </w:r>
            <w:r>
              <w:rPr>
                <w:color w:val="auto"/>
              </w:rPr>
              <w:t>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31" w:type="pct"/>
            <w:gridSpan w:val="2"/>
            <w:vAlign w:val="center"/>
          </w:tcPr>
          <w:p>
            <w:pPr>
              <w:pStyle w:val="182"/>
              <w:bidi w:val="0"/>
              <w:rPr>
                <w:color w:val="auto"/>
              </w:rPr>
            </w:pPr>
            <w:r>
              <w:rPr>
                <w:color w:val="auto"/>
              </w:rPr>
              <w:t>对标结果</w:t>
            </w:r>
          </w:p>
        </w:tc>
        <w:tc>
          <w:tcPr>
            <w:tcW w:w="926" w:type="pct"/>
            <w:vAlign w:val="center"/>
          </w:tcPr>
          <w:p>
            <w:pPr>
              <w:pStyle w:val="182"/>
              <w:bidi w:val="0"/>
              <w:rPr>
                <w:color w:val="auto"/>
              </w:rPr>
            </w:pPr>
            <w:r>
              <w:rPr>
                <w:color w:val="auto"/>
              </w:rPr>
              <w:t>达标</w:t>
            </w:r>
          </w:p>
        </w:tc>
        <w:tc>
          <w:tcPr>
            <w:tcW w:w="1007" w:type="pct"/>
            <w:vAlign w:val="center"/>
          </w:tcPr>
          <w:p>
            <w:pPr>
              <w:pStyle w:val="182"/>
              <w:bidi w:val="0"/>
              <w:rPr>
                <w:color w:val="auto"/>
              </w:rPr>
            </w:pPr>
            <w:r>
              <w:rPr>
                <w:color w:val="auto"/>
              </w:rPr>
              <w:t>达标</w:t>
            </w:r>
          </w:p>
        </w:tc>
        <w:tc>
          <w:tcPr>
            <w:tcW w:w="810" w:type="pct"/>
            <w:vAlign w:val="center"/>
          </w:tcPr>
          <w:p>
            <w:pPr>
              <w:pStyle w:val="182"/>
              <w:bidi w:val="0"/>
              <w:rPr>
                <w:color w:val="auto"/>
              </w:rPr>
            </w:pPr>
            <w:r>
              <w:rPr>
                <w:color w:val="auto"/>
              </w:rPr>
              <w:t>达标</w:t>
            </w:r>
          </w:p>
        </w:tc>
        <w:tc>
          <w:tcPr>
            <w:tcW w:w="823" w:type="pct"/>
            <w:vAlign w:val="center"/>
          </w:tcPr>
          <w:p>
            <w:pPr>
              <w:pStyle w:val="182"/>
              <w:bidi w:val="0"/>
              <w:rPr>
                <w:color w:val="auto"/>
              </w:rPr>
            </w:pPr>
            <w:r>
              <w:rPr>
                <w:color w:val="auto"/>
              </w:rPr>
              <w:t>达标</w:t>
            </w:r>
          </w:p>
        </w:tc>
      </w:tr>
    </w:tbl>
    <w:p>
      <w:pPr>
        <w:bidi w:val="0"/>
        <w:rPr>
          <w:color w:val="auto"/>
        </w:rPr>
      </w:pPr>
      <w:r>
        <w:rPr>
          <w:rFonts w:hint="eastAsia"/>
          <w:color w:val="auto"/>
        </w:rPr>
        <w:t>从表中可以看出，上一年度小店污水处理厂实际污水处理量平均为5</w:t>
      </w:r>
      <w:r>
        <w:rPr>
          <w:color w:val="auto"/>
        </w:rPr>
        <w:t>1385.54</w:t>
      </w:r>
      <w:r>
        <w:rPr>
          <w:rFonts w:hint="eastAsia"/>
          <w:color w:val="auto"/>
        </w:rPr>
        <w:t>m</w:t>
      </w:r>
      <w:r>
        <w:rPr>
          <w:rFonts w:hint="eastAsia"/>
          <w:color w:val="auto"/>
          <w:vertAlign w:val="superscript"/>
        </w:rPr>
        <w:t>3</w:t>
      </w:r>
      <w:r>
        <w:rPr>
          <w:rFonts w:hint="eastAsia"/>
          <w:color w:val="auto"/>
        </w:rPr>
        <w:t>/d占总处理能力的</w:t>
      </w:r>
      <w:r>
        <w:rPr>
          <w:color w:val="auto"/>
        </w:rPr>
        <w:t>51.4</w:t>
      </w:r>
      <w:r>
        <w:rPr>
          <w:rFonts w:hint="eastAsia"/>
          <w:color w:val="auto"/>
          <w:lang w:val="en-US" w:eastAsia="zh-CN"/>
        </w:rPr>
        <w:t>%</w:t>
      </w:r>
      <w:r>
        <w:rPr>
          <w:rFonts w:hint="eastAsia"/>
          <w:color w:val="auto"/>
        </w:rPr>
        <w:t>，出水中COD、NH</w:t>
      </w:r>
      <w:r>
        <w:rPr>
          <w:rFonts w:hint="eastAsia"/>
          <w:color w:val="auto"/>
          <w:vertAlign w:val="subscript"/>
        </w:rPr>
        <w:t>3</w:t>
      </w:r>
      <w:r>
        <w:rPr>
          <w:rFonts w:hint="eastAsia"/>
          <w:color w:val="auto"/>
        </w:rPr>
        <w:t>-N、TP、TN的排放平均浓度均可以满足小店污水处理厂排放标准：COD</w:t>
      </w:r>
      <w:r>
        <w:rPr>
          <w:color w:val="auto"/>
        </w:rPr>
        <w:t xml:space="preserve"> </w:t>
      </w:r>
      <w:r>
        <w:rPr>
          <w:rFonts w:hint="eastAsia"/>
          <w:color w:val="auto"/>
        </w:rPr>
        <w:t>40mg/L、NH</w:t>
      </w:r>
      <w:r>
        <w:rPr>
          <w:rFonts w:hint="eastAsia"/>
          <w:color w:val="auto"/>
          <w:vertAlign w:val="subscript"/>
        </w:rPr>
        <w:t>3</w:t>
      </w:r>
      <w:r>
        <w:rPr>
          <w:rFonts w:hint="eastAsia"/>
          <w:color w:val="auto"/>
        </w:rPr>
        <w:t>-N 2.0mg/L、TN 15mg/L、TP 0.4mg/L的要求。</w:t>
      </w:r>
    </w:p>
    <w:p>
      <w:pPr>
        <w:pStyle w:val="9"/>
        <w:bidi w:val="0"/>
        <w:rPr>
          <w:color w:val="auto"/>
        </w:rPr>
      </w:pPr>
      <w:r>
        <w:rPr>
          <w:rFonts w:hint="eastAsia"/>
          <w:color w:val="auto"/>
        </w:rPr>
        <w:t>5.</w:t>
      </w:r>
      <w:r>
        <w:rPr>
          <w:rFonts w:hint="eastAsia"/>
          <w:color w:val="auto"/>
          <w:lang w:val="en-US" w:eastAsia="zh-CN"/>
        </w:rPr>
        <w:t>3</w:t>
      </w:r>
      <w:r>
        <w:rPr>
          <w:rFonts w:hint="eastAsia"/>
          <w:color w:val="auto"/>
        </w:rPr>
        <w:t>.</w:t>
      </w:r>
      <w:r>
        <w:rPr>
          <w:rFonts w:hint="eastAsia"/>
          <w:color w:val="auto"/>
          <w:lang w:val="en-US" w:eastAsia="zh-CN"/>
        </w:rPr>
        <w:t>5</w:t>
      </w:r>
      <w:r>
        <w:rPr>
          <w:rFonts w:hint="eastAsia"/>
          <w:color w:val="auto"/>
        </w:rPr>
        <w:t>地表水环境现状分析</w:t>
      </w:r>
    </w:p>
    <w:p>
      <w:pPr>
        <w:pStyle w:val="142"/>
        <w:ind w:firstLine="480"/>
        <w:rPr>
          <w:rFonts w:ascii="Times New Roman" w:hAnsi="Times New Roman" w:cs="Times New Roman"/>
          <w:bCs/>
          <w:color w:val="auto"/>
        </w:rPr>
      </w:pPr>
      <w:r>
        <w:rPr>
          <w:rFonts w:hint="eastAsia" w:ascii="Times New Roman" w:hAnsi="Times New Roman" w:cs="Times New Roman"/>
          <w:b/>
          <w:bCs w:val="0"/>
          <w:color w:val="auto"/>
          <w:u w:val="single"/>
        </w:rPr>
        <w:t>根据新乡市环境监测站编制的例行监测结果显示，大沙河地表水体2021年除6~8月份COD略有超标外其他时间段</w:t>
      </w:r>
      <w:r>
        <w:rPr>
          <w:rFonts w:hint="eastAsia" w:ascii="Times New Roman" w:hAnsi="Times New Roman" w:cs="Times New Roman"/>
          <w:b/>
          <w:bCs w:val="0"/>
          <w:color w:val="auto"/>
          <w:u w:val="single"/>
          <w:lang w:val="en-US" w:eastAsia="zh-CN"/>
        </w:rPr>
        <w:t>及</w:t>
      </w:r>
      <w:r>
        <w:rPr>
          <w:rFonts w:hint="eastAsia" w:ascii="Times New Roman" w:hAnsi="Times New Roman" w:cs="Times New Roman"/>
          <w:b/>
          <w:bCs w:val="0"/>
          <w:color w:val="auto"/>
          <w:u w:val="single"/>
        </w:rPr>
        <w:t>其他因子均能满足《地表水环境质量标准》（GB3838-2002）Ⅳ类标准。</w:t>
      </w:r>
      <w:r>
        <w:rPr>
          <w:rFonts w:hint="eastAsia" w:ascii="Times New Roman" w:hAnsi="Times New Roman" w:cs="Times New Roman"/>
          <w:bCs/>
          <w:color w:val="auto"/>
        </w:rPr>
        <w:t>大沙河水花堡桥断面水质均满足《地表水环境质量标准》（GB3838-2002）</w:t>
      </w:r>
      <w:r>
        <w:rPr>
          <w:rFonts w:ascii="Times New Roman" w:hAnsi="Times New Roman" w:cs="Times New Roman"/>
          <w:bCs/>
          <w:color w:val="auto"/>
        </w:rPr>
        <w:t>Ⅳ</w:t>
      </w:r>
      <w:r>
        <w:rPr>
          <w:rFonts w:hint="eastAsia" w:ascii="Times New Roman" w:hAnsi="Times New Roman" w:cs="Times New Roman"/>
          <w:bCs/>
          <w:color w:val="auto"/>
        </w:rPr>
        <w:t>类水质目标要求。近年来，新乡市推进实施了一系列的水污染防治治理的方案，主要有《新乡市碧水工程行动计划（水污染防治工作方案）》（新政文（2016）122号）、《新乡市人民政府关于打赢水污染防治攻坚战的意见》（新政文</w:t>
      </w:r>
      <w:r>
        <w:rPr>
          <w:rFonts w:hint="eastAsia" w:ascii="宋体" w:hAnsi="宋体" w:eastAsia="宋体" w:cs="宋体"/>
          <w:bCs/>
          <w:color w:val="auto"/>
        </w:rPr>
        <w:t>〔</w:t>
      </w:r>
      <w:r>
        <w:rPr>
          <w:rFonts w:hint="eastAsia" w:ascii="Times New Roman" w:hAnsi="Times New Roman" w:cs="Times New Roman"/>
          <w:bCs/>
          <w:color w:val="auto"/>
        </w:rPr>
        <w:t>2017</w:t>
      </w:r>
      <w:r>
        <w:rPr>
          <w:rFonts w:hint="eastAsia" w:ascii="宋体" w:hAnsi="宋体" w:eastAsia="宋体" w:cs="宋体"/>
          <w:bCs/>
          <w:color w:val="auto"/>
        </w:rPr>
        <w:t>〕</w:t>
      </w:r>
      <w:r>
        <w:rPr>
          <w:rFonts w:hint="eastAsia" w:ascii="Times New Roman" w:hAnsi="Times New Roman" w:cs="Times New Roman"/>
          <w:bCs/>
          <w:color w:val="auto"/>
        </w:rPr>
        <w:t>28号）、《新乡市卫河流域水污染防治攻坚战实施方案等11个专项方案》（新环攻坚办</w:t>
      </w:r>
      <w:r>
        <w:rPr>
          <w:rFonts w:hint="eastAsia" w:ascii="Times New Roman" w:hAnsi="Times New Roman" w:cs="Times New Roman"/>
          <w:bCs/>
          <w:color w:val="auto"/>
          <w:lang w:eastAsia="zh-CN"/>
        </w:rPr>
        <w:t>〔</w:t>
      </w:r>
      <w:r>
        <w:rPr>
          <w:rFonts w:hint="eastAsia" w:ascii="Times New Roman" w:hAnsi="Times New Roman" w:cs="Times New Roman"/>
          <w:bCs/>
          <w:color w:val="auto"/>
        </w:rPr>
        <w:t>2017</w:t>
      </w:r>
      <w:r>
        <w:rPr>
          <w:rFonts w:hint="eastAsia" w:ascii="Times New Roman" w:hAnsi="Times New Roman" w:cs="Times New Roman"/>
          <w:bCs/>
          <w:color w:val="auto"/>
          <w:lang w:eastAsia="zh-CN"/>
        </w:rPr>
        <w:t>〕</w:t>
      </w:r>
      <w:r>
        <w:rPr>
          <w:rFonts w:hint="eastAsia" w:ascii="Times New Roman" w:hAnsi="Times New Roman" w:cs="Times New Roman"/>
          <w:bCs/>
          <w:color w:val="auto"/>
        </w:rPr>
        <w:t>20号）（包含新乡市辖大沙河流域水污染防治攻坚实施方案）、《新乡市2018年持续打好打赢水污染防治攻坚战工作方案》（新政办</w:t>
      </w:r>
      <w:r>
        <w:rPr>
          <w:rFonts w:hint="eastAsia" w:ascii="Times New Roman" w:hAnsi="Times New Roman" w:cs="Times New Roman"/>
          <w:bCs/>
          <w:color w:val="auto"/>
          <w:lang w:eastAsia="zh-CN"/>
        </w:rPr>
        <w:t>〔</w:t>
      </w:r>
      <w:r>
        <w:rPr>
          <w:rFonts w:hint="eastAsia" w:ascii="Times New Roman" w:hAnsi="Times New Roman" w:cs="Times New Roman"/>
          <w:bCs/>
          <w:color w:val="auto"/>
        </w:rPr>
        <w:t>2018</w:t>
      </w:r>
      <w:r>
        <w:rPr>
          <w:rFonts w:hint="eastAsia" w:ascii="Times New Roman" w:hAnsi="Times New Roman" w:cs="Times New Roman"/>
          <w:bCs/>
          <w:color w:val="auto"/>
          <w:lang w:eastAsia="zh-CN"/>
        </w:rPr>
        <w:t>〕</w:t>
      </w:r>
      <w:r>
        <w:rPr>
          <w:rFonts w:hint="eastAsia" w:ascii="Times New Roman" w:hAnsi="Times New Roman" w:cs="Times New Roman"/>
          <w:bCs/>
          <w:color w:val="auto"/>
        </w:rPr>
        <w:t>28号）、《新乡市环境污染防治攻坚战三年行动实施方案（2018</w:t>
      </w:r>
      <w:r>
        <w:rPr>
          <w:rFonts w:hint="eastAsia" w:ascii="Times New Roman" w:hAnsi="Times New Roman" w:cs="Times New Roman"/>
          <w:bCs/>
          <w:color w:val="auto"/>
          <w:lang w:eastAsia="zh-CN"/>
        </w:rPr>
        <w:t>—</w:t>
      </w:r>
      <w:r>
        <w:rPr>
          <w:rFonts w:hint="eastAsia" w:ascii="Times New Roman" w:hAnsi="Times New Roman" w:cs="Times New Roman"/>
          <w:bCs/>
          <w:color w:val="auto"/>
        </w:rPr>
        <w:t>2020年）》等，通过这些方案的实施，园区段大沙河的水体水质得到很大改善，目前可以稳定满足Ⅳ类水质目标要求。随着《新乡市202</w:t>
      </w:r>
      <w:r>
        <w:rPr>
          <w:rFonts w:ascii="Times New Roman" w:hAnsi="Times New Roman" w:cs="Times New Roman"/>
          <w:bCs/>
          <w:color w:val="auto"/>
        </w:rPr>
        <w:t>2</w:t>
      </w:r>
      <w:r>
        <w:rPr>
          <w:rFonts w:hint="eastAsia" w:ascii="Times New Roman" w:hAnsi="Times New Roman" w:cs="Times New Roman"/>
          <w:bCs/>
          <w:color w:val="auto"/>
        </w:rPr>
        <w:t>年大气、水、土壤污染防治攻坚战实施方案》等的实施，大沙河的水环境质量将得到进一步改善。</w:t>
      </w:r>
    </w:p>
    <w:p>
      <w:pPr>
        <w:pStyle w:val="9"/>
        <w:bidi w:val="0"/>
        <w:rPr>
          <w:color w:val="auto"/>
        </w:rPr>
      </w:pPr>
      <w:r>
        <w:rPr>
          <w:rFonts w:hint="eastAsia"/>
          <w:color w:val="auto"/>
        </w:rPr>
        <w:t>5.</w:t>
      </w:r>
      <w:r>
        <w:rPr>
          <w:rFonts w:hint="eastAsia"/>
          <w:color w:val="auto"/>
          <w:lang w:val="en-US" w:eastAsia="zh-CN"/>
        </w:rPr>
        <w:t>3</w:t>
      </w:r>
      <w:r>
        <w:rPr>
          <w:rFonts w:hint="eastAsia"/>
          <w:color w:val="auto"/>
        </w:rPr>
        <w:t>.</w:t>
      </w:r>
      <w:r>
        <w:rPr>
          <w:rFonts w:hint="eastAsia"/>
          <w:color w:val="auto"/>
          <w:lang w:val="en-US" w:eastAsia="zh-CN"/>
        </w:rPr>
        <w:t>6</w:t>
      </w:r>
      <w:r>
        <w:rPr>
          <w:rFonts w:hint="eastAsia"/>
          <w:color w:val="auto"/>
        </w:rPr>
        <w:t>地表水环境影响分析</w:t>
      </w:r>
    </w:p>
    <w:p>
      <w:pPr>
        <w:bidi w:val="0"/>
        <w:rPr>
          <w:rFonts w:hint="eastAsia"/>
          <w:color w:val="auto"/>
        </w:rPr>
      </w:pPr>
      <w:r>
        <w:rPr>
          <w:rFonts w:hint="eastAsia"/>
          <w:b/>
          <w:bCs/>
          <w:color w:val="auto"/>
          <w:u w:val="single"/>
        </w:rPr>
        <w:t>本项目建成后废水排放量为</w:t>
      </w:r>
      <w:r>
        <w:rPr>
          <w:rFonts w:hint="eastAsia"/>
          <w:b/>
          <w:bCs/>
          <w:color w:val="auto"/>
          <w:u w:val="single"/>
          <w:lang w:val="en-US" w:eastAsia="zh-CN"/>
        </w:rPr>
        <w:t xml:space="preserve">947.73 </w:t>
      </w:r>
      <w:r>
        <w:rPr>
          <w:rFonts w:hint="eastAsia"/>
          <w:b/>
          <w:bCs/>
          <w:color w:val="auto"/>
          <w:u w:val="single"/>
        </w:rPr>
        <w:t>m</w:t>
      </w:r>
      <w:r>
        <w:rPr>
          <w:rFonts w:hint="eastAsia"/>
          <w:b/>
          <w:bCs/>
          <w:color w:val="auto"/>
          <w:u w:val="single"/>
          <w:vertAlign w:val="superscript"/>
        </w:rPr>
        <w:t>3</w:t>
      </w:r>
      <w:r>
        <w:rPr>
          <w:rFonts w:hint="eastAsia"/>
          <w:b/>
          <w:bCs/>
          <w:color w:val="auto"/>
          <w:u w:val="single"/>
        </w:rPr>
        <w:t>/d，经污水处理站处理后主要污染物的排放浓度为COD</w:t>
      </w:r>
      <w:r>
        <w:rPr>
          <w:b/>
          <w:bCs/>
          <w:color w:val="auto"/>
          <w:u w:val="single"/>
        </w:rPr>
        <w:t xml:space="preserve"> </w:t>
      </w:r>
      <w:r>
        <w:rPr>
          <w:rFonts w:hint="eastAsia"/>
          <w:b/>
          <w:bCs/>
          <w:color w:val="auto"/>
          <w:u w:val="single"/>
        </w:rPr>
        <w:t>82.83mg/L、N</w:t>
      </w:r>
      <w:r>
        <w:rPr>
          <w:b/>
          <w:bCs/>
          <w:color w:val="auto"/>
          <w:u w:val="single"/>
        </w:rPr>
        <w:t>H</w:t>
      </w:r>
      <w:r>
        <w:rPr>
          <w:b/>
          <w:bCs/>
          <w:color w:val="auto"/>
          <w:u w:val="single"/>
          <w:vertAlign w:val="subscript"/>
        </w:rPr>
        <w:t>3</w:t>
      </w:r>
      <w:r>
        <w:rPr>
          <w:b/>
          <w:bCs/>
          <w:color w:val="auto"/>
          <w:u w:val="single"/>
        </w:rPr>
        <w:t xml:space="preserve">-N </w:t>
      </w:r>
      <w:r>
        <w:rPr>
          <w:rFonts w:hint="eastAsia"/>
          <w:b/>
          <w:bCs/>
          <w:color w:val="auto"/>
          <w:u w:val="single"/>
        </w:rPr>
        <w:t>4.87mg/L、SS</w:t>
      </w:r>
      <w:r>
        <w:rPr>
          <w:b/>
          <w:bCs/>
          <w:color w:val="auto"/>
          <w:u w:val="single"/>
        </w:rPr>
        <w:t xml:space="preserve"> </w:t>
      </w:r>
      <w:r>
        <w:rPr>
          <w:rFonts w:hint="eastAsia"/>
          <w:b/>
          <w:bCs/>
          <w:color w:val="auto"/>
          <w:u w:val="single"/>
        </w:rPr>
        <w:t>9.24mg/L、BOD</w:t>
      </w:r>
      <w:r>
        <w:rPr>
          <w:rFonts w:hint="eastAsia"/>
          <w:b/>
          <w:bCs/>
          <w:color w:val="auto"/>
          <w:u w:val="single"/>
          <w:vertAlign w:val="subscript"/>
          <w:lang w:val="en-US" w:eastAsia="zh-CN"/>
        </w:rPr>
        <w:t>5</w:t>
      </w:r>
      <w:r>
        <w:rPr>
          <w:b/>
          <w:bCs/>
          <w:color w:val="auto"/>
          <w:u w:val="single"/>
        </w:rPr>
        <w:t xml:space="preserve"> </w:t>
      </w:r>
      <w:r>
        <w:rPr>
          <w:rFonts w:hint="eastAsia"/>
          <w:b/>
          <w:bCs/>
          <w:color w:val="auto"/>
          <w:u w:val="single"/>
          <w:lang w:val="en-US" w:eastAsia="zh-CN"/>
        </w:rPr>
        <w:t>14.69</w:t>
      </w:r>
      <w:r>
        <w:rPr>
          <w:rFonts w:hint="eastAsia"/>
          <w:b/>
          <w:bCs/>
          <w:color w:val="auto"/>
          <w:u w:val="single"/>
        </w:rPr>
        <w:t>mg/L、TN</w:t>
      </w:r>
      <w:r>
        <w:rPr>
          <w:b/>
          <w:bCs/>
          <w:color w:val="auto"/>
          <w:u w:val="single"/>
        </w:rPr>
        <w:t xml:space="preserve"> </w:t>
      </w:r>
      <w:r>
        <w:rPr>
          <w:rFonts w:hint="eastAsia"/>
          <w:b/>
          <w:bCs/>
          <w:color w:val="auto"/>
          <w:u w:val="single"/>
          <w:lang w:val="en-US" w:eastAsia="zh-CN"/>
        </w:rPr>
        <w:t>10.03</w:t>
      </w:r>
      <w:r>
        <w:rPr>
          <w:rFonts w:hint="eastAsia"/>
          <w:b/>
          <w:bCs/>
          <w:color w:val="auto"/>
          <w:u w:val="single"/>
        </w:rPr>
        <w:t>mg/L、TP</w:t>
      </w:r>
      <w:r>
        <w:rPr>
          <w:b/>
          <w:bCs/>
          <w:color w:val="auto"/>
          <w:u w:val="single"/>
        </w:rPr>
        <w:t xml:space="preserve"> </w:t>
      </w:r>
      <w:r>
        <w:rPr>
          <w:rFonts w:hint="default"/>
          <w:b/>
          <w:bCs/>
          <w:color w:val="auto"/>
          <w:u w:val="single"/>
          <w:lang w:val="en-US" w:eastAsia="zh-CN"/>
        </w:rPr>
        <w:t>0.3</w:t>
      </w:r>
      <w:r>
        <w:rPr>
          <w:rFonts w:hint="eastAsia"/>
          <w:b/>
          <w:bCs/>
          <w:color w:val="auto"/>
          <w:u w:val="single"/>
          <w:lang w:val="en-US" w:eastAsia="zh-CN"/>
        </w:rPr>
        <w:t>1</w:t>
      </w:r>
      <w:r>
        <w:rPr>
          <w:rFonts w:hint="eastAsia"/>
          <w:b/>
          <w:bCs/>
          <w:color w:val="auto"/>
          <w:u w:val="single"/>
        </w:rPr>
        <w:t>mg/L</w:t>
      </w:r>
      <w:r>
        <w:rPr>
          <w:rFonts w:hint="eastAsia"/>
          <w:b/>
          <w:bCs/>
          <w:color w:val="auto"/>
          <w:u w:val="single"/>
          <w:lang w:eastAsia="zh-CN"/>
        </w:rPr>
        <w:t>。</w:t>
      </w:r>
      <w:r>
        <w:rPr>
          <w:rFonts w:hint="eastAsia"/>
          <w:color w:val="auto"/>
        </w:rPr>
        <w:t>各污染因子均能满足相关排放标准限值要求，同时也可满足小店污水处理厂的收水水质要求，且项目排放废水量占其处理负荷量比例较小、总处理量未超出设计处理负荷量，不会对小店污水处理厂的出水水质产生影响。小店污水处理厂实际运行出水指标COD、NH</w:t>
      </w:r>
      <w:r>
        <w:rPr>
          <w:rFonts w:hint="eastAsia"/>
          <w:color w:val="auto"/>
          <w:vertAlign w:val="subscript"/>
        </w:rPr>
        <w:t>3</w:t>
      </w:r>
      <w:r>
        <w:rPr>
          <w:rFonts w:hint="eastAsia"/>
          <w:color w:val="auto"/>
        </w:rPr>
        <w:t>-N、TP满足《地表水环境质量标准》(GB3838-2002)</w:t>
      </w:r>
      <w:r>
        <w:rPr>
          <w:rFonts w:hint="eastAsia" w:ascii="宋体" w:hAnsi="宋体" w:eastAsia="宋体" w:cs="宋体"/>
          <w:color w:val="auto"/>
        </w:rPr>
        <w:t>Ⅳ</w:t>
      </w:r>
      <w:r>
        <w:rPr>
          <w:rFonts w:hint="eastAsia"/>
          <w:color w:val="auto"/>
        </w:rPr>
        <w:t>类水体标准，TN和SS满足《城镇污水处理厂污染物排放标准》（GB18918-2002）一级A标准。因此评价认为：项目废水经处理后，对地表水环境的影响可接受。</w:t>
      </w:r>
    </w:p>
    <w:p>
      <w:pPr>
        <w:pStyle w:val="7"/>
        <w:bidi w:val="0"/>
        <w:rPr>
          <w:color w:val="auto"/>
        </w:rPr>
      </w:pPr>
      <w:bookmarkStart w:id="308" w:name="_Toc17610"/>
      <w:bookmarkStart w:id="309" w:name="_Toc51319871"/>
      <w:bookmarkStart w:id="310" w:name="_Toc14743"/>
      <w:bookmarkStart w:id="311" w:name="_Toc31614"/>
      <w:bookmarkStart w:id="312" w:name="_Toc67041059"/>
      <w:r>
        <w:rPr>
          <w:rFonts w:hint="eastAsia"/>
          <w:color w:val="auto"/>
        </w:rPr>
        <w:t>5.</w:t>
      </w:r>
      <w:r>
        <w:rPr>
          <w:rFonts w:hint="eastAsia"/>
          <w:color w:val="auto"/>
          <w:lang w:val="en-US" w:eastAsia="zh-CN"/>
        </w:rPr>
        <w:t>4</w:t>
      </w:r>
      <w:r>
        <w:rPr>
          <w:rFonts w:hint="eastAsia"/>
          <w:color w:val="auto"/>
        </w:rPr>
        <w:t>地下水环境影响评价</w:t>
      </w:r>
      <w:bookmarkEnd w:id="308"/>
      <w:bookmarkEnd w:id="309"/>
      <w:bookmarkEnd w:id="310"/>
      <w:bookmarkEnd w:id="311"/>
    </w:p>
    <w:p>
      <w:pPr>
        <w:pStyle w:val="9"/>
        <w:bidi w:val="0"/>
        <w:rPr>
          <w:color w:val="auto"/>
        </w:rPr>
      </w:pPr>
      <w:r>
        <w:rPr>
          <w:rFonts w:hint="eastAsia"/>
          <w:color w:val="auto"/>
        </w:rPr>
        <w:t>5.</w:t>
      </w:r>
      <w:r>
        <w:rPr>
          <w:rFonts w:hint="eastAsia"/>
          <w:color w:val="auto"/>
          <w:lang w:val="en-US" w:eastAsia="zh-CN"/>
        </w:rPr>
        <w:t>4</w:t>
      </w:r>
      <w:r>
        <w:rPr>
          <w:rFonts w:hint="eastAsia"/>
          <w:color w:val="auto"/>
        </w:rPr>
        <w:t>.1地下水水文地质情况</w:t>
      </w:r>
    </w:p>
    <w:p>
      <w:pPr>
        <w:pStyle w:val="10"/>
        <w:bidi w:val="0"/>
        <w:rPr>
          <w:color w:val="auto"/>
        </w:rPr>
      </w:pPr>
      <w:r>
        <w:rPr>
          <w:color w:val="auto"/>
        </w:rPr>
        <w:t>5.</w:t>
      </w:r>
      <w:r>
        <w:rPr>
          <w:rFonts w:hint="eastAsia"/>
          <w:color w:val="auto"/>
          <w:lang w:val="en-US" w:eastAsia="zh-CN"/>
        </w:rPr>
        <w:t>4</w:t>
      </w:r>
      <w:r>
        <w:rPr>
          <w:color w:val="auto"/>
        </w:rPr>
        <w:t>.1.1评价区水文地质情况</w:t>
      </w:r>
    </w:p>
    <w:p>
      <w:pPr>
        <w:bidi w:val="0"/>
        <w:rPr>
          <w:b/>
          <w:bCs/>
          <w:color w:val="auto"/>
          <w:u w:val="single"/>
        </w:rPr>
      </w:pPr>
      <w:r>
        <w:rPr>
          <w:b/>
          <w:bCs/>
          <w:color w:val="auto"/>
          <w:u w:val="single"/>
        </w:rPr>
        <w:t>根据区域水文地质情况及勘查资料，园区被第四系松散沉积物所覆盖，因此，第四系松散岩类孔隙含水层是主要开采层，同时也是与项目关系最为密切的含水层。富水岩性以粉细砂、中砂为主，主要接受大气降水的垂直入渗补给及卫河水的侧向径流补给，排泄方式为人工开采和径流排泄。地下水动态变化主要受季节性控制和开采影响，水文年变幅2</w:t>
      </w:r>
      <w:r>
        <w:rPr>
          <w:rFonts w:hint="eastAsia"/>
          <w:b/>
          <w:bCs/>
          <w:color w:val="auto"/>
          <w:u w:val="single"/>
          <w:lang w:eastAsia="zh-CN"/>
        </w:rPr>
        <w:t>—</w:t>
      </w:r>
      <w:r>
        <w:rPr>
          <w:b/>
          <w:bCs/>
          <w:color w:val="auto"/>
          <w:u w:val="single"/>
        </w:rPr>
        <w:t>3m。</w:t>
      </w:r>
    </w:p>
    <w:p>
      <w:pPr>
        <w:bidi w:val="0"/>
        <w:rPr>
          <w:b/>
          <w:bCs/>
          <w:color w:val="auto"/>
          <w:u w:val="single"/>
        </w:rPr>
      </w:pPr>
      <w:r>
        <w:rPr>
          <w:b/>
          <w:bCs/>
          <w:color w:val="auto"/>
          <w:u w:val="single"/>
        </w:rPr>
        <w:t>境内地下水总量为富水区，水量富足，地下水埋深一般在1</w:t>
      </w:r>
      <w:r>
        <w:rPr>
          <w:rFonts w:hint="eastAsia"/>
          <w:b/>
          <w:bCs/>
          <w:color w:val="auto"/>
          <w:u w:val="single"/>
          <w:lang w:eastAsia="zh-CN"/>
        </w:rPr>
        <w:t>—</w:t>
      </w:r>
      <w:r>
        <w:rPr>
          <w:b/>
          <w:bCs/>
          <w:color w:val="auto"/>
          <w:u w:val="single"/>
        </w:rPr>
        <w:t>4米，属浅表层地下水，单位涌水量11.3立方米/小时，水质较好，pH值在7.7-8.3之间，属碱性水，矿化度0.9</w:t>
      </w:r>
      <w:r>
        <w:rPr>
          <w:rFonts w:hint="eastAsia"/>
          <w:b/>
          <w:bCs/>
          <w:color w:val="auto"/>
          <w:u w:val="single"/>
          <w:lang w:eastAsia="zh-CN"/>
        </w:rPr>
        <w:t>—</w:t>
      </w:r>
      <w:r>
        <w:rPr>
          <w:b/>
          <w:bCs/>
          <w:color w:val="auto"/>
          <w:u w:val="single"/>
        </w:rPr>
        <w:t>1.5克/升之间，属极弱化矿化水，适宜于农田灌溉和人畜饮用。含水层多层，其中有一层分布稳定、厚度大的粉质粘土层，将地下水分为两个含水层组：第一含水组为潜水及微承压水，由上更新统上段及全新统冲积砂层组成，含水介质为松散的粗、中砂和细砂，总厚度40</w:t>
      </w:r>
      <w:r>
        <w:rPr>
          <w:rFonts w:hint="eastAsia"/>
          <w:b/>
          <w:bCs/>
          <w:color w:val="auto"/>
          <w:u w:val="single"/>
          <w:lang w:eastAsia="zh-CN"/>
        </w:rPr>
        <w:t>—</w:t>
      </w:r>
      <w:r>
        <w:rPr>
          <w:b/>
          <w:bCs/>
          <w:color w:val="auto"/>
          <w:u w:val="single"/>
        </w:rPr>
        <w:t>60米，局部大于70米，降深10米时，单井涌水量大于2800立方米/日；第二含水组为承压水，由上更新统下段砂层组成，含水介质为细砂、粉砂，总厚度20</w:t>
      </w:r>
      <w:r>
        <w:rPr>
          <w:rFonts w:hint="eastAsia"/>
          <w:b/>
          <w:bCs/>
          <w:color w:val="auto"/>
          <w:u w:val="single"/>
          <w:lang w:eastAsia="zh-CN"/>
        </w:rPr>
        <w:t>—</w:t>
      </w:r>
      <w:r>
        <w:rPr>
          <w:b/>
          <w:bCs/>
          <w:color w:val="auto"/>
          <w:u w:val="single"/>
        </w:rPr>
        <w:t>52米，单井涌水量1400-2400立方米/日。</w:t>
      </w:r>
    </w:p>
    <w:p>
      <w:pPr>
        <w:pStyle w:val="10"/>
        <w:bidi w:val="0"/>
        <w:rPr>
          <w:color w:val="auto"/>
        </w:rPr>
      </w:pPr>
      <w:r>
        <w:rPr>
          <w:color w:val="auto"/>
        </w:rPr>
        <w:t>5.</w:t>
      </w:r>
      <w:r>
        <w:rPr>
          <w:rFonts w:hint="eastAsia"/>
          <w:color w:val="auto"/>
          <w:lang w:val="en-US" w:eastAsia="zh-CN"/>
        </w:rPr>
        <w:t>4</w:t>
      </w:r>
      <w:r>
        <w:rPr>
          <w:color w:val="auto"/>
        </w:rPr>
        <w:t>.1.2地下水类型及富水性特征</w:t>
      </w:r>
    </w:p>
    <w:p>
      <w:pPr>
        <w:bidi w:val="0"/>
        <w:rPr>
          <w:color w:val="auto"/>
        </w:rPr>
      </w:pPr>
      <w:r>
        <w:rPr>
          <w:color w:val="auto"/>
        </w:rPr>
        <w:t>（1）浅层孔隙水含水层及其富水性特征</w:t>
      </w:r>
    </w:p>
    <w:p>
      <w:pPr>
        <w:bidi w:val="0"/>
        <w:rPr>
          <w:color w:val="auto"/>
        </w:rPr>
      </w:pPr>
      <w:r>
        <w:rPr>
          <w:color w:val="auto"/>
        </w:rPr>
        <w:t>浅层地下水为潜水及微承压水，由上更新统上段及全新统冲积砂层组成，含水介质为松散的粗、中砂和细砂，一般可见2～4层，单层厚度8～25m，总厚度40～60m，局部大于70m。单位涌水量l0～20m</w:t>
      </w:r>
      <w:r>
        <w:rPr>
          <w:color w:val="auto"/>
          <w:vertAlign w:val="superscript"/>
        </w:rPr>
        <w:t>3</w:t>
      </w:r>
      <w:r>
        <w:rPr>
          <w:color w:val="auto"/>
        </w:rPr>
        <w:t>/h·m。由古河床向两侧古漫滩，含水层颗粒由粗到细，含水层厚度由大到小，地下水由潜水过渡到微承压水，单位涌水量由大变小。</w:t>
      </w:r>
    </w:p>
    <w:p>
      <w:pPr>
        <w:bidi w:val="0"/>
        <w:rPr>
          <w:color w:val="auto"/>
        </w:rPr>
      </w:pPr>
      <w:r>
        <w:rPr>
          <w:color w:val="auto"/>
        </w:rPr>
        <w:t>在古河床区，浅层地下水底界埋深75</w:t>
      </w:r>
      <w:r>
        <w:rPr>
          <w:rFonts w:hint="eastAsia"/>
          <w:color w:val="auto"/>
          <w:lang w:eastAsia="zh-CN"/>
        </w:rPr>
        <w:t>—</w:t>
      </w:r>
      <w:r>
        <w:rPr>
          <w:color w:val="auto"/>
        </w:rPr>
        <w:t>85m，含水层为粗砂、中砂、细砂单层厚20m左右，最厚达40m，累计厚50</w:t>
      </w:r>
      <w:r>
        <w:rPr>
          <w:rFonts w:hint="eastAsia"/>
          <w:color w:val="auto"/>
          <w:lang w:eastAsia="zh-CN"/>
        </w:rPr>
        <w:t>—</w:t>
      </w:r>
      <w:r>
        <w:rPr>
          <w:color w:val="auto"/>
        </w:rPr>
        <w:t>70m，渗透系数1.4</w:t>
      </w:r>
      <w:r>
        <w:rPr>
          <w:rFonts w:hint="eastAsia"/>
          <w:color w:val="auto"/>
          <w:lang w:eastAsia="zh-CN"/>
        </w:rPr>
        <w:t>—</w:t>
      </w:r>
      <w:r>
        <w:rPr>
          <w:color w:val="auto"/>
        </w:rPr>
        <w:t>1.9m/d，导水系数400-1000m</w:t>
      </w:r>
      <w:r>
        <w:rPr>
          <w:color w:val="auto"/>
          <w:vertAlign w:val="superscript"/>
        </w:rPr>
        <w:t>2</w:t>
      </w:r>
      <w:r>
        <w:rPr>
          <w:color w:val="auto"/>
        </w:rPr>
        <w:t>/d，单位涌水量大于15m</w:t>
      </w:r>
      <w:r>
        <w:rPr>
          <w:color w:val="auto"/>
          <w:vertAlign w:val="superscript"/>
        </w:rPr>
        <w:t>3</w:t>
      </w:r>
      <w:r>
        <w:rPr>
          <w:color w:val="auto"/>
        </w:rPr>
        <w:t>/（h·m），降深10m时</w:t>
      </w:r>
      <w:r>
        <w:rPr>
          <w:rFonts w:hint="eastAsia"/>
          <w:color w:val="auto"/>
          <w:lang w:eastAsia="zh-CN"/>
        </w:rPr>
        <w:t>，</w:t>
      </w:r>
      <w:r>
        <w:rPr>
          <w:color w:val="auto"/>
        </w:rPr>
        <w:t>单井涌水量大于2800m</w:t>
      </w:r>
      <w:r>
        <w:rPr>
          <w:color w:val="auto"/>
          <w:vertAlign w:val="superscript"/>
        </w:rPr>
        <w:t>3</w:t>
      </w:r>
      <w:r>
        <w:rPr>
          <w:color w:val="auto"/>
        </w:rPr>
        <w:t>/d，姚庄、沙门一带达6000m</w:t>
      </w:r>
      <w:r>
        <w:rPr>
          <w:color w:val="auto"/>
          <w:vertAlign w:val="superscript"/>
        </w:rPr>
        <w:t>2</w:t>
      </w:r>
      <w:r>
        <w:rPr>
          <w:color w:val="auto"/>
        </w:rPr>
        <w:t>/d。</w:t>
      </w:r>
    </w:p>
    <w:p>
      <w:pPr>
        <w:bidi w:val="0"/>
        <w:rPr>
          <w:color w:val="auto"/>
        </w:rPr>
      </w:pPr>
      <w:r>
        <w:rPr>
          <w:color w:val="auto"/>
        </w:rPr>
        <w:t>在古漫滩区，浅层地下水底界埋深57～70m，含水层岩性为细砂，单层厚度10～15m，累计厚度45～60m，渗透系数0.9～1.6m/d，导水系数300～700m</w:t>
      </w:r>
      <w:r>
        <w:rPr>
          <w:color w:val="auto"/>
          <w:vertAlign w:val="superscript"/>
        </w:rPr>
        <w:t>2</w:t>
      </w:r>
      <w:r>
        <w:rPr>
          <w:color w:val="auto"/>
        </w:rPr>
        <w:t>/d，单位涌水量10～20m</w:t>
      </w:r>
      <w:r>
        <w:rPr>
          <w:color w:val="auto"/>
          <w:vertAlign w:val="superscript"/>
        </w:rPr>
        <w:t>3</w:t>
      </w:r>
      <w:r>
        <w:rPr>
          <w:color w:val="auto"/>
        </w:rPr>
        <w:t>/h·m，单井涌水量2280～4800m</w:t>
      </w:r>
      <w:r>
        <w:rPr>
          <w:color w:val="auto"/>
          <w:vertAlign w:val="superscript"/>
        </w:rPr>
        <w:t>3</w:t>
      </w:r>
      <w:r>
        <w:rPr>
          <w:color w:val="auto"/>
        </w:rPr>
        <w:t>/d。</w:t>
      </w:r>
    </w:p>
    <w:p>
      <w:pPr>
        <w:bidi w:val="0"/>
        <w:rPr>
          <w:color w:val="auto"/>
        </w:rPr>
      </w:pPr>
      <w:r>
        <w:rPr>
          <w:color w:val="auto"/>
        </w:rPr>
        <w:t>浅层地下水底板为厚7.5</w:t>
      </w:r>
      <w:r>
        <w:rPr>
          <w:rFonts w:hint="eastAsia"/>
          <w:color w:val="auto"/>
          <w:lang w:eastAsia="zh-CN"/>
        </w:rPr>
        <w:t>—</w:t>
      </w:r>
      <w:r>
        <w:rPr>
          <w:color w:val="auto"/>
        </w:rPr>
        <w:t>16.0m的粉质粘土，分布连续稳定。</w:t>
      </w:r>
    </w:p>
    <w:p>
      <w:pPr>
        <w:bidi w:val="0"/>
        <w:rPr>
          <w:color w:val="auto"/>
        </w:rPr>
      </w:pPr>
      <w:r>
        <w:rPr>
          <w:color w:val="auto"/>
        </w:rPr>
        <w:t>现状条件下，第II含水组通过弱透水层越流补给I含水组，但由于弱透水层厚度大，分布连续稳定，且渗透系数小，越流量小，可忽略不计。</w:t>
      </w:r>
    </w:p>
    <w:p>
      <w:pPr>
        <w:bidi w:val="0"/>
        <w:rPr>
          <w:color w:val="auto"/>
        </w:rPr>
      </w:pPr>
      <w:r>
        <w:rPr>
          <w:color w:val="auto"/>
        </w:rPr>
        <w:t>浅层地下水水质较差，但水量大，易于开采，为调查区内供水开采目的层。</w:t>
      </w:r>
    </w:p>
    <w:p>
      <w:pPr>
        <w:bidi w:val="0"/>
        <w:rPr>
          <w:color w:val="auto"/>
        </w:rPr>
      </w:pPr>
      <w:r>
        <w:rPr>
          <w:rFonts w:hint="eastAsia"/>
          <w:color w:val="auto"/>
        </w:rPr>
        <w:t>（2）中层孔隙水含水层及其富水性特征</w:t>
      </w:r>
    </w:p>
    <w:p>
      <w:pPr>
        <w:bidi w:val="0"/>
        <w:rPr>
          <w:color w:val="auto"/>
        </w:rPr>
      </w:pPr>
      <w:r>
        <w:rPr>
          <w:color w:val="auto"/>
        </w:rPr>
        <w:t>中深层地下水为承压水，由上更新统下段砂层组成，含水介质为细砂、粉砂，一般可见7-9层，单层厚度5</w:t>
      </w:r>
      <w:r>
        <w:rPr>
          <w:rFonts w:hint="eastAsia"/>
          <w:color w:val="auto"/>
          <w:lang w:eastAsia="zh-CN"/>
        </w:rPr>
        <w:t>—</w:t>
      </w:r>
      <w:r>
        <w:rPr>
          <w:color w:val="auto"/>
        </w:rPr>
        <w:t>10m，最厚达31m，累计厚度20.7</w:t>
      </w:r>
      <w:r>
        <w:rPr>
          <w:rFonts w:hint="eastAsia"/>
          <w:color w:val="auto"/>
          <w:lang w:eastAsia="zh-CN"/>
        </w:rPr>
        <w:t>—</w:t>
      </w:r>
      <w:r>
        <w:rPr>
          <w:color w:val="auto"/>
        </w:rPr>
        <w:t>52.5m，单位涌水量4-6 m</w:t>
      </w:r>
      <w:r>
        <w:rPr>
          <w:color w:val="auto"/>
          <w:vertAlign w:val="superscript"/>
        </w:rPr>
        <w:t>3</w:t>
      </w:r>
      <w:r>
        <w:rPr>
          <w:color w:val="auto"/>
        </w:rPr>
        <w:t>/h·m，单井涌水量1400-2400 m</w:t>
      </w:r>
      <w:r>
        <w:rPr>
          <w:color w:val="auto"/>
          <w:vertAlign w:val="superscript"/>
        </w:rPr>
        <w:t>3</w:t>
      </w:r>
      <w:r>
        <w:rPr>
          <w:color w:val="auto"/>
        </w:rPr>
        <w:t>/d，渗透系数6</w:t>
      </w:r>
      <w:r>
        <w:rPr>
          <w:rFonts w:hint="eastAsia"/>
          <w:color w:val="auto"/>
          <w:lang w:eastAsia="zh-CN"/>
        </w:rPr>
        <w:t>—</w:t>
      </w:r>
      <w:r>
        <w:rPr>
          <w:color w:val="auto"/>
        </w:rPr>
        <w:t>10m/d，导水系数200～260m/d。中深层地下水底界埋深140</w:t>
      </w:r>
      <w:r>
        <w:rPr>
          <w:rFonts w:hint="eastAsia"/>
          <w:color w:val="auto"/>
          <w:lang w:eastAsia="zh-CN"/>
        </w:rPr>
        <w:t>—</w:t>
      </w:r>
      <w:r>
        <w:rPr>
          <w:color w:val="auto"/>
        </w:rPr>
        <w:t>155m，底板为厚8.0m左右分布稳定的粉质粘土层。</w:t>
      </w:r>
    </w:p>
    <w:p>
      <w:pPr>
        <w:bidi w:val="0"/>
        <w:rPr>
          <w:rFonts w:ascii="Times New Roman" w:hAnsi="Times New Roman" w:cs="Times New Roman"/>
          <w:bCs/>
          <w:color w:val="auto"/>
        </w:rPr>
      </w:pPr>
      <w:r>
        <w:rPr>
          <w:rFonts w:hint="eastAsia"/>
          <w:color w:val="auto"/>
        </w:rPr>
        <w:t>中深层地下水矿化度高，不适宜作为饮用水和工业用水，未开采。</w:t>
      </w:r>
    </w:p>
    <w:p>
      <w:pPr>
        <w:pStyle w:val="10"/>
        <w:bidi w:val="0"/>
        <w:rPr>
          <w:color w:val="auto"/>
        </w:rPr>
      </w:pPr>
      <w:r>
        <w:rPr>
          <w:rFonts w:hint="eastAsia"/>
          <w:color w:val="auto"/>
        </w:rPr>
        <w:t>5.</w:t>
      </w:r>
      <w:r>
        <w:rPr>
          <w:rFonts w:hint="eastAsia"/>
          <w:color w:val="auto"/>
          <w:lang w:val="en-US" w:eastAsia="zh-CN"/>
        </w:rPr>
        <w:t>4</w:t>
      </w:r>
      <w:r>
        <w:rPr>
          <w:rFonts w:hint="eastAsia"/>
          <w:color w:val="auto"/>
        </w:rPr>
        <w:t>.1.3地下水动态特征</w:t>
      </w:r>
    </w:p>
    <w:p>
      <w:pPr>
        <w:bidi w:val="0"/>
        <w:rPr>
          <w:color w:val="auto"/>
        </w:rPr>
      </w:pPr>
      <w:r>
        <w:rPr>
          <w:rFonts w:hint="eastAsia"/>
          <w:color w:val="auto"/>
        </w:rPr>
        <w:t>根据对经开区地下水长期观测点进行连续三年水文年的水文数据的收集，评价区域浅层地下水动态类型属“气象</w:t>
      </w:r>
      <w:r>
        <w:rPr>
          <w:rFonts w:hint="eastAsia"/>
          <w:color w:val="auto"/>
          <w:lang w:eastAsia="zh-CN"/>
        </w:rPr>
        <w:t>－</w:t>
      </w:r>
      <w:r>
        <w:rPr>
          <w:rFonts w:hint="eastAsia"/>
          <w:color w:val="auto"/>
        </w:rPr>
        <w:t>开采型”，地下水动态主要受降水、开采控制。年内3-5月为枯水期同时又处于农作物春灌期，开采量增大，地下水位降低；7-9月为丰水期，降水量增大，水位上升。年水位变幅1.2～2.5m。</w:t>
      </w:r>
    </w:p>
    <w:p>
      <w:pPr>
        <w:pStyle w:val="10"/>
        <w:bidi w:val="0"/>
        <w:rPr>
          <w:color w:val="auto"/>
        </w:rPr>
      </w:pPr>
      <w:r>
        <w:rPr>
          <w:color w:val="auto"/>
        </w:rPr>
        <w:t>5.</w:t>
      </w:r>
      <w:r>
        <w:rPr>
          <w:rFonts w:hint="eastAsia"/>
          <w:color w:val="auto"/>
          <w:lang w:val="en-US" w:eastAsia="zh-CN"/>
        </w:rPr>
        <w:t>4</w:t>
      </w:r>
      <w:r>
        <w:rPr>
          <w:color w:val="auto"/>
        </w:rPr>
        <w:t>.1.4项目场地水文地质</w:t>
      </w:r>
    </w:p>
    <w:p>
      <w:pPr>
        <w:bidi w:val="0"/>
        <w:rPr>
          <w:b/>
          <w:bCs/>
          <w:color w:val="auto"/>
          <w:u w:val="single"/>
        </w:rPr>
      </w:pPr>
      <w:r>
        <w:rPr>
          <w:rFonts w:hint="eastAsia"/>
          <w:b/>
          <w:bCs/>
          <w:color w:val="auto"/>
          <w:u w:val="single"/>
        </w:rPr>
        <w:t>根据《新乡化纤股份有限公司年产十万吨高品质超细旦氨纶纤维项目岩土工程勘察报告》，项目所在地场地形式较为平坦，地面最大相对高差0.83m。场地在揭露深度范围内均为第四系全新统，按地层的成因类型、岩性特征将地基土划分为9个工程地质单元层（含2个亚层）。各单元层的工程地质特征分述如下：</w:t>
      </w:r>
    </w:p>
    <w:p>
      <w:pPr>
        <w:bidi w:val="0"/>
        <w:rPr>
          <w:b/>
          <w:bCs/>
          <w:color w:val="auto"/>
          <w:u w:val="single"/>
        </w:rPr>
      </w:pPr>
      <w:r>
        <w:rPr>
          <w:rFonts w:hint="eastAsia"/>
          <w:b/>
          <w:bCs/>
          <w:color w:val="auto"/>
          <w:u w:val="single"/>
        </w:rPr>
        <w:t>第①单元层：粉土（Q4al）</w:t>
      </w:r>
    </w:p>
    <w:p>
      <w:pPr>
        <w:bidi w:val="0"/>
        <w:rPr>
          <w:b/>
          <w:bCs/>
          <w:color w:val="auto"/>
          <w:u w:val="single"/>
        </w:rPr>
      </w:pPr>
      <w:r>
        <w:rPr>
          <w:rFonts w:hint="eastAsia"/>
          <w:b/>
          <w:bCs/>
          <w:color w:val="auto"/>
          <w:u w:val="single"/>
        </w:rPr>
        <w:t>灰黄色、稍湿，稍密～中密，无光泽反应，摇震反应中等，</w:t>
      </w:r>
      <w:r>
        <w:rPr>
          <w:rFonts w:hint="eastAsia"/>
          <w:b/>
          <w:bCs/>
          <w:color w:val="auto"/>
          <w:u w:val="single"/>
          <w:lang w:eastAsia="zh-CN"/>
        </w:rPr>
        <w:t>低于</w:t>
      </w:r>
      <w:r>
        <w:rPr>
          <w:rFonts w:hint="eastAsia"/>
          <w:b/>
          <w:bCs/>
          <w:color w:val="auto"/>
          <w:u w:val="single"/>
        </w:rPr>
        <w:t>强度，低韧性。</w:t>
      </w:r>
    </w:p>
    <w:p>
      <w:pPr>
        <w:bidi w:val="0"/>
        <w:rPr>
          <w:b/>
          <w:bCs/>
          <w:color w:val="auto"/>
          <w:u w:val="single"/>
        </w:rPr>
      </w:pPr>
      <w:r>
        <w:rPr>
          <w:rFonts w:hint="eastAsia"/>
          <w:b/>
          <w:bCs/>
          <w:color w:val="auto"/>
          <w:u w:val="single"/>
        </w:rPr>
        <w:t>该层场区普遍分布，层底埋深0.60</w:t>
      </w:r>
      <w:r>
        <w:rPr>
          <w:rFonts w:hint="eastAsia"/>
          <w:b/>
          <w:bCs/>
          <w:color w:val="auto"/>
          <w:u w:val="single"/>
          <w:lang w:eastAsia="zh-CN"/>
        </w:rPr>
        <w:t>～</w:t>
      </w:r>
      <w:r>
        <w:rPr>
          <w:rFonts w:hint="eastAsia"/>
          <w:b/>
          <w:bCs/>
          <w:color w:val="auto"/>
          <w:u w:val="single"/>
        </w:rPr>
        <w:t>3.60m，层底标高66.38</w:t>
      </w:r>
      <w:r>
        <w:rPr>
          <w:rFonts w:hint="eastAsia"/>
          <w:b/>
          <w:bCs/>
          <w:color w:val="auto"/>
          <w:u w:val="single"/>
          <w:lang w:eastAsia="zh-CN"/>
        </w:rPr>
        <w:t>～</w:t>
      </w:r>
      <w:r>
        <w:rPr>
          <w:rFonts w:hint="eastAsia"/>
          <w:b/>
          <w:bCs/>
          <w:color w:val="auto"/>
          <w:u w:val="single"/>
        </w:rPr>
        <w:t>69.27m，层厚0.60</w:t>
      </w:r>
      <w:r>
        <w:rPr>
          <w:rFonts w:hint="eastAsia"/>
          <w:b/>
          <w:bCs/>
          <w:color w:val="auto"/>
          <w:u w:val="single"/>
          <w:lang w:eastAsia="zh-CN"/>
        </w:rPr>
        <w:t>～</w:t>
      </w:r>
      <w:r>
        <w:rPr>
          <w:rFonts w:hint="eastAsia"/>
          <w:b/>
          <w:bCs/>
          <w:color w:val="auto"/>
          <w:u w:val="single"/>
        </w:rPr>
        <w:t>3.60m，平均层厚1.77m。</w:t>
      </w:r>
    </w:p>
    <w:p>
      <w:pPr>
        <w:bidi w:val="0"/>
        <w:rPr>
          <w:b/>
          <w:bCs/>
          <w:color w:val="auto"/>
          <w:u w:val="single"/>
        </w:rPr>
      </w:pPr>
      <w:r>
        <w:rPr>
          <w:rFonts w:hint="eastAsia"/>
          <w:b/>
          <w:bCs/>
          <w:color w:val="auto"/>
          <w:u w:val="single"/>
        </w:rPr>
        <w:t>第②单元层：粉砂（Q4al）</w:t>
      </w:r>
    </w:p>
    <w:p>
      <w:pPr>
        <w:bidi w:val="0"/>
        <w:rPr>
          <w:b/>
          <w:bCs/>
          <w:color w:val="auto"/>
          <w:u w:val="single"/>
        </w:rPr>
      </w:pPr>
      <w:r>
        <w:rPr>
          <w:rFonts w:hint="eastAsia"/>
          <w:b/>
          <w:bCs/>
          <w:color w:val="auto"/>
          <w:u w:val="single"/>
        </w:rPr>
        <w:t>灰黄色、稍湿，稍密，其主要矿物</w:t>
      </w:r>
      <w:r>
        <w:rPr>
          <w:rFonts w:hint="eastAsia"/>
          <w:b/>
          <w:bCs/>
          <w:color w:val="auto"/>
          <w:u w:val="single"/>
          <w:lang w:eastAsia="zh-CN"/>
        </w:rPr>
        <w:t>成分</w:t>
      </w:r>
      <w:r>
        <w:rPr>
          <w:rFonts w:hint="eastAsia"/>
          <w:b/>
          <w:bCs/>
          <w:color w:val="auto"/>
          <w:u w:val="single"/>
        </w:rPr>
        <w:t>为石英、长石、云母等，局部夹薄层粉土、细砂。</w:t>
      </w:r>
    </w:p>
    <w:p>
      <w:pPr>
        <w:bidi w:val="0"/>
        <w:rPr>
          <w:b/>
          <w:bCs/>
          <w:color w:val="auto"/>
          <w:u w:val="single"/>
        </w:rPr>
      </w:pPr>
      <w:r>
        <w:rPr>
          <w:rFonts w:hint="eastAsia"/>
          <w:b/>
          <w:bCs/>
          <w:color w:val="auto"/>
          <w:u w:val="single"/>
        </w:rPr>
        <w:t>该层场区普遍分布，层底埋深3.00</w:t>
      </w:r>
      <w:r>
        <w:rPr>
          <w:rFonts w:hint="eastAsia"/>
          <w:b/>
          <w:bCs/>
          <w:color w:val="auto"/>
          <w:u w:val="single"/>
          <w:lang w:eastAsia="zh-CN"/>
        </w:rPr>
        <w:t>～</w:t>
      </w:r>
      <w:r>
        <w:rPr>
          <w:rFonts w:hint="eastAsia"/>
          <w:b/>
          <w:bCs/>
          <w:color w:val="auto"/>
          <w:u w:val="single"/>
        </w:rPr>
        <w:t>7.60m，层底标高62.35</w:t>
      </w:r>
      <w:r>
        <w:rPr>
          <w:rFonts w:hint="eastAsia"/>
          <w:b/>
          <w:bCs/>
          <w:color w:val="auto"/>
          <w:u w:val="single"/>
          <w:lang w:eastAsia="zh-CN"/>
        </w:rPr>
        <w:t>～</w:t>
      </w:r>
      <w:r>
        <w:rPr>
          <w:rFonts w:hint="eastAsia"/>
          <w:b/>
          <w:bCs/>
          <w:color w:val="auto"/>
          <w:u w:val="single"/>
        </w:rPr>
        <w:t>66.95m，层厚0.90</w:t>
      </w:r>
      <w:r>
        <w:rPr>
          <w:rFonts w:hint="eastAsia"/>
          <w:b/>
          <w:bCs/>
          <w:color w:val="auto"/>
          <w:u w:val="single"/>
          <w:lang w:eastAsia="zh-CN"/>
        </w:rPr>
        <w:t>～</w:t>
      </w:r>
      <w:r>
        <w:rPr>
          <w:rFonts w:hint="eastAsia"/>
          <w:b/>
          <w:bCs/>
          <w:color w:val="auto"/>
          <w:u w:val="single"/>
        </w:rPr>
        <w:t>5.70m，平均层厚3.21m。</w:t>
      </w:r>
    </w:p>
    <w:p>
      <w:pPr>
        <w:bidi w:val="0"/>
        <w:rPr>
          <w:b/>
          <w:bCs/>
          <w:color w:val="auto"/>
          <w:u w:val="single"/>
        </w:rPr>
      </w:pPr>
      <w:r>
        <w:rPr>
          <w:rFonts w:hint="eastAsia"/>
          <w:b/>
          <w:bCs/>
          <w:color w:val="auto"/>
          <w:u w:val="single"/>
        </w:rPr>
        <w:t>第②-1单元层：粉土（Q4al）</w:t>
      </w:r>
    </w:p>
    <w:p>
      <w:pPr>
        <w:bidi w:val="0"/>
        <w:rPr>
          <w:b/>
          <w:bCs/>
          <w:color w:val="auto"/>
          <w:u w:val="single"/>
        </w:rPr>
      </w:pPr>
      <w:r>
        <w:rPr>
          <w:rFonts w:hint="eastAsia"/>
          <w:b/>
          <w:bCs/>
          <w:color w:val="auto"/>
          <w:u w:val="single"/>
        </w:rPr>
        <w:t>灰黄色、稍湿，稍密～中密，无光泽反应，摇震反应中等，低干强度，低韧性。</w:t>
      </w:r>
    </w:p>
    <w:p>
      <w:pPr>
        <w:bidi w:val="0"/>
        <w:rPr>
          <w:b/>
          <w:bCs/>
          <w:color w:val="auto"/>
          <w:u w:val="single"/>
        </w:rPr>
      </w:pPr>
      <w:r>
        <w:rPr>
          <w:rFonts w:hint="eastAsia"/>
          <w:b/>
          <w:bCs/>
          <w:color w:val="auto"/>
          <w:u w:val="single"/>
        </w:rPr>
        <w:t>该层局部分布，层底埋深4.30</w:t>
      </w:r>
      <w:r>
        <w:rPr>
          <w:rFonts w:hint="eastAsia"/>
          <w:b/>
          <w:bCs/>
          <w:color w:val="auto"/>
          <w:u w:val="single"/>
          <w:lang w:eastAsia="zh-CN"/>
        </w:rPr>
        <w:t>～</w:t>
      </w:r>
      <w:r>
        <w:rPr>
          <w:rFonts w:hint="eastAsia"/>
          <w:b/>
          <w:bCs/>
          <w:color w:val="auto"/>
          <w:u w:val="single"/>
        </w:rPr>
        <w:t>6.00m，层底标高63.85</w:t>
      </w:r>
      <w:r>
        <w:rPr>
          <w:rFonts w:hint="eastAsia"/>
          <w:b/>
          <w:bCs/>
          <w:color w:val="auto"/>
          <w:u w:val="single"/>
          <w:lang w:eastAsia="zh-CN"/>
        </w:rPr>
        <w:t>～</w:t>
      </w:r>
      <w:r>
        <w:rPr>
          <w:rFonts w:hint="eastAsia"/>
          <w:b/>
          <w:bCs/>
          <w:color w:val="auto"/>
          <w:u w:val="single"/>
        </w:rPr>
        <w:t>65.58m，层厚0.70</w:t>
      </w:r>
      <w:r>
        <w:rPr>
          <w:rFonts w:hint="eastAsia"/>
          <w:b/>
          <w:bCs/>
          <w:color w:val="auto"/>
          <w:u w:val="single"/>
          <w:lang w:eastAsia="zh-CN"/>
        </w:rPr>
        <w:t>～</w:t>
      </w:r>
      <w:r>
        <w:rPr>
          <w:rFonts w:hint="eastAsia"/>
          <w:b/>
          <w:bCs/>
          <w:color w:val="auto"/>
          <w:u w:val="single"/>
        </w:rPr>
        <w:t>3.00m，平均层厚2.05m。</w:t>
      </w:r>
    </w:p>
    <w:p>
      <w:pPr>
        <w:bidi w:val="0"/>
        <w:rPr>
          <w:b/>
          <w:bCs/>
          <w:color w:val="auto"/>
          <w:u w:val="single"/>
        </w:rPr>
      </w:pPr>
      <w:r>
        <w:rPr>
          <w:rFonts w:hint="eastAsia"/>
          <w:b/>
          <w:bCs/>
          <w:color w:val="auto"/>
          <w:u w:val="single"/>
        </w:rPr>
        <w:t>第③单元层：细砂（Q4al）</w:t>
      </w:r>
    </w:p>
    <w:p>
      <w:pPr>
        <w:bidi w:val="0"/>
        <w:rPr>
          <w:b/>
          <w:bCs/>
          <w:color w:val="auto"/>
          <w:u w:val="single"/>
        </w:rPr>
      </w:pPr>
      <w:r>
        <w:rPr>
          <w:rFonts w:hint="eastAsia"/>
          <w:b/>
          <w:bCs/>
          <w:color w:val="auto"/>
          <w:u w:val="single"/>
        </w:rPr>
        <w:t>灰黄色、湿，中密～密实，其主要矿物</w:t>
      </w:r>
      <w:r>
        <w:rPr>
          <w:rFonts w:hint="eastAsia"/>
          <w:b/>
          <w:bCs/>
          <w:color w:val="auto"/>
          <w:u w:val="single"/>
          <w:lang w:eastAsia="zh-CN"/>
        </w:rPr>
        <w:t>成分</w:t>
      </w:r>
      <w:r>
        <w:rPr>
          <w:rFonts w:hint="eastAsia"/>
          <w:b/>
          <w:bCs/>
          <w:color w:val="auto"/>
          <w:u w:val="single"/>
        </w:rPr>
        <w:t>为石英、长石、云母等，局部夹薄层粉土及中砂。</w:t>
      </w:r>
    </w:p>
    <w:p>
      <w:pPr>
        <w:bidi w:val="0"/>
        <w:rPr>
          <w:b/>
          <w:bCs/>
          <w:color w:val="auto"/>
          <w:u w:val="single"/>
        </w:rPr>
      </w:pPr>
      <w:r>
        <w:rPr>
          <w:rFonts w:hint="eastAsia"/>
          <w:b/>
          <w:bCs/>
          <w:color w:val="auto"/>
          <w:u w:val="single"/>
        </w:rPr>
        <w:t>该层场区普遍分布，层底埋深8.70</w:t>
      </w:r>
      <w:r>
        <w:rPr>
          <w:rFonts w:hint="eastAsia"/>
          <w:b/>
          <w:bCs/>
          <w:color w:val="auto"/>
          <w:u w:val="single"/>
          <w:lang w:eastAsia="zh-CN"/>
        </w:rPr>
        <w:t>～</w:t>
      </w:r>
      <w:r>
        <w:rPr>
          <w:rFonts w:hint="eastAsia"/>
          <w:b/>
          <w:bCs/>
          <w:color w:val="auto"/>
          <w:u w:val="single"/>
        </w:rPr>
        <w:t>14.20m，层底标高55.80</w:t>
      </w:r>
      <w:r>
        <w:rPr>
          <w:rFonts w:hint="eastAsia"/>
          <w:b/>
          <w:bCs/>
          <w:color w:val="auto"/>
          <w:u w:val="single"/>
          <w:lang w:eastAsia="zh-CN"/>
        </w:rPr>
        <w:t>～</w:t>
      </w:r>
      <w:r>
        <w:rPr>
          <w:rFonts w:hint="eastAsia"/>
          <w:b/>
          <w:bCs/>
          <w:color w:val="auto"/>
          <w:u w:val="single"/>
        </w:rPr>
        <w:t>61.20m，层厚2.30</w:t>
      </w:r>
      <w:r>
        <w:rPr>
          <w:rFonts w:hint="eastAsia"/>
          <w:b/>
          <w:bCs/>
          <w:color w:val="auto"/>
          <w:u w:val="single"/>
          <w:lang w:eastAsia="zh-CN"/>
        </w:rPr>
        <w:t>～</w:t>
      </w:r>
      <w:r>
        <w:rPr>
          <w:rFonts w:hint="eastAsia"/>
          <w:b/>
          <w:bCs/>
          <w:color w:val="auto"/>
          <w:u w:val="single"/>
        </w:rPr>
        <w:t>8.70m，平均层厚5.38m。</w:t>
      </w:r>
    </w:p>
    <w:p>
      <w:pPr>
        <w:bidi w:val="0"/>
        <w:rPr>
          <w:b/>
          <w:bCs/>
          <w:color w:val="auto"/>
          <w:u w:val="single"/>
        </w:rPr>
      </w:pPr>
      <w:r>
        <w:rPr>
          <w:rFonts w:hint="eastAsia"/>
          <w:b/>
          <w:bCs/>
          <w:color w:val="auto"/>
          <w:u w:val="single"/>
        </w:rPr>
        <w:t>第③-1单元层：粉质粘土（Q4al）</w:t>
      </w:r>
    </w:p>
    <w:p>
      <w:pPr>
        <w:bidi w:val="0"/>
        <w:rPr>
          <w:b/>
          <w:bCs/>
          <w:color w:val="auto"/>
          <w:u w:val="single"/>
        </w:rPr>
      </w:pPr>
      <w:r>
        <w:rPr>
          <w:rFonts w:hint="eastAsia"/>
          <w:b/>
          <w:bCs/>
          <w:color w:val="auto"/>
          <w:u w:val="single"/>
        </w:rPr>
        <w:t>灰褐色、可塑，稍有光滑，摇振反应无，干强度中等，韧性中等。</w:t>
      </w:r>
    </w:p>
    <w:p>
      <w:pPr>
        <w:bidi w:val="0"/>
        <w:rPr>
          <w:b/>
          <w:bCs/>
          <w:color w:val="auto"/>
          <w:u w:val="single"/>
        </w:rPr>
      </w:pPr>
      <w:r>
        <w:rPr>
          <w:rFonts w:hint="eastAsia"/>
          <w:b/>
          <w:bCs/>
          <w:color w:val="auto"/>
          <w:u w:val="single"/>
        </w:rPr>
        <w:t>该层局部分布，层底埋深7.50</w:t>
      </w:r>
      <w:r>
        <w:rPr>
          <w:rFonts w:hint="eastAsia"/>
          <w:b/>
          <w:bCs/>
          <w:color w:val="auto"/>
          <w:u w:val="single"/>
          <w:lang w:eastAsia="zh-CN"/>
        </w:rPr>
        <w:t>～</w:t>
      </w:r>
      <w:r>
        <w:rPr>
          <w:rFonts w:hint="eastAsia"/>
          <w:b/>
          <w:bCs/>
          <w:color w:val="auto"/>
          <w:u w:val="single"/>
        </w:rPr>
        <w:t>9.50m，层底标高60.45</w:t>
      </w:r>
      <w:r>
        <w:rPr>
          <w:rFonts w:hint="eastAsia"/>
          <w:b/>
          <w:bCs/>
          <w:color w:val="auto"/>
          <w:u w:val="single"/>
          <w:lang w:eastAsia="zh-CN"/>
        </w:rPr>
        <w:t>～</w:t>
      </w:r>
      <w:r>
        <w:rPr>
          <w:rFonts w:hint="eastAsia"/>
          <w:b/>
          <w:bCs/>
          <w:color w:val="auto"/>
          <w:u w:val="single"/>
        </w:rPr>
        <w:t>62.45m，层厚0.50</w:t>
      </w:r>
      <w:r>
        <w:rPr>
          <w:rFonts w:hint="eastAsia"/>
          <w:b/>
          <w:bCs/>
          <w:color w:val="auto"/>
          <w:u w:val="single"/>
          <w:lang w:eastAsia="zh-CN"/>
        </w:rPr>
        <w:t>～</w:t>
      </w:r>
      <w:r>
        <w:rPr>
          <w:rFonts w:hint="eastAsia"/>
          <w:b/>
          <w:bCs/>
          <w:color w:val="auto"/>
          <w:u w:val="single"/>
        </w:rPr>
        <w:t>2.60m，平均层厚1.31m。</w:t>
      </w:r>
    </w:p>
    <w:p>
      <w:pPr>
        <w:bidi w:val="0"/>
        <w:rPr>
          <w:b/>
          <w:bCs/>
          <w:color w:val="auto"/>
          <w:u w:val="single"/>
        </w:rPr>
      </w:pPr>
      <w:r>
        <w:rPr>
          <w:rFonts w:hint="eastAsia"/>
          <w:b/>
          <w:bCs/>
          <w:color w:val="auto"/>
          <w:u w:val="single"/>
        </w:rPr>
        <w:t>第④单元层：细砂（Q4al）</w:t>
      </w:r>
    </w:p>
    <w:p>
      <w:pPr>
        <w:bidi w:val="0"/>
        <w:rPr>
          <w:b/>
          <w:bCs/>
          <w:color w:val="auto"/>
          <w:u w:val="single"/>
        </w:rPr>
      </w:pPr>
      <w:r>
        <w:rPr>
          <w:rFonts w:hint="eastAsia"/>
          <w:b/>
          <w:bCs/>
          <w:color w:val="auto"/>
          <w:u w:val="single"/>
        </w:rPr>
        <w:t>浅灰色、湿～饱和，中密～密实，其主要矿物</w:t>
      </w:r>
      <w:r>
        <w:rPr>
          <w:rFonts w:hint="eastAsia"/>
          <w:b/>
          <w:bCs/>
          <w:color w:val="auto"/>
          <w:u w:val="single"/>
          <w:lang w:eastAsia="zh-CN"/>
        </w:rPr>
        <w:t>成分</w:t>
      </w:r>
      <w:r>
        <w:rPr>
          <w:rFonts w:hint="eastAsia"/>
          <w:b/>
          <w:bCs/>
          <w:color w:val="auto"/>
          <w:u w:val="single"/>
        </w:rPr>
        <w:t>为石英、长石、云母等，局部夹薄层粉土及中砂。</w:t>
      </w:r>
    </w:p>
    <w:p>
      <w:pPr>
        <w:bidi w:val="0"/>
        <w:rPr>
          <w:b/>
          <w:bCs/>
          <w:color w:val="auto"/>
          <w:u w:val="single"/>
        </w:rPr>
      </w:pPr>
      <w:r>
        <w:rPr>
          <w:rFonts w:hint="eastAsia"/>
          <w:b/>
          <w:bCs/>
          <w:color w:val="auto"/>
          <w:u w:val="single"/>
        </w:rPr>
        <w:t>该层场区普遍分布，层底埋深20.40</w:t>
      </w:r>
      <w:r>
        <w:rPr>
          <w:rFonts w:hint="eastAsia"/>
          <w:b/>
          <w:bCs/>
          <w:color w:val="auto"/>
          <w:u w:val="single"/>
          <w:lang w:eastAsia="zh-CN"/>
        </w:rPr>
        <w:t>～</w:t>
      </w:r>
      <w:r>
        <w:rPr>
          <w:rFonts w:hint="eastAsia"/>
          <w:b/>
          <w:bCs/>
          <w:color w:val="auto"/>
          <w:u w:val="single"/>
        </w:rPr>
        <w:t>23.60m，层底标高46.35</w:t>
      </w:r>
      <w:r>
        <w:rPr>
          <w:rFonts w:hint="eastAsia"/>
          <w:b/>
          <w:bCs/>
          <w:color w:val="auto"/>
          <w:u w:val="single"/>
          <w:lang w:eastAsia="zh-CN"/>
        </w:rPr>
        <w:t>～</w:t>
      </w:r>
      <w:r>
        <w:rPr>
          <w:rFonts w:hint="eastAsia"/>
          <w:b/>
          <w:bCs/>
          <w:color w:val="auto"/>
          <w:u w:val="single"/>
        </w:rPr>
        <w:t>49.50m，层厚7.90</w:t>
      </w:r>
      <w:r>
        <w:rPr>
          <w:rFonts w:hint="eastAsia"/>
          <w:b/>
          <w:bCs/>
          <w:color w:val="auto"/>
          <w:u w:val="single"/>
          <w:lang w:eastAsia="zh-CN"/>
        </w:rPr>
        <w:t>～</w:t>
      </w:r>
      <w:r>
        <w:rPr>
          <w:rFonts w:hint="eastAsia"/>
          <w:b/>
          <w:bCs/>
          <w:color w:val="auto"/>
          <w:u w:val="single"/>
        </w:rPr>
        <w:t>12.90m，平均层厚10.57m。</w:t>
      </w:r>
    </w:p>
    <w:p>
      <w:pPr>
        <w:bidi w:val="0"/>
        <w:rPr>
          <w:b/>
          <w:bCs/>
          <w:color w:val="auto"/>
          <w:u w:val="single"/>
        </w:rPr>
      </w:pPr>
      <w:r>
        <w:rPr>
          <w:rFonts w:hint="eastAsia"/>
          <w:b/>
          <w:bCs/>
          <w:color w:val="auto"/>
          <w:u w:val="single"/>
        </w:rPr>
        <w:t>第⑤单元层：粉质粘土（Q4al）</w:t>
      </w:r>
    </w:p>
    <w:p>
      <w:pPr>
        <w:bidi w:val="0"/>
        <w:rPr>
          <w:b/>
          <w:bCs/>
          <w:color w:val="auto"/>
          <w:u w:val="single"/>
        </w:rPr>
      </w:pPr>
      <w:r>
        <w:rPr>
          <w:rFonts w:hint="eastAsia"/>
          <w:b/>
          <w:bCs/>
          <w:color w:val="auto"/>
          <w:u w:val="single"/>
        </w:rPr>
        <w:t>灰褐色、可塑，稍有光滑，摇振反应无，干强度中等，韧性中等。</w:t>
      </w:r>
    </w:p>
    <w:p>
      <w:pPr>
        <w:bidi w:val="0"/>
        <w:rPr>
          <w:b/>
          <w:bCs/>
          <w:color w:val="auto"/>
          <w:u w:val="single"/>
        </w:rPr>
      </w:pPr>
      <w:r>
        <w:rPr>
          <w:rFonts w:hint="eastAsia"/>
          <w:b/>
          <w:bCs/>
          <w:color w:val="auto"/>
          <w:u w:val="single"/>
        </w:rPr>
        <w:t>该层场区普遍分布，层底埋深22.00</w:t>
      </w:r>
      <w:r>
        <w:rPr>
          <w:rFonts w:hint="eastAsia"/>
          <w:b/>
          <w:bCs/>
          <w:color w:val="auto"/>
          <w:u w:val="single"/>
          <w:lang w:eastAsia="zh-CN"/>
        </w:rPr>
        <w:t>～</w:t>
      </w:r>
      <w:r>
        <w:rPr>
          <w:rFonts w:hint="eastAsia"/>
          <w:b/>
          <w:bCs/>
          <w:color w:val="auto"/>
          <w:u w:val="single"/>
        </w:rPr>
        <w:t>26.90m，层底标高43.05</w:t>
      </w:r>
      <w:r>
        <w:rPr>
          <w:rFonts w:hint="eastAsia"/>
          <w:b/>
          <w:bCs/>
          <w:color w:val="auto"/>
          <w:u w:val="single"/>
          <w:lang w:eastAsia="zh-CN"/>
        </w:rPr>
        <w:t>～</w:t>
      </w:r>
      <w:r>
        <w:rPr>
          <w:rFonts w:hint="eastAsia"/>
          <w:b/>
          <w:bCs/>
          <w:color w:val="auto"/>
          <w:u w:val="single"/>
        </w:rPr>
        <w:t>47.91m，层厚0.40</w:t>
      </w:r>
      <w:r>
        <w:rPr>
          <w:rFonts w:hint="eastAsia"/>
          <w:b/>
          <w:bCs/>
          <w:color w:val="auto"/>
          <w:u w:val="single"/>
          <w:lang w:eastAsia="zh-CN"/>
        </w:rPr>
        <w:t>～</w:t>
      </w:r>
      <w:r>
        <w:rPr>
          <w:rFonts w:hint="eastAsia"/>
          <w:b/>
          <w:bCs/>
          <w:color w:val="auto"/>
          <w:u w:val="single"/>
        </w:rPr>
        <w:t>5.40m，平均层厚2.27m。</w:t>
      </w:r>
    </w:p>
    <w:p>
      <w:pPr>
        <w:bidi w:val="0"/>
        <w:rPr>
          <w:b/>
          <w:bCs/>
          <w:color w:val="auto"/>
          <w:u w:val="single"/>
        </w:rPr>
      </w:pPr>
      <w:r>
        <w:rPr>
          <w:rFonts w:hint="eastAsia"/>
          <w:b/>
          <w:bCs/>
          <w:color w:val="auto"/>
          <w:u w:val="single"/>
        </w:rPr>
        <w:t>第⑥单元层：细砂（Q4al）</w:t>
      </w:r>
    </w:p>
    <w:p>
      <w:pPr>
        <w:bidi w:val="0"/>
        <w:rPr>
          <w:b/>
          <w:bCs/>
          <w:color w:val="auto"/>
          <w:u w:val="single"/>
        </w:rPr>
      </w:pPr>
      <w:r>
        <w:rPr>
          <w:rFonts w:hint="eastAsia"/>
          <w:b/>
          <w:bCs/>
          <w:color w:val="auto"/>
          <w:u w:val="single"/>
        </w:rPr>
        <w:t>灰黄色、饱和，密实，其主要矿物</w:t>
      </w:r>
      <w:r>
        <w:rPr>
          <w:rFonts w:hint="eastAsia"/>
          <w:b/>
          <w:bCs/>
          <w:color w:val="auto"/>
          <w:u w:val="single"/>
          <w:lang w:eastAsia="zh-CN"/>
        </w:rPr>
        <w:t>成分</w:t>
      </w:r>
      <w:r>
        <w:rPr>
          <w:rFonts w:hint="eastAsia"/>
          <w:b/>
          <w:bCs/>
          <w:color w:val="auto"/>
          <w:u w:val="single"/>
        </w:rPr>
        <w:t>为石英、长石、云母等，局部夹薄层粉土、粉质粘土及中砂。</w:t>
      </w:r>
    </w:p>
    <w:p>
      <w:pPr>
        <w:bidi w:val="0"/>
        <w:rPr>
          <w:b/>
          <w:bCs/>
          <w:color w:val="auto"/>
          <w:u w:val="single"/>
        </w:rPr>
      </w:pPr>
      <w:r>
        <w:rPr>
          <w:rFonts w:hint="eastAsia"/>
          <w:b/>
          <w:bCs/>
          <w:color w:val="auto"/>
          <w:u w:val="single"/>
        </w:rPr>
        <w:t>该层场区普遍分布，层底埋深26.50</w:t>
      </w:r>
      <w:r>
        <w:rPr>
          <w:rFonts w:hint="eastAsia"/>
          <w:b/>
          <w:bCs/>
          <w:color w:val="auto"/>
          <w:u w:val="single"/>
          <w:lang w:eastAsia="zh-CN"/>
        </w:rPr>
        <w:t>～</w:t>
      </w:r>
      <w:r>
        <w:rPr>
          <w:rFonts w:hint="eastAsia"/>
          <w:b/>
          <w:bCs/>
          <w:color w:val="auto"/>
          <w:u w:val="single"/>
        </w:rPr>
        <w:t>27.90m，层底标高41.98</w:t>
      </w:r>
      <w:r>
        <w:rPr>
          <w:rFonts w:hint="eastAsia"/>
          <w:b/>
          <w:bCs/>
          <w:color w:val="auto"/>
          <w:u w:val="single"/>
          <w:lang w:eastAsia="zh-CN"/>
        </w:rPr>
        <w:t>～</w:t>
      </w:r>
      <w:r>
        <w:rPr>
          <w:rFonts w:hint="eastAsia"/>
          <w:b/>
          <w:bCs/>
          <w:color w:val="auto"/>
          <w:u w:val="single"/>
        </w:rPr>
        <w:t>43.47m，层厚2.50</w:t>
      </w:r>
      <w:r>
        <w:rPr>
          <w:rFonts w:hint="eastAsia"/>
          <w:b/>
          <w:bCs/>
          <w:color w:val="auto"/>
          <w:u w:val="single"/>
          <w:lang w:eastAsia="zh-CN"/>
        </w:rPr>
        <w:t>～</w:t>
      </w:r>
      <w:r>
        <w:rPr>
          <w:rFonts w:hint="eastAsia"/>
          <w:b/>
          <w:bCs/>
          <w:color w:val="auto"/>
          <w:u w:val="single"/>
        </w:rPr>
        <w:t>3.60m，平均层厚2.87m。</w:t>
      </w:r>
    </w:p>
    <w:p>
      <w:pPr>
        <w:bidi w:val="0"/>
        <w:rPr>
          <w:b/>
          <w:bCs/>
          <w:color w:val="auto"/>
          <w:u w:val="single"/>
        </w:rPr>
      </w:pPr>
      <w:r>
        <w:rPr>
          <w:rFonts w:hint="eastAsia"/>
          <w:b/>
          <w:bCs/>
          <w:color w:val="auto"/>
          <w:u w:val="single"/>
        </w:rPr>
        <w:t>第⑦单元层：粉土（Q4al）</w:t>
      </w:r>
    </w:p>
    <w:p>
      <w:pPr>
        <w:bidi w:val="0"/>
        <w:rPr>
          <w:b/>
          <w:bCs/>
          <w:color w:val="auto"/>
          <w:u w:val="single"/>
        </w:rPr>
      </w:pPr>
      <w:r>
        <w:rPr>
          <w:rFonts w:hint="eastAsia"/>
          <w:b/>
          <w:bCs/>
          <w:color w:val="auto"/>
          <w:u w:val="single"/>
        </w:rPr>
        <w:t>褐黄色、很湿，中密～密实，无光泽反应，摇震反应中等，低干强度，低韧性，局部夹薄层粉质粘土。</w:t>
      </w:r>
    </w:p>
    <w:p>
      <w:pPr>
        <w:bidi w:val="0"/>
        <w:rPr>
          <w:b/>
          <w:bCs/>
          <w:color w:val="auto"/>
          <w:u w:val="single"/>
        </w:rPr>
      </w:pPr>
      <w:r>
        <w:rPr>
          <w:rFonts w:hint="eastAsia"/>
          <w:b/>
          <w:bCs/>
          <w:color w:val="auto"/>
          <w:u w:val="single"/>
        </w:rPr>
        <w:t>该层未见底，揭露最大厚度3.50m。</w:t>
      </w:r>
    </w:p>
    <w:p>
      <w:pPr>
        <w:bidi w:val="0"/>
        <w:rPr>
          <w:rFonts w:ascii="Times New Roman" w:hAnsi="Times New Roman" w:cs="Times New Roman"/>
          <w:bCs/>
          <w:color w:val="auto"/>
        </w:rPr>
      </w:pPr>
      <w:r>
        <w:rPr>
          <w:rFonts w:hint="eastAsia"/>
          <w:b/>
          <w:bCs/>
          <w:color w:val="auto"/>
          <w:u w:val="single"/>
        </w:rPr>
        <w:t>根据勘查，场地第3、4层为主要含水层，地下水类型为孔隙潜水类型，其补给来源为大气降水和侧向径流，排泄方式为蒸发、开采和侧向径流，水位年变化幅度2.0m左右，近3</w:t>
      </w:r>
      <w:r>
        <w:rPr>
          <w:rFonts w:hint="eastAsia"/>
          <w:b/>
          <w:bCs/>
          <w:color w:val="auto"/>
          <w:u w:val="single"/>
          <w:lang w:eastAsia="zh-CN"/>
        </w:rPr>
        <w:t>—</w:t>
      </w:r>
      <w:r>
        <w:rPr>
          <w:rFonts w:hint="eastAsia"/>
          <w:b/>
          <w:bCs/>
          <w:color w:val="auto"/>
          <w:u w:val="single"/>
        </w:rPr>
        <w:t>5年</w:t>
      </w:r>
      <w:r>
        <w:rPr>
          <w:rFonts w:hint="eastAsia"/>
          <w:b/>
          <w:bCs/>
          <w:color w:val="auto"/>
          <w:u w:val="single"/>
          <w:lang w:eastAsia="zh-CN"/>
        </w:rPr>
        <w:t>厂区内</w:t>
      </w:r>
      <w:r>
        <w:rPr>
          <w:rFonts w:hint="eastAsia"/>
          <w:b/>
          <w:bCs/>
          <w:color w:val="auto"/>
          <w:u w:val="single"/>
        </w:rPr>
        <w:t>最高水位埋深为自然地坪下9.0m左右，历史最高水位1.0m左右（近20年），区域地下水流向为西南向东北。本项目场地地质剖面图详见图</w:t>
      </w:r>
      <w:r>
        <w:rPr>
          <w:b/>
          <w:bCs/>
          <w:color w:val="auto"/>
          <w:u w:val="single"/>
        </w:rPr>
        <w:t>5.</w:t>
      </w:r>
      <w:r>
        <w:rPr>
          <w:rFonts w:hint="eastAsia"/>
          <w:b/>
          <w:bCs/>
          <w:color w:val="auto"/>
          <w:u w:val="single"/>
          <w:lang w:val="en-US" w:eastAsia="zh-CN"/>
        </w:rPr>
        <w:t>4</w:t>
      </w:r>
      <w:r>
        <w:rPr>
          <w:rFonts w:hint="eastAsia"/>
          <w:b/>
          <w:bCs/>
          <w:color w:val="auto"/>
          <w:u w:val="single"/>
        </w:rPr>
        <w:t>-</w:t>
      </w:r>
      <w:r>
        <w:rPr>
          <w:b/>
          <w:bCs/>
          <w:color w:val="auto"/>
          <w:u w:val="single"/>
        </w:rPr>
        <w:t>1</w:t>
      </w:r>
      <w:r>
        <w:rPr>
          <w:rFonts w:hint="eastAsia"/>
          <w:b/>
          <w:bCs/>
          <w:color w:val="auto"/>
          <w:u w:val="single"/>
        </w:rPr>
        <w:t>，综合地质柱状图详见图</w:t>
      </w:r>
      <w:r>
        <w:rPr>
          <w:b/>
          <w:bCs/>
          <w:color w:val="auto"/>
          <w:u w:val="single"/>
        </w:rPr>
        <w:t>5.</w:t>
      </w:r>
      <w:r>
        <w:rPr>
          <w:rFonts w:hint="eastAsia"/>
          <w:b/>
          <w:bCs/>
          <w:color w:val="auto"/>
          <w:u w:val="single"/>
          <w:lang w:val="en-US" w:eastAsia="zh-CN"/>
        </w:rPr>
        <w:t>4</w:t>
      </w:r>
      <w:r>
        <w:rPr>
          <w:rFonts w:hint="eastAsia"/>
          <w:b/>
          <w:bCs/>
          <w:color w:val="auto"/>
          <w:u w:val="single"/>
        </w:rPr>
        <w:t>-</w:t>
      </w:r>
      <w:r>
        <w:rPr>
          <w:b/>
          <w:bCs/>
          <w:color w:val="auto"/>
          <w:u w:val="single"/>
        </w:rPr>
        <w:t>2</w:t>
      </w:r>
      <w:r>
        <w:rPr>
          <w:rFonts w:hint="eastAsia"/>
          <w:b/>
          <w:bCs/>
          <w:color w:val="auto"/>
          <w:u w:val="single"/>
        </w:rPr>
        <w:t>。</w:t>
      </w:r>
    </w:p>
    <w:p>
      <w:pPr>
        <w:pStyle w:val="142"/>
        <w:ind w:firstLine="199" w:firstLineChars="83"/>
        <w:rPr>
          <w:rFonts w:ascii="Times New Roman" w:hAnsi="Times New Roman" w:cs="Times New Roman"/>
          <w:bCs/>
          <w:color w:val="auto"/>
        </w:rPr>
        <w:sectPr>
          <w:pgSz w:w="11910" w:h="16840"/>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299" w:charSpace="0"/>
        </w:sectPr>
      </w:pPr>
    </w:p>
    <w:p>
      <w:pPr>
        <w:pStyle w:val="142"/>
        <w:spacing w:line="240" w:lineRule="auto"/>
        <w:ind w:firstLine="0" w:firstLineChars="0"/>
        <w:jc w:val="center"/>
        <w:rPr>
          <w:rFonts w:ascii="Times New Roman" w:hAnsi="Times New Roman" w:cs="Times New Roman"/>
          <w:bCs/>
          <w:color w:val="auto"/>
        </w:rPr>
      </w:pPr>
      <w:r>
        <w:rPr>
          <w:rFonts w:ascii="Times New Roman" w:hAnsi="Times New Roman" w:cs="Times New Roman"/>
          <w:bCs/>
          <w:color w:val="auto"/>
        </w:rPr>
        <w:drawing>
          <wp:inline distT="0" distB="0" distL="0" distR="0">
            <wp:extent cx="7379970" cy="53276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4" cstate="print">
                      <a:extLst>
                        <a:ext uri="{28A0092B-C50C-407E-A947-70E740481C1C}">
                          <a14:useLocalDpi xmlns:a14="http://schemas.microsoft.com/office/drawing/2010/main" val="0"/>
                        </a:ext>
                      </a:extLst>
                    </a:blip>
                    <a:srcRect l="1409" t="11166" b="1992"/>
                    <a:stretch>
                      <a:fillRect/>
                    </a:stretch>
                  </pic:blipFill>
                  <pic:spPr>
                    <a:xfrm>
                      <a:off x="0" y="0"/>
                      <a:ext cx="7380000" cy="5328000"/>
                    </a:xfrm>
                    <a:prstGeom prst="rect">
                      <a:avLst/>
                    </a:prstGeom>
                    <a:ln>
                      <a:noFill/>
                    </a:ln>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5.</w:t>
      </w:r>
      <w:r>
        <w:rPr>
          <w:rFonts w:hint="eastAsia"/>
          <w:color w:val="auto"/>
          <w:lang w:val="en-US" w:eastAsia="zh-CN"/>
        </w:rPr>
        <w:t>4</w:t>
      </w:r>
      <w:r>
        <w:rPr>
          <w:rFonts w:hint="eastAsia"/>
          <w:color w:val="auto"/>
        </w:rPr>
        <w:t>-</w:t>
      </w:r>
      <w:r>
        <w:rPr>
          <w:color w:val="auto"/>
        </w:rPr>
        <w:t xml:space="preserve">1  </w:t>
      </w:r>
      <w:r>
        <w:rPr>
          <w:rFonts w:hint="eastAsia"/>
          <w:color w:val="auto"/>
        </w:rPr>
        <w:t>场地地质剖面图</w:t>
      </w:r>
    </w:p>
    <w:p>
      <w:pPr>
        <w:spacing w:line="520" w:lineRule="exact"/>
        <w:jc w:val="center"/>
        <w:rPr>
          <w:b/>
          <w:color w:val="auto"/>
        </w:rPr>
        <w:sectPr>
          <w:pgSz w:w="16840" w:h="11910"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pPr>
        <w:pStyle w:val="142"/>
        <w:spacing w:line="240" w:lineRule="auto"/>
        <w:ind w:firstLine="0" w:firstLineChars="0"/>
        <w:jc w:val="center"/>
        <w:rPr>
          <w:rFonts w:hint="eastAsia" w:ascii="Times New Roman" w:hAnsi="Times New Roman" w:cs="Times New Roman"/>
          <w:bCs/>
          <w:color w:val="auto"/>
        </w:rPr>
      </w:pPr>
    </w:p>
    <w:p>
      <w:pPr>
        <w:pStyle w:val="142"/>
        <w:spacing w:line="240" w:lineRule="auto"/>
        <w:ind w:firstLine="0" w:firstLineChars="0"/>
        <w:jc w:val="center"/>
        <w:rPr>
          <w:rFonts w:ascii="Times New Roman" w:hAnsi="Times New Roman" w:cs="Times New Roman"/>
          <w:bCs/>
          <w:color w:val="auto"/>
        </w:rPr>
      </w:pPr>
      <w:r>
        <w:rPr>
          <w:rFonts w:hint="eastAsia" w:ascii="Times New Roman" w:hAnsi="Times New Roman" w:cs="Times New Roman"/>
          <w:bCs/>
          <w:color w:val="auto"/>
        </w:rPr>
        <w:drawing>
          <wp:inline distT="0" distB="0" distL="0" distR="0">
            <wp:extent cx="5582285" cy="7536815"/>
            <wp:effectExtent l="0" t="0" r="10795"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5" cstate="print">
                      <a:extLst>
                        <a:ext uri="{28A0092B-C50C-407E-A947-70E740481C1C}">
                          <a14:useLocalDpi xmlns:a14="http://schemas.microsoft.com/office/drawing/2010/main" val="0"/>
                        </a:ext>
                      </a:extLst>
                    </a:blip>
                    <a:srcRect t="2848"/>
                    <a:stretch>
                      <a:fillRect/>
                    </a:stretch>
                  </pic:blipFill>
                  <pic:spPr>
                    <a:xfrm>
                      <a:off x="0" y="0"/>
                      <a:ext cx="5582285" cy="7536815"/>
                    </a:xfrm>
                    <a:prstGeom prst="rect">
                      <a:avLst/>
                    </a:prstGeom>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5.</w:t>
      </w:r>
      <w:r>
        <w:rPr>
          <w:rFonts w:hint="eastAsia"/>
          <w:color w:val="auto"/>
          <w:lang w:val="en-US" w:eastAsia="zh-CN"/>
        </w:rPr>
        <w:t>4</w:t>
      </w:r>
      <w:r>
        <w:rPr>
          <w:rFonts w:hint="eastAsia"/>
          <w:color w:val="auto"/>
        </w:rPr>
        <w:t>-</w:t>
      </w:r>
      <w:r>
        <w:rPr>
          <w:color w:val="auto"/>
        </w:rPr>
        <w:t>2</w:t>
      </w:r>
      <w:r>
        <w:rPr>
          <w:rFonts w:hint="eastAsia"/>
          <w:color w:val="auto"/>
        </w:rPr>
        <w:t>场地地质柱状图</w:t>
      </w:r>
    </w:p>
    <w:p>
      <w:pPr>
        <w:rPr>
          <w:color w:val="auto"/>
        </w:rPr>
      </w:pPr>
    </w:p>
    <w:p>
      <w:pPr>
        <w:jc w:val="center"/>
        <w:rPr>
          <w:color w:val="auto"/>
        </w:rPr>
      </w:pPr>
    </w:p>
    <w:p>
      <w:pPr>
        <w:pStyle w:val="9"/>
        <w:tabs>
          <w:tab w:val="left" w:pos="720"/>
          <w:tab w:val="left" w:pos="1200"/>
          <w:tab w:val="left" w:pos="1680"/>
        </w:tabs>
        <w:spacing w:before="0" w:after="0" w:line="520" w:lineRule="exact"/>
        <w:rPr>
          <w:color w:val="auto"/>
          <w:sz w:val="28"/>
          <w:szCs w:val="28"/>
        </w:rPr>
      </w:pPr>
      <w:r>
        <w:rPr>
          <w:rFonts w:hint="eastAsia"/>
          <w:color w:val="auto"/>
          <w:sz w:val="28"/>
          <w:szCs w:val="28"/>
        </w:rPr>
        <w:t>5.</w:t>
      </w:r>
      <w:r>
        <w:rPr>
          <w:rFonts w:hint="eastAsia"/>
          <w:color w:val="auto"/>
          <w:sz w:val="28"/>
          <w:szCs w:val="28"/>
          <w:lang w:val="en-US" w:eastAsia="zh-CN"/>
        </w:rPr>
        <w:t>4</w:t>
      </w:r>
      <w:r>
        <w:rPr>
          <w:rFonts w:hint="eastAsia"/>
          <w:color w:val="auto"/>
          <w:sz w:val="28"/>
          <w:szCs w:val="28"/>
        </w:rPr>
        <w:t>.2</w:t>
      </w:r>
      <w:r>
        <w:rPr>
          <w:color w:val="auto"/>
          <w:sz w:val="28"/>
          <w:szCs w:val="28"/>
        </w:rPr>
        <w:t>地下水水质</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根据地下水监测数据可知，地下水监测点中各监测点位均未出现超标情况，可以能够满足《地下水质量标准》（GB/T14848-2017）III类水质标准要求。监测数据表明，区域地下水环境状况良好。</w:t>
      </w:r>
    </w:p>
    <w:p>
      <w:pPr>
        <w:pStyle w:val="9"/>
        <w:tabs>
          <w:tab w:val="left" w:pos="720"/>
          <w:tab w:val="left" w:pos="1200"/>
          <w:tab w:val="left" w:pos="1680"/>
        </w:tabs>
        <w:spacing w:before="0" w:after="0" w:line="520" w:lineRule="exact"/>
        <w:rPr>
          <w:color w:val="auto"/>
          <w:sz w:val="28"/>
          <w:szCs w:val="28"/>
        </w:rPr>
      </w:pPr>
      <w:r>
        <w:rPr>
          <w:rFonts w:hint="eastAsia"/>
          <w:color w:val="auto"/>
          <w:sz w:val="28"/>
          <w:szCs w:val="28"/>
        </w:rPr>
        <w:t>5.</w:t>
      </w:r>
      <w:r>
        <w:rPr>
          <w:rFonts w:hint="eastAsia"/>
          <w:color w:val="auto"/>
          <w:sz w:val="28"/>
          <w:szCs w:val="28"/>
          <w:lang w:val="en-US" w:eastAsia="zh-CN"/>
        </w:rPr>
        <w:t>4</w:t>
      </w:r>
      <w:r>
        <w:rPr>
          <w:rFonts w:hint="eastAsia"/>
          <w:color w:val="auto"/>
          <w:sz w:val="28"/>
          <w:szCs w:val="28"/>
        </w:rPr>
        <w:t>.</w:t>
      </w:r>
      <w:r>
        <w:rPr>
          <w:rFonts w:hint="eastAsia"/>
          <w:color w:val="auto"/>
          <w:sz w:val="28"/>
          <w:szCs w:val="28"/>
          <w:lang w:val="en-US" w:eastAsia="zh-CN"/>
        </w:rPr>
        <w:t>3</w:t>
      </w:r>
      <w:r>
        <w:rPr>
          <w:color w:val="auto"/>
          <w:sz w:val="28"/>
          <w:szCs w:val="28"/>
        </w:rPr>
        <w:t>评价范围</w:t>
      </w:r>
    </w:p>
    <w:p>
      <w:pPr>
        <w:pStyle w:val="104"/>
        <w:spacing w:line="520" w:lineRule="exact"/>
        <w:ind w:firstLineChars="200"/>
        <w:rPr>
          <w:rFonts w:ascii="Times New Roman" w:hAnsi="Times New Roman" w:eastAsia="宋体"/>
          <w:color w:val="auto"/>
        </w:rPr>
      </w:pPr>
      <w:r>
        <w:rPr>
          <w:rFonts w:ascii="Times New Roman" w:hAnsi="Times New Roman" w:eastAsia="宋体"/>
          <w:color w:val="auto"/>
        </w:rPr>
        <w:t>本项目厂址位于黄河冲积平原，水文地质条件相对简单。本次评价范围确定先根据导则推荐公式计算出理论范围值，然后根据厂址区域地下水环境保护目标分布情况以及导则地下水环境现状调查评价范围参照表进行调整。</w:t>
      </w:r>
    </w:p>
    <w:p>
      <w:pPr>
        <w:pStyle w:val="116"/>
        <w:spacing w:beforeLines="0" w:afterLines="0" w:line="520" w:lineRule="exact"/>
        <w:ind w:firstLine="480" w:firstLineChars="200"/>
        <w:rPr>
          <w:color w:val="auto"/>
          <w:szCs w:val="24"/>
        </w:rPr>
      </w:pPr>
      <w:r>
        <w:rPr>
          <w:color w:val="auto"/>
          <w:szCs w:val="24"/>
        </w:rPr>
        <w:t>L=а×κ×I×T/ne</w:t>
      </w:r>
    </w:p>
    <w:p>
      <w:pPr>
        <w:pStyle w:val="104"/>
        <w:spacing w:line="520" w:lineRule="exact"/>
        <w:ind w:firstLineChars="200"/>
        <w:rPr>
          <w:rFonts w:ascii="Times New Roman" w:hAnsi="Times New Roman" w:eastAsia="宋体"/>
          <w:color w:val="auto"/>
        </w:rPr>
      </w:pPr>
      <w:r>
        <w:rPr>
          <w:rFonts w:ascii="Times New Roman" w:hAnsi="Times New Roman" w:eastAsia="宋体"/>
          <w:color w:val="auto"/>
        </w:rPr>
        <w:t>式中：L</w:t>
      </w:r>
      <w:r>
        <w:rPr>
          <w:rFonts w:hint="eastAsia" w:ascii="Times New Roman" w:hAnsi="Times New Roman" w:eastAsia="宋体"/>
          <w:color w:val="auto"/>
          <w:lang w:eastAsia="zh-CN"/>
        </w:rPr>
        <w:t>－</w:t>
      </w:r>
      <w:r>
        <w:rPr>
          <w:rFonts w:ascii="Times New Roman" w:hAnsi="Times New Roman" w:eastAsia="宋体"/>
          <w:color w:val="auto"/>
        </w:rPr>
        <w:t>下游迁移距离，m；</w:t>
      </w:r>
    </w:p>
    <w:p>
      <w:pPr>
        <w:pStyle w:val="104"/>
        <w:spacing w:line="520" w:lineRule="exact"/>
        <w:ind w:firstLineChars="200"/>
        <w:rPr>
          <w:rFonts w:ascii="Times New Roman" w:hAnsi="Times New Roman" w:eastAsia="宋体"/>
          <w:color w:val="auto"/>
        </w:rPr>
      </w:pPr>
      <w:r>
        <w:rPr>
          <w:rFonts w:ascii="Times New Roman" w:hAnsi="Times New Roman" w:eastAsia="宋体"/>
          <w:color w:val="auto"/>
        </w:rPr>
        <w:t xml:space="preserve">      а</w:t>
      </w:r>
      <w:r>
        <w:rPr>
          <w:rFonts w:hint="eastAsia" w:ascii="Times New Roman" w:hAnsi="Times New Roman" w:eastAsia="宋体"/>
          <w:color w:val="auto"/>
          <w:lang w:eastAsia="zh-CN"/>
        </w:rPr>
        <w:t>－</w:t>
      </w:r>
      <w:r>
        <w:rPr>
          <w:rFonts w:ascii="Times New Roman" w:hAnsi="Times New Roman" w:eastAsia="宋体"/>
          <w:color w:val="auto"/>
        </w:rPr>
        <w:t>变化系数，а≥1，一般取2；</w:t>
      </w:r>
    </w:p>
    <w:p>
      <w:pPr>
        <w:pStyle w:val="104"/>
        <w:spacing w:line="520" w:lineRule="exact"/>
        <w:ind w:firstLineChars="200"/>
        <w:rPr>
          <w:rFonts w:hint="eastAsia" w:ascii="Times New Roman" w:hAnsi="Times New Roman" w:eastAsia="宋体"/>
          <w:color w:val="auto"/>
        </w:rPr>
      </w:pPr>
      <w:r>
        <w:rPr>
          <w:rFonts w:hint="eastAsia" w:ascii="Times New Roman" w:hAnsi="Times New Roman" w:eastAsia="宋体"/>
          <w:color w:val="auto"/>
        </w:rPr>
        <w:t xml:space="preserve">      κ</w:t>
      </w:r>
      <w:r>
        <w:rPr>
          <w:rFonts w:hint="eastAsia" w:ascii="Times New Roman" w:hAnsi="Times New Roman" w:eastAsia="宋体"/>
          <w:color w:val="auto"/>
          <w:lang w:eastAsia="zh-CN"/>
        </w:rPr>
        <w:t>－</w:t>
      </w:r>
      <w:r>
        <w:rPr>
          <w:rFonts w:hint="eastAsia" w:ascii="Times New Roman" w:hAnsi="Times New Roman" w:eastAsia="宋体"/>
          <w:color w:val="auto"/>
        </w:rPr>
        <w:t>渗透系数，m/d，常见渗透系数表见导则附录B表B1；评价区含水层主要为细砂，根据附录B取值为10 m/d；</w:t>
      </w:r>
    </w:p>
    <w:p>
      <w:pPr>
        <w:pStyle w:val="104"/>
        <w:spacing w:line="520" w:lineRule="exact"/>
        <w:ind w:firstLineChars="200"/>
        <w:rPr>
          <w:rFonts w:ascii="Times New Roman" w:hAnsi="Times New Roman" w:eastAsia="宋体"/>
          <w:color w:val="auto"/>
        </w:rPr>
      </w:pPr>
      <w:r>
        <w:rPr>
          <w:rFonts w:ascii="Times New Roman" w:hAnsi="Times New Roman" w:eastAsia="宋体"/>
          <w:color w:val="auto"/>
        </w:rPr>
        <w:t xml:space="preserve">      I</w:t>
      </w:r>
      <w:r>
        <w:rPr>
          <w:rFonts w:hint="eastAsia" w:ascii="Times New Roman" w:hAnsi="Times New Roman" w:eastAsia="宋体"/>
          <w:color w:val="auto"/>
          <w:lang w:eastAsia="zh-CN"/>
        </w:rPr>
        <w:t>－</w:t>
      </w:r>
      <w:r>
        <w:rPr>
          <w:rFonts w:ascii="Times New Roman" w:hAnsi="Times New Roman" w:eastAsia="宋体"/>
          <w:color w:val="auto"/>
        </w:rPr>
        <w:t>水力坡度，无量纲；</w:t>
      </w:r>
    </w:p>
    <w:p>
      <w:pPr>
        <w:pStyle w:val="104"/>
        <w:spacing w:line="520" w:lineRule="exact"/>
        <w:ind w:firstLineChars="200"/>
        <w:rPr>
          <w:rFonts w:ascii="Times New Roman" w:hAnsi="Times New Roman" w:eastAsia="宋体"/>
          <w:color w:val="auto"/>
        </w:rPr>
      </w:pPr>
      <w:r>
        <w:rPr>
          <w:rFonts w:ascii="Times New Roman" w:hAnsi="Times New Roman" w:eastAsia="宋体"/>
          <w:color w:val="auto"/>
        </w:rPr>
        <w:t xml:space="preserve">      T</w:t>
      </w:r>
      <w:r>
        <w:rPr>
          <w:rFonts w:hint="eastAsia" w:ascii="Times New Roman" w:hAnsi="Times New Roman" w:eastAsia="宋体"/>
          <w:color w:val="auto"/>
          <w:lang w:eastAsia="zh-CN"/>
        </w:rPr>
        <w:t>－</w:t>
      </w:r>
      <w:r>
        <w:rPr>
          <w:rFonts w:ascii="Times New Roman" w:hAnsi="Times New Roman" w:eastAsia="宋体"/>
          <w:color w:val="auto"/>
        </w:rPr>
        <w:t>质点迁移天数，取值不小于5000d；</w:t>
      </w:r>
    </w:p>
    <w:p>
      <w:pPr>
        <w:pStyle w:val="104"/>
        <w:spacing w:line="520" w:lineRule="exact"/>
        <w:ind w:firstLineChars="200"/>
        <w:rPr>
          <w:rFonts w:ascii="Times New Roman" w:hAnsi="Times New Roman" w:eastAsia="宋体"/>
          <w:color w:val="auto"/>
        </w:rPr>
      </w:pPr>
      <w:r>
        <w:rPr>
          <w:rFonts w:ascii="Times New Roman" w:hAnsi="Times New Roman" w:eastAsia="宋体"/>
          <w:color w:val="auto"/>
        </w:rPr>
        <w:t xml:space="preserve">      n</w:t>
      </w:r>
      <w:r>
        <w:rPr>
          <w:rFonts w:ascii="Times New Roman" w:hAnsi="Times New Roman" w:eastAsia="宋体"/>
          <w:color w:val="auto"/>
          <w:vertAlign w:val="subscript"/>
        </w:rPr>
        <w:t>e</w:t>
      </w:r>
      <w:r>
        <w:rPr>
          <w:rFonts w:hint="eastAsia" w:ascii="Times New Roman" w:hAnsi="Times New Roman" w:eastAsia="宋体"/>
          <w:color w:val="auto"/>
          <w:vertAlign w:val="subscript"/>
          <w:lang w:eastAsia="zh-CN"/>
        </w:rPr>
        <w:t>－</w:t>
      </w:r>
      <w:r>
        <w:rPr>
          <w:rFonts w:ascii="Times New Roman" w:hAnsi="Times New Roman" w:eastAsia="宋体"/>
          <w:color w:val="auto"/>
        </w:rPr>
        <w:t>有效孔隙度，无量纲。</w:t>
      </w:r>
    </w:p>
    <w:p>
      <w:pPr>
        <w:pStyle w:val="104"/>
        <w:spacing w:line="520" w:lineRule="exact"/>
        <w:ind w:firstLineChars="200"/>
        <w:rPr>
          <w:rFonts w:ascii="Times New Roman" w:hAnsi="Times New Roman" w:eastAsia="宋体"/>
          <w:color w:val="auto"/>
        </w:rPr>
      </w:pPr>
      <w:r>
        <w:rPr>
          <w:rFonts w:ascii="Times New Roman" w:hAnsi="Times New Roman" w:eastAsia="宋体"/>
          <w:color w:val="auto"/>
        </w:rPr>
        <w:t>水力坡度根据区域村庄水平距离和地下水水面高程差计算确定，计算情况见表5</w:t>
      </w:r>
      <w:r>
        <w:rPr>
          <w:rFonts w:hint="eastAsia" w:ascii="Times New Roman" w:hAnsi="Times New Roman" w:eastAsia="宋体"/>
          <w:color w:val="auto"/>
        </w:rPr>
        <w:t>.</w:t>
      </w:r>
      <w:r>
        <w:rPr>
          <w:rFonts w:hint="eastAsia" w:ascii="Times New Roman" w:hAnsi="Times New Roman" w:eastAsia="宋体"/>
          <w:color w:val="auto"/>
          <w:lang w:val="en-US" w:eastAsia="zh-CN"/>
        </w:rPr>
        <w:t>4</w:t>
      </w:r>
      <w:r>
        <w:rPr>
          <w:rFonts w:ascii="Times New Roman" w:hAnsi="Times New Roman" w:eastAsia="宋体"/>
          <w:color w:val="auto"/>
        </w:rPr>
        <w:t>-</w:t>
      </w:r>
      <w:r>
        <w:rPr>
          <w:rFonts w:hint="eastAsia" w:ascii="Times New Roman" w:hAnsi="Times New Roman" w:eastAsia="宋体"/>
          <w:color w:val="auto"/>
          <w:lang w:val="en-US" w:eastAsia="zh-CN"/>
        </w:rPr>
        <w:t>1</w:t>
      </w:r>
      <w:r>
        <w:rPr>
          <w:rFonts w:ascii="Times New Roman" w:hAnsi="Times New Roman" w:eastAsia="宋体"/>
          <w:color w:val="auto"/>
        </w:rPr>
        <w:t>。</w:t>
      </w:r>
    </w:p>
    <w:p>
      <w:pPr>
        <w:pStyle w:val="181"/>
        <w:bidi w:val="0"/>
        <w:rPr>
          <w:color w:val="auto"/>
        </w:rPr>
      </w:pPr>
      <w:r>
        <w:rPr>
          <w:color w:val="auto"/>
        </w:rPr>
        <w:t>表5</w:t>
      </w:r>
      <w:r>
        <w:rPr>
          <w:rFonts w:hint="eastAsia"/>
          <w:color w:val="auto"/>
        </w:rPr>
        <w:t>.</w:t>
      </w:r>
      <w:r>
        <w:rPr>
          <w:rFonts w:hint="eastAsia"/>
          <w:color w:val="auto"/>
          <w:lang w:val="en-US" w:eastAsia="zh-CN"/>
        </w:rPr>
        <w:t>4</w:t>
      </w:r>
      <w:r>
        <w:rPr>
          <w:color w:val="auto"/>
        </w:rPr>
        <w:t>-</w:t>
      </w:r>
      <w:r>
        <w:rPr>
          <w:rFonts w:hint="eastAsia"/>
          <w:color w:val="auto"/>
          <w:lang w:val="en-US" w:eastAsia="zh-CN"/>
        </w:rPr>
        <w:t>1</w:t>
      </w:r>
      <w:r>
        <w:rPr>
          <w:color w:val="auto"/>
        </w:rPr>
        <w:t xml:space="preserve">  </w:t>
      </w:r>
      <w:r>
        <w:rPr>
          <w:rFonts w:hint="eastAsia"/>
          <w:color w:val="auto"/>
          <w:lang w:val="en-US" w:eastAsia="zh-CN"/>
        </w:rPr>
        <w:t xml:space="preserve">         </w:t>
      </w:r>
      <w:r>
        <w:rPr>
          <w:color w:val="auto"/>
        </w:rPr>
        <w:t>地下水水力坡度计算情况一览表</w:t>
      </w:r>
    </w:p>
    <w:tbl>
      <w:tblPr>
        <w:tblStyle w:val="32"/>
        <w:tblW w:w="8505"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2079"/>
        <w:gridCol w:w="1200"/>
        <w:gridCol w:w="1152"/>
        <w:gridCol w:w="1920"/>
        <w:gridCol w:w="1128"/>
        <w:gridCol w:w="102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079" w:type="dxa"/>
            <w:vAlign w:val="center"/>
          </w:tcPr>
          <w:p>
            <w:pPr>
              <w:pStyle w:val="182"/>
              <w:bidi w:val="0"/>
              <w:rPr>
                <w:b/>
                <w:bCs/>
                <w:color w:val="auto"/>
              </w:rPr>
            </w:pPr>
            <w:r>
              <w:rPr>
                <w:b/>
                <w:bCs/>
                <w:color w:val="auto"/>
              </w:rPr>
              <w:t>水井</w:t>
            </w:r>
          </w:p>
        </w:tc>
        <w:tc>
          <w:tcPr>
            <w:tcW w:w="1200" w:type="dxa"/>
            <w:vAlign w:val="center"/>
          </w:tcPr>
          <w:p>
            <w:pPr>
              <w:pStyle w:val="182"/>
              <w:bidi w:val="0"/>
              <w:rPr>
                <w:b/>
                <w:bCs/>
                <w:color w:val="auto"/>
              </w:rPr>
            </w:pPr>
            <w:r>
              <w:rPr>
                <w:b/>
                <w:bCs/>
                <w:color w:val="auto"/>
              </w:rPr>
              <w:t>方向</w:t>
            </w:r>
          </w:p>
        </w:tc>
        <w:tc>
          <w:tcPr>
            <w:tcW w:w="1152" w:type="dxa"/>
            <w:vAlign w:val="center"/>
          </w:tcPr>
          <w:p>
            <w:pPr>
              <w:pStyle w:val="182"/>
              <w:bidi w:val="0"/>
              <w:rPr>
                <w:b/>
                <w:bCs/>
                <w:color w:val="auto"/>
              </w:rPr>
            </w:pPr>
            <w:r>
              <w:rPr>
                <w:rFonts w:hint="eastAsia"/>
                <w:b/>
                <w:bCs/>
                <w:color w:val="auto"/>
              </w:rPr>
              <w:t>直线</w:t>
            </w:r>
            <w:r>
              <w:rPr>
                <w:b/>
                <w:bCs/>
                <w:color w:val="auto"/>
              </w:rPr>
              <w:t>距离</w:t>
            </w:r>
          </w:p>
        </w:tc>
        <w:tc>
          <w:tcPr>
            <w:tcW w:w="1920" w:type="dxa"/>
            <w:vAlign w:val="center"/>
          </w:tcPr>
          <w:p>
            <w:pPr>
              <w:pStyle w:val="182"/>
              <w:bidi w:val="0"/>
              <w:rPr>
                <w:b/>
                <w:bCs/>
                <w:color w:val="auto"/>
              </w:rPr>
            </w:pPr>
            <w:r>
              <w:rPr>
                <w:b/>
                <w:bCs/>
                <w:color w:val="auto"/>
              </w:rPr>
              <w:t>地下水水面高程差</w:t>
            </w:r>
          </w:p>
        </w:tc>
        <w:tc>
          <w:tcPr>
            <w:tcW w:w="1128" w:type="dxa"/>
            <w:vAlign w:val="center"/>
          </w:tcPr>
          <w:p>
            <w:pPr>
              <w:pStyle w:val="182"/>
              <w:bidi w:val="0"/>
              <w:rPr>
                <w:b/>
                <w:bCs/>
                <w:color w:val="auto"/>
              </w:rPr>
            </w:pPr>
            <w:r>
              <w:rPr>
                <w:b/>
                <w:bCs/>
                <w:color w:val="auto"/>
              </w:rPr>
              <w:t>水力坡度</w:t>
            </w:r>
          </w:p>
        </w:tc>
        <w:tc>
          <w:tcPr>
            <w:tcW w:w="1026" w:type="dxa"/>
            <w:vAlign w:val="center"/>
          </w:tcPr>
          <w:p>
            <w:pPr>
              <w:pStyle w:val="182"/>
              <w:bidi w:val="0"/>
              <w:rPr>
                <w:b/>
                <w:bCs/>
                <w:color w:val="auto"/>
              </w:rPr>
            </w:pPr>
            <w:r>
              <w:rPr>
                <w:b/>
                <w:bCs/>
                <w:color w:val="auto"/>
              </w:rPr>
              <w:t>平均值</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079" w:type="dxa"/>
            <w:vAlign w:val="center"/>
          </w:tcPr>
          <w:p>
            <w:pPr>
              <w:pStyle w:val="182"/>
              <w:bidi w:val="0"/>
              <w:rPr>
                <w:color w:val="auto"/>
              </w:rPr>
            </w:pPr>
            <w:r>
              <w:rPr>
                <w:rFonts w:hint="eastAsia"/>
                <w:color w:val="auto"/>
                <w:lang w:val="en-US" w:eastAsia="zh-CN"/>
              </w:rPr>
              <w:t>北张兴庄－</w:t>
            </w:r>
            <w:r>
              <w:rPr>
                <w:rFonts w:hint="eastAsia"/>
                <w:color w:val="auto"/>
              </w:rPr>
              <w:t>水花堡村</w:t>
            </w:r>
          </w:p>
        </w:tc>
        <w:tc>
          <w:tcPr>
            <w:tcW w:w="1200" w:type="dxa"/>
            <w:vAlign w:val="center"/>
          </w:tcPr>
          <w:p>
            <w:pPr>
              <w:pStyle w:val="182"/>
              <w:bidi w:val="0"/>
              <w:rPr>
                <w:color w:val="auto"/>
              </w:rPr>
            </w:pPr>
            <w:r>
              <w:rPr>
                <w:rFonts w:hint="eastAsia"/>
                <w:color w:val="auto"/>
              </w:rPr>
              <w:t>西南</w:t>
            </w:r>
            <w:r>
              <w:rPr>
                <w:rFonts w:hint="eastAsia"/>
                <w:color w:val="auto"/>
                <w:lang w:eastAsia="zh-CN"/>
              </w:rPr>
              <w:t>－</w:t>
            </w:r>
            <w:r>
              <w:rPr>
                <w:rFonts w:hint="eastAsia"/>
                <w:color w:val="auto"/>
              </w:rPr>
              <w:t>东北</w:t>
            </w:r>
          </w:p>
        </w:tc>
        <w:tc>
          <w:tcPr>
            <w:tcW w:w="1152" w:type="dxa"/>
            <w:vAlign w:val="center"/>
          </w:tcPr>
          <w:p>
            <w:pPr>
              <w:pStyle w:val="182"/>
              <w:bidi w:val="0"/>
              <w:rPr>
                <w:color w:val="auto"/>
              </w:rPr>
            </w:pPr>
            <w:r>
              <w:rPr>
                <w:rFonts w:hint="eastAsia"/>
                <w:color w:val="auto"/>
                <w:lang w:val="en-US" w:eastAsia="zh-CN"/>
              </w:rPr>
              <w:t>5566</w:t>
            </w:r>
            <w:r>
              <w:rPr>
                <w:color w:val="auto"/>
              </w:rPr>
              <w:t xml:space="preserve"> m</w:t>
            </w:r>
          </w:p>
        </w:tc>
        <w:tc>
          <w:tcPr>
            <w:tcW w:w="1920" w:type="dxa"/>
            <w:vAlign w:val="center"/>
          </w:tcPr>
          <w:p>
            <w:pPr>
              <w:pStyle w:val="182"/>
              <w:bidi w:val="0"/>
              <w:rPr>
                <w:color w:val="auto"/>
              </w:rPr>
            </w:pPr>
            <w:r>
              <w:rPr>
                <w:rFonts w:hint="eastAsia"/>
                <w:color w:val="auto"/>
                <w:lang w:val="en-US" w:eastAsia="zh-CN"/>
              </w:rPr>
              <w:t>3.0</w:t>
            </w:r>
            <w:r>
              <w:rPr>
                <w:color w:val="auto"/>
              </w:rPr>
              <w:t xml:space="preserve"> m</w:t>
            </w:r>
          </w:p>
        </w:tc>
        <w:tc>
          <w:tcPr>
            <w:tcW w:w="1128" w:type="dxa"/>
            <w:vAlign w:val="center"/>
          </w:tcPr>
          <w:p>
            <w:pPr>
              <w:pStyle w:val="182"/>
              <w:bidi w:val="0"/>
              <w:rPr>
                <w:color w:val="auto"/>
              </w:rPr>
            </w:pPr>
            <w:r>
              <w:rPr>
                <w:color w:val="auto"/>
              </w:rPr>
              <w:t>5.39×10</w:t>
            </w:r>
            <w:r>
              <w:rPr>
                <w:color w:val="auto"/>
                <w:vertAlign w:val="superscript"/>
              </w:rPr>
              <w:t>-4</w:t>
            </w:r>
          </w:p>
        </w:tc>
        <w:tc>
          <w:tcPr>
            <w:tcW w:w="1026" w:type="dxa"/>
            <w:vMerge w:val="restart"/>
            <w:vAlign w:val="center"/>
          </w:tcPr>
          <w:p>
            <w:pPr>
              <w:pStyle w:val="182"/>
              <w:bidi w:val="0"/>
              <w:rPr>
                <w:color w:val="auto"/>
              </w:rPr>
            </w:pPr>
            <w:r>
              <w:rPr>
                <w:rFonts w:hint="eastAsia"/>
                <w:color w:val="auto"/>
              </w:rPr>
              <w:t>5.78</w:t>
            </w:r>
            <w:r>
              <w:rPr>
                <w:color w:val="auto"/>
              </w:rPr>
              <w:t>×10</w:t>
            </w:r>
            <w:r>
              <w:rPr>
                <w:color w:val="auto"/>
                <w:vertAlign w:val="superscript"/>
              </w:rPr>
              <w:t>-</w:t>
            </w:r>
            <w:r>
              <w:rPr>
                <w:rFonts w:hint="eastAsia"/>
                <w:color w:val="auto"/>
                <w:vertAlign w:val="superscript"/>
              </w:rPr>
              <w:t>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079" w:type="dxa"/>
            <w:vAlign w:val="center"/>
          </w:tcPr>
          <w:p>
            <w:pPr>
              <w:pStyle w:val="182"/>
              <w:bidi w:val="0"/>
              <w:rPr>
                <w:rFonts w:hint="eastAsia" w:eastAsia="宋体"/>
                <w:color w:val="auto"/>
                <w:lang w:val="en-US" w:eastAsia="zh-CN"/>
              </w:rPr>
            </w:pPr>
            <w:r>
              <w:rPr>
                <w:rFonts w:hint="eastAsia"/>
                <w:color w:val="auto"/>
              </w:rPr>
              <w:t>姚庄</w:t>
            </w:r>
            <w:r>
              <w:rPr>
                <w:rFonts w:hint="eastAsia"/>
                <w:color w:val="auto"/>
                <w:lang w:val="en-US" w:eastAsia="zh-CN"/>
              </w:rPr>
              <w:t>－</w:t>
            </w:r>
            <w:r>
              <w:rPr>
                <w:rFonts w:hint="eastAsia"/>
                <w:color w:val="auto"/>
                <w:lang w:eastAsia="zh-CN"/>
              </w:rPr>
              <w:t>十</w:t>
            </w:r>
            <w:r>
              <w:rPr>
                <w:rFonts w:hint="eastAsia"/>
                <w:color w:val="auto"/>
                <w:lang w:val="en-US" w:eastAsia="zh-CN"/>
              </w:rPr>
              <w:t>八里庄</w:t>
            </w:r>
          </w:p>
        </w:tc>
        <w:tc>
          <w:tcPr>
            <w:tcW w:w="1200" w:type="dxa"/>
            <w:vAlign w:val="center"/>
          </w:tcPr>
          <w:p>
            <w:pPr>
              <w:pStyle w:val="182"/>
              <w:bidi w:val="0"/>
              <w:rPr>
                <w:color w:val="auto"/>
              </w:rPr>
            </w:pPr>
            <w:r>
              <w:rPr>
                <w:rFonts w:hint="eastAsia"/>
                <w:color w:val="auto"/>
              </w:rPr>
              <w:t>西南</w:t>
            </w:r>
            <w:r>
              <w:rPr>
                <w:rFonts w:hint="eastAsia"/>
                <w:color w:val="auto"/>
                <w:lang w:eastAsia="zh-CN"/>
              </w:rPr>
              <w:t>－</w:t>
            </w:r>
            <w:r>
              <w:rPr>
                <w:rFonts w:hint="eastAsia"/>
                <w:color w:val="auto"/>
              </w:rPr>
              <w:t>东北</w:t>
            </w:r>
          </w:p>
        </w:tc>
        <w:tc>
          <w:tcPr>
            <w:tcW w:w="1152" w:type="dxa"/>
            <w:vAlign w:val="center"/>
          </w:tcPr>
          <w:p>
            <w:pPr>
              <w:pStyle w:val="182"/>
              <w:bidi w:val="0"/>
              <w:rPr>
                <w:color w:val="auto"/>
              </w:rPr>
            </w:pPr>
            <w:r>
              <w:rPr>
                <w:rFonts w:hint="eastAsia"/>
                <w:color w:val="auto"/>
                <w:lang w:val="en-US" w:eastAsia="zh-CN"/>
              </w:rPr>
              <w:t>6490</w:t>
            </w:r>
            <w:r>
              <w:rPr>
                <w:color w:val="auto"/>
              </w:rPr>
              <w:t xml:space="preserve"> m</w:t>
            </w:r>
          </w:p>
        </w:tc>
        <w:tc>
          <w:tcPr>
            <w:tcW w:w="1920" w:type="dxa"/>
            <w:vAlign w:val="center"/>
          </w:tcPr>
          <w:p>
            <w:pPr>
              <w:pStyle w:val="182"/>
              <w:bidi w:val="0"/>
              <w:rPr>
                <w:color w:val="auto"/>
              </w:rPr>
            </w:pPr>
            <w:r>
              <w:rPr>
                <w:rFonts w:hint="eastAsia"/>
                <w:color w:val="auto"/>
                <w:lang w:val="en-US" w:eastAsia="zh-CN"/>
              </w:rPr>
              <w:t>4.0</w:t>
            </w:r>
            <w:r>
              <w:rPr>
                <w:color w:val="auto"/>
              </w:rPr>
              <w:t xml:space="preserve"> m</w:t>
            </w:r>
          </w:p>
        </w:tc>
        <w:tc>
          <w:tcPr>
            <w:tcW w:w="1128" w:type="dxa"/>
            <w:vAlign w:val="center"/>
          </w:tcPr>
          <w:p>
            <w:pPr>
              <w:pStyle w:val="182"/>
              <w:bidi w:val="0"/>
              <w:rPr>
                <w:color w:val="auto"/>
              </w:rPr>
            </w:pPr>
            <w:r>
              <w:rPr>
                <w:color w:val="auto"/>
              </w:rPr>
              <w:t>6.16×10</w:t>
            </w:r>
            <w:r>
              <w:rPr>
                <w:color w:val="auto"/>
                <w:vertAlign w:val="superscript"/>
              </w:rPr>
              <w:t>-4</w:t>
            </w:r>
          </w:p>
        </w:tc>
        <w:tc>
          <w:tcPr>
            <w:tcW w:w="1026" w:type="dxa"/>
            <w:vMerge w:val="continue"/>
            <w:vAlign w:val="center"/>
          </w:tcPr>
          <w:p>
            <w:pPr>
              <w:pStyle w:val="182"/>
              <w:bidi w:val="0"/>
              <w:rPr>
                <w:color w:val="auto"/>
              </w:rPr>
            </w:pPr>
          </w:p>
        </w:tc>
      </w:tr>
    </w:tbl>
    <w:p>
      <w:pPr>
        <w:pStyle w:val="104"/>
        <w:spacing w:line="520" w:lineRule="exact"/>
        <w:ind w:firstLineChars="200"/>
        <w:rPr>
          <w:rFonts w:ascii="Times New Roman" w:hAnsi="Times New Roman" w:eastAsia="宋体"/>
          <w:color w:val="auto"/>
        </w:rPr>
      </w:pPr>
      <w:r>
        <w:rPr>
          <w:rFonts w:ascii="Times New Roman" w:hAnsi="Times New Roman" w:eastAsia="宋体"/>
          <w:color w:val="auto"/>
        </w:rPr>
        <w:t>不同地质孔隙度经验值一览表见表5</w:t>
      </w:r>
      <w:r>
        <w:rPr>
          <w:rFonts w:hint="eastAsia" w:ascii="Times New Roman" w:hAnsi="Times New Roman" w:eastAsia="宋体"/>
          <w:color w:val="auto"/>
        </w:rPr>
        <w:t>.</w:t>
      </w:r>
      <w:r>
        <w:rPr>
          <w:rFonts w:hint="eastAsia" w:ascii="Times New Roman" w:hAnsi="Times New Roman" w:eastAsia="宋体"/>
          <w:color w:val="auto"/>
          <w:lang w:val="en-US" w:eastAsia="zh-CN"/>
        </w:rPr>
        <w:t>4</w:t>
      </w:r>
      <w:r>
        <w:rPr>
          <w:rFonts w:ascii="Times New Roman" w:hAnsi="Times New Roman" w:eastAsia="宋体"/>
          <w:color w:val="auto"/>
        </w:rPr>
        <w:t>-</w:t>
      </w:r>
      <w:r>
        <w:rPr>
          <w:rFonts w:hint="eastAsia" w:ascii="Times New Roman" w:hAnsi="Times New Roman" w:eastAsia="宋体"/>
          <w:color w:val="auto"/>
          <w:lang w:val="en-US" w:eastAsia="zh-CN"/>
        </w:rPr>
        <w:t>2</w:t>
      </w:r>
      <w:r>
        <w:rPr>
          <w:rFonts w:ascii="Times New Roman" w:hAnsi="Times New Roman" w:eastAsia="宋体"/>
          <w:color w:val="auto"/>
        </w:rPr>
        <w:t>，评价区含水介质主要为</w:t>
      </w:r>
      <w:r>
        <w:rPr>
          <w:rFonts w:hint="eastAsia" w:ascii="Times New Roman" w:hAnsi="Times New Roman" w:eastAsia="宋体"/>
          <w:color w:val="auto"/>
        </w:rPr>
        <w:t>细砂</w:t>
      </w:r>
      <w:r>
        <w:rPr>
          <w:rFonts w:ascii="Times New Roman" w:hAnsi="Times New Roman" w:eastAsia="宋体"/>
          <w:color w:val="auto"/>
        </w:rPr>
        <w:t>，有效孔隙度取0.4。</w:t>
      </w:r>
    </w:p>
    <w:p>
      <w:pPr>
        <w:pStyle w:val="181"/>
        <w:bidi w:val="0"/>
        <w:rPr>
          <w:color w:val="auto"/>
        </w:rPr>
      </w:pPr>
      <w:r>
        <w:rPr>
          <w:color w:val="auto"/>
        </w:rPr>
        <w:t>表5</w:t>
      </w:r>
      <w:r>
        <w:rPr>
          <w:rFonts w:hint="eastAsia"/>
          <w:color w:val="auto"/>
        </w:rPr>
        <w:t>.</w:t>
      </w:r>
      <w:r>
        <w:rPr>
          <w:rFonts w:hint="eastAsia"/>
          <w:color w:val="auto"/>
          <w:lang w:val="en-US" w:eastAsia="zh-CN"/>
        </w:rPr>
        <w:t>4</w:t>
      </w:r>
      <w:r>
        <w:rPr>
          <w:color w:val="auto"/>
        </w:rPr>
        <w:t>-</w:t>
      </w:r>
      <w:r>
        <w:rPr>
          <w:rFonts w:hint="eastAsia"/>
          <w:color w:val="auto"/>
          <w:lang w:val="en-US" w:eastAsia="zh-CN"/>
        </w:rPr>
        <w:t>2</w:t>
      </w:r>
      <w:r>
        <w:rPr>
          <w:color w:val="auto"/>
        </w:rPr>
        <w:t xml:space="preserve">  </w:t>
      </w:r>
      <w:r>
        <w:rPr>
          <w:rFonts w:hint="eastAsia"/>
          <w:color w:val="auto"/>
          <w:lang w:val="en-US" w:eastAsia="zh-CN"/>
        </w:rPr>
        <w:t xml:space="preserve">               </w:t>
      </w:r>
      <w:r>
        <w:rPr>
          <w:color w:val="auto"/>
        </w:rPr>
        <w:t>孔隙度经验值一览表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1526"/>
        <w:gridCol w:w="1417"/>
        <w:gridCol w:w="1418"/>
        <w:gridCol w:w="1276"/>
        <w:gridCol w:w="1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7" w:type="dxa"/>
            <w:vAlign w:val="center"/>
          </w:tcPr>
          <w:p>
            <w:pPr>
              <w:pStyle w:val="182"/>
              <w:bidi w:val="0"/>
              <w:rPr>
                <w:b/>
                <w:bCs/>
                <w:color w:val="auto"/>
              </w:rPr>
            </w:pPr>
            <w:r>
              <w:rPr>
                <w:b/>
                <w:bCs/>
                <w:color w:val="auto"/>
              </w:rPr>
              <w:t>岩石名称</w:t>
            </w:r>
          </w:p>
        </w:tc>
        <w:tc>
          <w:tcPr>
            <w:tcW w:w="1570" w:type="dxa"/>
            <w:vAlign w:val="center"/>
          </w:tcPr>
          <w:p>
            <w:pPr>
              <w:pStyle w:val="182"/>
              <w:bidi w:val="0"/>
              <w:rPr>
                <w:b/>
                <w:bCs/>
                <w:color w:val="auto"/>
              </w:rPr>
            </w:pPr>
            <w:r>
              <w:rPr>
                <w:b/>
                <w:bCs/>
                <w:color w:val="auto"/>
              </w:rPr>
              <w:t>砾石（粗）</w:t>
            </w:r>
          </w:p>
        </w:tc>
        <w:tc>
          <w:tcPr>
            <w:tcW w:w="1458" w:type="dxa"/>
            <w:vAlign w:val="center"/>
          </w:tcPr>
          <w:p>
            <w:pPr>
              <w:pStyle w:val="182"/>
              <w:bidi w:val="0"/>
              <w:rPr>
                <w:b/>
                <w:bCs/>
                <w:color w:val="auto"/>
              </w:rPr>
            </w:pPr>
            <w:r>
              <w:rPr>
                <w:b/>
                <w:bCs/>
                <w:color w:val="auto"/>
              </w:rPr>
              <w:t>砾石（细）</w:t>
            </w:r>
          </w:p>
        </w:tc>
        <w:tc>
          <w:tcPr>
            <w:tcW w:w="1459" w:type="dxa"/>
            <w:vAlign w:val="center"/>
          </w:tcPr>
          <w:p>
            <w:pPr>
              <w:pStyle w:val="182"/>
              <w:bidi w:val="0"/>
              <w:rPr>
                <w:b/>
                <w:bCs/>
                <w:color w:val="auto"/>
              </w:rPr>
            </w:pPr>
            <w:r>
              <w:rPr>
                <w:b/>
                <w:bCs/>
                <w:color w:val="auto"/>
              </w:rPr>
              <w:t>砂（粗）</w:t>
            </w:r>
          </w:p>
        </w:tc>
        <w:tc>
          <w:tcPr>
            <w:tcW w:w="1313" w:type="dxa"/>
            <w:vAlign w:val="center"/>
          </w:tcPr>
          <w:p>
            <w:pPr>
              <w:pStyle w:val="182"/>
              <w:bidi w:val="0"/>
              <w:rPr>
                <w:b/>
                <w:bCs/>
                <w:color w:val="auto"/>
              </w:rPr>
            </w:pPr>
            <w:r>
              <w:rPr>
                <w:b/>
                <w:bCs/>
                <w:color w:val="auto"/>
              </w:rPr>
              <w:t>砂（细）</w:t>
            </w:r>
          </w:p>
        </w:tc>
        <w:tc>
          <w:tcPr>
            <w:tcW w:w="1224" w:type="dxa"/>
            <w:vAlign w:val="center"/>
          </w:tcPr>
          <w:p>
            <w:pPr>
              <w:pStyle w:val="182"/>
              <w:bidi w:val="0"/>
              <w:rPr>
                <w:b/>
                <w:bCs/>
                <w:color w:val="auto"/>
              </w:rPr>
            </w:pPr>
            <w:r>
              <w:rPr>
                <w:b/>
                <w:bCs/>
                <w:color w:val="auto"/>
              </w:rPr>
              <w:t>黏土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7" w:type="dxa"/>
            <w:vAlign w:val="center"/>
          </w:tcPr>
          <w:p>
            <w:pPr>
              <w:pStyle w:val="182"/>
              <w:bidi w:val="0"/>
              <w:rPr>
                <w:color w:val="auto"/>
              </w:rPr>
            </w:pPr>
            <w:r>
              <w:rPr>
                <w:color w:val="auto"/>
              </w:rPr>
              <w:t>孔隙度变化区间</w:t>
            </w:r>
          </w:p>
        </w:tc>
        <w:tc>
          <w:tcPr>
            <w:tcW w:w="1570" w:type="dxa"/>
            <w:vAlign w:val="center"/>
          </w:tcPr>
          <w:p>
            <w:pPr>
              <w:pStyle w:val="182"/>
              <w:bidi w:val="0"/>
              <w:rPr>
                <w:color w:val="auto"/>
              </w:rPr>
            </w:pPr>
            <w:r>
              <w:rPr>
                <w:color w:val="auto"/>
              </w:rPr>
              <w:t>24%</w:t>
            </w:r>
            <w:r>
              <w:rPr>
                <w:rFonts w:hint="eastAsia"/>
                <w:color w:val="auto"/>
                <w:lang w:eastAsia="zh-CN"/>
              </w:rPr>
              <w:t>—</w:t>
            </w:r>
            <w:r>
              <w:rPr>
                <w:color w:val="auto"/>
              </w:rPr>
              <w:t>36%</w:t>
            </w:r>
          </w:p>
        </w:tc>
        <w:tc>
          <w:tcPr>
            <w:tcW w:w="1458" w:type="dxa"/>
            <w:vAlign w:val="center"/>
          </w:tcPr>
          <w:p>
            <w:pPr>
              <w:pStyle w:val="182"/>
              <w:bidi w:val="0"/>
              <w:rPr>
                <w:color w:val="auto"/>
              </w:rPr>
            </w:pPr>
            <w:r>
              <w:rPr>
                <w:color w:val="auto"/>
              </w:rPr>
              <w:t>25%</w:t>
            </w:r>
            <w:r>
              <w:rPr>
                <w:rFonts w:hint="eastAsia"/>
                <w:color w:val="auto"/>
                <w:lang w:eastAsia="zh-CN"/>
              </w:rPr>
              <w:t>—</w:t>
            </w:r>
            <w:r>
              <w:rPr>
                <w:color w:val="auto"/>
              </w:rPr>
              <w:t>38%</w:t>
            </w:r>
          </w:p>
        </w:tc>
        <w:tc>
          <w:tcPr>
            <w:tcW w:w="1459" w:type="dxa"/>
            <w:vAlign w:val="center"/>
          </w:tcPr>
          <w:p>
            <w:pPr>
              <w:pStyle w:val="182"/>
              <w:bidi w:val="0"/>
              <w:rPr>
                <w:color w:val="auto"/>
              </w:rPr>
            </w:pPr>
            <w:r>
              <w:rPr>
                <w:color w:val="auto"/>
              </w:rPr>
              <w:t>31%</w:t>
            </w:r>
            <w:r>
              <w:rPr>
                <w:rFonts w:hint="eastAsia"/>
                <w:color w:val="auto"/>
                <w:lang w:eastAsia="zh-CN"/>
              </w:rPr>
              <w:t>—</w:t>
            </w:r>
            <w:r>
              <w:rPr>
                <w:color w:val="auto"/>
              </w:rPr>
              <w:t>46%</w:t>
            </w:r>
          </w:p>
        </w:tc>
        <w:tc>
          <w:tcPr>
            <w:tcW w:w="1313" w:type="dxa"/>
            <w:vAlign w:val="center"/>
          </w:tcPr>
          <w:p>
            <w:pPr>
              <w:pStyle w:val="182"/>
              <w:bidi w:val="0"/>
              <w:rPr>
                <w:color w:val="auto"/>
              </w:rPr>
            </w:pPr>
            <w:r>
              <w:rPr>
                <w:color w:val="auto"/>
              </w:rPr>
              <w:t>26%</w:t>
            </w:r>
            <w:r>
              <w:rPr>
                <w:rFonts w:hint="eastAsia"/>
                <w:color w:val="auto"/>
                <w:lang w:eastAsia="zh-CN"/>
              </w:rPr>
              <w:t>—</w:t>
            </w:r>
            <w:r>
              <w:rPr>
                <w:color w:val="auto"/>
              </w:rPr>
              <w:t>53%</w:t>
            </w:r>
          </w:p>
        </w:tc>
        <w:tc>
          <w:tcPr>
            <w:tcW w:w="1224" w:type="dxa"/>
            <w:vAlign w:val="center"/>
          </w:tcPr>
          <w:p>
            <w:pPr>
              <w:pStyle w:val="182"/>
              <w:bidi w:val="0"/>
              <w:rPr>
                <w:color w:val="auto"/>
              </w:rPr>
            </w:pPr>
            <w:r>
              <w:rPr>
                <w:color w:val="auto"/>
              </w:rPr>
              <w:t>34%</w:t>
            </w:r>
            <w:r>
              <w:rPr>
                <w:rFonts w:hint="eastAsia"/>
                <w:color w:val="auto"/>
                <w:lang w:eastAsia="zh-CN"/>
              </w:rPr>
              <w:t>—</w:t>
            </w:r>
            <w:r>
              <w:rPr>
                <w:color w:val="auto"/>
              </w:rPr>
              <w:t>60%</w:t>
            </w:r>
          </w:p>
        </w:tc>
      </w:tr>
    </w:tbl>
    <w:p>
      <w:pPr>
        <w:bidi w:val="0"/>
        <w:rPr>
          <w:rFonts w:hint="eastAsia"/>
          <w:b/>
          <w:bCs/>
          <w:color w:val="auto"/>
          <w:u w:val="single"/>
        </w:rPr>
      </w:pPr>
      <w:r>
        <w:rPr>
          <w:rFonts w:hint="eastAsia"/>
          <w:b/>
          <w:bCs/>
          <w:color w:val="auto"/>
          <w:u w:val="single"/>
        </w:rPr>
        <w:t>根据上述公式及参数计算，L=144.5 m</w:t>
      </w:r>
      <w:r>
        <w:rPr>
          <w:rFonts w:hint="eastAsia"/>
          <w:b/>
          <w:bCs/>
          <w:color w:val="auto"/>
          <w:u w:val="single"/>
          <w:lang w:eastAsia="zh-CN"/>
        </w:rPr>
        <w:t>，</w:t>
      </w:r>
      <w:r>
        <w:rPr>
          <w:rFonts w:hint="eastAsia"/>
          <w:b/>
          <w:bCs/>
          <w:color w:val="auto"/>
          <w:u w:val="single"/>
        </w:rPr>
        <w:t>考虑评价范围应包含主要地下水环境保护目标，结合地下水环境现状调查评价范围参照表中的相关要求（评价等级为</w:t>
      </w:r>
      <w:r>
        <w:rPr>
          <w:rFonts w:hint="eastAsia"/>
          <w:b/>
          <w:bCs/>
          <w:color w:val="auto"/>
          <w:u w:val="single"/>
          <w:lang w:val="en-US" w:eastAsia="zh-CN"/>
        </w:rPr>
        <w:t>三</w:t>
      </w:r>
      <w:r>
        <w:rPr>
          <w:rFonts w:hint="eastAsia"/>
          <w:b/>
          <w:bCs/>
          <w:color w:val="auto"/>
          <w:u w:val="single"/>
        </w:rPr>
        <w:t>级，调查评价面积</w:t>
      </w:r>
      <w:r>
        <w:rPr>
          <w:rFonts w:hint="eastAsia"/>
          <w:b/>
          <w:bCs/>
          <w:color w:val="auto"/>
          <w:u w:val="single"/>
          <w:lang w:val="en-US" w:eastAsia="zh-CN"/>
        </w:rPr>
        <w:t>不大于6</w:t>
      </w:r>
      <w:r>
        <w:rPr>
          <w:rFonts w:hint="eastAsia"/>
          <w:b/>
          <w:bCs/>
          <w:color w:val="auto"/>
          <w:u w:val="single"/>
        </w:rPr>
        <w:t xml:space="preserve"> km</w:t>
      </w:r>
      <w:r>
        <w:rPr>
          <w:rFonts w:hint="eastAsia"/>
          <w:b/>
          <w:bCs/>
          <w:color w:val="auto"/>
          <w:u w:val="single"/>
          <w:vertAlign w:val="superscript"/>
        </w:rPr>
        <w:t>2</w:t>
      </w:r>
      <w:r>
        <w:rPr>
          <w:rFonts w:hint="eastAsia"/>
          <w:b/>
          <w:bCs/>
          <w:color w:val="auto"/>
          <w:u w:val="single"/>
        </w:rPr>
        <w:t>），本项目综合考虑确定评价范围为</w:t>
      </w:r>
      <w:r>
        <w:rPr>
          <w:rFonts w:hint="eastAsia"/>
          <w:b/>
          <w:bCs/>
          <w:color w:val="auto"/>
          <w:u w:val="single"/>
          <w:lang w:val="en-US" w:eastAsia="zh-CN"/>
        </w:rPr>
        <w:t>6</w:t>
      </w:r>
      <w:r>
        <w:rPr>
          <w:rFonts w:hint="eastAsia"/>
          <w:b/>
          <w:bCs/>
          <w:color w:val="auto"/>
          <w:u w:val="single"/>
        </w:rPr>
        <w:t xml:space="preserve"> km</w:t>
      </w:r>
      <w:r>
        <w:rPr>
          <w:rFonts w:hint="eastAsia"/>
          <w:b/>
          <w:bCs/>
          <w:color w:val="auto"/>
          <w:u w:val="single"/>
          <w:vertAlign w:val="superscript"/>
        </w:rPr>
        <w:t>2</w:t>
      </w:r>
      <w:r>
        <w:rPr>
          <w:rFonts w:hint="eastAsia"/>
          <w:b/>
          <w:bCs/>
          <w:color w:val="auto"/>
          <w:u w:val="single"/>
        </w:rPr>
        <w:t>。由于地表水和中深层含水层间无明显的水力联系，中深层含水层和深层含水层无明显的水力联系，因此本次预测层位定为预测评价区域的潜水层。项目地下水评价范围如下：</w:t>
      </w:r>
    </w:p>
    <w:p>
      <w:pPr>
        <w:bidi w:val="0"/>
        <w:ind w:left="0" w:leftChars="0" w:firstLine="0" w:firstLineChars="0"/>
        <w:jc w:val="center"/>
        <w:rPr>
          <w:color w:val="auto"/>
        </w:rPr>
      </w:pPr>
      <w:r>
        <w:rPr>
          <w:color w:val="auto"/>
        </w:rPr>
        <w:drawing>
          <wp:inline distT="0" distB="0" distL="114300" distR="114300">
            <wp:extent cx="5120640" cy="5120640"/>
            <wp:effectExtent l="0" t="0" r="0" b="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76"/>
                    <a:stretch>
                      <a:fillRect/>
                    </a:stretch>
                  </pic:blipFill>
                  <pic:spPr>
                    <a:xfrm>
                      <a:off x="0" y="0"/>
                      <a:ext cx="5120640" cy="5120640"/>
                    </a:xfrm>
                    <a:prstGeom prst="rect">
                      <a:avLst/>
                    </a:prstGeom>
                    <a:noFill/>
                    <a:ln>
                      <a:noFill/>
                    </a:ln>
                  </pic:spPr>
                </pic:pic>
              </a:graphicData>
            </a:graphic>
          </wp:inline>
        </w:drawing>
      </w:r>
    </w:p>
    <w:p>
      <w:pPr>
        <w:pStyle w:val="181"/>
        <w:bidi w:val="0"/>
        <w:ind w:left="0" w:leftChars="0" w:firstLine="0" w:firstLineChars="0"/>
        <w:jc w:val="center"/>
        <w:rPr>
          <w:rFonts w:hint="eastAsia"/>
          <w:color w:val="auto"/>
          <w:u w:val="single"/>
        </w:rPr>
      </w:pPr>
      <w:r>
        <w:rPr>
          <w:color w:val="auto"/>
          <w:u w:val="single"/>
        </w:rPr>
        <w:pict>
          <v:shape id="_x0000_s2088" o:spid="_x0000_s2088" o:spt="202" type="#_x0000_t202" style="position:absolute;left:0pt;margin-left:396pt;margin-top:18.95pt;height:20.4pt;width:25.65pt;z-index:251719680;mso-width-relative:page;mso-height-relative:page;" filled="f" stroked="f" coordsize="21600,21600">
            <v:path/>
            <v:fill on="f" focussize="0,0"/>
            <v:stroke on="f" joinstyle="miter"/>
            <v:imagedata o:title=""/>
            <o:lock v:ext="edit"/>
            <v:textbox>
              <w:txbxContent>
                <w:p>
                  <w:pPr>
                    <w:ind w:firstLine="482"/>
                    <w:rPr>
                      <w:b/>
                      <w:color w:val="FFFF00"/>
                    </w:rPr>
                  </w:pPr>
                  <w:r>
                    <w:rPr>
                      <w:rFonts w:hint="eastAsia"/>
                      <w:b/>
                      <w:color w:val="FFFF00"/>
                    </w:rPr>
                    <w:t>北</w:t>
                  </w:r>
                </w:p>
              </w:txbxContent>
            </v:textbox>
          </v:shape>
        </w:pict>
      </w:r>
      <w:r>
        <w:rPr>
          <w:rFonts w:hint="eastAsia"/>
          <w:color w:val="auto"/>
          <w:u w:val="single"/>
        </w:rPr>
        <w:t>图5.</w:t>
      </w:r>
      <w:r>
        <w:rPr>
          <w:rFonts w:hint="eastAsia"/>
          <w:color w:val="auto"/>
          <w:u w:val="single"/>
          <w:lang w:val="en-US" w:eastAsia="zh-CN"/>
        </w:rPr>
        <w:t>4</w:t>
      </w:r>
      <w:r>
        <w:rPr>
          <w:rFonts w:hint="eastAsia"/>
          <w:color w:val="auto"/>
          <w:u w:val="single"/>
        </w:rPr>
        <w:t>-</w:t>
      </w:r>
      <w:r>
        <w:rPr>
          <w:color w:val="auto"/>
          <w:u w:val="single"/>
        </w:rPr>
        <w:t xml:space="preserve">3  </w:t>
      </w:r>
      <w:r>
        <w:rPr>
          <w:rFonts w:hint="eastAsia"/>
          <w:color w:val="auto"/>
          <w:u w:val="single"/>
        </w:rPr>
        <w:t>本项目地下水调查评价范围示意图</w:t>
      </w:r>
    </w:p>
    <w:p>
      <w:pPr>
        <w:pStyle w:val="9"/>
        <w:bidi w:val="0"/>
        <w:rPr>
          <w:color w:val="auto"/>
        </w:rPr>
      </w:pPr>
      <w:r>
        <w:rPr>
          <w:rFonts w:hint="eastAsia"/>
          <w:color w:val="auto"/>
        </w:rPr>
        <w:t>5</w:t>
      </w:r>
      <w:r>
        <w:rPr>
          <w:color w:val="auto"/>
        </w:rPr>
        <w:t>.</w:t>
      </w:r>
      <w:r>
        <w:rPr>
          <w:rFonts w:hint="eastAsia"/>
          <w:color w:val="auto"/>
          <w:lang w:val="en-US" w:eastAsia="zh-CN"/>
        </w:rPr>
        <w:t>4</w:t>
      </w:r>
      <w:r>
        <w:rPr>
          <w:color w:val="auto"/>
        </w:rPr>
        <w:t>.4 预测因子及预测内容</w:t>
      </w:r>
    </w:p>
    <w:p>
      <w:pPr>
        <w:pStyle w:val="10"/>
        <w:bidi w:val="0"/>
        <w:rPr>
          <w:color w:val="auto"/>
        </w:rPr>
      </w:pPr>
      <w:r>
        <w:rPr>
          <w:rFonts w:hint="eastAsia"/>
          <w:color w:val="auto"/>
          <w:lang w:eastAsia="zh-CN"/>
        </w:rPr>
        <w:t>5</w:t>
      </w:r>
      <w:r>
        <w:rPr>
          <w:rFonts w:hint="eastAsia"/>
          <w:color w:val="auto"/>
        </w:rPr>
        <w:t>.</w:t>
      </w:r>
      <w:r>
        <w:rPr>
          <w:rFonts w:hint="eastAsia"/>
          <w:color w:val="auto"/>
          <w:lang w:val="en-US" w:eastAsia="zh-CN"/>
        </w:rPr>
        <w:t>4</w:t>
      </w:r>
      <w:r>
        <w:rPr>
          <w:rFonts w:hint="eastAsia"/>
          <w:color w:val="auto"/>
        </w:rPr>
        <w:t>.4.1 运营期正常工况地下水环境影响分析</w:t>
      </w:r>
    </w:p>
    <w:p>
      <w:pPr>
        <w:bidi w:val="0"/>
        <w:rPr>
          <w:color w:val="auto"/>
        </w:rPr>
      </w:pPr>
      <w:r>
        <w:rPr>
          <w:rFonts w:hint="eastAsia"/>
          <w:color w:val="auto"/>
        </w:rPr>
        <w:t>根据《环境影响评价技术导则</w:t>
      </w:r>
      <w:r>
        <w:rPr>
          <w:rFonts w:hint="eastAsia"/>
          <w:color w:val="auto"/>
          <w:lang w:val="en-US" w:eastAsia="zh-CN"/>
        </w:rPr>
        <w:t xml:space="preserve"> </w:t>
      </w:r>
      <w:r>
        <w:rPr>
          <w:rFonts w:hint="eastAsia"/>
          <w:color w:val="auto"/>
        </w:rPr>
        <w:t>地下水环境》（HJ610-2016），一般情况下，建设项目需对正常状况和非正常状况的情景分别进行预测，但已依据GB16889、GB18597、GB18598、GB18599、GB/T50934设计地下水污染防渗措施的建设项目，可不进行正常状况情景下的预测。</w:t>
      </w:r>
    </w:p>
    <w:p>
      <w:pPr>
        <w:bidi w:val="0"/>
        <w:rPr>
          <w:color w:val="auto"/>
        </w:rPr>
      </w:pPr>
      <w:r>
        <w:rPr>
          <w:rFonts w:hint="eastAsia"/>
          <w:color w:val="auto"/>
        </w:rPr>
        <w:t>项目正常运营条件下，产生的主要废水包括生产废水、生活污水及降雨条件下形成的初期雨水，其中生产废水包括溶胀抽真空废水、溶解抽真空废水、离子交换再生废水和循环冷却水系统排水，主要污染物为COD、BOD</w:t>
      </w:r>
      <w:r>
        <w:rPr>
          <w:rFonts w:hint="eastAsia"/>
          <w:color w:val="auto"/>
          <w:vertAlign w:val="subscript"/>
        </w:rPr>
        <w:t>5</w:t>
      </w:r>
      <w:r>
        <w:rPr>
          <w:rFonts w:hint="eastAsia"/>
          <w:color w:val="auto"/>
        </w:rPr>
        <w:t>、SS、氨氮、TN、TP；生活污水主要是厂区工作人员日常生产生活及食堂、厕所等产生的废水；初期雨水主要为降雨前15min污染厂区收集的雨水。</w:t>
      </w:r>
    </w:p>
    <w:p>
      <w:pPr>
        <w:bidi w:val="0"/>
        <w:rPr>
          <w:color w:val="auto"/>
          <w:kern w:val="0"/>
          <w:szCs w:val="20"/>
        </w:rPr>
      </w:pPr>
      <w:r>
        <w:rPr>
          <w:rFonts w:hint="eastAsia"/>
          <w:color w:val="auto"/>
        </w:rPr>
        <w:t>正常工况下，生产废水、生活污水及初期雨水进入厂区调节池调节水质水量后进入化纤厂新厂区污水处理站处理，之后排往小店污水处理厂。厂区各场地均设置了防渗措施及事故应急措施，正常工况条件下不会对地下水环境造成明显不利影响，不再对正常工况下进行预测。</w:t>
      </w:r>
    </w:p>
    <w:p>
      <w:pPr>
        <w:pStyle w:val="10"/>
        <w:bidi w:val="0"/>
        <w:rPr>
          <w:color w:val="auto"/>
        </w:rPr>
      </w:pPr>
      <w:r>
        <w:rPr>
          <w:rFonts w:hint="eastAsia"/>
          <w:color w:val="auto"/>
        </w:rPr>
        <w:t>5.</w:t>
      </w:r>
      <w:r>
        <w:rPr>
          <w:rFonts w:hint="eastAsia"/>
          <w:color w:val="auto"/>
          <w:lang w:val="en-US" w:eastAsia="zh-CN"/>
        </w:rPr>
        <w:t>4</w:t>
      </w:r>
      <w:r>
        <w:rPr>
          <w:rFonts w:hint="eastAsia"/>
          <w:color w:val="auto"/>
        </w:rPr>
        <w:t>.4.2 运营期非正常工况地下水环境影响分析</w:t>
      </w:r>
    </w:p>
    <w:p>
      <w:pPr>
        <w:bidi w:val="0"/>
        <w:rPr>
          <w:color w:val="auto"/>
        </w:rPr>
      </w:pPr>
      <w:r>
        <w:rPr>
          <w:color w:val="auto"/>
        </w:rPr>
        <w:t>（1）事故情景设置</w:t>
      </w:r>
    </w:p>
    <w:p>
      <w:pPr>
        <w:bidi w:val="0"/>
        <w:rPr>
          <w:color w:val="auto"/>
        </w:rPr>
      </w:pPr>
      <w:r>
        <w:rPr>
          <w:color w:val="auto"/>
        </w:rPr>
        <w:t>本项目生产过程中产生的废水中含有COD及氨氮等污染物，这些污染物一旦进入地下水，会对地下水环境造成污染，为提前预知污染可能的运行途径及污染程度，必须对可能的污染进行预测分析，并提出污染防治措施。本项目各生产环节均可能对地下水环境造成污染，本着风险最大的原则，本次预测只针对污染风险较大的节点进行预测分析，并提出防治措施。</w:t>
      </w:r>
    </w:p>
    <w:p>
      <w:pPr>
        <w:bidi w:val="0"/>
        <w:rPr>
          <w:color w:val="auto"/>
        </w:rPr>
      </w:pPr>
      <w:r>
        <w:rPr>
          <w:color w:val="auto"/>
        </w:rPr>
        <w:t>如果是装置区或罐区等可视场所发生硬化</w:t>
      </w:r>
      <w:r>
        <w:rPr>
          <w:rFonts w:hint="eastAsia"/>
          <w:color w:val="auto"/>
          <w:lang w:eastAsia="zh-CN"/>
        </w:rPr>
        <w:t>路面</w:t>
      </w:r>
      <w:r>
        <w:rPr>
          <w:color w:val="auto"/>
        </w:rPr>
        <w:t>破损，即使有物料或污水等泄漏，建设单位必须及时采取措施，不可能任由物料或污水漫流渗漏，使其渗入地下水。因此，只在污水管道、污水站池体等地下/半地下非可视部位因腐蚀或硬化</w:t>
      </w:r>
      <w:r>
        <w:rPr>
          <w:rFonts w:hint="eastAsia"/>
          <w:color w:val="auto"/>
          <w:lang w:eastAsia="zh-CN"/>
        </w:rPr>
        <w:t>路面</w:t>
      </w:r>
      <w:r>
        <w:rPr>
          <w:color w:val="auto"/>
        </w:rPr>
        <w:t>破损等原因发生小面积渗漏时，可能有少量物料或污水通过漏点，逐步渗入包气带并可能进入地下水。通过工程分析，全厂废水最复杂的节点为废水</w:t>
      </w:r>
      <w:r>
        <w:rPr>
          <w:rFonts w:hint="eastAsia"/>
          <w:color w:val="auto"/>
        </w:rPr>
        <w:t>调节池</w:t>
      </w:r>
      <w:r>
        <w:rPr>
          <w:color w:val="auto"/>
        </w:rPr>
        <w:t>，由于其处理的废水种类多，且</w:t>
      </w:r>
      <w:r>
        <w:rPr>
          <w:rFonts w:hint="eastAsia"/>
          <w:color w:val="auto"/>
        </w:rPr>
        <w:t>水量较大</w:t>
      </w:r>
      <w:r>
        <w:rPr>
          <w:color w:val="auto"/>
        </w:rPr>
        <w:t>，很可能由于防渗不当或破损导致污染物污染地下水，并且难以发现。本项目调节池废水浓度最高，泄漏造成污染也最为严重。因此综合以上分析，厂区溶质运移模拟以调节池底部防渗系统破裂废水泄漏进行预测。</w:t>
      </w:r>
    </w:p>
    <w:p>
      <w:pPr>
        <w:bidi w:val="0"/>
        <w:rPr>
          <w:color w:val="auto"/>
        </w:rPr>
      </w:pPr>
      <w:r>
        <w:rPr>
          <w:color w:val="auto"/>
        </w:rPr>
        <w:t>（2）模拟条件概化</w:t>
      </w:r>
    </w:p>
    <w:p>
      <w:pPr>
        <w:bidi w:val="0"/>
        <w:rPr>
          <w:color w:val="auto"/>
        </w:rPr>
      </w:pPr>
      <w:r>
        <w:rPr>
          <w:color w:val="auto"/>
        </w:rPr>
        <w:t>本次模拟将</w:t>
      </w:r>
      <w:r>
        <w:rPr>
          <w:rFonts w:hint="eastAsia"/>
          <w:color w:val="auto"/>
        </w:rPr>
        <w:t>厂区</w:t>
      </w:r>
      <w:r>
        <w:rPr>
          <w:color w:val="auto"/>
        </w:rPr>
        <w:t>调节池设置为点源浓度边界，污染源位置按实际位置概化。由于污染物在地下水系统中的迁移转化过程十分复杂，包括扩散、吸附、解吸、化学反应及生物降解等作用，这些作用都可能会对污染物在地下水系统的运移造成影响。本次预测本着风险最大原则，只考虑污染物在地下水系统中的对流、弥散作用，不考虑地层的吸附、解吸作用，不考虑化学反应及生物降解等作用，同时，不考虑包气带的阻滞作用。</w:t>
      </w:r>
    </w:p>
    <w:p>
      <w:pPr>
        <w:bidi w:val="0"/>
        <w:rPr>
          <w:color w:val="auto"/>
        </w:rPr>
      </w:pPr>
      <w:r>
        <w:rPr>
          <w:rFonts w:hint="eastAsia"/>
          <w:color w:val="auto"/>
        </w:rPr>
        <w:t>（3）泄露时间</w:t>
      </w:r>
    </w:p>
    <w:p>
      <w:pPr>
        <w:bidi w:val="0"/>
        <w:rPr>
          <w:color w:val="auto"/>
        </w:rPr>
      </w:pPr>
      <w:r>
        <w:rPr>
          <w:rFonts w:hint="eastAsia"/>
          <w:color w:val="auto"/>
        </w:rPr>
        <w:t>由于泄露量跟每天的废水量相比小很多，每天的泄露很难被发现，根据跟踪监测计划，地下水长期监测点的监测频率为半年1次，因此，泄露时间定为180天。</w:t>
      </w:r>
    </w:p>
    <w:p>
      <w:pPr>
        <w:bidi w:val="0"/>
        <w:rPr>
          <w:color w:val="auto"/>
        </w:rPr>
      </w:pPr>
      <w:r>
        <w:rPr>
          <w:rFonts w:hint="eastAsia"/>
          <w:color w:val="auto"/>
        </w:rPr>
        <w:t>（3）预测因子及标准</w:t>
      </w:r>
    </w:p>
    <w:p>
      <w:pPr>
        <w:bidi w:val="0"/>
        <w:rPr>
          <w:color w:val="auto"/>
        </w:rPr>
      </w:pPr>
      <w:r>
        <w:rPr>
          <w:color w:val="auto"/>
        </w:rPr>
        <w:t>根据现状调查，区内浅层孔隙水主要以农业开采为主，本次评价从严要求，故本次地下水以《地下水质量标准》（GB/T14848—2017）III类水为标准。根据工程的主要污染物情况，主要污染因子为COD</w:t>
      </w:r>
      <w:r>
        <w:rPr>
          <w:rFonts w:hint="eastAsia"/>
          <w:color w:val="auto"/>
        </w:rPr>
        <w:t>、氨氮等</w:t>
      </w:r>
      <w:r>
        <w:rPr>
          <w:color w:val="auto"/>
        </w:rPr>
        <w:t>，本次地下水影响预测选择污染负荷较大的</w:t>
      </w:r>
      <w:r>
        <w:rPr>
          <w:rFonts w:hint="eastAsia"/>
          <w:color w:val="auto"/>
        </w:rPr>
        <w:t>COD（废水浓度</w:t>
      </w:r>
      <w:r>
        <w:rPr>
          <w:rFonts w:hint="eastAsia"/>
          <w:color w:val="auto"/>
          <w:lang w:val="en-US" w:eastAsia="zh-CN"/>
        </w:rPr>
        <w:t>500</w:t>
      </w:r>
      <w:r>
        <w:rPr>
          <w:color w:val="auto"/>
        </w:rPr>
        <w:t xml:space="preserve"> </w:t>
      </w:r>
      <w:r>
        <w:rPr>
          <w:rFonts w:hint="eastAsia"/>
          <w:color w:val="auto"/>
        </w:rPr>
        <w:t>mg/L）、氨氮（废水浓度</w:t>
      </w:r>
      <w:r>
        <w:rPr>
          <w:rFonts w:hint="eastAsia"/>
          <w:color w:val="auto"/>
          <w:lang w:val="en-US" w:eastAsia="zh-CN"/>
        </w:rPr>
        <w:t>14</w:t>
      </w:r>
      <w:r>
        <w:rPr>
          <w:color w:val="auto"/>
        </w:rPr>
        <w:t xml:space="preserve"> </w:t>
      </w:r>
      <w:r>
        <w:rPr>
          <w:rFonts w:hint="eastAsia"/>
          <w:color w:val="auto"/>
        </w:rPr>
        <w:t>mg/L）</w:t>
      </w:r>
      <w:r>
        <w:rPr>
          <w:color w:val="auto"/>
        </w:rPr>
        <w:t>作为</w:t>
      </w:r>
      <w:r>
        <w:rPr>
          <w:rFonts w:hint="eastAsia"/>
          <w:color w:val="auto"/>
        </w:rPr>
        <w:t>预测</w:t>
      </w:r>
      <w:r>
        <w:rPr>
          <w:color w:val="auto"/>
        </w:rPr>
        <w:t>因子进行模拟预测。</w:t>
      </w:r>
    </w:p>
    <w:p>
      <w:pPr>
        <w:bidi w:val="0"/>
        <w:rPr>
          <w:rFonts w:hint="eastAsia"/>
          <w:color w:val="auto"/>
        </w:rPr>
      </w:pPr>
      <w:r>
        <w:rPr>
          <w:rFonts w:hint="eastAsia"/>
          <w:color w:val="auto"/>
        </w:rPr>
        <w:t>本次</w:t>
      </w:r>
      <w:r>
        <w:rPr>
          <w:color w:val="auto"/>
        </w:rPr>
        <w:t>COD</w:t>
      </w:r>
      <w:r>
        <w:rPr>
          <w:rFonts w:hint="eastAsia"/>
          <w:color w:val="auto"/>
        </w:rPr>
        <w:t>浓度预测以耗氧量（</w:t>
      </w:r>
      <w:r>
        <w:rPr>
          <w:color w:val="auto"/>
        </w:rPr>
        <w:t>COD</w:t>
      </w:r>
      <w:r>
        <w:rPr>
          <w:color w:val="auto"/>
          <w:vertAlign w:val="subscript"/>
        </w:rPr>
        <w:t>Mn</w:t>
      </w:r>
      <w:r>
        <w:rPr>
          <w:rFonts w:hint="eastAsia"/>
          <w:color w:val="auto"/>
        </w:rPr>
        <w:t>法，以</w:t>
      </w:r>
      <w:r>
        <w:rPr>
          <w:color w:val="auto"/>
        </w:rPr>
        <w:t>O</w:t>
      </w:r>
      <w:r>
        <w:rPr>
          <w:color w:val="auto"/>
          <w:vertAlign w:val="subscript"/>
        </w:rPr>
        <w:t>2</w:t>
      </w:r>
      <w:r>
        <w:rPr>
          <w:rFonts w:hint="eastAsia"/>
          <w:color w:val="auto"/>
        </w:rPr>
        <w:t>计）</w:t>
      </w:r>
      <w:r>
        <w:rPr>
          <w:color w:val="auto"/>
        </w:rPr>
        <w:t>3 mg/L</w:t>
      </w:r>
      <w:r>
        <w:rPr>
          <w:rFonts w:hint="eastAsia"/>
          <w:color w:val="auto"/>
        </w:rPr>
        <w:t>为超标界线，氨氮以0.2</w:t>
      </w:r>
      <w:r>
        <w:rPr>
          <w:color w:val="auto"/>
        </w:rPr>
        <w:t xml:space="preserve"> </w:t>
      </w:r>
      <w:r>
        <w:rPr>
          <w:rFonts w:hint="eastAsia"/>
          <w:color w:val="auto"/>
        </w:rPr>
        <w:t>mg/L为超标限。</w:t>
      </w:r>
    </w:p>
    <w:p>
      <w:pPr>
        <w:pStyle w:val="9"/>
        <w:bidi w:val="0"/>
        <w:rPr>
          <w:color w:val="auto"/>
        </w:rPr>
      </w:pPr>
      <w:r>
        <w:rPr>
          <w:rFonts w:hint="eastAsia"/>
          <w:color w:val="auto"/>
        </w:rPr>
        <w:t>5</w:t>
      </w:r>
      <w:r>
        <w:rPr>
          <w:color w:val="auto"/>
        </w:rPr>
        <w:t>.</w:t>
      </w:r>
      <w:r>
        <w:rPr>
          <w:rFonts w:hint="eastAsia"/>
          <w:color w:val="auto"/>
          <w:lang w:val="en-US" w:eastAsia="zh-CN"/>
        </w:rPr>
        <w:t>4</w:t>
      </w:r>
      <w:r>
        <w:rPr>
          <w:color w:val="auto"/>
        </w:rPr>
        <w:t>.5 预测模型及参数选取</w:t>
      </w:r>
    </w:p>
    <w:p>
      <w:pPr>
        <w:bidi w:val="0"/>
        <w:rPr>
          <w:color w:val="auto"/>
        </w:rPr>
      </w:pPr>
      <w:r>
        <w:rPr>
          <w:color w:val="auto"/>
        </w:rPr>
        <w:t>（1）预测模型本项目采用地下水溶质运移解析法中的一维稳定流动一维水动力弥散模式进行预测及评价，预测模型如下：</w:t>
      </w:r>
    </w:p>
    <w:p>
      <w:pPr>
        <w:jc w:val="center"/>
        <w:rPr>
          <w:color w:val="auto"/>
          <w:sz w:val="24"/>
        </w:rPr>
      </w:pPr>
      <w:r>
        <w:rPr>
          <w:color w:val="auto"/>
          <w:sz w:val="24"/>
        </w:rPr>
        <w:drawing>
          <wp:inline distT="0" distB="0" distL="114300" distR="114300">
            <wp:extent cx="2628900" cy="733425"/>
            <wp:effectExtent l="0" t="0" r="7620" b="13335"/>
            <wp:docPr id="9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3"/>
                    <pic:cNvPicPr>
                      <a:picLocks noChangeAspect="1"/>
                    </pic:cNvPicPr>
                  </pic:nvPicPr>
                  <pic:blipFill>
                    <a:blip r:embed="rId77"/>
                    <a:stretch>
                      <a:fillRect/>
                    </a:stretch>
                  </pic:blipFill>
                  <pic:spPr>
                    <a:xfrm>
                      <a:off x="0" y="0"/>
                      <a:ext cx="2628900" cy="733425"/>
                    </a:xfrm>
                    <a:prstGeom prst="rect">
                      <a:avLst/>
                    </a:prstGeom>
                    <a:noFill/>
                    <a:ln>
                      <a:noFill/>
                    </a:ln>
                  </pic:spPr>
                </pic:pic>
              </a:graphicData>
            </a:graphic>
          </wp:inline>
        </w:drawing>
      </w:r>
    </w:p>
    <w:p>
      <w:pPr>
        <w:bidi w:val="0"/>
        <w:rPr>
          <w:color w:val="auto"/>
        </w:rPr>
      </w:pPr>
      <w:r>
        <w:rPr>
          <w:color w:val="auto"/>
        </w:rPr>
        <w:t>式中：x—预测点至污染源强距离（m）；</w:t>
      </w:r>
    </w:p>
    <w:p>
      <w:pPr>
        <w:bidi w:val="0"/>
        <w:ind w:firstLine="1200" w:firstLineChars="500"/>
        <w:rPr>
          <w:color w:val="auto"/>
        </w:rPr>
      </w:pPr>
      <w:r>
        <w:rPr>
          <w:color w:val="auto"/>
        </w:rPr>
        <w:t>C—t时刻x处的地下水浓度（mg/L）；</w:t>
      </w:r>
    </w:p>
    <w:p>
      <w:pPr>
        <w:bidi w:val="0"/>
        <w:ind w:firstLine="1200" w:firstLineChars="500"/>
        <w:rPr>
          <w:color w:val="auto"/>
        </w:rPr>
      </w:pPr>
      <w:r>
        <w:rPr>
          <w:color w:val="auto"/>
        </w:rPr>
        <w:t>C</w:t>
      </w:r>
      <w:r>
        <w:rPr>
          <w:color w:val="auto"/>
          <w:vertAlign w:val="subscript"/>
        </w:rPr>
        <w:t>0</w:t>
      </w:r>
      <w:r>
        <w:rPr>
          <w:color w:val="auto"/>
        </w:rPr>
        <w:t>—废水浓度（mg/L）；</w:t>
      </w:r>
    </w:p>
    <w:p>
      <w:pPr>
        <w:bidi w:val="0"/>
        <w:ind w:firstLine="1200" w:firstLineChars="500"/>
        <w:rPr>
          <w:color w:val="auto"/>
        </w:rPr>
      </w:pPr>
      <w:r>
        <w:rPr>
          <w:color w:val="auto"/>
        </w:rPr>
        <w:t>D</w:t>
      </w:r>
      <w:r>
        <w:rPr>
          <w:color w:val="auto"/>
          <w:vertAlign w:val="subscript"/>
        </w:rPr>
        <w:t>L</w:t>
      </w:r>
      <w:r>
        <w:rPr>
          <w:color w:val="auto"/>
        </w:rPr>
        <w:t>—纵向弥散系数（m</w:t>
      </w:r>
      <w:r>
        <w:rPr>
          <w:color w:val="auto"/>
          <w:vertAlign w:val="superscript"/>
        </w:rPr>
        <w:t>2</w:t>
      </w:r>
      <w:r>
        <w:rPr>
          <w:color w:val="auto"/>
        </w:rPr>
        <w:t>/d）；</w:t>
      </w:r>
    </w:p>
    <w:p>
      <w:pPr>
        <w:bidi w:val="0"/>
        <w:ind w:firstLine="1200" w:firstLineChars="500"/>
        <w:rPr>
          <w:color w:val="auto"/>
        </w:rPr>
      </w:pPr>
      <w:r>
        <w:rPr>
          <w:color w:val="auto"/>
        </w:rPr>
        <w:t>t—预测时段（d）；</w:t>
      </w:r>
    </w:p>
    <w:p>
      <w:pPr>
        <w:bidi w:val="0"/>
        <w:ind w:firstLine="1200" w:firstLineChars="500"/>
        <w:rPr>
          <w:color w:val="auto"/>
        </w:rPr>
      </w:pPr>
      <w:r>
        <w:rPr>
          <w:color w:val="auto"/>
        </w:rPr>
        <w:t>u—地下水流速（m/d）；</w:t>
      </w:r>
    </w:p>
    <w:p>
      <w:pPr>
        <w:bidi w:val="0"/>
        <w:ind w:firstLine="1200" w:firstLineChars="500"/>
        <w:rPr>
          <w:color w:val="auto"/>
        </w:rPr>
      </w:pPr>
      <w:r>
        <w:rPr>
          <w:color w:val="auto"/>
        </w:rPr>
        <w:t>erfc（）—余误差函数。</w:t>
      </w:r>
    </w:p>
    <w:p>
      <w:pPr>
        <w:bidi w:val="0"/>
        <w:rPr>
          <w:color w:val="auto"/>
        </w:rPr>
      </w:pPr>
      <w:r>
        <w:rPr>
          <w:color w:val="auto"/>
        </w:rPr>
        <w:t>（2）参数选取</w:t>
      </w:r>
    </w:p>
    <w:p>
      <w:pPr>
        <w:bidi w:val="0"/>
        <w:rPr>
          <w:color w:val="auto"/>
        </w:rPr>
      </w:pPr>
      <w:r>
        <w:rPr>
          <w:color w:val="auto"/>
        </w:rPr>
        <w:t>A</w:t>
      </w:r>
      <w:r>
        <w:rPr>
          <w:rFonts w:hint="eastAsia"/>
          <w:color w:val="auto"/>
          <w:lang w:eastAsia="zh-CN"/>
        </w:rPr>
        <w:t>.</w:t>
      </w:r>
      <w:r>
        <w:rPr>
          <w:color w:val="auto"/>
        </w:rPr>
        <w:t>纵向弥散系数是表征流动水体中污染物在沿水流方向（或纵向）弥散的速率系数，本项目含水层地质沉积类型为细砂，为细颗粒介质，参考《地下水弥散系数的测定》（宋树林等，1998）中表3经验系数中细砂的纵向弥散系数为0.05~0.5 m</w:t>
      </w:r>
      <w:r>
        <w:rPr>
          <w:color w:val="auto"/>
          <w:vertAlign w:val="superscript"/>
        </w:rPr>
        <w:t>2</w:t>
      </w:r>
      <w:r>
        <w:rPr>
          <w:color w:val="auto"/>
        </w:rPr>
        <w:t>/d，按最不利情况下预测，本次取值为0.5m</w:t>
      </w:r>
      <w:r>
        <w:rPr>
          <w:color w:val="auto"/>
          <w:vertAlign w:val="superscript"/>
        </w:rPr>
        <w:t>2</w:t>
      </w:r>
      <w:r>
        <w:rPr>
          <w:color w:val="auto"/>
        </w:rPr>
        <w:t>/d。</w:t>
      </w:r>
    </w:p>
    <w:p>
      <w:pPr>
        <w:bidi w:val="0"/>
        <w:rPr>
          <w:color w:val="auto"/>
        </w:rPr>
      </w:pPr>
      <w:r>
        <w:rPr>
          <w:rFonts w:hint="eastAsia"/>
          <w:color w:val="auto"/>
        </w:rPr>
        <w:t>B</w:t>
      </w:r>
      <w:r>
        <w:rPr>
          <w:rFonts w:hint="eastAsia"/>
          <w:color w:val="auto"/>
          <w:lang w:eastAsia="zh-CN"/>
        </w:rPr>
        <w:t>.</w:t>
      </w:r>
      <w:r>
        <w:rPr>
          <w:color w:val="auto"/>
        </w:rPr>
        <w:t>地下水流速</w:t>
      </w:r>
    </w:p>
    <w:p>
      <w:pPr>
        <w:bidi w:val="0"/>
        <w:rPr>
          <w:color w:val="auto"/>
        </w:rPr>
      </w:pPr>
      <w:r>
        <w:rPr>
          <w:color w:val="auto"/>
        </w:rPr>
        <w:t>地下水流速可以利用水力坡度及渗透系数求出，具体计算公式为：</w:t>
      </w:r>
    </w:p>
    <w:p>
      <w:pPr>
        <w:bidi w:val="0"/>
        <w:ind w:left="0" w:leftChars="0" w:firstLine="0" w:firstLineChars="0"/>
        <w:jc w:val="center"/>
        <w:rPr>
          <w:color w:val="auto"/>
        </w:rPr>
      </w:pPr>
      <w:r>
        <w:rPr>
          <w:color w:val="auto"/>
        </w:rPr>
        <w:t>U=K×I/n</w:t>
      </w:r>
    </w:p>
    <w:p>
      <w:pPr>
        <w:bidi w:val="0"/>
        <w:rPr>
          <w:color w:val="auto"/>
        </w:rPr>
      </w:pPr>
      <w:r>
        <w:rPr>
          <w:color w:val="auto"/>
        </w:rPr>
        <w:t>式中：u——地下水流速（m/d）；</w:t>
      </w:r>
    </w:p>
    <w:p>
      <w:pPr>
        <w:bidi w:val="0"/>
        <w:ind w:firstLine="1200" w:firstLineChars="500"/>
        <w:rPr>
          <w:color w:val="auto"/>
        </w:rPr>
      </w:pPr>
      <w:r>
        <w:rPr>
          <w:color w:val="auto"/>
        </w:rPr>
        <w:t>K——渗透系数（m/d）</w:t>
      </w:r>
      <w:r>
        <w:rPr>
          <w:rFonts w:hint="eastAsia"/>
          <w:color w:val="auto"/>
        </w:rPr>
        <w:t>，</w:t>
      </w:r>
      <w:r>
        <w:rPr>
          <w:color w:val="auto"/>
        </w:rPr>
        <w:t>常见渗透系数表见附录B表B1；评价区含水层主要为细砂，根据附录B取值为10m/d；</w:t>
      </w:r>
    </w:p>
    <w:p>
      <w:pPr>
        <w:bidi w:val="0"/>
        <w:ind w:firstLine="1200" w:firstLineChars="500"/>
        <w:rPr>
          <w:color w:val="auto"/>
        </w:rPr>
      </w:pPr>
      <w:r>
        <w:rPr>
          <w:color w:val="auto"/>
        </w:rPr>
        <w:t>I——水力坡度，无量纲</w:t>
      </w:r>
      <w:r>
        <w:rPr>
          <w:rFonts w:hint="eastAsia"/>
          <w:color w:val="auto"/>
        </w:rPr>
        <w:t>；</w:t>
      </w:r>
      <w:r>
        <w:rPr>
          <w:color w:val="auto"/>
        </w:rPr>
        <w:t>根据区域村庄水平距离和地下水水面高程差进行计算</w:t>
      </w:r>
      <w:r>
        <w:rPr>
          <w:rFonts w:hint="eastAsia"/>
          <w:color w:val="auto"/>
        </w:rPr>
        <w:t>得出</w:t>
      </w:r>
      <w:r>
        <w:rPr>
          <w:color w:val="auto"/>
        </w:rPr>
        <w:t>水力坡度</w:t>
      </w:r>
      <w:r>
        <w:rPr>
          <w:rFonts w:hint="eastAsia"/>
          <w:color w:val="auto"/>
        </w:rPr>
        <w:t>为5.78</w:t>
      </w:r>
      <w:r>
        <w:rPr>
          <w:color w:val="auto"/>
        </w:rPr>
        <w:t>×10</w:t>
      </w:r>
      <w:r>
        <w:rPr>
          <w:color w:val="auto"/>
          <w:vertAlign w:val="superscript"/>
        </w:rPr>
        <w:t>-</w:t>
      </w:r>
      <w:r>
        <w:rPr>
          <w:rFonts w:hint="eastAsia"/>
          <w:color w:val="auto"/>
          <w:vertAlign w:val="superscript"/>
        </w:rPr>
        <w:t>4</w:t>
      </w:r>
      <w:r>
        <w:rPr>
          <w:color w:val="auto"/>
        </w:rPr>
        <w:t>；</w:t>
      </w:r>
    </w:p>
    <w:p>
      <w:pPr>
        <w:bidi w:val="0"/>
        <w:ind w:firstLine="1200" w:firstLineChars="500"/>
        <w:rPr>
          <w:color w:val="auto"/>
        </w:rPr>
      </w:pPr>
      <w:r>
        <w:rPr>
          <w:color w:val="auto"/>
        </w:rPr>
        <w:t>n——有效孔隙度。评价区含水介质主要为呈中密</w:t>
      </w:r>
      <w:r>
        <w:rPr>
          <w:rFonts w:hint="eastAsia"/>
          <w:color w:val="auto"/>
          <w:lang w:eastAsia="zh-CN"/>
        </w:rPr>
        <w:t>－</w:t>
      </w:r>
      <w:r>
        <w:rPr>
          <w:color w:val="auto"/>
        </w:rPr>
        <w:t>密实的细砂，有效孔隙度取0.4。</w:t>
      </w:r>
    </w:p>
    <w:p>
      <w:pPr>
        <w:bidi w:val="0"/>
        <w:rPr>
          <w:color w:val="auto"/>
        </w:rPr>
      </w:pPr>
      <w:r>
        <w:rPr>
          <w:color w:val="auto"/>
        </w:rPr>
        <w:t>根据地下水流速计算模型及水力坡度、渗透系数，可计算出，建设项目所在区域地下水流速为</w:t>
      </w:r>
      <w:r>
        <w:rPr>
          <w:rFonts w:hint="eastAsia"/>
          <w:color w:val="auto"/>
        </w:rPr>
        <w:t>0.0145</w:t>
      </w:r>
      <w:r>
        <w:rPr>
          <w:color w:val="auto"/>
        </w:rPr>
        <w:t>m/d。</w:t>
      </w:r>
    </w:p>
    <w:p>
      <w:pPr>
        <w:bidi w:val="0"/>
        <w:rPr>
          <w:color w:val="auto"/>
        </w:rPr>
      </w:pPr>
      <w:r>
        <w:rPr>
          <w:rFonts w:hint="eastAsia"/>
          <w:color w:val="auto"/>
        </w:rPr>
        <w:t>综上所述，</w:t>
      </w:r>
      <w:r>
        <w:rPr>
          <w:color w:val="auto"/>
        </w:rPr>
        <w:t>本次评价模型计算参数取值详见表5</w:t>
      </w:r>
      <w:r>
        <w:rPr>
          <w:rFonts w:hint="eastAsia"/>
          <w:color w:val="auto"/>
          <w:lang w:val="en-US" w:eastAsia="zh-CN"/>
        </w:rPr>
        <w:t>.4</w:t>
      </w:r>
      <w:r>
        <w:rPr>
          <w:color w:val="auto"/>
        </w:rPr>
        <w:t>-</w:t>
      </w:r>
      <w:r>
        <w:rPr>
          <w:rFonts w:hint="eastAsia"/>
          <w:color w:val="auto"/>
          <w:lang w:val="en-US" w:eastAsia="zh-CN"/>
        </w:rPr>
        <w:t>3</w:t>
      </w:r>
      <w:r>
        <w:rPr>
          <w:color w:val="auto"/>
        </w:rPr>
        <w:t>。</w:t>
      </w:r>
    </w:p>
    <w:p>
      <w:pPr>
        <w:pStyle w:val="181"/>
        <w:bidi w:val="0"/>
        <w:rPr>
          <w:color w:val="auto"/>
        </w:rPr>
      </w:pPr>
      <w:r>
        <w:rPr>
          <w:color w:val="auto"/>
        </w:rPr>
        <w:t>表5</w:t>
      </w:r>
      <w:r>
        <w:rPr>
          <w:rFonts w:hint="eastAsia"/>
          <w:color w:val="auto"/>
          <w:lang w:val="en-US" w:eastAsia="zh-CN"/>
        </w:rPr>
        <w:t>.4-3</w:t>
      </w:r>
      <w:r>
        <w:rPr>
          <w:rFonts w:hint="eastAsia"/>
          <w:color w:val="auto"/>
        </w:rPr>
        <w:t xml:space="preserve">           </w:t>
      </w:r>
      <w:r>
        <w:rPr>
          <w:rFonts w:hint="eastAsia"/>
          <w:color w:val="auto"/>
          <w:lang w:val="en-US" w:eastAsia="zh-CN"/>
        </w:rPr>
        <w:t xml:space="preserve">  </w:t>
      </w:r>
      <w:r>
        <w:rPr>
          <w:color w:val="auto"/>
        </w:rPr>
        <w:t>地下水预测参数选取一览表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126"/>
        <w:gridCol w:w="1755"/>
        <w:gridCol w:w="1326"/>
        <w:gridCol w:w="1666"/>
        <w:gridCol w:w="16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8" w:type="dxa"/>
            <w:vMerge w:val="restart"/>
            <w:vAlign w:val="center"/>
          </w:tcPr>
          <w:p>
            <w:pPr>
              <w:pStyle w:val="182"/>
              <w:bidi w:val="0"/>
              <w:rPr>
                <w:b/>
                <w:bCs/>
                <w:color w:val="auto"/>
                <w:u w:val="single"/>
              </w:rPr>
            </w:pPr>
            <w:r>
              <w:rPr>
                <w:b/>
                <w:bCs/>
                <w:color w:val="auto"/>
                <w:u w:val="single"/>
              </w:rPr>
              <w:t>参数</w:t>
            </w:r>
          </w:p>
        </w:tc>
        <w:tc>
          <w:tcPr>
            <w:tcW w:w="3085" w:type="dxa"/>
            <w:gridSpan w:val="2"/>
            <w:vAlign w:val="center"/>
          </w:tcPr>
          <w:p>
            <w:pPr>
              <w:pStyle w:val="182"/>
              <w:bidi w:val="0"/>
              <w:rPr>
                <w:b/>
                <w:bCs/>
                <w:color w:val="auto"/>
                <w:u w:val="single"/>
              </w:rPr>
            </w:pPr>
            <w:r>
              <w:rPr>
                <w:b/>
                <w:bCs/>
                <w:color w:val="auto"/>
                <w:u w:val="single"/>
              </w:rPr>
              <w:t>C</w:t>
            </w:r>
            <w:r>
              <w:rPr>
                <w:b/>
                <w:bCs/>
                <w:color w:val="auto"/>
                <w:u w:val="single"/>
                <w:vertAlign w:val="subscript"/>
              </w:rPr>
              <w:t>0</w:t>
            </w:r>
            <w:r>
              <w:rPr>
                <w:b/>
                <w:bCs/>
                <w:color w:val="auto"/>
                <w:u w:val="single"/>
              </w:rPr>
              <w:t>（mg/L）</w:t>
            </w:r>
          </w:p>
        </w:tc>
        <w:tc>
          <w:tcPr>
            <w:tcW w:w="1668" w:type="dxa"/>
            <w:vMerge w:val="restart"/>
            <w:vAlign w:val="center"/>
          </w:tcPr>
          <w:p>
            <w:pPr>
              <w:pStyle w:val="182"/>
              <w:bidi w:val="0"/>
              <w:rPr>
                <w:b/>
                <w:bCs/>
                <w:color w:val="auto"/>
                <w:u w:val="single"/>
              </w:rPr>
            </w:pPr>
            <w:r>
              <w:rPr>
                <w:b/>
                <w:bCs/>
                <w:color w:val="auto"/>
                <w:u w:val="single"/>
              </w:rPr>
              <w:t>D(m</w:t>
            </w:r>
            <w:r>
              <w:rPr>
                <w:b/>
                <w:bCs/>
                <w:color w:val="auto"/>
                <w:u w:val="single"/>
                <w:vertAlign w:val="superscript"/>
              </w:rPr>
              <w:t>2</w:t>
            </w:r>
            <w:r>
              <w:rPr>
                <w:b/>
                <w:bCs/>
                <w:color w:val="auto"/>
                <w:u w:val="single"/>
              </w:rPr>
              <w:t>/d)</w:t>
            </w:r>
          </w:p>
        </w:tc>
        <w:tc>
          <w:tcPr>
            <w:tcW w:w="1651" w:type="dxa"/>
            <w:vMerge w:val="restart"/>
            <w:vAlign w:val="center"/>
          </w:tcPr>
          <w:p>
            <w:pPr>
              <w:pStyle w:val="182"/>
              <w:bidi w:val="0"/>
              <w:rPr>
                <w:b/>
                <w:bCs/>
                <w:color w:val="auto"/>
                <w:u w:val="single"/>
              </w:rPr>
            </w:pPr>
            <w:r>
              <w:rPr>
                <w:b/>
                <w:bCs/>
                <w:color w:val="auto"/>
                <w:u w:val="single"/>
              </w:rPr>
              <w:t>u(m/d)</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8" w:type="dxa"/>
            <w:vMerge w:val="continue"/>
            <w:vAlign w:val="center"/>
          </w:tcPr>
          <w:p>
            <w:pPr>
              <w:pStyle w:val="182"/>
              <w:bidi w:val="0"/>
              <w:rPr>
                <w:b/>
                <w:bCs/>
                <w:color w:val="auto"/>
                <w:u w:val="single"/>
              </w:rPr>
            </w:pPr>
          </w:p>
        </w:tc>
        <w:tc>
          <w:tcPr>
            <w:tcW w:w="1757" w:type="dxa"/>
            <w:vAlign w:val="center"/>
          </w:tcPr>
          <w:p>
            <w:pPr>
              <w:pStyle w:val="182"/>
              <w:bidi w:val="0"/>
              <w:rPr>
                <w:b/>
                <w:bCs/>
                <w:color w:val="auto"/>
                <w:u w:val="single"/>
              </w:rPr>
            </w:pPr>
            <w:r>
              <w:rPr>
                <w:rFonts w:hint="eastAsia"/>
                <w:b/>
                <w:bCs/>
                <w:color w:val="auto"/>
                <w:u w:val="single"/>
              </w:rPr>
              <w:t>耗氧量</w:t>
            </w:r>
          </w:p>
        </w:tc>
        <w:tc>
          <w:tcPr>
            <w:tcW w:w="1328" w:type="dxa"/>
            <w:vAlign w:val="center"/>
          </w:tcPr>
          <w:p>
            <w:pPr>
              <w:pStyle w:val="182"/>
              <w:bidi w:val="0"/>
              <w:rPr>
                <w:b/>
                <w:bCs/>
                <w:color w:val="auto"/>
                <w:u w:val="single"/>
              </w:rPr>
            </w:pPr>
            <w:r>
              <w:rPr>
                <w:rFonts w:hint="eastAsia"/>
                <w:b/>
                <w:bCs/>
                <w:color w:val="auto"/>
                <w:u w:val="single"/>
              </w:rPr>
              <w:t>氨氮</w:t>
            </w:r>
          </w:p>
        </w:tc>
        <w:tc>
          <w:tcPr>
            <w:tcW w:w="1668" w:type="dxa"/>
            <w:vMerge w:val="continue"/>
            <w:vAlign w:val="center"/>
          </w:tcPr>
          <w:p>
            <w:pPr>
              <w:pStyle w:val="182"/>
              <w:bidi w:val="0"/>
              <w:rPr>
                <w:b/>
                <w:bCs/>
                <w:color w:val="auto"/>
                <w:u w:val="single"/>
              </w:rPr>
            </w:pPr>
          </w:p>
        </w:tc>
        <w:tc>
          <w:tcPr>
            <w:tcW w:w="1651" w:type="dxa"/>
            <w:vMerge w:val="continue"/>
            <w:vAlign w:val="center"/>
          </w:tcPr>
          <w:p>
            <w:pPr>
              <w:pStyle w:val="182"/>
              <w:bidi w:val="0"/>
              <w:rPr>
                <w:b/>
                <w:bCs/>
                <w:color w:val="auto"/>
                <w:u w:val="singl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8" w:type="dxa"/>
            <w:vAlign w:val="center"/>
          </w:tcPr>
          <w:p>
            <w:pPr>
              <w:pStyle w:val="182"/>
              <w:bidi w:val="0"/>
              <w:rPr>
                <w:b/>
                <w:bCs/>
                <w:color w:val="auto"/>
                <w:u w:val="single"/>
              </w:rPr>
            </w:pPr>
            <w:r>
              <w:rPr>
                <w:rFonts w:hint="eastAsia"/>
                <w:b/>
                <w:bCs/>
                <w:color w:val="auto"/>
                <w:u w:val="single"/>
              </w:rPr>
              <w:t>废水调节池</w:t>
            </w:r>
          </w:p>
        </w:tc>
        <w:tc>
          <w:tcPr>
            <w:tcW w:w="1757"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1350</w:t>
            </w:r>
          </w:p>
        </w:tc>
        <w:tc>
          <w:tcPr>
            <w:tcW w:w="1328"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14.8</w:t>
            </w:r>
          </w:p>
        </w:tc>
        <w:tc>
          <w:tcPr>
            <w:tcW w:w="1668" w:type="dxa"/>
            <w:vAlign w:val="center"/>
          </w:tcPr>
          <w:p>
            <w:pPr>
              <w:pStyle w:val="182"/>
              <w:bidi w:val="0"/>
              <w:rPr>
                <w:b/>
                <w:bCs/>
                <w:color w:val="auto"/>
                <w:u w:val="single"/>
              </w:rPr>
            </w:pPr>
            <w:r>
              <w:rPr>
                <w:rFonts w:hint="eastAsia"/>
                <w:b/>
                <w:bCs/>
                <w:color w:val="auto"/>
                <w:u w:val="single"/>
              </w:rPr>
              <w:t>0.5</w:t>
            </w:r>
          </w:p>
        </w:tc>
        <w:tc>
          <w:tcPr>
            <w:tcW w:w="1651" w:type="dxa"/>
            <w:vAlign w:val="center"/>
          </w:tcPr>
          <w:p>
            <w:pPr>
              <w:pStyle w:val="182"/>
              <w:bidi w:val="0"/>
              <w:rPr>
                <w:b/>
                <w:bCs/>
                <w:color w:val="auto"/>
                <w:u w:val="single"/>
              </w:rPr>
            </w:pPr>
            <w:r>
              <w:rPr>
                <w:rFonts w:hint="eastAsia"/>
                <w:b/>
                <w:bCs/>
                <w:color w:val="auto"/>
                <w:u w:val="single"/>
              </w:rPr>
              <w:t>0.0145</w:t>
            </w:r>
          </w:p>
        </w:tc>
      </w:tr>
    </w:tbl>
    <w:p>
      <w:pPr>
        <w:pStyle w:val="9"/>
        <w:bidi w:val="0"/>
        <w:rPr>
          <w:color w:val="auto"/>
        </w:rPr>
      </w:pPr>
      <w:r>
        <w:rPr>
          <w:rFonts w:hint="eastAsia"/>
          <w:color w:val="auto"/>
        </w:rPr>
        <w:t>5</w:t>
      </w:r>
      <w:r>
        <w:rPr>
          <w:color w:val="auto"/>
        </w:rPr>
        <w:t>.</w:t>
      </w:r>
      <w:r>
        <w:rPr>
          <w:rFonts w:hint="eastAsia"/>
          <w:color w:val="auto"/>
          <w:lang w:val="en-US" w:eastAsia="zh-CN"/>
        </w:rPr>
        <w:t>4</w:t>
      </w:r>
      <w:r>
        <w:rPr>
          <w:color w:val="auto"/>
        </w:rPr>
        <w:t>.6预测结果</w:t>
      </w:r>
    </w:p>
    <w:p>
      <w:pPr>
        <w:bidi w:val="0"/>
        <w:rPr>
          <w:color w:val="auto"/>
        </w:rPr>
      </w:pPr>
      <w:r>
        <w:rPr>
          <w:rFonts w:hint="eastAsia"/>
          <w:color w:val="auto"/>
        </w:rPr>
        <w:t>（1）特征因子迁移预测</w:t>
      </w:r>
    </w:p>
    <w:p>
      <w:pPr>
        <w:bidi w:val="0"/>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r>
        <w:rPr>
          <w:color w:val="auto"/>
        </w:rPr>
        <w:t>根据预测模型，预测不同时段地下水环境影响，预测结果见表</w:t>
      </w:r>
      <w:r>
        <w:rPr>
          <w:rFonts w:hint="eastAsia"/>
          <w:color w:val="auto"/>
        </w:rPr>
        <w:t>5</w:t>
      </w:r>
      <w:r>
        <w:rPr>
          <w:rFonts w:hint="eastAsia"/>
          <w:color w:val="auto"/>
          <w:lang w:val="en-US" w:eastAsia="zh-CN"/>
        </w:rPr>
        <w:t>.4</w:t>
      </w:r>
      <w:r>
        <w:rPr>
          <w:rFonts w:hint="eastAsia"/>
          <w:color w:val="auto"/>
        </w:rPr>
        <w:t>-</w:t>
      </w:r>
      <w:r>
        <w:rPr>
          <w:rFonts w:hint="eastAsia"/>
          <w:color w:val="auto"/>
          <w:lang w:val="en-US" w:eastAsia="zh-CN"/>
        </w:rPr>
        <w:t>4</w:t>
      </w:r>
      <w:r>
        <w:rPr>
          <w:color w:val="auto"/>
        </w:rPr>
        <w:t>。</w:t>
      </w:r>
    </w:p>
    <w:p>
      <w:pPr>
        <w:pStyle w:val="181"/>
        <w:bidi w:val="0"/>
        <w:rPr>
          <w:rFonts w:hint="eastAsia"/>
          <w:b/>
          <w:bCs/>
          <w:color w:val="auto"/>
          <w:u w:val="single"/>
        </w:rPr>
      </w:pPr>
      <w:r>
        <w:rPr>
          <w:rFonts w:hint="eastAsia"/>
          <w:b/>
          <w:bCs/>
          <w:color w:val="auto"/>
          <w:u w:val="single"/>
        </w:rPr>
        <w:t>表5</w:t>
      </w:r>
      <w:r>
        <w:rPr>
          <w:rFonts w:hint="eastAsia"/>
          <w:b/>
          <w:bCs/>
          <w:color w:val="auto"/>
          <w:u w:val="single"/>
          <w:lang w:val="en-US" w:eastAsia="zh-CN"/>
        </w:rPr>
        <w:t>.4</w:t>
      </w:r>
      <w:r>
        <w:rPr>
          <w:rFonts w:hint="eastAsia"/>
          <w:b/>
          <w:bCs/>
          <w:color w:val="auto"/>
          <w:u w:val="single"/>
        </w:rPr>
        <w:t>-</w:t>
      </w:r>
      <w:r>
        <w:rPr>
          <w:rFonts w:hint="eastAsia"/>
          <w:b/>
          <w:bCs/>
          <w:color w:val="auto"/>
          <w:u w:val="single"/>
          <w:lang w:val="en-US" w:eastAsia="zh-CN"/>
        </w:rPr>
        <w:t>4</w:t>
      </w:r>
      <w:r>
        <w:rPr>
          <w:rFonts w:hint="eastAsia"/>
          <w:b/>
          <w:bCs/>
          <w:color w:val="auto"/>
          <w:u w:val="single"/>
        </w:rPr>
        <w:t xml:space="preserve">        项目</w:t>
      </w:r>
      <w:r>
        <w:rPr>
          <w:rFonts w:hint="eastAsia"/>
          <w:b/>
          <w:bCs/>
          <w:color w:val="auto"/>
          <w:u w:val="single"/>
          <w:lang w:eastAsia="zh-CN"/>
        </w:rPr>
        <w:t>污水泄漏</w:t>
      </w:r>
      <w:r>
        <w:rPr>
          <w:rFonts w:hint="eastAsia"/>
          <w:b/>
          <w:bCs/>
          <w:color w:val="auto"/>
          <w:u w:val="single"/>
        </w:rPr>
        <w:t>对区域地下水贡献值预测结果一览表   单位：时间为d，距离为m，浓度为mg/L</w:t>
      </w:r>
    </w:p>
    <w:tbl>
      <w:tblPr>
        <w:tblStyle w:val="32"/>
        <w:tblW w:w="500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660"/>
        <w:gridCol w:w="829"/>
        <w:gridCol w:w="897"/>
        <w:gridCol w:w="993"/>
        <w:gridCol w:w="1001"/>
        <w:gridCol w:w="1001"/>
        <w:gridCol w:w="1001"/>
        <w:gridCol w:w="1001"/>
        <w:gridCol w:w="1001"/>
        <w:gridCol w:w="1002"/>
        <w:gridCol w:w="1002"/>
        <w:gridCol w:w="1002"/>
        <w:gridCol w:w="1002"/>
        <w:gridCol w:w="106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tblHeader/>
          <w:jc w:val="center"/>
        </w:trPr>
        <w:tc>
          <w:tcPr>
            <w:tcW w:w="245" w:type="pct"/>
            <w:vMerge w:val="restar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因子</w:t>
            </w:r>
          </w:p>
        </w:tc>
        <w:tc>
          <w:tcPr>
            <w:tcW w:w="3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时间</w:t>
            </w:r>
          </w:p>
        </w:tc>
        <w:tc>
          <w:tcPr>
            <w:tcW w:w="4445" w:type="pct"/>
            <w:gridSpan w:val="12"/>
            <w:tcBorders>
              <w:tl2br w:val="nil"/>
              <w:tr2bl w:val="nil"/>
            </w:tcBorders>
            <w:shd w:val="clear" w:color="auto" w:fill="auto"/>
            <w:noWrap/>
            <w:vAlign w:val="center"/>
          </w:tcPr>
          <w:p>
            <w:pPr>
              <w:pStyle w:val="182"/>
              <w:bidi w:val="0"/>
              <w:rPr>
                <w:rFonts w:hint="eastAsia"/>
                <w:b/>
                <w:bCs/>
                <w:color w:val="auto"/>
                <w:u w:val="single"/>
              </w:rPr>
            </w:pPr>
            <w:r>
              <w:rPr>
                <w:rFonts w:hint="eastAsia"/>
                <w:b/>
                <w:bCs/>
                <w:color w:val="auto"/>
                <w:u w:val="single"/>
                <w:lang w:val="en-US" w:eastAsia="zh-CN"/>
              </w:rPr>
              <w:t>泄漏停止后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tblHeader/>
          <w:jc w:val="center"/>
        </w:trPr>
        <w:tc>
          <w:tcPr>
            <w:tcW w:w="245" w:type="pct"/>
            <w:vMerge w:val="continue"/>
            <w:tcBorders>
              <w:tl2br w:val="nil"/>
              <w:tr2bl w:val="nil"/>
            </w:tcBorders>
            <w:shd w:val="clear" w:color="auto" w:fill="auto"/>
            <w:vAlign w:val="center"/>
          </w:tcPr>
          <w:p>
            <w:pPr>
              <w:pStyle w:val="182"/>
              <w:bidi w:val="0"/>
              <w:rPr>
                <w:rFonts w:hint="eastAsia"/>
                <w:b/>
                <w:bCs/>
                <w:color w:val="auto"/>
                <w:u w:val="single"/>
              </w:rPr>
            </w:pPr>
          </w:p>
        </w:tc>
        <w:tc>
          <w:tcPr>
            <w:tcW w:w="308" w:type="pct"/>
            <w:tcBorders>
              <w:tl2br w:val="nil"/>
              <w:tr2bl w:val="nil"/>
            </w:tcBorders>
            <w:shd w:val="clear" w:color="auto" w:fill="auto"/>
            <w:vAlign w:val="center"/>
          </w:tcPr>
          <w:p>
            <w:pPr>
              <w:pStyle w:val="182"/>
              <w:bidi w:val="0"/>
              <w:rPr>
                <w:rFonts w:hint="eastAsia"/>
                <w:b/>
                <w:bCs/>
                <w:color w:val="auto"/>
                <w:u w:val="single"/>
              </w:rPr>
            </w:pPr>
            <w:r>
              <w:rPr>
                <w:rFonts w:hint="eastAsia"/>
                <w:b/>
                <w:bCs/>
                <w:color w:val="auto"/>
                <w:u w:val="single"/>
                <w:lang w:val="en-US" w:eastAsia="zh-CN"/>
              </w:rPr>
              <w:t>距离</w:t>
            </w:r>
          </w:p>
        </w:tc>
        <w:tc>
          <w:tcPr>
            <w:tcW w:w="333"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10d</w:t>
            </w:r>
          </w:p>
        </w:tc>
        <w:tc>
          <w:tcPr>
            <w:tcW w:w="369"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50d</w:t>
            </w:r>
          </w:p>
        </w:tc>
        <w:tc>
          <w:tcPr>
            <w:tcW w:w="37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100d</w:t>
            </w:r>
          </w:p>
        </w:tc>
        <w:tc>
          <w:tcPr>
            <w:tcW w:w="37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200d</w:t>
            </w:r>
          </w:p>
        </w:tc>
        <w:tc>
          <w:tcPr>
            <w:tcW w:w="37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300d</w:t>
            </w:r>
          </w:p>
        </w:tc>
        <w:tc>
          <w:tcPr>
            <w:tcW w:w="37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400d</w:t>
            </w:r>
          </w:p>
        </w:tc>
        <w:tc>
          <w:tcPr>
            <w:tcW w:w="37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500d</w:t>
            </w:r>
          </w:p>
        </w:tc>
        <w:tc>
          <w:tcPr>
            <w:tcW w:w="37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1000d</w:t>
            </w:r>
          </w:p>
        </w:tc>
        <w:tc>
          <w:tcPr>
            <w:tcW w:w="37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1500d</w:t>
            </w:r>
          </w:p>
        </w:tc>
        <w:tc>
          <w:tcPr>
            <w:tcW w:w="37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2000d</w:t>
            </w:r>
          </w:p>
        </w:tc>
        <w:tc>
          <w:tcPr>
            <w:tcW w:w="372"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10</w:t>
            </w:r>
            <w:r>
              <w:rPr>
                <w:rFonts w:hint="eastAsia"/>
                <w:b/>
                <w:bCs/>
                <w:color w:val="auto"/>
                <w:u w:val="single"/>
                <w:lang w:val="en-US" w:eastAsia="zh-CN"/>
              </w:rPr>
              <w:t>年</w:t>
            </w:r>
          </w:p>
        </w:tc>
        <w:tc>
          <w:tcPr>
            <w:tcW w:w="38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20</w:t>
            </w:r>
            <w:r>
              <w:rPr>
                <w:rFonts w:hint="eastAsia"/>
                <w:b/>
                <w:bCs/>
                <w:color w:val="auto"/>
                <w:u w:val="single"/>
                <w:lang w:val="en-US" w:eastAsia="zh-CN"/>
              </w:rPr>
              <w:t>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restar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COD</w:t>
            </w: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403.20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317.72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222.78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136.48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98.13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76.74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63.18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34.30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23.98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18.53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10.48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4.72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142.36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179.16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187.10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155.71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125.20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103.03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86.97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47.94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32.85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24.89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13.46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5.80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32.47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53.11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78.82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103.73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104.18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97.01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88.40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56.34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39.99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30.60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16.51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7.00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4.66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10.54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21.34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46.00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62.08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69.09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70.69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57.48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44.08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34.89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19.45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8.27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0.42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1.41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4.08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14.59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27.72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38.52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45.78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51.79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44.45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37.14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22.04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9.61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0.56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3.46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9.56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17.18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24.43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41.59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41.31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37.09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24.10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10.97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70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0.64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2.61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6.22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10.40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29.97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35.54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34.89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25.47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12.31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80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0.57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1.85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4.05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19.45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28.39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30.98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26.03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13.58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90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1.29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11.39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21.09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26.00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25.76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14.74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6.05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14.60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20.66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24.69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15.75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120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1.27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5.70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11.13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20.70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17.13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140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1.71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4.86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15.40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17.54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160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1.74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10.17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16.87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180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0.51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5.99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15.30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3.15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13.08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250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0.39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6.84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0.03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2.51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350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0.65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0.12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450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default"/>
                <w:b/>
                <w:bCs/>
                <w:color w:val="auto"/>
                <w:u w:val="single"/>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0.00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restart"/>
            <w:tcBorders>
              <w:tl2br w:val="nil"/>
              <w:tr2bl w:val="nil"/>
            </w:tcBorders>
            <w:shd w:val="clear" w:color="auto" w:fill="auto"/>
            <w:vAlign w:val="center"/>
          </w:tcPr>
          <w:p>
            <w:pPr>
              <w:pStyle w:val="182"/>
              <w:bidi w:val="0"/>
              <w:rPr>
                <w:rFonts w:hint="eastAsia"/>
                <w:b w:val="0"/>
                <w:bCs w:val="0"/>
                <w:color w:val="auto"/>
              </w:rPr>
            </w:pPr>
            <w:r>
              <w:rPr>
                <w:rFonts w:hint="eastAsia"/>
                <w:b w:val="0"/>
                <w:bCs w:val="0"/>
                <w:color w:val="auto"/>
                <w:lang w:val="en-US" w:eastAsia="zh-CN"/>
              </w:rPr>
              <w:t>氨氮</w:t>
            </w: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4.42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3.49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2.44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1.50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0.84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0.69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0.12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0.05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1.56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1.97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2.05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1.71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1.37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1.13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0.95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0.52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0.15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0.07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0.36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0.58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0.86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1.14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1.14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1.06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0.97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0.62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0.18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0.08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0.05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0.51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0.68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0.76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0.78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0.63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0.21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0.09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0.50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0.57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0.24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0.10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60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0.45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0.41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0.26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0.12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70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0.38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0.28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0.14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80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0.34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0.29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0.15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90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0.29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0.28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0.16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0.07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0.23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0.27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0.17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120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0.23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0.19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140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0.06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0.17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0.19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160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0.02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0.11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0.19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180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0.00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0.07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0.17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0.03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0.14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250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0.08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0.03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350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0.01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450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jc w:val="center"/>
        </w:trPr>
        <w:tc>
          <w:tcPr>
            <w:tcW w:w="245" w:type="pct"/>
            <w:vMerge w:val="continue"/>
            <w:tcBorders>
              <w:tl2br w:val="nil"/>
              <w:tr2bl w:val="nil"/>
            </w:tcBorders>
            <w:shd w:val="clear" w:color="auto" w:fill="auto"/>
            <w:vAlign w:val="center"/>
          </w:tcPr>
          <w:p>
            <w:pPr>
              <w:pStyle w:val="182"/>
              <w:bidi w:val="0"/>
              <w:rPr>
                <w:rFonts w:hint="eastAsia"/>
                <w:b w:val="0"/>
                <w:bCs w:val="0"/>
                <w:color w:val="auto"/>
              </w:rPr>
            </w:pPr>
          </w:p>
        </w:tc>
        <w:tc>
          <w:tcPr>
            <w:tcW w:w="308" w:type="pct"/>
            <w:tcBorders>
              <w:tl2br w:val="nil"/>
              <w:tr2bl w:val="nil"/>
            </w:tcBorders>
            <w:shd w:val="clear" w:color="auto" w:fill="auto"/>
            <w:vAlign w:val="center"/>
          </w:tcPr>
          <w:p>
            <w:pPr>
              <w:pStyle w:val="182"/>
              <w:bidi w:val="0"/>
              <w:rPr>
                <w:rFonts w:hint="default"/>
                <w:b/>
                <w:bCs/>
                <w:color w:val="auto"/>
                <w:u w:val="single"/>
              </w:rPr>
            </w:pPr>
            <w:r>
              <w:rPr>
                <w:rFonts w:hint="default"/>
                <w:b/>
                <w:bCs/>
                <w:color w:val="auto"/>
                <w:u w:val="single"/>
                <w:lang w:val="en-US" w:eastAsia="zh-CN"/>
              </w:rPr>
              <w:t>500</w:t>
            </w:r>
          </w:p>
        </w:tc>
        <w:tc>
          <w:tcPr>
            <w:tcW w:w="333"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69"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72"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c>
          <w:tcPr>
            <w:tcW w:w="388" w:type="pct"/>
            <w:tcBorders>
              <w:tl2br w:val="nil"/>
              <w:tr2bl w:val="nil"/>
            </w:tcBorders>
            <w:shd w:val="clear" w:color="auto" w:fill="auto"/>
            <w:noWrap/>
            <w:vAlign w:val="center"/>
          </w:tcPr>
          <w:p>
            <w:pPr>
              <w:pStyle w:val="182"/>
              <w:bidi w:val="0"/>
              <w:rPr>
                <w:rFonts w:hint="eastAsia"/>
                <w:b/>
                <w:bCs/>
                <w:u w:val="single"/>
              </w:rPr>
            </w:pPr>
            <w:r>
              <w:rPr>
                <w:rFonts w:hint="eastAsia"/>
                <w:b/>
                <w:bCs/>
                <w:u w:val="single"/>
                <w:lang w:val="en-US" w:eastAsia="zh-CN"/>
              </w:rPr>
              <w:t>0</w:t>
            </w:r>
          </w:p>
        </w:tc>
      </w:tr>
    </w:tbl>
    <w:p>
      <w:pPr>
        <w:bidi w:val="0"/>
        <w:ind w:left="0" w:leftChars="0" w:firstLine="0" w:firstLineChars="0"/>
        <w:rPr>
          <w:rFonts w:hint="eastAsia"/>
          <w:color w:val="auto"/>
        </w:rPr>
      </w:pPr>
    </w:p>
    <w:p>
      <w:pPr>
        <w:bidi w:val="0"/>
        <w:ind w:left="0" w:leftChars="0" w:firstLine="0" w:firstLineChars="0"/>
        <w:rPr>
          <w:rFonts w:hint="eastAsia"/>
          <w:color w:val="auto"/>
        </w:rPr>
      </w:pPr>
    </w:p>
    <w:p>
      <w:pPr>
        <w:bidi w:val="0"/>
        <w:ind w:left="0" w:leftChars="0" w:firstLine="0" w:firstLineChars="0"/>
        <w:rPr>
          <w:rFonts w:hint="eastAsia"/>
          <w:color w:val="auto"/>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bidi w:val="0"/>
        <w:ind w:left="0" w:leftChars="0" w:firstLine="0" w:firstLineChars="0"/>
        <w:jc w:val="center"/>
        <w:rPr>
          <w:rFonts w:hint="eastAsia" w:eastAsia="宋体"/>
          <w:color w:val="auto"/>
          <w:lang w:eastAsia="zh-CN"/>
        </w:rPr>
      </w:pPr>
      <w:r>
        <w:drawing>
          <wp:inline distT="0" distB="0" distL="114300" distR="114300">
            <wp:extent cx="5128895" cy="3966845"/>
            <wp:effectExtent l="0" t="0" r="6985" b="1079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78"/>
                    <a:stretch>
                      <a:fillRect/>
                    </a:stretch>
                  </pic:blipFill>
                  <pic:spPr>
                    <a:xfrm>
                      <a:off x="0" y="0"/>
                      <a:ext cx="5128895" cy="3966845"/>
                    </a:xfrm>
                    <a:prstGeom prst="rect">
                      <a:avLst/>
                    </a:prstGeom>
                    <a:noFill/>
                    <a:ln>
                      <a:noFill/>
                    </a:ln>
                  </pic:spPr>
                </pic:pic>
              </a:graphicData>
            </a:graphic>
          </wp:inline>
        </w:drawing>
      </w:r>
    </w:p>
    <w:p>
      <w:pPr>
        <w:pStyle w:val="181"/>
        <w:bidi w:val="0"/>
        <w:ind w:left="0" w:leftChars="0" w:firstLine="0" w:firstLineChars="0"/>
        <w:jc w:val="center"/>
        <w:rPr>
          <w:color w:val="auto"/>
          <w:u w:val="single"/>
        </w:rPr>
      </w:pPr>
      <w:r>
        <w:rPr>
          <w:color w:val="auto"/>
          <w:u w:val="single"/>
        </w:rPr>
        <w:t>图5</w:t>
      </w:r>
      <w:r>
        <w:rPr>
          <w:rFonts w:hint="eastAsia"/>
          <w:color w:val="auto"/>
          <w:u w:val="single"/>
          <w:lang w:val="en-US" w:eastAsia="zh-CN"/>
        </w:rPr>
        <w:t>.4</w:t>
      </w:r>
      <w:r>
        <w:rPr>
          <w:color w:val="auto"/>
          <w:u w:val="single"/>
        </w:rPr>
        <w:t>-</w:t>
      </w:r>
      <w:r>
        <w:rPr>
          <w:rFonts w:hint="eastAsia"/>
          <w:color w:val="auto"/>
          <w:u w:val="single"/>
          <w:lang w:val="en-US" w:eastAsia="zh-CN"/>
        </w:rPr>
        <w:t>4</w:t>
      </w:r>
      <w:r>
        <w:rPr>
          <w:color w:val="auto"/>
          <w:u w:val="single"/>
        </w:rPr>
        <w:t xml:space="preserve"> </w:t>
      </w:r>
      <w:r>
        <w:rPr>
          <w:rFonts w:hint="eastAsia"/>
          <w:color w:val="auto"/>
          <w:u w:val="single"/>
        </w:rPr>
        <w:t xml:space="preserve"> </w:t>
      </w:r>
      <w:r>
        <w:rPr>
          <w:rFonts w:hint="eastAsia"/>
          <w:color w:val="auto"/>
          <w:u w:val="single"/>
          <w:lang w:val="en-US" w:eastAsia="zh-CN"/>
        </w:rPr>
        <w:t>COD</w:t>
      </w:r>
      <w:r>
        <w:rPr>
          <w:color w:val="auto"/>
          <w:u w:val="single"/>
        </w:rPr>
        <w:t>影响范围示意图</w:t>
      </w:r>
    </w:p>
    <w:p>
      <w:pPr>
        <w:bidi w:val="0"/>
        <w:ind w:left="0" w:leftChars="0" w:firstLine="0" w:firstLineChars="0"/>
        <w:jc w:val="center"/>
        <w:rPr>
          <w:rFonts w:hint="eastAsia" w:eastAsia="宋体"/>
          <w:color w:val="auto"/>
          <w:lang w:eastAsia="zh-CN"/>
        </w:rPr>
      </w:pPr>
      <w:r>
        <w:drawing>
          <wp:inline distT="0" distB="0" distL="114300" distR="114300">
            <wp:extent cx="5144770" cy="4098290"/>
            <wp:effectExtent l="0" t="0" r="6350" b="127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79"/>
                    <a:stretch>
                      <a:fillRect/>
                    </a:stretch>
                  </pic:blipFill>
                  <pic:spPr>
                    <a:xfrm>
                      <a:off x="0" y="0"/>
                      <a:ext cx="5144770" cy="4098290"/>
                    </a:xfrm>
                    <a:prstGeom prst="rect">
                      <a:avLst/>
                    </a:prstGeom>
                    <a:noFill/>
                    <a:ln>
                      <a:noFill/>
                    </a:ln>
                  </pic:spPr>
                </pic:pic>
              </a:graphicData>
            </a:graphic>
          </wp:inline>
        </w:drawing>
      </w:r>
    </w:p>
    <w:p>
      <w:pPr>
        <w:pStyle w:val="181"/>
        <w:bidi w:val="0"/>
        <w:ind w:left="0" w:leftChars="0" w:firstLine="0" w:firstLineChars="0"/>
        <w:jc w:val="center"/>
        <w:rPr>
          <w:rFonts w:hint="eastAsia"/>
          <w:color w:val="auto"/>
          <w:lang w:eastAsia="zh-CN"/>
        </w:rPr>
      </w:pPr>
      <w:r>
        <w:rPr>
          <w:rFonts w:hint="eastAsia"/>
          <w:color w:val="auto"/>
          <w:lang w:val="en-US" w:eastAsia="zh-CN"/>
        </w:rPr>
        <w:t>图</w:t>
      </w:r>
      <w:r>
        <w:rPr>
          <w:rFonts w:hint="eastAsia"/>
          <w:color w:val="auto"/>
        </w:rPr>
        <w:t>5</w:t>
      </w:r>
      <w:r>
        <w:rPr>
          <w:rFonts w:hint="eastAsia"/>
          <w:color w:val="auto"/>
          <w:lang w:val="en-US" w:eastAsia="zh-CN"/>
        </w:rPr>
        <w:t>.4</w:t>
      </w:r>
      <w:r>
        <w:rPr>
          <w:color w:val="auto"/>
        </w:rPr>
        <w:t>-</w:t>
      </w:r>
      <w:r>
        <w:rPr>
          <w:rFonts w:hint="eastAsia"/>
          <w:color w:val="auto"/>
          <w:lang w:val="en-US" w:eastAsia="zh-CN"/>
        </w:rPr>
        <w:t>5</w:t>
      </w:r>
      <w:r>
        <w:rPr>
          <w:rFonts w:hint="eastAsia"/>
          <w:color w:val="auto"/>
        </w:rPr>
        <w:t xml:space="preserve">  氨氮</w:t>
      </w:r>
      <w:r>
        <w:rPr>
          <w:color w:val="auto"/>
        </w:rPr>
        <w:t>影响范围示意图</w:t>
      </w:r>
    </w:p>
    <w:p>
      <w:pPr>
        <w:ind w:left="0" w:leftChars="0" w:firstLine="0" w:firstLineChars="0"/>
        <w:rPr>
          <w:rFonts w:hint="eastAsia"/>
          <w:color w:val="auto"/>
          <w:lang w:eastAsia="zh-CN"/>
        </w:rPr>
      </w:pPr>
    </w:p>
    <w:p>
      <w:pPr>
        <w:pStyle w:val="181"/>
        <w:bidi w:val="0"/>
        <w:rPr>
          <w:color w:val="auto"/>
        </w:rPr>
      </w:pPr>
      <w:r>
        <w:rPr>
          <w:color w:val="auto"/>
        </w:rPr>
        <w:t>表5</w:t>
      </w:r>
      <w:r>
        <w:rPr>
          <w:rFonts w:hint="eastAsia"/>
          <w:color w:val="auto"/>
          <w:lang w:val="en-US" w:eastAsia="zh-CN"/>
        </w:rPr>
        <w:t>.4</w:t>
      </w:r>
      <w:r>
        <w:rPr>
          <w:color w:val="auto"/>
        </w:rPr>
        <w:t>-</w:t>
      </w:r>
      <w:r>
        <w:rPr>
          <w:rFonts w:hint="eastAsia"/>
          <w:color w:val="auto"/>
          <w:lang w:val="en-US" w:eastAsia="zh-CN"/>
        </w:rPr>
        <w:t>5</w:t>
      </w:r>
      <w:r>
        <w:rPr>
          <w:rFonts w:hint="eastAsia"/>
          <w:color w:val="auto"/>
        </w:rPr>
        <w:t xml:space="preserve">      非正常</w:t>
      </w:r>
      <w:r>
        <w:rPr>
          <w:color w:val="auto"/>
        </w:rPr>
        <w:t>工况下污染物对地下水的影响范围</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57"/>
        <w:gridCol w:w="1160"/>
        <w:gridCol w:w="1356"/>
        <w:gridCol w:w="1298"/>
        <w:gridCol w:w="1085"/>
        <w:gridCol w:w="1287"/>
        <w:gridCol w:w="9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restart"/>
            <w:vAlign w:val="center"/>
          </w:tcPr>
          <w:p>
            <w:pPr>
              <w:pStyle w:val="182"/>
              <w:bidi w:val="0"/>
              <w:rPr>
                <w:b/>
                <w:bCs/>
                <w:color w:val="000000" w:themeColor="text1"/>
                <w:u w:val="single"/>
              </w:rPr>
            </w:pPr>
            <w:r>
              <w:rPr>
                <w:rFonts w:hint="eastAsia"/>
                <w:b/>
                <w:bCs/>
                <w:color w:val="000000" w:themeColor="text1"/>
                <w:u w:val="single"/>
              </w:rPr>
              <w:t>时间</w:t>
            </w:r>
          </w:p>
        </w:tc>
        <w:tc>
          <w:tcPr>
            <w:tcW w:w="2236" w:type="pct"/>
            <w:gridSpan w:val="3"/>
            <w:vAlign w:val="center"/>
          </w:tcPr>
          <w:p>
            <w:pPr>
              <w:pStyle w:val="182"/>
              <w:bidi w:val="0"/>
              <w:rPr>
                <w:b/>
                <w:bCs/>
                <w:color w:val="000000" w:themeColor="text1"/>
                <w:u w:val="single"/>
              </w:rPr>
            </w:pPr>
            <w:r>
              <w:rPr>
                <w:rFonts w:hint="eastAsia"/>
                <w:b/>
                <w:bCs/>
                <w:color w:val="000000" w:themeColor="text1"/>
                <w:u w:val="single"/>
              </w:rPr>
              <w:t>耗氧量</w:t>
            </w:r>
          </w:p>
        </w:tc>
        <w:tc>
          <w:tcPr>
            <w:tcW w:w="1966" w:type="pct"/>
            <w:gridSpan w:val="3"/>
            <w:vAlign w:val="center"/>
          </w:tcPr>
          <w:p>
            <w:pPr>
              <w:pStyle w:val="182"/>
              <w:bidi w:val="0"/>
              <w:rPr>
                <w:b/>
                <w:bCs/>
                <w:color w:val="000000" w:themeColor="text1"/>
                <w:u w:val="single"/>
              </w:rPr>
            </w:pPr>
            <w:r>
              <w:rPr>
                <w:rFonts w:hint="eastAsia"/>
                <w:b/>
                <w:bCs/>
                <w:color w:val="000000" w:themeColor="text1"/>
                <w:u w:val="single"/>
              </w:rPr>
              <w:t>氨氮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continue"/>
            <w:vAlign w:val="center"/>
          </w:tcPr>
          <w:p>
            <w:pPr>
              <w:pStyle w:val="182"/>
              <w:bidi w:val="0"/>
              <w:rPr>
                <w:b/>
                <w:bCs/>
                <w:color w:val="000000" w:themeColor="text1"/>
                <w:u w:val="single"/>
              </w:rPr>
            </w:pPr>
          </w:p>
        </w:tc>
        <w:tc>
          <w:tcPr>
            <w:tcW w:w="680" w:type="pct"/>
            <w:vAlign w:val="center"/>
          </w:tcPr>
          <w:p>
            <w:pPr>
              <w:pStyle w:val="182"/>
              <w:bidi w:val="0"/>
              <w:rPr>
                <w:b/>
                <w:bCs/>
                <w:color w:val="000000" w:themeColor="text1"/>
                <w:u w:val="single"/>
              </w:rPr>
            </w:pPr>
            <w:r>
              <w:rPr>
                <w:rFonts w:hint="eastAsia"/>
                <w:b/>
                <w:bCs/>
                <w:color w:val="000000" w:themeColor="text1"/>
                <w:u w:val="single"/>
              </w:rPr>
              <w:t>最远超标距离/m</w:t>
            </w:r>
          </w:p>
        </w:tc>
        <w:tc>
          <w:tcPr>
            <w:tcW w:w="795" w:type="pct"/>
            <w:vAlign w:val="center"/>
          </w:tcPr>
          <w:p>
            <w:pPr>
              <w:pStyle w:val="182"/>
              <w:bidi w:val="0"/>
              <w:rPr>
                <w:b/>
                <w:bCs/>
                <w:color w:val="000000" w:themeColor="text1"/>
                <w:u w:val="single"/>
              </w:rPr>
            </w:pPr>
            <w:r>
              <w:rPr>
                <w:rFonts w:hint="eastAsia"/>
                <w:b/>
                <w:bCs/>
                <w:color w:val="000000" w:themeColor="text1"/>
                <w:u w:val="single"/>
              </w:rPr>
              <w:t>贡献浓度</w:t>
            </w:r>
          </w:p>
          <w:p>
            <w:pPr>
              <w:pStyle w:val="182"/>
              <w:bidi w:val="0"/>
              <w:rPr>
                <w:b/>
                <w:bCs/>
                <w:color w:val="000000" w:themeColor="text1"/>
                <w:u w:val="single"/>
              </w:rPr>
            </w:pPr>
            <w:r>
              <w:rPr>
                <w:b/>
                <w:bCs/>
                <w:color w:val="000000" w:themeColor="text1"/>
                <w:u w:val="single"/>
              </w:rPr>
              <w:t>mg/L</w:t>
            </w:r>
          </w:p>
        </w:tc>
        <w:tc>
          <w:tcPr>
            <w:tcW w:w="760" w:type="pct"/>
            <w:vAlign w:val="center"/>
          </w:tcPr>
          <w:p>
            <w:pPr>
              <w:pStyle w:val="182"/>
              <w:bidi w:val="0"/>
              <w:rPr>
                <w:b/>
                <w:bCs/>
                <w:color w:val="000000" w:themeColor="text1"/>
                <w:u w:val="single"/>
              </w:rPr>
            </w:pPr>
            <w:r>
              <w:rPr>
                <w:rFonts w:hint="eastAsia"/>
                <w:b/>
                <w:bCs/>
                <w:color w:val="000000" w:themeColor="text1"/>
                <w:u w:val="single"/>
              </w:rPr>
              <w:t>标准</w:t>
            </w:r>
          </w:p>
          <w:p>
            <w:pPr>
              <w:pStyle w:val="182"/>
              <w:bidi w:val="0"/>
              <w:rPr>
                <w:b/>
                <w:bCs/>
                <w:color w:val="000000" w:themeColor="text1"/>
                <w:u w:val="single"/>
              </w:rPr>
            </w:pPr>
            <w:r>
              <w:rPr>
                <w:b/>
                <w:bCs/>
                <w:color w:val="000000" w:themeColor="text1"/>
                <w:u w:val="single"/>
              </w:rPr>
              <w:t>mg/L</w:t>
            </w:r>
          </w:p>
        </w:tc>
        <w:tc>
          <w:tcPr>
            <w:tcW w:w="636" w:type="pct"/>
            <w:vAlign w:val="center"/>
          </w:tcPr>
          <w:p>
            <w:pPr>
              <w:pStyle w:val="182"/>
              <w:bidi w:val="0"/>
              <w:rPr>
                <w:b/>
                <w:bCs/>
                <w:color w:val="000000" w:themeColor="text1"/>
                <w:u w:val="single"/>
              </w:rPr>
            </w:pPr>
            <w:r>
              <w:rPr>
                <w:rFonts w:hint="eastAsia"/>
                <w:b/>
                <w:bCs/>
                <w:color w:val="000000" w:themeColor="text1"/>
                <w:u w:val="single"/>
              </w:rPr>
              <w:t>最远超标距离/m</w:t>
            </w:r>
          </w:p>
        </w:tc>
        <w:tc>
          <w:tcPr>
            <w:tcW w:w="755" w:type="pct"/>
            <w:vAlign w:val="center"/>
          </w:tcPr>
          <w:p>
            <w:pPr>
              <w:pStyle w:val="182"/>
              <w:bidi w:val="0"/>
              <w:rPr>
                <w:b/>
                <w:bCs/>
                <w:color w:val="000000" w:themeColor="text1"/>
                <w:u w:val="single"/>
              </w:rPr>
            </w:pPr>
            <w:r>
              <w:rPr>
                <w:rFonts w:hint="eastAsia"/>
                <w:b/>
                <w:bCs/>
                <w:color w:val="000000" w:themeColor="text1"/>
                <w:u w:val="single"/>
              </w:rPr>
              <w:t>贡献浓度</w:t>
            </w:r>
          </w:p>
          <w:p>
            <w:pPr>
              <w:pStyle w:val="182"/>
              <w:bidi w:val="0"/>
              <w:rPr>
                <w:b/>
                <w:bCs/>
                <w:color w:val="000000" w:themeColor="text1"/>
                <w:u w:val="single"/>
              </w:rPr>
            </w:pPr>
            <w:r>
              <w:rPr>
                <w:b/>
                <w:bCs/>
                <w:color w:val="000000" w:themeColor="text1"/>
                <w:u w:val="single"/>
              </w:rPr>
              <w:t>mg/L</w:t>
            </w:r>
          </w:p>
        </w:tc>
        <w:tc>
          <w:tcPr>
            <w:tcW w:w="574" w:type="pct"/>
            <w:vAlign w:val="center"/>
          </w:tcPr>
          <w:p>
            <w:pPr>
              <w:pStyle w:val="182"/>
              <w:bidi w:val="0"/>
              <w:rPr>
                <w:b/>
                <w:bCs/>
                <w:color w:val="000000" w:themeColor="text1"/>
                <w:u w:val="single"/>
              </w:rPr>
            </w:pPr>
            <w:r>
              <w:rPr>
                <w:rFonts w:hint="eastAsia"/>
                <w:b/>
                <w:bCs/>
                <w:color w:val="000000" w:themeColor="text1"/>
                <w:u w:val="single"/>
              </w:rPr>
              <w:t>标准</w:t>
            </w:r>
          </w:p>
          <w:p>
            <w:pPr>
              <w:pStyle w:val="182"/>
              <w:bidi w:val="0"/>
              <w:rPr>
                <w:b/>
                <w:bCs/>
                <w:color w:val="000000" w:themeColor="text1"/>
                <w:u w:val="single"/>
              </w:rPr>
            </w:pPr>
            <w:r>
              <w:rPr>
                <w:b/>
                <w:bCs/>
                <w:color w:val="000000" w:themeColor="text1"/>
                <w:u w:val="single"/>
              </w:rPr>
              <w:t>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pPr>
              <w:pStyle w:val="182"/>
              <w:bidi w:val="0"/>
              <w:rPr>
                <w:b/>
                <w:bCs/>
                <w:color w:val="000000" w:themeColor="text1"/>
                <w:u w:val="single"/>
              </w:rPr>
            </w:pPr>
            <w:r>
              <w:rPr>
                <w:rFonts w:hint="eastAsia"/>
                <w:b/>
                <w:bCs/>
                <w:color w:val="000000" w:themeColor="text1"/>
                <w:u w:val="single"/>
              </w:rPr>
              <w:t>泄漏发生后</w:t>
            </w:r>
            <w:r>
              <w:rPr>
                <w:b/>
                <w:bCs/>
                <w:color w:val="000000" w:themeColor="text1"/>
                <w:u w:val="single"/>
              </w:rPr>
              <w:t>50d</w:t>
            </w:r>
          </w:p>
        </w:tc>
        <w:tc>
          <w:tcPr>
            <w:tcW w:w="1225"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45.68</w:t>
            </w:r>
          </w:p>
        </w:tc>
        <w:tc>
          <w:tcPr>
            <w:tcW w:w="1432"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2.25</w:t>
            </w:r>
          </w:p>
        </w:tc>
        <w:tc>
          <w:tcPr>
            <w:tcW w:w="1371" w:type="dxa"/>
            <w:vAlign w:val="center"/>
          </w:tcPr>
          <w:p>
            <w:pPr>
              <w:pStyle w:val="182"/>
              <w:bidi w:val="0"/>
              <w:ind w:firstLine="0" w:firstLineChars="0"/>
              <w:rPr>
                <w:b/>
                <w:bCs/>
                <w:color w:val="000000" w:themeColor="text1"/>
                <w:u w:val="single"/>
              </w:rPr>
            </w:pPr>
            <w:r>
              <w:rPr>
                <w:b/>
                <w:bCs/>
                <w:color w:val="000000" w:themeColor="text1"/>
                <w:u w:val="single"/>
              </w:rPr>
              <w:t>3.0</w:t>
            </w:r>
          </w:p>
        </w:tc>
        <w:tc>
          <w:tcPr>
            <w:tcW w:w="1146"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34.41</w:t>
            </w:r>
          </w:p>
        </w:tc>
        <w:tc>
          <w:tcPr>
            <w:tcW w:w="1360"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0.377</w:t>
            </w:r>
          </w:p>
        </w:tc>
        <w:tc>
          <w:tcPr>
            <w:tcW w:w="1036" w:type="dxa"/>
            <w:vAlign w:val="center"/>
          </w:tcPr>
          <w:p>
            <w:pPr>
              <w:pStyle w:val="182"/>
              <w:bidi w:val="0"/>
              <w:ind w:firstLine="0" w:firstLineChars="0"/>
              <w:rPr>
                <w:b/>
                <w:bCs/>
                <w:color w:val="000000" w:themeColor="text1"/>
                <w:u w:val="single"/>
              </w:rPr>
            </w:pPr>
            <w:r>
              <w:rPr>
                <w:b/>
                <w:bCs/>
                <w:color w:val="000000" w:themeColor="text1"/>
                <w:u w:val="single"/>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pPr>
              <w:pStyle w:val="182"/>
              <w:bidi w:val="0"/>
              <w:rPr>
                <w:b/>
                <w:bCs/>
                <w:color w:val="000000" w:themeColor="text1"/>
                <w:u w:val="single"/>
              </w:rPr>
            </w:pPr>
            <w:r>
              <w:rPr>
                <w:rFonts w:hint="eastAsia"/>
                <w:b/>
                <w:bCs/>
                <w:color w:val="000000" w:themeColor="text1"/>
                <w:u w:val="single"/>
              </w:rPr>
              <w:t>泄漏发生后</w:t>
            </w:r>
            <w:r>
              <w:rPr>
                <w:b/>
                <w:bCs/>
                <w:color w:val="000000" w:themeColor="text1"/>
                <w:u w:val="single"/>
              </w:rPr>
              <w:t>100d</w:t>
            </w:r>
          </w:p>
        </w:tc>
        <w:tc>
          <w:tcPr>
            <w:tcW w:w="1225"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55.20</w:t>
            </w:r>
          </w:p>
        </w:tc>
        <w:tc>
          <w:tcPr>
            <w:tcW w:w="1432" w:type="dxa"/>
            <w:vAlign w:val="center"/>
          </w:tcPr>
          <w:p>
            <w:pPr>
              <w:pStyle w:val="182"/>
              <w:bidi w:val="0"/>
              <w:ind w:firstLine="0" w:firstLineChars="0"/>
              <w:rPr>
                <w:b/>
                <w:bCs/>
                <w:color w:val="000000" w:themeColor="text1"/>
                <w:u w:val="single"/>
              </w:rPr>
            </w:pPr>
            <w:r>
              <w:rPr>
                <w:rFonts w:hint="eastAsia"/>
                <w:b/>
                <w:bCs/>
                <w:color w:val="000000" w:themeColor="text1"/>
                <w:u w:val="single"/>
                <w:lang w:val="en-US" w:eastAsia="zh-CN"/>
              </w:rPr>
              <w:t>2.25</w:t>
            </w:r>
          </w:p>
        </w:tc>
        <w:tc>
          <w:tcPr>
            <w:tcW w:w="1371" w:type="dxa"/>
            <w:vAlign w:val="center"/>
          </w:tcPr>
          <w:p>
            <w:pPr>
              <w:pStyle w:val="182"/>
              <w:bidi w:val="0"/>
              <w:ind w:firstLine="0" w:firstLineChars="0"/>
              <w:rPr>
                <w:b/>
                <w:bCs/>
                <w:color w:val="000000" w:themeColor="text1"/>
                <w:u w:val="single"/>
              </w:rPr>
            </w:pPr>
            <w:r>
              <w:rPr>
                <w:b/>
                <w:bCs/>
                <w:color w:val="000000" w:themeColor="text1"/>
                <w:u w:val="single"/>
              </w:rPr>
              <w:t>3.0</w:t>
            </w:r>
          </w:p>
        </w:tc>
        <w:tc>
          <w:tcPr>
            <w:tcW w:w="1146"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37.67</w:t>
            </w:r>
          </w:p>
        </w:tc>
        <w:tc>
          <w:tcPr>
            <w:tcW w:w="1360" w:type="dxa"/>
            <w:vAlign w:val="center"/>
          </w:tcPr>
          <w:p>
            <w:pPr>
              <w:pStyle w:val="182"/>
              <w:bidi w:val="0"/>
              <w:ind w:firstLine="0" w:firstLineChars="0"/>
              <w:rPr>
                <w:b/>
                <w:bCs/>
                <w:color w:val="000000" w:themeColor="text1"/>
                <w:u w:val="single"/>
              </w:rPr>
            </w:pPr>
            <w:r>
              <w:rPr>
                <w:rFonts w:hint="eastAsia"/>
                <w:b/>
                <w:bCs/>
                <w:color w:val="000000" w:themeColor="text1"/>
                <w:u w:val="single"/>
                <w:lang w:val="en-US" w:eastAsia="zh-CN"/>
              </w:rPr>
              <w:t>0.377</w:t>
            </w:r>
          </w:p>
        </w:tc>
        <w:tc>
          <w:tcPr>
            <w:tcW w:w="1036" w:type="dxa"/>
            <w:vAlign w:val="center"/>
          </w:tcPr>
          <w:p>
            <w:pPr>
              <w:pStyle w:val="182"/>
              <w:bidi w:val="0"/>
              <w:ind w:firstLine="0" w:firstLineChars="0"/>
              <w:rPr>
                <w:b/>
                <w:bCs/>
                <w:color w:val="000000" w:themeColor="text1"/>
                <w:u w:val="single"/>
              </w:rPr>
            </w:pPr>
            <w:r>
              <w:rPr>
                <w:b/>
                <w:bCs/>
                <w:color w:val="000000" w:themeColor="text1"/>
                <w:u w:val="single"/>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pPr>
              <w:pStyle w:val="182"/>
              <w:bidi w:val="0"/>
              <w:rPr>
                <w:b/>
                <w:bCs/>
                <w:color w:val="000000" w:themeColor="text1"/>
                <w:u w:val="single"/>
              </w:rPr>
            </w:pPr>
            <w:r>
              <w:rPr>
                <w:rFonts w:hint="eastAsia"/>
                <w:b/>
                <w:bCs/>
                <w:color w:val="000000" w:themeColor="text1"/>
                <w:u w:val="single"/>
              </w:rPr>
              <w:t>泄漏发生后</w:t>
            </w:r>
            <w:r>
              <w:rPr>
                <w:b/>
                <w:bCs/>
                <w:color w:val="000000" w:themeColor="text1"/>
                <w:u w:val="single"/>
              </w:rPr>
              <w:t>500d</w:t>
            </w:r>
          </w:p>
        </w:tc>
        <w:tc>
          <w:tcPr>
            <w:tcW w:w="1225"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86.52</w:t>
            </w:r>
          </w:p>
        </w:tc>
        <w:tc>
          <w:tcPr>
            <w:tcW w:w="1432" w:type="dxa"/>
            <w:vAlign w:val="center"/>
          </w:tcPr>
          <w:p>
            <w:pPr>
              <w:pStyle w:val="182"/>
              <w:bidi w:val="0"/>
              <w:ind w:firstLine="0" w:firstLineChars="0"/>
              <w:rPr>
                <w:b/>
                <w:bCs/>
                <w:color w:val="000000" w:themeColor="text1"/>
                <w:u w:val="single"/>
              </w:rPr>
            </w:pPr>
            <w:r>
              <w:rPr>
                <w:rFonts w:hint="eastAsia"/>
                <w:b/>
                <w:bCs/>
                <w:color w:val="000000" w:themeColor="text1"/>
                <w:u w:val="single"/>
                <w:lang w:val="en-US" w:eastAsia="zh-CN"/>
              </w:rPr>
              <w:t>2.25</w:t>
            </w:r>
          </w:p>
        </w:tc>
        <w:tc>
          <w:tcPr>
            <w:tcW w:w="1371" w:type="dxa"/>
            <w:vAlign w:val="center"/>
          </w:tcPr>
          <w:p>
            <w:pPr>
              <w:pStyle w:val="182"/>
              <w:bidi w:val="0"/>
              <w:ind w:firstLine="0" w:firstLineChars="0"/>
              <w:rPr>
                <w:b/>
                <w:bCs/>
                <w:color w:val="000000" w:themeColor="text1"/>
                <w:u w:val="single"/>
              </w:rPr>
            </w:pPr>
            <w:r>
              <w:rPr>
                <w:b/>
                <w:bCs/>
                <w:color w:val="000000" w:themeColor="text1"/>
                <w:u w:val="single"/>
              </w:rPr>
              <w:t>3.0</w:t>
            </w:r>
          </w:p>
        </w:tc>
        <w:tc>
          <w:tcPr>
            <w:tcW w:w="1146"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50.28</w:t>
            </w:r>
          </w:p>
        </w:tc>
        <w:tc>
          <w:tcPr>
            <w:tcW w:w="1360" w:type="dxa"/>
            <w:vAlign w:val="center"/>
          </w:tcPr>
          <w:p>
            <w:pPr>
              <w:pStyle w:val="182"/>
              <w:bidi w:val="0"/>
              <w:ind w:firstLine="0" w:firstLineChars="0"/>
              <w:rPr>
                <w:b/>
                <w:bCs/>
                <w:color w:val="000000" w:themeColor="text1"/>
                <w:u w:val="single"/>
              </w:rPr>
            </w:pPr>
            <w:r>
              <w:rPr>
                <w:rFonts w:hint="eastAsia"/>
                <w:b/>
                <w:bCs/>
                <w:color w:val="000000" w:themeColor="text1"/>
                <w:u w:val="single"/>
                <w:lang w:val="en-US" w:eastAsia="zh-CN"/>
              </w:rPr>
              <w:t>0.377</w:t>
            </w:r>
          </w:p>
        </w:tc>
        <w:tc>
          <w:tcPr>
            <w:tcW w:w="1036" w:type="dxa"/>
            <w:vAlign w:val="center"/>
          </w:tcPr>
          <w:p>
            <w:pPr>
              <w:pStyle w:val="182"/>
              <w:bidi w:val="0"/>
              <w:ind w:firstLine="0" w:firstLineChars="0"/>
              <w:rPr>
                <w:b/>
                <w:bCs/>
                <w:color w:val="000000" w:themeColor="text1"/>
                <w:u w:val="single"/>
              </w:rPr>
            </w:pPr>
            <w:r>
              <w:rPr>
                <w:b/>
                <w:bCs/>
                <w:color w:val="000000" w:themeColor="text1"/>
                <w:u w:val="single"/>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pPr>
              <w:pStyle w:val="182"/>
              <w:bidi w:val="0"/>
              <w:rPr>
                <w:b/>
                <w:bCs/>
                <w:color w:val="000000" w:themeColor="text1"/>
                <w:u w:val="single"/>
              </w:rPr>
            </w:pPr>
            <w:r>
              <w:rPr>
                <w:rFonts w:hint="eastAsia"/>
                <w:b/>
                <w:bCs/>
                <w:color w:val="000000" w:themeColor="text1"/>
                <w:u w:val="single"/>
              </w:rPr>
              <w:t>泄漏发生后</w:t>
            </w:r>
            <w:r>
              <w:rPr>
                <w:b/>
                <w:bCs/>
                <w:color w:val="000000" w:themeColor="text1"/>
                <w:u w:val="single"/>
              </w:rPr>
              <w:t>1000d</w:t>
            </w:r>
          </w:p>
        </w:tc>
        <w:tc>
          <w:tcPr>
            <w:tcW w:w="1225"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115.90</w:t>
            </w:r>
          </w:p>
        </w:tc>
        <w:tc>
          <w:tcPr>
            <w:tcW w:w="1432" w:type="dxa"/>
            <w:vAlign w:val="center"/>
          </w:tcPr>
          <w:p>
            <w:pPr>
              <w:pStyle w:val="182"/>
              <w:bidi w:val="0"/>
              <w:ind w:firstLine="0" w:firstLineChars="0"/>
              <w:rPr>
                <w:b/>
                <w:bCs/>
                <w:color w:val="000000" w:themeColor="text1"/>
                <w:u w:val="single"/>
              </w:rPr>
            </w:pPr>
            <w:r>
              <w:rPr>
                <w:rFonts w:hint="eastAsia"/>
                <w:b/>
                <w:bCs/>
                <w:color w:val="000000" w:themeColor="text1"/>
                <w:u w:val="single"/>
                <w:lang w:val="en-US" w:eastAsia="zh-CN"/>
              </w:rPr>
              <w:t>2.25</w:t>
            </w:r>
          </w:p>
        </w:tc>
        <w:tc>
          <w:tcPr>
            <w:tcW w:w="1371" w:type="dxa"/>
            <w:vAlign w:val="center"/>
          </w:tcPr>
          <w:p>
            <w:pPr>
              <w:pStyle w:val="182"/>
              <w:bidi w:val="0"/>
              <w:ind w:firstLine="0" w:firstLineChars="0"/>
              <w:rPr>
                <w:b/>
                <w:bCs/>
                <w:color w:val="000000" w:themeColor="text1"/>
                <w:u w:val="single"/>
              </w:rPr>
            </w:pPr>
            <w:r>
              <w:rPr>
                <w:b/>
                <w:bCs/>
                <w:color w:val="000000" w:themeColor="text1"/>
                <w:u w:val="single"/>
              </w:rPr>
              <w:t>3.0</w:t>
            </w:r>
          </w:p>
        </w:tc>
        <w:tc>
          <w:tcPr>
            <w:tcW w:w="1146" w:type="dxa"/>
            <w:vAlign w:val="center"/>
          </w:tcPr>
          <w:p>
            <w:pPr>
              <w:pStyle w:val="182"/>
              <w:bidi w:val="0"/>
              <w:ind w:firstLine="0" w:firstLineChars="0"/>
              <w:rPr>
                <w:rFonts w:hint="default"/>
                <w:b/>
                <w:bCs/>
                <w:color w:val="000000" w:themeColor="text1"/>
                <w:u w:val="single"/>
                <w:lang w:val="en-US" w:eastAsia="zh-CN"/>
              </w:rPr>
            </w:pPr>
            <w:r>
              <w:rPr>
                <w:rFonts w:hint="eastAsia"/>
                <w:b/>
                <w:bCs/>
                <w:color w:val="000000" w:themeColor="text1"/>
                <w:u w:val="single"/>
                <w:lang w:val="en-US" w:eastAsia="zh-CN"/>
              </w:rPr>
              <w:t>66.38</w:t>
            </w:r>
          </w:p>
        </w:tc>
        <w:tc>
          <w:tcPr>
            <w:tcW w:w="1360" w:type="dxa"/>
            <w:vAlign w:val="center"/>
          </w:tcPr>
          <w:p>
            <w:pPr>
              <w:pStyle w:val="182"/>
              <w:bidi w:val="0"/>
              <w:ind w:firstLine="0" w:firstLineChars="0"/>
              <w:rPr>
                <w:b/>
                <w:bCs/>
                <w:color w:val="000000" w:themeColor="text1"/>
                <w:u w:val="single"/>
              </w:rPr>
            </w:pPr>
            <w:r>
              <w:rPr>
                <w:rFonts w:hint="eastAsia"/>
                <w:b/>
                <w:bCs/>
                <w:color w:val="000000" w:themeColor="text1"/>
                <w:u w:val="single"/>
                <w:lang w:val="en-US" w:eastAsia="zh-CN"/>
              </w:rPr>
              <w:t>0.377</w:t>
            </w:r>
          </w:p>
        </w:tc>
        <w:tc>
          <w:tcPr>
            <w:tcW w:w="1036" w:type="dxa"/>
            <w:vAlign w:val="center"/>
          </w:tcPr>
          <w:p>
            <w:pPr>
              <w:pStyle w:val="182"/>
              <w:bidi w:val="0"/>
              <w:ind w:firstLine="0" w:firstLineChars="0"/>
              <w:rPr>
                <w:b/>
                <w:bCs/>
                <w:color w:val="000000" w:themeColor="text1"/>
                <w:u w:val="single"/>
              </w:rPr>
            </w:pPr>
            <w:r>
              <w:rPr>
                <w:b/>
                <w:bCs/>
                <w:color w:val="000000" w:themeColor="text1"/>
                <w:u w:val="single"/>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pPr>
              <w:pStyle w:val="182"/>
              <w:bidi w:val="0"/>
              <w:rPr>
                <w:b/>
                <w:bCs/>
                <w:color w:val="000000" w:themeColor="text1"/>
                <w:u w:val="single"/>
              </w:rPr>
            </w:pPr>
            <w:r>
              <w:rPr>
                <w:rFonts w:hint="eastAsia"/>
                <w:b/>
                <w:bCs/>
                <w:color w:val="000000" w:themeColor="text1"/>
                <w:u w:val="single"/>
              </w:rPr>
              <w:t>背景值</w:t>
            </w:r>
          </w:p>
        </w:tc>
        <w:tc>
          <w:tcPr>
            <w:tcW w:w="4028" w:type="dxa"/>
            <w:gridSpan w:val="3"/>
            <w:vAlign w:val="center"/>
          </w:tcPr>
          <w:p>
            <w:pPr>
              <w:pStyle w:val="182"/>
              <w:bidi w:val="0"/>
              <w:ind w:firstLine="0" w:firstLineChars="0"/>
              <w:rPr>
                <w:b/>
                <w:bCs/>
                <w:color w:val="000000" w:themeColor="text1"/>
                <w:u w:val="single"/>
              </w:rPr>
            </w:pPr>
            <w:r>
              <w:rPr>
                <w:rFonts w:hint="eastAsia"/>
                <w:b/>
                <w:bCs/>
                <w:color w:val="000000" w:themeColor="text1"/>
                <w:u w:val="single"/>
                <w:lang w:val="en-US" w:eastAsia="zh-CN"/>
              </w:rPr>
              <w:t>0.75</w:t>
            </w:r>
            <w:r>
              <w:rPr>
                <w:b/>
                <w:bCs/>
                <w:color w:val="000000" w:themeColor="text1"/>
                <w:u w:val="single"/>
              </w:rPr>
              <w:t xml:space="preserve"> mg/L</w:t>
            </w:r>
          </w:p>
        </w:tc>
        <w:tc>
          <w:tcPr>
            <w:tcW w:w="3542" w:type="dxa"/>
            <w:gridSpan w:val="3"/>
            <w:vAlign w:val="center"/>
          </w:tcPr>
          <w:p>
            <w:pPr>
              <w:pStyle w:val="182"/>
              <w:bidi w:val="0"/>
              <w:ind w:firstLine="0" w:firstLineChars="0"/>
              <w:rPr>
                <w:b/>
                <w:bCs/>
                <w:color w:val="000000" w:themeColor="text1"/>
                <w:u w:val="single"/>
              </w:rPr>
            </w:pPr>
            <w:r>
              <w:rPr>
                <w:b/>
                <w:bCs/>
                <w:color w:val="000000" w:themeColor="text1"/>
                <w:u w:val="single"/>
              </w:rPr>
              <w:t>0.1</w:t>
            </w:r>
            <w:r>
              <w:rPr>
                <w:rFonts w:hint="eastAsia"/>
                <w:b/>
                <w:bCs/>
                <w:color w:val="000000" w:themeColor="text1"/>
                <w:u w:val="single"/>
                <w:lang w:val="en-US" w:eastAsia="zh-CN"/>
              </w:rPr>
              <w:t>23</w:t>
            </w:r>
            <w:r>
              <w:rPr>
                <w:b/>
                <w:bCs/>
                <w:color w:val="000000" w:themeColor="text1"/>
                <w:u w:val="single"/>
              </w:rPr>
              <w:t xml:space="preserve"> mg/L</w:t>
            </w:r>
          </w:p>
        </w:tc>
      </w:tr>
    </w:tbl>
    <w:p>
      <w:pPr>
        <w:bidi w:val="0"/>
        <w:rPr>
          <w:b/>
          <w:bCs/>
          <w:color w:val="000000" w:themeColor="text1"/>
          <w:sz w:val="21"/>
          <w:szCs w:val="21"/>
          <w:highlight w:val="none"/>
          <w:u w:val="single"/>
        </w:rPr>
      </w:pPr>
      <w:r>
        <w:rPr>
          <w:b/>
          <w:bCs/>
          <w:color w:val="000000" w:themeColor="text1"/>
          <w:highlight w:val="none"/>
          <w:u w:val="single"/>
        </w:rPr>
        <w:t>根据预测结果可知，如果发生调节池污水池连续渗漏非正常状况下，</w:t>
      </w:r>
      <w:r>
        <w:rPr>
          <w:rFonts w:hint="eastAsia"/>
          <w:b/>
          <w:bCs/>
          <w:color w:val="000000" w:themeColor="text1"/>
          <w:highlight w:val="none"/>
          <w:u w:val="single"/>
        </w:rPr>
        <w:t>泄漏发生后</w:t>
      </w:r>
      <w:r>
        <w:rPr>
          <w:b/>
          <w:bCs/>
          <w:color w:val="000000" w:themeColor="text1"/>
          <w:highlight w:val="none"/>
          <w:u w:val="single"/>
        </w:rPr>
        <w:t>50d</w:t>
      </w:r>
      <w:r>
        <w:rPr>
          <w:rFonts w:hint="eastAsia"/>
          <w:b/>
          <w:bCs/>
          <w:color w:val="000000" w:themeColor="text1"/>
          <w:highlight w:val="none"/>
          <w:u w:val="single"/>
        </w:rPr>
        <w:t>、</w:t>
      </w:r>
      <w:r>
        <w:rPr>
          <w:b/>
          <w:bCs/>
          <w:color w:val="000000" w:themeColor="text1"/>
          <w:highlight w:val="none"/>
          <w:u w:val="single"/>
        </w:rPr>
        <w:t>100d</w:t>
      </w:r>
      <w:r>
        <w:rPr>
          <w:rFonts w:hint="eastAsia"/>
          <w:b/>
          <w:bCs/>
          <w:color w:val="000000" w:themeColor="text1"/>
          <w:highlight w:val="none"/>
          <w:u w:val="single"/>
        </w:rPr>
        <w:t>、</w:t>
      </w:r>
      <w:r>
        <w:rPr>
          <w:b/>
          <w:bCs/>
          <w:color w:val="000000" w:themeColor="text1"/>
          <w:highlight w:val="none"/>
          <w:u w:val="single"/>
        </w:rPr>
        <w:t>500d</w:t>
      </w:r>
      <w:r>
        <w:rPr>
          <w:rFonts w:hint="eastAsia"/>
          <w:b/>
          <w:bCs/>
          <w:color w:val="000000" w:themeColor="text1"/>
          <w:highlight w:val="none"/>
          <w:u w:val="single"/>
        </w:rPr>
        <w:t>和</w:t>
      </w:r>
      <w:r>
        <w:rPr>
          <w:b/>
          <w:bCs/>
          <w:color w:val="000000" w:themeColor="text1"/>
          <w:highlight w:val="none"/>
          <w:u w:val="single"/>
        </w:rPr>
        <w:t>1000d</w:t>
      </w:r>
      <w:r>
        <w:rPr>
          <w:rFonts w:hint="eastAsia"/>
          <w:b/>
          <w:bCs/>
          <w:color w:val="000000" w:themeColor="text1"/>
          <w:highlight w:val="none"/>
          <w:u w:val="single"/>
        </w:rPr>
        <w:t>后，下游耗氧量最远超标距离分别为</w:t>
      </w:r>
      <w:r>
        <w:rPr>
          <w:rFonts w:hint="eastAsia"/>
          <w:b/>
          <w:bCs/>
          <w:color w:val="000000" w:themeColor="text1"/>
          <w:highlight w:val="none"/>
          <w:u w:val="single"/>
          <w:lang w:val="en-US" w:eastAsia="zh-CN"/>
        </w:rPr>
        <w:t>45.68</w:t>
      </w:r>
      <w:r>
        <w:rPr>
          <w:b/>
          <w:bCs/>
          <w:color w:val="000000" w:themeColor="text1"/>
          <w:highlight w:val="none"/>
          <w:u w:val="single"/>
        </w:rPr>
        <w:t>m</w:t>
      </w:r>
      <w:r>
        <w:rPr>
          <w:rFonts w:hint="eastAsia"/>
          <w:b/>
          <w:bCs/>
          <w:color w:val="000000" w:themeColor="text1"/>
          <w:highlight w:val="none"/>
          <w:u w:val="single"/>
        </w:rPr>
        <w:t>、</w:t>
      </w:r>
      <w:r>
        <w:rPr>
          <w:rFonts w:hint="eastAsia"/>
          <w:b/>
          <w:bCs/>
          <w:color w:val="000000" w:themeColor="text1"/>
          <w:highlight w:val="none"/>
          <w:u w:val="single"/>
          <w:lang w:val="en-US" w:eastAsia="zh-CN"/>
        </w:rPr>
        <w:t>55.20</w:t>
      </w:r>
      <w:r>
        <w:rPr>
          <w:b/>
          <w:bCs/>
          <w:color w:val="000000" w:themeColor="text1"/>
          <w:highlight w:val="none"/>
          <w:u w:val="single"/>
        </w:rPr>
        <w:t>m</w:t>
      </w:r>
      <w:r>
        <w:rPr>
          <w:rFonts w:hint="eastAsia"/>
          <w:b/>
          <w:bCs/>
          <w:color w:val="000000" w:themeColor="text1"/>
          <w:highlight w:val="none"/>
          <w:u w:val="single"/>
        </w:rPr>
        <w:t>、</w:t>
      </w:r>
      <w:r>
        <w:rPr>
          <w:rFonts w:hint="eastAsia"/>
          <w:b/>
          <w:bCs/>
          <w:color w:val="000000" w:themeColor="text1"/>
          <w:highlight w:val="none"/>
          <w:u w:val="single"/>
          <w:lang w:val="en-US" w:eastAsia="zh-CN"/>
        </w:rPr>
        <w:t>86.52</w:t>
      </w:r>
      <w:r>
        <w:rPr>
          <w:b/>
          <w:bCs/>
          <w:color w:val="000000" w:themeColor="text1"/>
          <w:highlight w:val="none"/>
          <w:u w:val="single"/>
        </w:rPr>
        <w:t>m</w:t>
      </w:r>
      <w:r>
        <w:rPr>
          <w:rFonts w:hint="eastAsia"/>
          <w:b/>
          <w:bCs/>
          <w:color w:val="000000" w:themeColor="text1"/>
          <w:highlight w:val="none"/>
          <w:u w:val="single"/>
        </w:rPr>
        <w:t>和</w:t>
      </w:r>
      <w:r>
        <w:rPr>
          <w:rFonts w:hint="eastAsia"/>
          <w:b/>
          <w:bCs/>
          <w:color w:val="000000" w:themeColor="text1"/>
          <w:u w:val="single"/>
          <w:lang w:val="en-US" w:eastAsia="zh-CN"/>
        </w:rPr>
        <w:t>115.90</w:t>
      </w:r>
      <w:r>
        <w:rPr>
          <w:b/>
          <w:bCs/>
          <w:color w:val="000000" w:themeColor="text1"/>
          <w:highlight w:val="none"/>
          <w:u w:val="single"/>
        </w:rPr>
        <w:t>m</w:t>
      </w:r>
      <w:r>
        <w:rPr>
          <w:rFonts w:hint="eastAsia"/>
          <w:b/>
          <w:bCs/>
          <w:color w:val="000000" w:themeColor="text1"/>
          <w:highlight w:val="none"/>
          <w:u w:val="single"/>
        </w:rPr>
        <w:t>，氨氮最远超标距离分别为</w:t>
      </w:r>
      <w:r>
        <w:rPr>
          <w:rFonts w:hint="eastAsia"/>
          <w:b/>
          <w:bCs/>
          <w:color w:val="000000" w:themeColor="text1"/>
          <w:u w:val="single"/>
          <w:lang w:val="en-US" w:eastAsia="zh-CN"/>
        </w:rPr>
        <w:t>34.41</w:t>
      </w:r>
      <w:r>
        <w:rPr>
          <w:b/>
          <w:bCs/>
          <w:color w:val="000000" w:themeColor="text1"/>
          <w:highlight w:val="none"/>
          <w:u w:val="single"/>
        </w:rPr>
        <w:t>m</w:t>
      </w:r>
      <w:r>
        <w:rPr>
          <w:rFonts w:hint="eastAsia"/>
          <w:b/>
          <w:bCs/>
          <w:color w:val="000000" w:themeColor="text1"/>
          <w:highlight w:val="none"/>
          <w:u w:val="single"/>
        </w:rPr>
        <w:t>、</w:t>
      </w:r>
      <w:r>
        <w:rPr>
          <w:rFonts w:hint="eastAsia"/>
          <w:b/>
          <w:bCs/>
          <w:color w:val="000000" w:themeColor="text1"/>
          <w:u w:val="single"/>
          <w:lang w:val="en-US" w:eastAsia="zh-CN"/>
        </w:rPr>
        <w:t>37.67</w:t>
      </w:r>
      <w:r>
        <w:rPr>
          <w:b/>
          <w:bCs/>
          <w:color w:val="000000" w:themeColor="text1"/>
          <w:highlight w:val="none"/>
          <w:u w:val="single"/>
        </w:rPr>
        <w:t>m</w:t>
      </w:r>
      <w:r>
        <w:rPr>
          <w:rFonts w:hint="eastAsia"/>
          <w:b/>
          <w:bCs/>
          <w:color w:val="000000" w:themeColor="text1"/>
          <w:highlight w:val="none"/>
          <w:u w:val="single"/>
        </w:rPr>
        <w:t>、</w:t>
      </w:r>
      <w:r>
        <w:rPr>
          <w:rFonts w:hint="eastAsia"/>
          <w:b/>
          <w:bCs/>
          <w:color w:val="000000" w:themeColor="text1"/>
          <w:u w:val="single"/>
          <w:lang w:val="en-US" w:eastAsia="zh-CN"/>
        </w:rPr>
        <w:t>50.28</w:t>
      </w:r>
      <w:r>
        <w:rPr>
          <w:b/>
          <w:bCs/>
          <w:color w:val="000000" w:themeColor="text1"/>
          <w:highlight w:val="none"/>
          <w:u w:val="single"/>
        </w:rPr>
        <w:t>m</w:t>
      </w:r>
      <w:r>
        <w:rPr>
          <w:rFonts w:hint="eastAsia"/>
          <w:b/>
          <w:bCs/>
          <w:color w:val="000000" w:themeColor="text1"/>
          <w:highlight w:val="none"/>
          <w:u w:val="single"/>
        </w:rPr>
        <w:t>和</w:t>
      </w:r>
      <w:r>
        <w:rPr>
          <w:rFonts w:hint="eastAsia"/>
          <w:b/>
          <w:bCs/>
          <w:color w:val="000000" w:themeColor="text1"/>
          <w:u w:val="single"/>
          <w:lang w:val="en-US" w:eastAsia="zh-CN"/>
        </w:rPr>
        <w:t>66.38</w:t>
      </w:r>
      <w:r>
        <w:rPr>
          <w:b/>
          <w:bCs/>
          <w:color w:val="000000" w:themeColor="text1"/>
          <w:highlight w:val="none"/>
          <w:u w:val="single"/>
        </w:rPr>
        <w:t>m</w:t>
      </w:r>
      <w:r>
        <w:rPr>
          <w:rFonts w:hint="eastAsia"/>
          <w:b/>
          <w:bCs/>
          <w:color w:val="000000" w:themeColor="text1"/>
          <w:highlight w:val="none"/>
          <w:u w:val="single"/>
        </w:rPr>
        <w:t>，由此可以看出，随着泄漏发生时间越长，下游最远超标范围就越大，至</w:t>
      </w:r>
      <w:r>
        <w:rPr>
          <w:b/>
          <w:bCs/>
          <w:color w:val="000000" w:themeColor="text1"/>
          <w:highlight w:val="none"/>
          <w:u w:val="single"/>
        </w:rPr>
        <w:t>1000d</w:t>
      </w:r>
      <w:r>
        <w:rPr>
          <w:rFonts w:hint="eastAsia"/>
          <w:b/>
          <w:bCs/>
          <w:color w:val="000000" w:themeColor="text1"/>
          <w:highlight w:val="none"/>
          <w:u w:val="single"/>
        </w:rPr>
        <w:t>时地下水污染最远距离为下游</w:t>
      </w:r>
      <w:r>
        <w:rPr>
          <w:rFonts w:hint="eastAsia"/>
          <w:b/>
          <w:bCs/>
          <w:color w:val="000000" w:themeColor="text1"/>
          <w:highlight w:val="none"/>
          <w:u w:val="single"/>
          <w:lang w:val="en-US" w:eastAsia="zh-CN"/>
        </w:rPr>
        <w:t>120</w:t>
      </w:r>
      <w:r>
        <w:rPr>
          <w:b/>
          <w:bCs/>
          <w:color w:val="000000" w:themeColor="text1"/>
          <w:highlight w:val="none"/>
          <w:u w:val="single"/>
        </w:rPr>
        <w:t>m</w:t>
      </w:r>
      <w:r>
        <w:rPr>
          <w:rFonts w:hint="eastAsia"/>
          <w:b/>
          <w:bCs/>
          <w:color w:val="000000" w:themeColor="text1"/>
          <w:highlight w:val="none"/>
          <w:u w:val="single"/>
        </w:rPr>
        <w:t>，仍控制在现有厂区内。泄漏发生后50d、</w:t>
      </w:r>
      <w:r>
        <w:rPr>
          <w:b/>
          <w:bCs/>
          <w:color w:val="000000" w:themeColor="text1"/>
          <w:highlight w:val="none"/>
          <w:u w:val="single"/>
        </w:rPr>
        <w:t>100d</w:t>
      </w:r>
      <w:r>
        <w:rPr>
          <w:rFonts w:hint="eastAsia"/>
          <w:b/>
          <w:bCs/>
          <w:color w:val="000000" w:themeColor="text1"/>
          <w:highlight w:val="none"/>
          <w:u w:val="single"/>
        </w:rPr>
        <w:t>、</w:t>
      </w:r>
      <w:r>
        <w:rPr>
          <w:b/>
          <w:bCs/>
          <w:color w:val="000000" w:themeColor="text1"/>
          <w:highlight w:val="none"/>
          <w:u w:val="single"/>
        </w:rPr>
        <w:t>500d</w:t>
      </w:r>
      <w:r>
        <w:rPr>
          <w:rFonts w:hint="eastAsia"/>
          <w:b/>
          <w:bCs/>
          <w:color w:val="000000" w:themeColor="text1"/>
          <w:highlight w:val="none"/>
          <w:u w:val="single"/>
        </w:rPr>
        <w:t>和</w:t>
      </w:r>
      <w:r>
        <w:rPr>
          <w:b/>
          <w:bCs/>
          <w:color w:val="000000" w:themeColor="text1"/>
          <w:highlight w:val="none"/>
          <w:u w:val="single"/>
        </w:rPr>
        <w:t>1000d</w:t>
      </w:r>
      <w:r>
        <w:rPr>
          <w:rFonts w:hint="eastAsia"/>
          <w:b/>
          <w:bCs/>
          <w:color w:val="000000" w:themeColor="text1"/>
          <w:highlight w:val="none"/>
          <w:u w:val="single"/>
        </w:rPr>
        <w:t>，耗氧量和氨氮在</w:t>
      </w:r>
      <w:r>
        <w:rPr>
          <w:b/>
          <w:bCs/>
          <w:color w:val="000000" w:themeColor="text1"/>
          <w:highlight w:val="none"/>
          <w:u w:val="single"/>
        </w:rPr>
        <w:t>下游的贡献浓度能够满足《地下水质量标准》（GB/T14848-</w:t>
      </w:r>
      <w:r>
        <w:rPr>
          <w:rFonts w:hint="eastAsia"/>
          <w:b/>
          <w:bCs/>
          <w:color w:val="000000" w:themeColor="text1"/>
          <w:highlight w:val="none"/>
          <w:u w:val="single"/>
        </w:rPr>
        <w:t>2017</w:t>
      </w:r>
      <w:r>
        <w:rPr>
          <w:b/>
          <w:bCs/>
          <w:color w:val="000000" w:themeColor="text1"/>
          <w:highlight w:val="none"/>
          <w:u w:val="single"/>
        </w:rPr>
        <w:t>）</w:t>
      </w:r>
      <w:r>
        <w:rPr>
          <w:b/>
          <w:bCs/>
          <w:color w:val="000000" w:themeColor="text1"/>
          <w:highlight w:val="none"/>
          <w:u w:val="single"/>
        </w:rPr>
        <w:fldChar w:fldCharType="begin"/>
      </w:r>
      <w:r>
        <w:rPr>
          <w:b/>
          <w:bCs/>
          <w:color w:val="000000" w:themeColor="text1"/>
          <w:highlight w:val="none"/>
          <w:u w:val="single"/>
        </w:rPr>
        <w:instrText xml:space="preserve"> = 3 \* ROMAN </w:instrText>
      </w:r>
      <w:r>
        <w:rPr>
          <w:b/>
          <w:bCs/>
          <w:color w:val="000000" w:themeColor="text1"/>
          <w:highlight w:val="none"/>
          <w:u w:val="single"/>
        </w:rPr>
        <w:fldChar w:fldCharType="separate"/>
      </w:r>
      <w:r>
        <w:rPr>
          <w:b/>
          <w:bCs/>
          <w:color w:val="000000" w:themeColor="text1"/>
          <w:highlight w:val="none"/>
          <w:u w:val="single"/>
        </w:rPr>
        <w:t>III</w:t>
      </w:r>
      <w:r>
        <w:rPr>
          <w:b/>
          <w:bCs/>
          <w:color w:val="000000" w:themeColor="text1"/>
          <w:highlight w:val="none"/>
          <w:u w:val="single"/>
        </w:rPr>
        <w:fldChar w:fldCharType="end"/>
      </w:r>
      <w:r>
        <w:rPr>
          <w:b/>
          <w:bCs/>
          <w:color w:val="000000" w:themeColor="text1"/>
          <w:highlight w:val="none"/>
          <w:u w:val="single"/>
        </w:rPr>
        <w:t>类标准限值的要求</w:t>
      </w:r>
      <w:r>
        <w:rPr>
          <w:rFonts w:hint="eastAsia"/>
          <w:b/>
          <w:bCs/>
          <w:color w:val="000000" w:themeColor="text1"/>
          <w:highlight w:val="none"/>
          <w:u w:val="single"/>
        </w:rPr>
        <w:t>。但随着时间的推移，</w:t>
      </w:r>
      <w:r>
        <w:rPr>
          <w:rFonts w:hint="eastAsia"/>
          <w:b/>
          <w:bCs/>
          <w:color w:val="000000" w:themeColor="text1"/>
          <w:sz w:val="21"/>
          <w:szCs w:val="21"/>
          <w:highlight w:val="none"/>
          <w:u w:val="single"/>
        </w:rPr>
        <w:t>污染带将超出厂界范围内，因此项目单位应加强监管和日常重点防渗区的养护，避免发生非正常泄漏情况。</w:t>
      </w:r>
    </w:p>
    <w:p>
      <w:pPr>
        <w:bidi w:val="0"/>
        <w:rPr>
          <w:b/>
          <w:bCs/>
          <w:color w:val="auto"/>
          <w:u w:val="single"/>
        </w:rPr>
      </w:pPr>
      <w:r>
        <w:rPr>
          <w:rFonts w:hint="eastAsia"/>
          <w:b/>
          <w:bCs/>
          <w:color w:val="auto"/>
          <w:u w:val="single"/>
        </w:rPr>
        <w:t>（2）厂界浓度预测</w:t>
      </w:r>
    </w:p>
    <w:p>
      <w:pPr>
        <w:bidi w:val="0"/>
        <w:rPr>
          <w:b/>
          <w:bCs/>
          <w:color w:val="auto"/>
          <w:u w:val="single"/>
        </w:rPr>
      </w:pPr>
      <w:r>
        <w:rPr>
          <w:rFonts w:hint="eastAsia"/>
          <w:b/>
          <w:bCs/>
          <w:color w:val="auto"/>
          <w:u w:val="single"/>
        </w:rPr>
        <w:t>项目废水调节池下游</w:t>
      </w:r>
      <w:r>
        <w:rPr>
          <w:rFonts w:hint="eastAsia"/>
          <w:b/>
          <w:bCs/>
          <w:color w:val="auto"/>
          <w:u w:val="single"/>
          <w:lang w:val="en-US" w:eastAsia="zh-CN"/>
        </w:rPr>
        <w:t>600</w:t>
      </w:r>
      <w:r>
        <w:rPr>
          <w:rFonts w:hint="eastAsia"/>
          <w:b/>
          <w:bCs/>
          <w:color w:val="auto"/>
          <w:u w:val="single"/>
        </w:rPr>
        <w:t>m处为项目北厂界、</w:t>
      </w:r>
      <w:r>
        <w:rPr>
          <w:rFonts w:hint="eastAsia"/>
          <w:b/>
          <w:bCs/>
          <w:color w:val="auto"/>
          <w:u w:val="single"/>
          <w:lang w:val="en-US" w:eastAsia="zh-CN"/>
        </w:rPr>
        <w:t>1350</w:t>
      </w:r>
      <w:r>
        <w:rPr>
          <w:b/>
          <w:bCs/>
          <w:color w:val="auto"/>
          <w:u w:val="single"/>
        </w:rPr>
        <w:t xml:space="preserve"> </w:t>
      </w:r>
      <w:r>
        <w:rPr>
          <w:rFonts w:hint="eastAsia"/>
          <w:b/>
          <w:bCs/>
          <w:color w:val="auto"/>
          <w:u w:val="single"/>
        </w:rPr>
        <w:t>m处为项目东厂界，其他厂界均不属于其下游区域，因此评价仅对项目北厂界、东厂界外地下水水质进行预测评价，详见下表。厂界浓度预测：根据计算结果，各个厂界处的浓度叠加值如下：</w:t>
      </w:r>
    </w:p>
    <w:p>
      <w:pPr>
        <w:pStyle w:val="181"/>
        <w:bidi w:val="0"/>
        <w:rPr>
          <w:color w:val="auto"/>
        </w:rPr>
      </w:pPr>
      <w:r>
        <w:rPr>
          <w:color w:val="auto"/>
        </w:rPr>
        <w:t>表5</w:t>
      </w:r>
      <w:r>
        <w:rPr>
          <w:rFonts w:hint="eastAsia"/>
          <w:color w:val="auto"/>
          <w:lang w:val="en-US" w:eastAsia="zh-CN"/>
        </w:rPr>
        <w:t>.4</w:t>
      </w:r>
      <w:r>
        <w:rPr>
          <w:color w:val="auto"/>
        </w:rPr>
        <w:t>-</w:t>
      </w:r>
      <w:r>
        <w:rPr>
          <w:rFonts w:hint="eastAsia"/>
          <w:color w:val="auto"/>
          <w:lang w:val="en-US" w:eastAsia="zh-CN"/>
        </w:rPr>
        <w:t>6</w:t>
      </w:r>
      <w:r>
        <w:rPr>
          <w:rFonts w:hint="eastAsia"/>
          <w:color w:val="auto"/>
        </w:rPr>
        <w:t xml:space="preserve">         </w:t>
      </w:r>
      <w:r>
        <w:rPr>
          <w:color w:val="auto"/>
        </w:rPr>
        <w:t>地下水预测</w:t>
      </w:r>
      <w:r>
        <w:rPr>
          <w:rFonts w:hint="eastAsia"/>
          <w:color w:val="auto"/>
        </w:rPr>
        <w:t>北厂界叠加值</w:t>
      </w:r>
      <w:r>
        <w:rPr>
          <w:color w:val="auto"/>
        </w:rPr>
        <w:t>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252"/>
        <w:gridCol w:w="1076"/>
        <w:gridCol w:w="1511"/>
        <w:gridCol w:w="1149"/>
        <w:gridCol w:w="1458"/>
        <w:gridCol w:w="1279"/>
        <w:gridCol w:w="79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trHeight w:val="397" w:hRule="atLeast"/>
          <w:tblHeader/>
          <w:jc w:val="center"/>
        </w:trPr>
        <w:tc>
          <w:tcPr>
            <w:tcW w:w="735" w:type="pct"/>
            <w:vMerge w:val="restart"/>
            <w:vAlign w:val="center"/>
          </w:tcPr>
          <w:p>
            <w:pPr>
              <w:pStyle w:val="182"/>
              <w:bidi w:val="0"/>
              <w:rPr>
                <w:b/>
                <w:bCs/>
                <w:color w:val="auto"/>
                <w:u w:val="single"/>
              </w:rPr>
            </w:pPr>
            <w:r>
              <w:rPr>
                <w:rFonts w:hint="eastAsia"/>
                <w:b/>
                <w:bCs/>
                <w:color w:val="auto"/>
                <w:u w:val="single"/>
              </w:rPr>
              <w:t>厂界名称</w:t>
            </w:r>
          </w:p>
        </w:tc>
        <w:tc>
          <w:tcPr>
            <w:tcW w:w="631" w:type="pct"/>
            <w:vMerge w:val="restart"/>
            <w:vAlign w:val="center"/>
          </w:tcPr>
          <w:p>
            <w:pPr>
              <w:pStyle w:val="182"/>
              <w:bidi w:val="0"/>
              <w:rPr>
                <w:b/>
                <w:bCs/>
                <w:color w:val="auto"/>
                <w:u w:val="single"/>
              </w:rPr>
            </w:pPr>
            <w:r>
              <w:rPr>
                <w:rFonts w:hint="eastAsia"/>
                <w:b/>
                <w:bCs/>
                <w:color w:val="auto"/>
                <w:u w:val="single"/>
              </w:rPr>
              <w:t>时间</w:t>
            </w:r>
          </w:p>
        </w:tc>
        <w:tc>
          <w:tcPr>
            <w:tcW w:w="3633" w:type="pct"/>
            <w:gridSpan w:val="5"/>
            <w:vAlign w:val="center"/>
          </w:tcPr>
          <w:p>
            <w:pPr>
              <w:pStyle w:val="182"/>
              <w:bidi w:val="0"/>
              <w:rPr>
                <w:b/>
                <w:bCs/>
                <w:color w:val="auto"/>
                <w:u w:val="single"/>
              </w:rPr>
            </w:pPr>
            <w:r>
              <w:rPr>
                <w:rFonts w:hint="eastAsia"/>
                <w:b/>
                <w:bCs/>
                <w:color w:val="auto"/>
                <w:u w:val="single"/>
              </w:rPr>
              <w:t>北厂界</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35" w:type="pct"/>
            <w:vMerge w:val="continue"/>
            <w:vAlign w:val="center"/>
          </w:tcPr>
          <w:p>
            <w:pPr>
              <w:pStyle w:val="182"/>
              <w:bidi w:val="0"/>
              <w:rPr>
                <w:b/>
                <w:bCs/>
                <w:color w:val="auto"/>
                <w:u w:val="single"/>
              </w:rPr>
            </w:pPr>
          </w:p>
        </w:tc>
        <w:tc>
          <w:tcPr>
            <w:tcW w:w="631" w:type="pct"/>
            <w:vMerge w:val="continue"/>
            <w:vAlign w:val="center"/>
          </w:tcPr>
          <w:p>
            <w:pPr>
              <w:pStyle w:val="182"/>
              <w:bidi w:val="0"/>
              <w:rPr>
                <w:b/>
                <w:bCs/>
                <w:color w:val="auto"/>
                <w:u w:val="single"/>
              </w:rPr>
            </w:pPr>
          </w:p>
        </w:tc>
        <w:tc>
          <w:tcPr>
            <w:tcW w:w="886" w:type="pct"/>
            <w:vAlign w:val="center"/>
          </w:tcPr>
          <w:p>
            <w:pPr>
              <w:pStyle w:val="182"/>
              <w:bidi w:val="0"/>
              <w:rPr>
                <w:b/>
                <w:bCs/>
                <w:color w:val="auto"/>
                <w:u w:val="single"/>
              </w:rPr>
            </w:pPr>
            <w:r>
              <w:rPr>
                <w:rFonts w:hint="eastAsia"/>
                <w:b/>
                <w:bCs/>
                <w:color w:val="auto"/>
                <w:u w:val="single"/>
              </w:rPr>
              <w:t>排放源至厂界的距离</w:t>
            </w:r>
          </w:p>
        </w:tc>
        <w:tc>
          <w:tcPr>
            <w:tcW w:w="674" w:type="pct"/>
            <w:vAlign w:val="center"/>
          </w:tcPr>
          <w:p>
            <w:pPr>
              <w:pStyle w:val="182"/>
              <w:bidi w:val="0"/>
              <w:rPr>
                <w:b/>
                <w:bCs/>
                <w:color w:val="auto"/>
                <w:u w:val="single"/>
              </w:rPr>
            </w:pPr>
            <w:r>
              <w:rPr>
                <w:rFonts w:hint="eastAsia"/>
                <w:b/>
                <w:bCs/>
                <w:color w:val="auto"/>
                <w:u w:val="single"/>
              </w:rPr>
              <w:t>预测值</w:t>
            </w:r>
          </w:p>
          <w:p>
            <w:pPr>
              <w:pStyle w:val="182"/>
              <w:bidi w:val="0"/>
              <w:rPr>
                <w:b/>
                <w:bCs/>
                <w:color w:val="auto"/>
                <w:u w:val="single"/>
              </w:rPr>
            </w:pPr>
            <w:r>
              <w:rPr>
                <w:rFonts w:hint="eastAsia"/>
                <w:b/>
                <w:bCs/>
                <w:color w:val="auto"/>
                <w:u w:val="single"/>
              </w:rPr>
              <w:t>浓度</w:t>
            </w:r>
            <w:r>
              <w:rPr>
                <w:b/>
                <w:bCs/>
                <w:color w:val="auto"/>
                <w:u w:val="single"/>
              </w:rPr>
              <w:t>mg/L</w:t>
            </w:r>
          </w:p>
        </w:tc>
        <w:tc>
          <w:tcPr>
            <w:tcW w:w="855" w:type="pct"/>
            <w:vAlign w:val="center"/>
          </w:tcPr>
          <w:p>
            <w:pPr>
              <w:pStyle w:val="182"/>
              <w:bidi w:val="0"/>
              <w:rPr>
                <w:b/>
                <w:bCs/>
                <w:color w:val="auto"/>
                <w:u w:val="single"/>
              </w:rPr>
            </w:pPr>
            <w:r>
              <w:rPr>
                <w:rFonts w:hint="eastAsia"/>
                <w:b/>
                <w:bCs/>
                <w:color w:val="auto"/>
                <w:u w:val="single"/>
              </w:rPr>
              <w:t>现状背景值浓度</w:t>
            </w:r>
            <w:r>
              <w:rPr>
                <w:b/>
                <w:bCs/>
                <w:color w:val="auto"/>
                <w:u w:val="single"/>
              </w:rPr>
              <w:t>mg/L</w:t>
            </w:r>
          </w:p>
        </w:tc>
        <w:tc>
          <w:tcPr>
            <w:tcW w:w="750" w:type="pct"/>
            <w:vAlign w:val="center"/>
          </w:tcPr>
          <w:p>
            <w:pPr>
              <w:pStyle w:val="182"/>
              <w:bidi w:val="0"/>
              <w:rPr>
                <w:b/>
                <w:bCs/>
                <w:color w:val="auto"/>
                <w:u w:val="single"/>
              </w:rPr>
            </w:pPr>
            <w:r>
              <w:rPr>
                <w:rFonts w:hint="eastAsia"/>
                <w:b/>
                <w:bCs/>
                <w:color w:val="auto"/>
                <w:u w:val="single"/>
              </w:rPr>
              <w:t>叠加值</w:t>
            </w:r>
          </w:p>
          <w:p>
            <w:pPr>
              <w:pStyle w:val="182"/>
              <w:bidi w:val="0"/>
              <w:rPr>
                <w:b/>
                <w:bCs/>
                <w:color w:val="auto"/>
                <w:u w:val="single"/>
              </w:rPr>
            </w:pPr>
            <w:r>
              <w:rPr>
                <w:rFonts w:hint="eastAsia"/>
                <w:b/>
                <w:bCs/>
                <w:color w:val="auto"/>
                <w:u w:val="single"/>
              </w:rPr>
              <w:t>浓度</w:t>
            </w:r>
            <w:r>
              <w:rPr>
                <w:b/>
                <w:bCs/>
                <w:color w:val="auto"/>
                <w:u w:val="single"/>
              </w:rPr>
              <w:t>mg/L</w:t>
            </w:r>
          </w:p>
        </w:tc>
        <w:tc>
          <w:tcPr>
            <w:tcW w:w="467" w:type="pct"/>
            <w:vAlign w:val="center"/>
          </w:tcPr>
          <w:p>
            <w:pPr>
              <w:pStyle w:val="182"/>
              <w:bidi w:val="0"/>
              <w:rPr>
                <w:b/>
                <w:bCs/>
                <w:color w:val="auto"/>
                <w:u w:val="single"/>
              </w:rPr>
            </w:pPr>
            <w:r>
              <w:rPr>
                <w:rFonts w:hint="eastAsia"/>
                <w:b/>
                <w:bCs/>
                <w:color w:val="auto"/>
                <w:u w:val="single"/>
              </w:rPr>
              <w:t>超标情况</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restart"/>
            <w:vAlign w:val="center"/>
          </w:tcPr>
          <w:p>
            <w:pPr>
              <w:pStyle w:val="182"/>
              <w:bidi w:val="0"/>
              <w:ind w:firstLine="0" w:firstLineChars="0"/>
              <w:rPr>
                <w:b/>
                <w:bCs/>
                <w:color w:val="auto"/>
                <w:u w:val="single"/>
              </w:rPr>
            </w:pPr>
            <w:r>
              <w:rPr>
                <w:rFonts w:hint="eastAsia"/>
                <w:b/>
                <w:bCs/>
                <w:color w:val="auto"/>
                <w:u w:val="single"/>
              </w:rPr>
              <w:t>C</w:t>
            </w:r>
            <w:r>
              <w:rPr>
                <w:b/>
                <w:bCs/>
                <w:color w:val="auto"/>
                <w:u w:val="single"/>
              </w:rPr>
              <w:t>OD</w:t>
            </w:r>
          </w:p>
        </w:tc>
        <w:tc>
          <w:tcPr>
            <w:tcW w:w="631" w:type="pct"/>
            <w:vAlign w:val="center"/>
          </w:tcPr>
          <w:p>
            <w:pPr>
              <w:pStyle w:val="182"/>
              <w:bidi w:val="0"/>
              <w:ind w:firstLine="0" w:firstLineChars="0"/>
              <w:rPr>
                <w:b/>
                <w:bCs/>
                <w:color w:val="auto"/>
                <w:u w:val="single"/>
              </w:rPr>
            </w:pPr>
            <w:r>
              <w:rPr>
                <w:b/>
                <w:bCs/>
                <w:color w:val="auto"/>
                <w:u w:val="single"/>
              </w:rPr>
              <w:t>100d</w:t>
            </w:r>
          </w:p>
        </w:tc>
        <w:tc>
          <w:tcPr>
            <w:tcW w:w="886" w:type="pct"/>
            <w:vMerge w:val="restart"/>
            <w:vAlign w:val="center"/>
          </w:tcPr>
          <w:p>
            <w:pPr>
              <w:pStyle w:val="182"/>
              <w:bidi w:val="0"/>
              <w:ind w:firstLine="0" w:firstLineChars="0"/>
              <w:rPr>
                <w:b/>
                <w:bCs/>
                <w:color w:val="auto"/>
                <w:u w:val="single"/>
              </w:rPr>
            </w:pPr>
            <w:r>
              <w:rPr>
                <w:rFonts w:hint="eastAsia"/>
                <w:b/>
                <w:bCs/>
                <w:color w:val="auto"/>
                <w:u w:val="single"/>
                <w:lang w:val="en-US" w:eastAsia="zh-CN"/>
              </w:rPr>
              <w:t>400</w:t>
            </w:r>
            <w:r>
              <w:rPr>
                <w:b/>
                <w:bCs/>
                <w:color w:val="auto"/>
                <w:u w:val="single"/>
              </w:rPr>
              <w:t xml:space="preserve"> m</w:t>
            </w:r>
          </w:p>
        </w:tc>
        <w:tc>
          <w:tcPr>
            <w:tcW w:w="674" w:type="pct"/>
            <w:vAlign w:val="center"/>
          </w:tcPr>
          <w:p>
            <w:pPr>
              <w:pStyle w:val="182"/>
              <w:bidi w:val="0"/>
              <w:ind w:firstLine="0" w:firstLineChars="0"/>
              <w:rPr>
                <w:b/>
                <w:bCs/>
                <w:color w:val="auto"/>
                <w:u w:val="single"/>
              </w:rPr>
            </w:pPr>
            <w:r>
              <w:rPr>
                <w:rFonts w:hint="eastAsia"/>
                <w:b/>
                <w:bCs/>
                <w:color w:val="auto"/>
                <w:u w:val="single"/>
              </w:rPr>
              <w:t>0</w:t>
            </w:r>
          </w:p>
        </w:tc>
        <w:tc>
          <w:tcPr>
            <w:tcW w:w="855" w:type="pct"/>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0.75</w:t>
            </w:r>
          </w:p>
        </w:tc>
        <w:tc>
          <w:tcPr>
            <w:tcW w:w="750" w:type="pct"/>
            <w:vAlign w:val="center"/>
          </w:tcPr>
          <w:p>
            <w:pPr>
              <w:pStyle w:val="182"/>
              <w:bidi w:val="0"/>
              <w:ind w:firstLine="0" w:firstLineChars="0"/>
              <w:rPr>
                <w:b/>
                <w:bCs/>
                <w:color w:val="auto"/>
                <w:u w:val="single"/>
              </w:rPr>
            </w:pPr>
            <w:r>
              <w:rPr>
                <w:rFonts w:hint="eastAsia"/>
                <w:b/>
                <w:bCs/>
                <w:color w:val="auto"/>
                <w:u w:val="single"/>
                <w:lang w:val="en-US" w:eastAsia="zh-CN"/>
              </w:rPr>
              <w:t>0.75</w:t>
            </w:r>
          </w:p>
        </w:tc>
        <w:tc>
          <w:tcPr>
            <w:tcW w:w="467" w:type="pct"/>
            <w:vAlign w:val="center"/>
          </w:tcPr>
          <w:p>
            <w:pPr>
              <w:pStyle w:val="182"/>
              <w:bidi w:val="0"/>
              <w:ind w:firstLine="0" w:firstLineChars="0"/>
              <w:rPr>
                <w:b/>
                <w:bCs/>
                <w:color w:val="auto"/>
                <w:u w:val="single"/>
              </w:rPr>
            </w:pPr>
            <w:r>
              <w:rPr>
                <w:rFonts w:hint="eastAsia"/>
                <w:b/>
                <w:bCs/>
                <w:color w:val="auto"/>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pPr>
              <w:pStyle w:val="182"/>
              <w:bidi w:val="0"/>
              <w:ind w:firstLine="0" w:firstLineChars="0"/>
              <w:rPr>
                <w:b/>
                <w:bCs/>
                <w:color w:val="auto"/>
                <w:u w:val="single"/>
              </w:rPr>
            </w:pPr>
          </w:p>
        </w:tc>
        <w:tc>
          <w:tcPr>
            <w:tcW w:w="631" w:type="pct"/>
            <w:vAlign w:val="center"/>
          </w:tcPr>
          <w:p>
            <w:pPr>
              <w:pStyle w:val="182"/>
              <w:bidi w:val="0"/>
              <w:ind w:firstLine="0" w:firstLineChars="0"/>
              <w:rPr>
                <w:b/>
                <w:bCs/>
                <w:color w:val="auto"/>
                <w:u w:val="single"/>
              </w:rPr>
            </w:pPr>
            <w:r>
              <w:rPr>
                <w:b/>
                <w:bCs/>
                <w:color w:val="auto"/>
                <w:u w:val="single"/>
              </w:rPr>
              <w:t>500 d</w:t>
            </w:r>
          </w:p>
        </w:tc>
        <w:tc>
          <w:tcPr>
            <w:tcW w:w="886" w:type="pct"/>
            <w:vMerge w:val="continue"/>
            <w:vAlign w:val="center"/>
          </w:tcPr>
          <w:p>
            <w:pPr>
              <w:pStyle w:val="182"/>
              <w:bidi w:val="0"/>
              <w:ind w:firstLine="0" w:firstLineChars="0"/>
              <w:rPr>
                <w:b/>
                <w:bCs/>
                <w:color w:val="auto"/>
                <w:u w:val="single"/>
              </w:rPr>
            </w:pPr>
          </w:p>
        </w:tc>
        <w:tc>
          <w:tcPr>
            <w:tcW w:w="674" w:type="pct"/>
            <w:vAlign w:val="center"/>
          </w:tcPr>
          <w:p>
            <w:pPr>
              <w:pStyle w:val="182"/>
              <w:bidi w:val="0"/>
              <w:ind w:firstLine="0" w:firstLineChars="0"/>
              <w:rPr>
                <w:b/>
                <w:bCs/>
                <w:color w:val="auto"/>
                <w:u w:val="single"/>
              </w:rPr>
            </w:pPr>
            <w:r>
              <w:rPr>
                <w:rFonts w:hint="eastAsia"/>
                <w:b/>
                <w:bCs/>
                <w:color w:val="auto"/>
                <w:u w:val="single"/>
              </w:rPr>
              <w:t>0</w:t>
            </w:r>
          </w:p>
        </w:tc>
        <w:tc>
          <w:tcPr>
            <w:tcW w:w="855" w:type="pct"/>
            <w:vAlign w:val="center"/>
          </w:tcPr>
          <w:p>
            <w:pPr>
              <w:pStyle w:val="182"/>
              <w:bidi w:val="0"/>
              <w:ind w:firstLine="0" w:firstLineChars="0"/>
              <w:rPr>
                <w:b/>
                <w:bCs/>
                <w:color w:val="auto"/>
                <w:u w:val="single"/>
              </w:rPr>
            </w:pPr>
            <w:r>
              <w:rPr>
                <w:rFonts w:hint="eastAsia"/>
                <w:b/>
                <w:bCs/>
                <w:color w:val="auto"/>
                <w:u w:val="single"/>
                <w:lang w:val="en-US" w:eastAsia="zh-CN"/>
              </w:rPr>
              <w:t>0.75</w:t>
            </w:r>
          </w:p>
        </w:tc>
        <w:tc>
          <w:tcPr>
            <w:tcW w:w="750" w:type="pct"/>
            <w:vAlign w:val="center"/>
          </w:tcPr>
          <w:p>
            <w:pPr>
              <w:pStyle w:val="182"/>
              <w:bidi w:val="0"/>
              <w:ind w:firstLine="0" w:firstLineChars="0"/>
              <w:rPr>
                <w:b/>
                <w:bCs/>
                <w:color w:val="auto"/>
                <w:u w:val="single"/>
              </w:rPr>
            </w:pPr>
            <w:r>
              <w:rPr>
                <w:rFonts w:hint="eastAsia"/>
                <w:b/>
                <w:bCs/>
                <w:color w:val="auto"/>
                <w:u w:val="single"/>
                <w:lang w:val="en-US" w:eastAsia="zh-CN"/>
              </w:rPr>
              <w:t>0.75</w:t>
            </w:r>
          </w:p>
        </w:tc>
        <w:tc>
          <w:tcPr>
            <w:tcW w:w="467" w:type="pct"/>
            <w:vAlign w:val="center"/>
          </w:tcPr>
          <w:p>
            <w:pPr>
              <w:pStyle w:val="182"/>
              <w:bidi w:val="0"/>
              <w:ind w:firstLine="0" w:firstLineChars="0"/>
              <w:rPr>
                <w:b/>
                <w:bCs/>
                <w:color w:val="auto"/>
                <w:u w:val="single"/>
              </w:rPr>
            </w:pPr>
            <w:r>
              <w:rPr>
                <w:rFonts w:hint="eastAsia"/>
                <w:b/>
                <w:bCs/>
                <w:color w:val="auto"/>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pPr>
              <w:pStyle w:val="182"/>
              <w:bidi w:val="0"/>
              <w:ind w:firstLine="0" w:firstLineChars="0"/>
              <w:rPr>
                <w:b/>
                <w:bCs/>
                <w:color w:val="auto"/>
                <w:u w:val="single"/>
              </w:rPr>
            </w:pPr>
          </w:p>
        </w:tc>
        <w:tc>
          <w:tcPr>
            <w:tcW w:w="631" w:type="pct"/>
            <w:vAlign w:val="center"/>
          </w:tcPr>
          <w:p>
            <w:pPr>
              <w:pStyle w:val="182"/>
              <w:bidi w:val="0"/>
              <w:ind w:firstLine="0" w:firstLineChars="0"/>
              <w:rPr>
                <w:b/>
                <w:bCs/>
                <w:color w:val="auto"/>
                <w:u w:val="single"/>
              </w:rPr>
            </w:pPr>
            <w:r>
              <w:rPr>
                <w:b/>
                <w:bCs/>
                <w:color w:val="auto"/>
                <w:u w:val="single"/>
              </w:rPr>
              <w:t>1000d</w:t>
            </w:r>
          </w:p>
        </w:tc>
        <w:tc>
          <w:tcPr>
            <w:tcW w:w="886" w:type="pct"/>
            <w:vMerge w:val="continue"/>
            <w:vAlign w:val="center"/>
          </w:tcPr>
          <w:p>
            <w:pPr>
              <w:pStyle w:val="182"/>
              <w:bidi w:val="0"/>
              <w:ind w:firstLine="0" w:firstLineChars="0"/>
              <w:rPr>
                <w:b/>
                <w:bCs/>
                <w:color w:val="auto"/>
                <w:u w:val="single"/>
              </w:rPr>
            </w:pPr>
          </w:p>
        </w:tc>
        <w:tc>
          <w:tcPr>
            <w:tcW w:w="674" w:type="pct"/>
            <w:vAlign w:val="center"/>
          </w:tcPr>
          <w:p>
            <w:pPr>
              <w:pStyle w:val="182"/>
              <w:bidi w:val="0"/>
              <w:ind w:firstLine="0" w:firstLineChars="0"/>
              <w:rPr>
                <w:b/>
                <w:bCs/>
                <w:color w:val="auto"/>
                <w:u w:val="single"/>
              </w:rPr>
            </w:pPr>
            <w:r>
              <w:rPr>
                <w:rFonts w:hint="eastAsia"/>
                <w:b/>
                <w:bCs/>
                <w:color w:val="auto"/>
                <w:u w:val="single"/>
              </w:rPr>
              <w:t>0</w:t>
            </w:r>
          </w:p>
        </w:tc>
        <w:tc>
          <w:tcPr>
            <w:tcW w:w="855" w:type="pct"/>
            <w:vAlign w:val="center"/>
          </w:tcPr>
          <w:p>
            <w:pPr>
              <w:pStyle w:val="182"/>
              <w:bidi w:val="0"/>
              <w:ind w:firstLine="0" w:firstLineChars="0"/>
              <w:rPr>
                <w:b/>
                <w:bCs/>
                <w:color w:val="auto"/>
                <w:u w:val="single"/>
              </w:rPr>
            </w:pPr>
            <w:r>
              <w:rPr>
                <w:rFonts w:hint="eastAsia"/>
                <w:b/>
                <w:bCs/>
                <w:color w:val="auto"/>
                <w:u w:val="single"/>
                <w:lang w:val="en-US" w:eastAsia="zh-CN"/>
              </w:rPr>
              <w:t>0.75</w:t>
            </w:r>
          </w:p>
        </w:tc>
        <w:tc>
          <w:tcPr>
            <w:tcW w:w="750" w:type="pct"/>
            <w:vAlign w:val="center"/>
          </w:tcPr>
          <w:p>
            <w:pPr>
              <w:pStyle w:val="182"/>
              <w:bidi w:val="0"/>
              <w:ind w:firstLine="0" w:firstLineChars="0"/>
              <w:rPr>
                <w:b/>
                <w:bCs/>
                <w:color w:val="auto"/>
                <w:u w:val="single"/>
              </w:rPr>
            </w:pPr>
            <w:r>
              <w:rPr>
                <w:rFonts w:hint="eastAsia"/>
                <w:b/>
                <w:bCs/>
                <w:color w:val="auto"/>
                <w:u w:val="single"/>
                <w:lang w:val="en-US" w:eastAsia="zh-CN"/>
              </w:rPr>
              <w:t>0.75</w:t>
            </w:r>
          </w:p>
        </w:tc>
        <w:tc>
          <w:tcPr>
            <w:tcW w:w="467" w:type="pct"/>
            <w:vAlign w:val="center"/>
          </w:tcPr>
          <w:p>
            <w:pPr>
              <w:pStyle w:val="182"/>
              <w:bidi w:val="0"/>
              <w:ind w:firstLine="0" w:firstLineChars="0"/>
              <w:rPr>
                <w:b/>
                <w:bCs/>
                <w:color w:val="auto"/>
                <w:u w:val="single"/>
              </w:rPr>
            </w:pPr>
            <w:r>
              <w:rPr>
                <w:rFonts w:hint="eastAsia"/>
                <w:b/>
                <w:bCs/>
                <w:color w:val="auto"/>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pPr>
              <w:pStyle w:val="182"/>
              <w:bidi w:val="0"/>
              <w:ind w:firstLine="0" w:firstLineChars="0"/>
              <w:rPr>
                <w:b/>
                <w:bCs/>
                <w:color w:val="auto"/>
                <w:u w:val="single"/>
              </w:rPr>
            </w:pPr>
          </w:p>
        </w:tc>
        <w:tc>
          <w:tcPr>
            <w:tcW w:w="631" w:type="pct"/>
            <w:vAlign w:val="center"/>
          </w:tcPr>
          <w:p>
            <w:pPr>
              <w:pStyle w:val="182"/>
              <w:bidi w:val="0"/>
              <w:ind w:firstLine="0" w:firstLineChars="0"/>
              <w:rPr>
                <w:b/>
                <w:bCs/>
                <w:color w:val="auto"/>
                <w:u w:val="single"/>
              </w:rPr>
            </w:pPr>
            <w:r>
              <w:rPr>
                <w:b/>
                <w:bCs/>
                <w:color w:val="auto"/>
                <w:u w:val="single"/>
              </w:rPr>
              <w:t>10</w:t>
            </w:r>
            <w:r>
              <w:rPr>
                <w:rFonts w:hint="eastAsia"/>
                <w:b/>
                <w:bCs/>
                <w:color w:val="auto"/>
                <w:u w:val="single"/>
              </w:rPr>
              <w:t>年</w:t>
            </w:r>
          </w:p>
        </w:tc>
        <w:tc>
          <w:tcPr>
            <w:tcW w:w="886" w:type="pct"/>
            <w:vMerge w:val="continue"/>
            <w:vAlign w:val="center"/>
          </w:tcPr>
          <w:p>
            <w:pPr>
              <w:pStyle w:val="182"/>
              <w:bidi w:val="0"/>
              <w:ind w:firstLine="0" w:firstLineChars="0"/>
              <w:rPr>
                <w:b/>
                <w:bCs/>
                <w:color w:val="auto"/>
                <w:u w:val="single"/>
              </w:rPr>
            </w:pPr>
          </w:p>
        </w:tc>
        <w:tc>
          <w:tcPr>
            <w:tcW w:w="674" w:type="pct"/>
            <w:vAlign w:val="center"/>
          </w:tcPr>
          <w:p>
            <w:pPr>
              <w:pStyle w:val="182"/>
              <w:bidi w:val="0"/>
              <w:ind w:firstLine="0" w:firstLineChars="0"/>
              <w:rPr>
                <w:rFonts w:hint="eastAsia" w:eastAsia="宋体"/>
                <w:b/>
                <w:bCs/>
                <w:color w:val="auto"/>
                <w:u w:val="single"/>
                <w:lang w:eastAsia="zh-CN"/>
              </w:rPr>
            </w:pPr>
            <w:r>
              <w:rPr>
                <w:rFonts w:hint="eastAsia"/>
                <w:b/>
                <w:bCs/>
                <w:color w:val="auto"/>
                <w:u w:val="single"/>
                <w:lang w:val="en-US" w:eastAsia="zh-CN"/>
              </w:rPr>
              <w:t>0</w:t>
            </w:r>
          </w:p>
        </w:tc>
        <w:tc>
          <w:tcPr>
            <w:tcW w:w="855" w:type="pct"/>
            <w:vAlign w:val="center"/>
          </w:tcPr>
          <w:p>
            <w:pPr>
              <w:pStyle w:val="182"/>
              <w:bidi w:val="0"/>
              <w:ind w:firstLine="0" w:firstLineChars="0"/>
              <w:rPr>
                <w:b/>
                <w:bCs/>
                <w:color w:val="auto"/>
                <w:u w:val="single"/>
              </w:rPr>
            </w:pPr>
            <w:r>
              <w:rPr>
                <w:rFonts w:hint="eastAsia"/>
                <w:b/>
                <w:bCs/>
                <w:color w:val="auto"/>
                <w:u w:val="single"/>
                <w:lang w:val="en-US" w:eastAsia="zh-CN"/>
              </w:rPr>
              <w:t>0.75</w:t>
            </w:r>
          </w:p>
        </w:tc>
        <w:tc>
          <w:tcPr>
            <w:tcW w:w="750" w:type="pct"/>
            <w:vAlign w:val="center"/>
          </w:tcPr>
          <w:p>
            <w:pPr>
              <w:pStyle w:val="182"/>
              <w:bidi w:val="0"/>
              <w:ind w:firstLine="0" w:firstLineChars="0"/>
              <w:rPr>
                <w:b/>
                <w:bCs/>
                <w:color w:val="auto"/>
                <w:u w:val="single"/>
              </w:rPr>
            </w:pPr>
            <w:r>
              <w:rPr>
                <w:rFonts w:hint="eastAsia"/>
                <w:b/>
                <w:bCs/>
                <w:color w:val="auto"/>
                <w:u w:val="single"/>
                <w:lang w:val="en-US" w:eastAsia="zh-CN"/>
              </w:rPr>
              <w:t>0.75</w:t>
            </w:r>
          </w:p>
        </w:tc>
        <w:tc>
          <w:tcPr>
            <w:tcW w:w="467" w:type="pct"/>
            <w:vAlign w:val="center"/>
          </w:tcPr>
          <w:p>
            <w:pPr>
              <w:pStyle w:val="182"/>
              <w:bidi w:val="0"/>
              <w:ind w:firstLine="0" w:firstLineChars="0"/>
              <w:rPr>
                <w:b/>
                <w:bCs/>
                <w:color w:val="auto"/>
                <w:u w:val="single"/>
              </w:rPr>
            </w:pPr>
            <w:r>
              <w:rPr>
                <w:rFonts w:hint="eastAsia"/>
                <w:b/>
                <w:bCs/>
                <w:color w:val="auto"/>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pPr>
              <w:pStyle w:val="182"/>
              <w:bidi w:val="0"/>
              <w:ind w:firstLine="0" w:firstLineChars="0"/>
              <w:rPr>
                <w:b/>
                <w:bCs/>
                <w:color w:val="auto"/>
                <w:u w:val="single"/>
              </w:rPr>
            </w:pPr>
          </w:p>
        </w:tc>
        <w:tc>
          <w:tcPr>
            <w:tcW w:w="631" w:type="pct"/>
            <w:vAlign w:val="center"/>
          </w:tcPr>
          <w:p>
            <w:pPr>
              <w:pStyle w:val="182"/>
              <w:bidi w:val="0"/>
              <w:ind w:firstLine="0" w:firstLineChars="0"/>
              <w:rPr>
                <w:b/>
                <w:bCs/>
                <w:color w:val="auto"/>
                <w:u w:val="single"/>
              </w:rPr>
            </w:pPr>
            <w:r>
              <w:rPr>
                <w:b/>
                <w:bCs/>
                <w:color w:val="auto"/>
                <w:u w:val="single"/>
              </w:rPr>
              <w:t>20</w:t>
            </w:r>
            <w:r>
              <w:rPr>
                <w:rFonts w:hint="eastAsia"/>
                <w:b/>
                <w:bCs/>
                <w:color w:val="auto"/>
                <w:u w:val="single"/>
              </w:rPr>
              <w:t>年</w:t>
            </w:r>
          </w:p>
        </w:tc>
        <w:tc>
          <w:tcPr>
            <w:tcW w:w="886" w:type="pct"/>
            <w:vMerge w:val="continue"/>
            <w:vAlign w:val="center"/>
          </w:tcPr>
          <w:p>
            <w:pPr>
              <w:pStyle w:val="182"/>
              <w:bidi w:val="0"/>
              <w:ind w:firstLine="0" w:firstLineChars="0"/>
              <w:rPr>
                <w:b/>
                <w:bCs/>
                <w:color w:val="auto"/>
                <w:u w:val="single"/>
              </w:rPr>
            </w:pPr>
          </w:p>
        </w:tc>
        <w:tc>
          <w:tcPr>
            <w:tcW w:w="674" w:type="pct"/>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0.12</w:t>
            </w:r>
          </w:p>
        </w:tc>
        <w:tc>
          <w:tcPr>
            <w:tcW w:w="855" w:type="pct"/>
            <w:vAlign w:val="center"/>
          </w:tcPr>
          <w:p>
            <w:pPr>
              <w:pStyle w:val="182"/>
              <w:bidi w:val="0"/>
              <w:ind w:firstLine="0" w:firstLineChars="0"/>
              <w:rPr>
                <w:b/>
                <w:bCs/>
                <w:color w:val="auto"/>
                <w:u w:val="single"/>
              </w:rPr>
            </w:pPr>
            <w:r>
              <w:rPr>
                <w:rFonts w:hint="eastAsia"/>
                <w:b/>
                <w:bCs/>
                <w:color w:val="auto"/>
                <w:u w:val="single"/>
                <w:lang w:val="en-US" w:eastAsia="zh-CN"/>
              </w:rPr>
              <w:t>0.75</w:t>
            </w:r>
          </w:p>
        </w:tc>
        <w:tc>
          <w:tcPr>
            <w:tcW w:w="750" w:type="pct"/>
            <w:vAlign w:val="center"/>
          </w:tcPr>
          <w:p>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0.805</w:t>
            </w:r>
          </w:p>
        </w:tc>
        <w:tc>
          <w:tcPr>
            <w:tcW w:w="467" w:type="pct"/>
            <w:vAlign w:val="center"/>
          </w:tcPr>
          <w:p>
            <w:pPr>
              <w:pStyle w:val="182"/>
              <w:bidi w:val="0"/>
              <w:ind w:firstLine="0" w:firstLineChars="0"/>
              <w:rPr>
                <w:rFonts w:hint="eastAsia" w:eastAsia="宋体"/>
                <w:b/>
                <w:bCs/>
                <w:color w:val="auto"/>
                <w:u w:val="single"/>
                <w:lang w:eastAsia="zh-CN"/>
              </w:rPr>
            </w:pPr>
            <w:r>
              <w:rPr>
                <w:rFonts w:hint="eastAsia"/>
                <w:b/>
                <w:bCs/>
                <w:color w:val="auto"/>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restart"/>
            <w:vAlign w:val="center"/>
          </w:tcPr>
          <w:p>
            <w:pPr>
              <w:pStyle w:val="182"/>
              <w:bidi w:val="0"/>
              <w:ind w:firstLine="0" w:firstLineChars="0"/>
              <w:rPr>
                <w:b w:val="0"/>
                <w:bCs w:val="0"/>
                <w:color w:val="auto"/>
                <w:u w:val="none"/>
              </w:rPr>
            </w:pPr>
            <w:r>
              <w:rPr>
                <w:rFonts w:hint="eastAsia"/>
                <w:b w:val="0"/>
                <w:bCs w:val="0"/>
                <w:color w:val="auto"/>
                <w:u w:val="none"/>
              </w:rPr>
              <w:t>氨氮</w:t>
            </w:r>
          </w:p>
        </w:tc>
        <w:tc>
          <w:tcPr>
            <w:tcW w:w="631" w:type="pct"/>
            <w:vAlign w:val="center"/>
          </w:tcPr>
          <w:p>
            <w:pPr>
              <w:pStyle w:val="182"/>
              <w:bidi w:val="0"/>
              <w:ind w:firstLine="0" w:firstLineChars="0"/>
              <w:rPr>
                <w:b w:val="0"/>
                <w:bCs w:val="0"/>
                <w:color w:val="auto"/>
                <w:u w:val="none"/>
              </w:rPr>
            </w:pPr>
            <w:r>
              <w:rPr>
                <w:b w:val="0"/>
                <w:bCs w:val="0"/>
                <w:color w:val="auto"/>
                <w:u w:val="none"/>
              </w:rPr>
              <w:t>100d</w:t>
            </w:r>
          </w:p>
        </w:tc>
        <w:tc>
          <w:tcPr>
            <w:tcW w:w="886" w:type="pct"/>
            <w:vMerge w:val="restart"/>
            <w:vAlign w:val="center"/>
          </w:tcPr>
          <w:p>
            <w:pPr>
              <w:pStyle w:val="182"/>
              <w:bidi w:val="0"/>
              <w:ind w:firstLine="0" w:firstLineChars="0"/>
              <w:rPr>
                <w:b w:val="0"/>
                <w:bCs w:val="0"/>
                <w:color w:val="auto"/>
                <w:u w:val="none"/>
              </w:rPr>
            </w:pPr>
            <w:r>
              <w:rPr>
                <w:rFonts w:hint="eastAsia"/>
                <w:b w:val="0"/>
                <w:bCs w:val="0"/>
                <w:color w:val="auto"/>
                <w:u w:val="none"/>
                <w:lang w:val="en-US" w:eastAsia="zh-CN"/>
              </w:rPr>
              <w:t>400</w:t>
            </w:r>
            <w:r>
              <w:rPr>
                <w:b w:val="0"/>
                <w:bCs w:val="0"/>
                <w:color w:val="auto"/>
                <w:u w:val="none"/>
              </w:rPr>
              <w:t>m</w:t>
            </w:r>
          </w:p>
        </w:tc>
        <w:tc>
          <w:tcPr>
            <w:tcW w:w="674" w:type="pct"/>
            <w:vAlign w:val="center"/>
          </w:tcPr>
          <w:p>
            <w:pPr>
              <w:pStyle w:val="182"/>
              <w:bidi w:val="0"/>
              <w:ind w:firstLine="0" w:firstLineChars="0"/>
              <w:rPr>
                <w:b w:val="0"/>
                <w:bCs w:val="0"/>
                <w:color w:val="auto"/>
                <w:u w:val="none"/>
              </w:rPr>
            </w:pPr>
            <w:r>
              <w:rPr>
                <w:b w:val="0"/>
                <w:bCs w:val="0"/>
                <w:color w:val="auto"/>
                <w:u w:val="none"/>
              </w:rPr>
              <w:t>0</w:t>
            </w:r>
          </w:p>
        </w:tc>
        <w:tc>
          <w:tcPr>
            <w:tcW w:w="855" w:type="pct"/>
            <w:vAlign w:val="center"/>
          </w:tcPr>
          <w:p>
            <w:pPr>
              <w:pStyle w:val="182"/>
              <w:bidi w:val="0"/>
              <w:ind w:firstLine="0" w:firstLineChars="0"/>
              <w:rPr>
                <w:rFonts w:hint="default" w:eastAsia="宋体"/>
                <w:b w:val="0"/>
                <w:bCs w:val="0"/>
                <w:color w:val="auto"/>
                <w:u w:val="none"/>
                <w:lang w:val="en-US" w:eastAsia="zh-CN"/>
              </w:rPr>
            </w:pPr>
            <w:r>
              <w:rPr>
                <w:rFonts w:hint="eastAsia"/>
                <w:b w:val="0"/>
                <w:bCs w:val="0"/>
                <w:color w:val="auto"/>
                <w:u w:val="none"/>
                <w:lang w:val="en-US" w:eastAsia="zh-CN"/>
              </w:rPr>
              <w:t>0.123</w:t>
            </w:r>
          </w:p>
        </w:tc>
        <w:tc>
          <w:tcPr>
            <w:tcW w:w="750" w:type="pct"/>
            <w:vAlign w:val="center"/>
          </w:tcPr>
          <w:p>
            <w:pPr>
              <w:pStyle w:val="182"/>
              <w:bidi w:val="0"/>
              <w:ind w:firstLine="0" w:firstLineChars="0"/>
              <w:rPr>
                <w:b w:val="0"/>
                <w:bCs w:val="0"/>
                <w:color w:val="auto"/>
                <w:u w:val="none"/>
              </w:rPr>
            </w:pPr>
            <w:r>
              <w:rPr>
                <w:rFonts w:hint="eastAsia"/>
                <w:b w:val="0"/>
                <w:bCs w:val="0"/>
                <w:color w:val="auto"/>
                <w:u w:val="none"/>
                <w:lang w:val="en-US" w:eastAsia="zh-CN"/>
              </w:rPr>
              <w:t>0.123</w:t>
            </w:r>
          </w:p>
        </w:tc>
        <w:tc>
          <w:tcPr>
            <w:tcW w:w="467" w:type="pct"/>
            <w:vAlign w:val="center"/>
          </w:tcPr>
          <w:p>
            <w:pPr>
              <w:pStyle w:val="182"/>
              <w:bidi w:val="0"/>
              <w:ind w:firstLine="0" w:firstLineChars="0"/>
              <w:rPr>
                <w:b w:val="0"/>
                <w:bCs w:val="0"/>
                <w:color w:val="auto"/>
                <w:u w:val="none"/>
              </w:rPr>
            </w:pPr>
            <w:r>
              <w:rPr>
                <w:rFonts w:hint="eastAsia"/>
                <w:b w:val="0"/>
                <w:bCs w:val="0"/>
                <w:color w:val="auto"/>
                <w:u w:val="non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pPr>
              <w:pStyle w:val="182"/>
              <w:bidi w:val="0"/>
              <w:ind w:firstLine="0" w:firstLineChars="0"/>
              <w:rPr>
                <w:b w:val="0"/>
                <w:bCs w:val="0"/>
                <w:color w:val="auto"/>
                <w:u w:val="none"/>
              </w:rPr>
            </w:pPr>
          </w:p>
        </w:tc>
        <w:tc>
          <w:tcPr>
            <w:tcW w:w="631" w:type="pct"/>
            <w:vAlign w:val="center"/>
          </w:tcPr>
          <w:p>
            <w:pPr>
              <w:pStyle w:val="182"/>
              <w:bidi w:val="0"/>
              <w:ind w:firstLine="0" w:firstLineChars="0"/>
              <w:rPr>
                <w:b w:val="0"/>
                <w:bCs w:val="0"/>
                <w:color w:val="auto"/>
                <w:u w:val="none"/>
              </w:rPr>
            </w:pPr>
            <w:r>
              <w:rPr>
                <w:b w:val="0"/>
                <w:bCs w:val="0"/>
                <w:color w:val="auto"/>
                <w:u w:val="none"/>
              </w:rPr>
              <w:t>500 d</w:t>
            </w:r>
          </w:p>
        </w:tc>
        <w:tc>
          <w:tcPr>
            <w:tcW w:w="886" w:type="pct"/>
            <w:vMerge w:val="continue"/>
            <w:vAlign w:val="center"/>
          </w:tcPr>
          <w:p>
            <w:pPr>
              <w:pStyle w:val="182"/>
              <w:bidi w:val="0"/>
              <w:ind w:firstLine="0" w:firstLineChars="0"/>
              <w:rPr>
                <w:b w:val="0"/>
                <w:bCs w:val="0"/>
                <w:color w:val="auto"/>
                <w:u w:val="none"/>
              </w:rPr>
            </w:pPr>
          </w:p>
        </w:tc>
        <w:tc>
          <w:tcPr>
            <w:tcW w:w="674" w:type="pct"/>
            <w:vAlign w:val="center"/>
          </w:tcPr>
          <w:p>
            <w:pPr>
              <w:pStyle w:val="182"/>
              <w:bidi w:val="0"/>
              <w:ind w:firstLine="0" w:firstLineChars="0"/>
              <w:rPr>
                <w:b w:val="0"/>
                <w:bCs w:val="0"/>
                <w:color w:val="auto"/>
                <w:u w:val="none"/>
              </w:rPr>
            </w:pPr>
            <w:r>
              <w:rPr>
                <w:b w:val="0"/>
                <w:bCs w:val="0"/>
                <w:color w:val="auto"/>
                <w:u w:val="none"/>
              </w:rPr>
              <w:t>0</w:t>
            </w:r>
          </w:p>
        </w:tc>
        <w:tc>
          <w:tcPr>
            <w:tcW w:w="855" w:type="pct"/>
            <w:vAlign w:val="center"/>
          </w:tcPr>
          <w:p>
            <w:pPr>
              <w:pStyle w:val="182"/>
              <w:bidi w:val="0"/>
              <w:ind w:firstLine="0" w:firstLineChars="0"/>
              <w:rPr>
                <w:rFonts w:hint="eastAsia" w:eastAsia="宋体"/>
                <w:b w:val="0"/>
                <w:bCs w:val="0"/>
                <w:color w:val="auto"/>
                <w:u w:val="none"/>
                <w:lang w:eastAsia="zh-CN"/>
              </w:rPr>
            </w:pPr>
            <w:r>
              <w:rPr>
                <w:rFonts w:hint="eastAsia"/>
                <w:b w:val="0"/>
                <w:bCs w:val="0"/>
                <w:color w:val="auto"/>
                <w:u w:val="none"/>
                <w:lang w:val="en-US" w:eastAsia="zh-CN"/>
              </w:rPr>
              <w:t>0.123</w:t>
            </w:r>
          </w:p>
        </w:tc>
        <w:tc>
          <w:tcPr>
            <w:tcW w:w="750" w:type="pct"/>
            <w:vAlign w:val="center"/>
          </w:tcPr>
          <w:p>
            <w:pPr>
              <w:pStyle w:val="182"/>
              <w:bidi w:val="0"/>
              <w:ind w:firstLine="0" w:firstLineChars="0"/>
              <w:rPr>
                <w:b w:val="0"/>
                <w:bCs w:val="0"/>
                <w:color w:val="auto"/>
                <w:u w:val="none"/>
              </w:rPr>
            </w:pPr>
            <w:r>
              <w:rPr>
                <w:rFonts w:hint="eastAsia"/>
                <w:b w:val="0"/>
                <w:bCs w:val="0"/>
                <w:color w:val="auto"/>
                <w:u w:val="none"/>
                <w:lang w:val="en-US" w:eastAsia="zh-CN"/>
              </w:rPr>
              <w:t>0.123</w:t>
            </w:r>
          </w:p>
        </w:tc>
        <w:tc>
          <w:tcPr>
            <w:tcW w:w="467" w:type="pct"/>
            <w:vAlign w:val="center"/>
          </w:tcPr>
          <w:p>
            <w:pPr>
              <w:pStyle w:val="182"/>
              <w:bidi w:val="0"/>
              <w:ind w:firstLine="0" w:firstLineChars="0"/>
              <w:rPr>
                <w:b w:val="0"/>
                <w:bCs w:val="0"/>
                <w:color w:val="auto"/>
                <w:u w:val="none"/>
              </w:rPr>
            </w:pPr>
            <w:r>
              <w:rPr>
                <w:rFonts w:hint="eastAsia"/>
                <w:b w:val="0"/>
                <w:bCs w:val="0"/>
                <w:color w:val="auto"/>
                <w:u w:val="non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pPr>
              <w:pStyle w:val="182"/>
              <w:bidi w:val="0"/>
              <w:ind w:firstLine="0" w:firstLineChars="0"/>
              <w:rPr>
                <w:b w:val="0"/>
                <w:bCs w:val="0"/>
                <w:color w:val="auto"/>
                <w:u w:val="none"/>
              </w:rPr>
            </w:pPr>
          </w:p>
        </w:tc>
        <w:tc>
          <w:tcPr>
            <w:tcW w:w="631" w:type="pct"/>
            <w:vAlign w:val="center"/>
          </w:tcPr>
          <w:p>
            <w:pPr>
              <w:pStyle w:val="182"/>
              <w:bidi w:val="0"/>
              <w:ind w:firstLine="0" w:firstLineChars="0"/>
              <w:rPr>
                <w:b w:val="0"/>
                <w:bCs w:val="0"/>
                <w:color w:val="auto"/>
                <w:u w:val="none"/>
              </w:rPr>
            </w:pPr>
            <w:r>
              <w:rPr>
                <w:b w:val="0"/>
                <w:bCs w:val="0"/>
                <w:color w:val="auto"/>
                <w:u w:val="none"/>
              </w:rPr>
              <w:t>1000d</w:t>
            </w:r>
          </w:p>
        </w:tc>
        <w:tc>
          <w:tcPr>
            <w:tcW w:w="886" w:type="pct"/>
            <w:vMerge w:val="continue"/>
            <w:vAlign w:val="center"/>
          </w:tcPr>
          <w:p>
            <w:pPr>
              <w:pStyle w:val="182"/>
              <w:bidi w:val="0"/>
              <w:ind w:firstLine="0" w:firstLineChars="0"/>
              <w:rPr>
                <w:b w:val="0"/>
                <w:bCs w:val="0"/>
                <w:color w:val="auto"/>
                <w:u w:val="none"/>
              </w:rPr>
            </w:pPr>
          </w:p>
        </w:tc>
        <w:tc>
          <w:tcPr>
            <w:tcW w:w="674" w:type="pct"/>
            <w:vAlign w:val="center"/>
          </w:tcPr>
          <w:p>
            <w:pPr>
              <w:pStyle w:val="182"/>
              <w:bidi w:val="0"/>
              <w:ind w:firstLine="0" w:firstLineChars="0"/>
              <w:rPr>
                <w:b w:val="0"/>
                <w:bCs w:val="0"/>
                <w:color w:val="auto"/>
                <w:u w:val="none"/>
              </w:rPr>
            </w:pPr>
            <w:r>
              <w:rPr>
                <w:b w:val="0"/>
                <w:bCs w:val="0"/>
                <w:color w:val="auto"/>
                <w:u w:val="none"/>
              </w:rPr>
              <w:t>0</w:t>
            </w:r>
          </w:p>
        </w:tc>
        <w:tc>
          <w:tcPr>
            <w:tcW w:w="855" w:type="pct"/>
            <w:vAlign w:val="center"/>
          </w:tcPr>
          <w:p>
            <w:pPr>
              <w:pStyle w:val="182"/>
              <w:bidi w:val="0"/>
              <w:ind w:firstLine="0" w:firstLineChars="0"/>
              <w:rPr>
                <w:b w:val="0"/>
                <w:bCs w:val="0"/>
                <w:color w:val="auto"/>
                <w:u w:val="none"/>
              </w:rPr>
            </w:pPr>
            <w:r>
              <w:rPr>
                <w:rFonts w:hint="eastAsia"/>
                <w:b w:val="0"/>
                <w:bCs w:val="0"/>
                <w:color w:val="auto"/>
                <w:u w:val="none"/>
                <w:lang w:val="en-US" w:eastAsia="zh-CN"/>
              </w:rPr>
              <w:t>0.123</w:t>
            </w:r>
          </w:p>
        </w:tc>
        <w:tc>
          <w:tcPr>
            <w:tcW w:w="750" w:type="pct"/>
            <w:vAlign w:val="center"/>
          </w:tcPr>
          <w:p>
            <w:pPr>
              <w:pStyle w:val="182"/>
              <w:bidi w:val="0"/>
              <w:ind w:firstLine="0" w:firstLineChars="0"/>
              <w:rPr>
                <w:b w:val="0"/>
                <w:bCs w:val="0"/>
                <w:color w:val="auto"/>
                <w:u w:val="none"/>
              </w:rPr>
            </w:pPr>
            <w:r>
              <w:rPr>
                <w:rFonts w:hint="eastAsia"/>
                <w:b w:val="0"/>
                <w:bCs w:val="0"/>
                <w:color w:val="auto"/>
                <w:u w:val="none"/>
                <w:lang w:val="en-US" w:eastAsia="zh-CN"/>
              </w:rPr>
              <w:t>0.123</w:t>
            </w:r>
          </w:p>
        </w:tc>
        <w:tc>
          <w:tcPr>
            <w:tcW w:w="467" w:type="pct"/>
            <w:vAlign w:val="center"/>
          </w:tcPr>
          <w:p>
            <w:pPr>
              <w:pStyle w:val="182"/>
              <w:bidi w:val="0"/>
              <w:ind w:firstLine="0" w:firstLineChars="0"/>
              <w:rPr>
                <w:b w:val="0"/>
                <w:bCs w:val="0"/>
                <w:color w:val="auto"/>
                <w:u w:val="none"/>
              </w:rPr>
            </w:pPr>
            <w:r>
              <w:rPr>
                <w:rFonts w:hint="eastAsia"/>
                <w:b w:val="0"/>
                <w:bCs w:val="0"/>
                <w:color w:val="auto"/>
                <w:u w:val="non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pPr>
              <w:pStyle w:val="182"/>
              <w:bidi w:val="0"/>
              <w:ind w:firstLine="0" w:firstLineChars="0"/>
              <w:rPr>
                <w:b w:val="0"/>
                <w:bCs w:val="0"/>
                <w:color w:val="auto"/>
                <w:u w:val="none"/>
              </w:rPr>
            </w:pPr>
          </w:p>
        </w:tc>
        <w:tc>
          <w:tcPr>
            <w:tcW w:w="631" w:type="pct"/>
            <w:vAlign w:val="center"/>
          </w:tcPr>
          <w:p>
            <w:pPr>
              <w:pStyle w:val="182"/>
              <w:bidi w:val="0"/>
              <w:ind w:firstLine="0" w:firstLineChars="0"/>
              <w:rPr>
                <w:b w:val="0"/>
                <w:bCs w:val="0"/>
                <w:color w:val="auto"/>
                <w:u w:val="none"/>
              </w:rPr>
            </w:pPr>
            <w:r>
              <w:rPr>
                <w:b w:val="0"/>
                <w:bCs w:val="0"/>
                <w:color w:val="auto"/>
                <w:u w:val="none"/>
              </w:rPr>
              <w:t>10</w:t>
            </w:r>
            <w:r>
              <w:rPr>
                <w:rFonts w:hint="eastAsia"/>
                <w:b w:val="0"/>
                <w:bCs w:val="0"/>
                <w:color w:val="auto"/>
                <w:u w:val="none"/>
              </w:rPr>
              <w:t>年</w:t>
            </w:r>
          </w:p>
        </w:tc>
        <w:tc>
          <w:tcPr>
            <w:tcW w:w="886" w:type="pct"/>
            <w:vMerge w:val="continue"/>
            <w:vAlign w:val="center"/>
          </w:tcPr>
          <w:p>
            <w:pPr>
              <w:pStyle w:val="182"/>
              <w:bidi w:val="0"/>
              <w:ind w:firstLine="0" w:firstLineChars="0"/>
              <w:rPr>
                <w:b w:val="0"/>
                <w:bCs w:val="0"/>
                <w:color w:val="auto"/>
                <w:u w:val="none"/>
              </w:rPr>
            </w:pPr>
          </w:p>
        </w:tc>
        <w:tc>
          <w:tcPr>
            <w:tcW w:w="674" w:type="pct"/>
            <w:vAlign w:val="center"/>
          </w:tcPr>
          <w:p>
            <w:pPr>
              <w:pStyle w:val="182"/>
              <w:bidi w:val="0"/>
              <w:ind w:firstLine="0" w:firstLineChars="0"/>
              <w:rPr>
                <w:rFonts w:hint="eastAsia" w:eastAsia="宋体"/>
                <w:b w:val="0"/>
                <w:bCs w:val="0"/>
                <w:color w:val="auto"/>
                <w:u w:val="none"/>
                <w:lang w:eastAsia="zh-CN"/>
              </w:rPr>
            </w:pPr>
            <w:r>
              <w:rPr>
                <w:rFonts w:hint="eastAsia"/>
                <w:b w:val="0"/>
                <w:bCs w:val="0"/>
                <w:color w:val="auto"/>
                <w:u w:val="none"/>
                <w:lang w:val="en-US" w:eastAsia="zh-CN"/>
              </w:rPr>
              <w:t>0</w:t>
            </w:r>
          </w:p>
        </w:tc>
        <w:tc>
          <w:tcPr>
            <w:tcW w:w="855" w:type="pct"/>
            <w:vAlign w:val="center"/>
          </w:tcPr>
          <w:p>
            <w:pPr>
              <w:pStyle w:val="182"/>
              <w:bidi w:val="0"/>
              <w:ind w:firstLine="0" w:firstLineChars="0"/>
              <w:rPr>
                <w:b w:val="0"/>
                <w:bCs w:val="0"/>
                <w:color w:val="auto"/>
                <w:u w:val="none"/>
              </w:rPr>
            </w:pPr>
            <w:r>
              <w:rPr>
                <w:rFonts w:hint="eastAsia"/>
                <w:b w:val="0"/>
                <w:bCs w:val="0"/>
                <w:color w:val="auto"/>
                <w:u w:val="none"/>
                <w:lang w:val="en-US" w:eastAsia="zh-CN"/>
              </w:rPr>
              <w:t>0.123</w:t>
            </w:r>
          </w:p>
        </w:tc>
        <w:tc>
          <w:tcPr>
            <w:tcW w:w="750" w:type="pct"/>
            <w:vAlign w:val="center"/>
          </w:tcPr>
          <w:p>
            <w:pPr>
              <w:pStyle w:val="182"/>
              <w:bidi w:val="0"/>
              <w:ind w:firstLine="0" w:firstLineChars="0"/>
              <w:rPr>
                <w:b w:val="0"/>
                <w:bCs w:val="0"/>
                <w:color w:val="auto"/>
                <w:u w:val="none"/>
              </w:rPr>
            </w:pPr>
            <w:r>
              <w:rPr>
                <w:rFonts w:hint="eastAsia"/>
                <w:b w:val="0"/>
                <w:bCs w:val="0"/>
                <w:color w:val="auto"/>
                <w:u w:val="none"/>
                <w:lang w:val="en-US" w:eastAsia="zh-CN"/>
              </w:rPr>
              <w:t>0.123</w:t>
            </w:r>
          </w:p>
        </w:tc>
        <w:tc>
          <w:tcPr>
            <w:tcW w:w="467" w:type="pct"/>
            <w:vAlign w:val="center"/>
          </w:tcPr>
          <w:p>
            <w:pPr>
              <w:pStyle w:val="182"/>
              <w:bidi w:val="0"/>
              <w:ind w:firstLine="0" w:firstLineChars="0"/>
              <w:rPr>
                <w:b w:val="0"/>
                <w:bCs w:val="0"/>
                <w:color w:val="auto"/>
                <w:u w:val="none"/>
              </w:rPr>
            </w:pPr>
            <w:r>
              <w:rPr>
                <w:rFonts w:hint="eastAsia"/>
                <w:b w:val="0"/>
                <w:bCs w:val="0"/>
                <w:color w:val="auto"/>
                <w:u w:val="non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Merge w:val="continue"/>
            <w:vAlign w:val="center"/>
          </w:tcPr>
          <w:p>
            <w:pPr>
              <w:pStyle w:val="182"/>
              <w:bidi w:val="0"/>
              <w:ind w:firstLine="0" w:firstLineChars="0"/>
              <w:rPr>
                <w:b w:val="0"/>
                <w:bCs w:val="0"/>
                <w:color w:val="auto"/>
                <w:u w:val="none"/>
              </w:rPr>
            </w:pPr>
          </w:p>
        </w:tc>
        <w:tc>
          <w:tcPr>
            <w:tcW w:w="631" w:type="pct"/>
            <w:vAlign w:val="center"/>
          </w:tcPr>
          <w:p>
            <w:pPr>
              <w:pStyle w:val="182"/>
              <w:bidi w:val="0"/>
              <w:ind w:firstLine="0" w:firstLineChars="0"/>
              <w:rPr>
                <w:b w:val="0"/>
                <w:bCs w:val="0"/>
                <w:color w:val="auto"/>
                <w:u w:val="none"/>
              </w:rPr>
            </w:pPr>
            <w:r>
              <w:rPr>
                <w:b w:val="0"/>
                <w:bCs w:val="0"/>
                <w:color w:val="auto"/>
                <w:u w:val="none"/>
              </w:rPr>
              <w:t>20</w:t>
            </w:r>
            <w:r>
              <w:rPr>
                <w:rFonts w:hint="eastAsia"/>
                <w:b w:val="0"/>
                <w:bCs w:val="0"/>
                <w:color w:val="auto"/>
                <w:u w:val="none"/>
              </w:rPr>
              <w:t>年</w:t>
            </w:r>
          </w:p>
        </w:tc>
        <w:tc>
          <w:tcPr>
            <w:tcW w:w="886" w:type="pct"/>
            <w:vMerge w:val="continue"/>
            <w:vAlign w:val="center"/>
          </w:tcPr>
          <w:p>
            <w:pPr>
              <w:pStyle w:val="182"/>
              <w:bidi w:val="0"/>
              <w:ind w:firstLine="0" w:firstLineChars="0"/>
              <w:rPr>
                <w:b w:val="0"/>
                <w:bCs w:val="0"/>
                <w:color w:val="auto"/>
                <w:u w:val="none"/>
              </w:rPr>
            </w:pPr>
          </w:p>
        </w:tc>
        <w:tc>
          <w:tcPr>
            <w:tcW w:w="674" w:type="pct"/>
            <w:vAlign w:val="center"/>
          </w:tcPr>
          <w:p>
            <w:pPr>
              <w:pStyle w:val="182"/>
              <w:bidi w:val="0"/>
              <w:ind w:firstLine="0" w:firstLineChars="0"/>
              <w:rPr>
                <w:rFonts w:hint="eastAsia" w:eastAsia="宋体"/>
                <w:b w:val="0"/>
                <w:bCs w:val="0"/>
                <w:color w:val="auto"/>
                <w:u w:val="none"/>
                <w:lang w:eastAsia="zh-CN"/>
              </w:rPr>
            </w:pPr>
            <w:r>
              <w:rPr>
                <w:rFonts w:hint="eastAsia"/>
                <w:b w:val="0"/>
                <w:bCs w:val="0"/>
                <w:color w:val="auto"/>
                <w:u w:val="none"/>
                <w:lang w:val="en-US" w:eastAsia="zh-CN"/>
              </w:rPr>
              <w:t>0</w:t>
            </w:r>
          </w:p>
        </w:tc>
        <w:tc>
          <w:tcPr>
            <w:tcW w:w="855" w:type="pct"/>
            <w:vAlign w:val="center"/>
          </w:tcPr>
          <w:p>
            <w:pPr>
              <w:pStyle w:val="182"/>
              <w:bidi w:val="0"/>
              <w:ind w:firstLine="0" w:firstLineChars="0"/>
              <w:rPr>
                <w:b w:val="0"/>
                <w:bCs w:val="0"/>
                <w:color w:val="auto"/>
                <w:u w:val="none"/>
              </w:rPr>
            </w:pPr>
            <w:r>
              <w:rPr>
                <w:rFonts w:hint="eastAsia"/>
                <w:b w:val="0"/>
                <w:bCs w:val="0"/>
                <w:color w:val="auto"/>
                <w:u w:val="none"/>
                <w:lang w:val="en-US" w:eastAsia="zh-CN"/>
              </w:rPr>
              <w:t>0.123</w:t>
            </w:r>
          </w:p>
        </w:tc>
        <w:tc>
          <w:tcPr>
            <w:tcW w:w="750" w:type="pct"/>
            <w:vAlign w:val="center"/>
          </w:tcPr>
          <w:p>
            <w:pPr>
              <w:pStyle w:val="182"/>
              <w:bidi w:val="0"/>
              <w:ind w:firstLine="0" w:firstLineChars="0"/>
              <w:rPr>
                <w:b w:val="0"/>
                <w:bCs w:val="0"/>
                <w:color w:val="auto"/>
                <w:u w:val="none"/>
              </w:rPr>
            </w:pPr>
            <w:r>
              <w:rPr>
                <w:rFonts w:hint="eastAsia"/>
                <w:b w:val="0"/>
                <w:bCs w:val="0"/>
                <w:color w:val="auto"/>
                <w:u w:val="none"/>
                <w:lang w:val="en-US" w:eastAsia="zh-CN"/>
              </w:rPr>
              <w:t>0.123</w:t>
            </w:r>
          </w:p>
        </w:tc>
        <w:tc>
          <w:tcPr>
            <w:tcW w:w="467" w:type="pct"/>
            <w:vAlign w:val="center"/>
          </w:tcPr>
          <w:p>
            <w:pPr>
              <w:pStyle w:val="182"/>
              <w:bidi w:val="0"/>
              <w:ind w:firstLine="0" w:firstLineChars="0"/>
              <w:rPr>
                <w:b w:val="0"/>
                <w:bCs w:val="0"/>
                <w:color w:val="auto"/>
                <w:u w:val="none"/>
              </w:rPr>
            </w:pPr>
            <w:r>
              <w:rPr>
                <w:rFonts w:hint="eastAsia"/>
                <w:b w:val="0"/>
                <w:bCs w:val="0"/>
                <w:color w:val="auto"/>
                <w:u w:val="none"/>
              </w:rPr>
              <w:t>达标</w:t>
            </w:r>
          </w:p>
        </w:tc>
      </w:tr>
    </w:tbl>
    <w:p>
      <w:pPr>
        <w:bidi w:val="0"/>
        <w:rPr>
          <w:b/>
          <w:color w:val="auto"/>
          <w:kern w:val="0"/>
          <w:sz w:val="24"/>
          <w:szCs w:val="18"/>
        </w:rPr>
      </w:pPr>
      <w:r>
        <w:rPr>
          <w:rFonts w:hint="eastAsia"/>
          <w:color w:val="auto"/>
          <w:sz w:val="24"/>
          <w:szCs w:val="24"/>
        </w:rPr>
        <w:t>注：耗氧量预测值以检出限0.5mg/L为界，氨氮以0.025mg/L为界，低于检出限的预测值以0计。</w:t>
      </w:r>
    </w:p>
    <w:p>
      <w:pPr>
        <w:bidi w:val="0"/>
        <w:rPr>
          <w:color w:val="auto"/>
        </w:rPr>
      </w:pPr>
      <w:r>
        <w:rPr>
          <w:rFonts w:hint="eastAsia"/>
          <w:color w:val="auto"/>
        </w:rPr>
        <w:t>由上表可知，项目废水调节池发生泄漏</w:t>
      </w:r>
      <w:r>
        <w:rPr>
          <w:rFonts w:hint="eastAsia"/>
          <w:color w:val="auto"/>
          <w:lang w:eastAsia="zh-CN"/>
        </w:rPr>
        <w:t>，</w:t>
      </w:r>
      <w:r>
        <w:rPr>
          <w:rFonts w:hint="eastAsia"/>
          <w:color w:val="auto"/>
        </w:rPr>
        <w:t>北厂界外项目</w:t>
      </w:r>
      <w:r>
        <w:rPr>
          <w:color w:val="auto"/>
        </w:rPr>
        <w:t>20</w:t>
      </w:r>
      <w:r>
        <w:rPr>
          <w:rFonts w:hint="eastAsia"/>
          <w:color w:val="auto"/>
        </w:rPr>
        <w:t>年</w:t>
      </w:r>
      <w:r>
        <w:rPr>
          <w:rFonts w:hint="eastAsia"/>
          <w:color w:val="auto"/>
          <w:lang w:val="en-US" w:eastAsia="zh-CN"/>
        </w:rPr>
        <w:t>内未出现超标</w:t>
      </w:r>
      <w:r>
        <w:rPr>
          <w:rFonts w:hint="eastAsia"/>
          <w:color w:val="auto"/>
        </w:rPr>
        <w:t>；北厂界外氨氮</w:t>
      </w:r>
      <w:r>
        <w:rPr>
          <w:rFonts w:hint="eastAsia"/>
          <w:color w:val="auto"/>
          <w:lang w:val="en-US" w:eastAsia="zh-CN"/>
        </w:rPr>
        <w:t>浓度</w:t>
      </w:r>
      <w:r>
        <w:rPr>
          <w:color w:val="auto"/>
        </w:rPr>
        <w:t>20</w:t>
      </w:r>
      <w:r>
        <w:rPr>
          <w:rFonts w:hint="eastAsia"/>
          <w:color w:val="auto"/>
        </w:rPr>
        <w:t>年未出现超标。</w:t>
      </w:r>
    </w:p>
    <w:p>
      <w:pPr>
        <w:pStyle w:val="181"/>
        <w:bidi w:val="0"/>
        <w:rPr>
          <w:color w:val="auto"/>
        </w:rPr>
      </w:pPr>
      <w:r>
        <w:rPr>
          <w:color w:val="auto"/>
        </w:rPr>
        <w:t>表5</w:t>
      </w:r>
      <w:r>
        <w:rPr>
          <w:rFonts w:hint="eastAsia"/>
          <w:color w:val="auto"/>
          <w:lang w:val="en-US" w:eastAsia="zh-CN"/>
        </w:rPr>
        <w:t>.4</w:t>
      </w:r>
      <w:r>
        <w:rPr>
          <w:rFonts w:hint="eastAsia"/>
          <w:color w:val="auto"/>
        </w:rPr>
        <w:t>-</w:t>
      </w:r>
      <w:r>
        <w:rPr>
          <w:rFonts w:hint="eastAsia"/>
          <w:color w:val="auto"/>
          <w:lang w:val="en-US" w:eastAsia="zh-CN"/>
        </w:rPr>
        <w:t>7</w:t>
      </w:r>
      <w:r>
        <w:rPr>
          <w:color w:val="auto"/>
        </w:rPr>
        <w:t xml:space="preserve">     </w:t>
      </w:r>
      <w:r>
        <w:rPr>
          <w:rFonts w:hint="eastAsia"/>
          <w:color w:val="auto"/>
        </w:rPr>
        <w:t xml:space="preserve">  </w:t>
      </w:r>
      <w:r>
        <w:rPr>
          <w:color w:val="auto"/>
        </w:rPr>
        <w:t xml:space="preserve">  </w:t>
      </w:r>
      <w:r>
        <w:rPr>
          <w:rFonts w:hint="eastAsia"/>
          <w:color w:val="auto"/>
        </w:rPr>
        <w:t xml:space="preserve">  </w:t>
      </w:r>
      <w:r>
        <w:rPr>
          <w:color w:val="auto"/>
        </w:rPr>
        <w:t>地下水预测</w:t>
      </w:r>
      <w:r>
        <w:rPr>
          <w:rFonts w:hint="eastAsia"/>
          <w:color w:val="auto"/>
        </w:rPr>
        <w:t>东厂界叠加值</w:t>
      </w:r>
      <w:r>
        <w:rPr>
          <w:color w:val="auto"/>
        </w:rPr>
        <w:t>一览表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277"/>
        <w:gridCol w:w="1239"/>
        <w:gridCol w:w="1585"/>
        <w:gridCol w:w="1212"/>
        <w:gridCol w:w="1698"/>
        <w:gridCol w:w="151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49" w:type="pct"/>
            <w:vMerge w:val="restart"/>
            <w:vAlign w:val="center"/>
          </w:tcPr>
          <w:p>
            <w:pPr>
              <w:pStyle w:val="182"/>
              <w:bidi w:val="0"/>
              <w:rPr>
                <w:b/>
                <w:bCs/>
                <w:color w:val="auto"/>
              </w:rPr>
            </w:pPr>
            <w:r>
              <w:rPr>
                <w:rFonts w:hint="eastAsia"/>
                <w:b/>
                <w:bCs/>
                <w:color w:val="auto"/>
              </w:rPr>
              <w:t>厂界名称</w:t>
            </w:r>
          </w:p>
        </w:tc>
        <w:tc>
          <w:tcPr>
            <w:tcW w:w="727" w:type="pct"/>
            <w:vMerge w:val="restart"/>
            <w:vAlign w:val="center"/>
          </w:tcPr>
          <w:p>
            <w:pPr>
              <w:pStyle w:val="182"/>
              <w:bidi w:val="0"/>
              <w:rPr>
                <w:b/>
                <w:bCs/>
                <w:color w:val="auto"/>
              </w:rPr>
            </w:pPr>
            <w:r>
              <w:rPr>
                <w:rFonts w:hint="eastAsia"/>
                <w:b/>
                <w:bCs/>
                <w:color w:val="auto"/>
              </w:rPr>
              <w:t>时间</w:t>
            </w:r>
          </w:p>
        </w:tc>
        <w:tc>
          <w:tcPr>
            <w:tcW w:w="3524" w:type="pct"/>
            <w:gridSpan w:val="4"/>
            <w:vAlign w:val="center"/>
          </w:tcPr>
          <w:p>
            <w:pPr>
              <w:pStyle w:val="182"/>
              <w:bidi w:val="0"/>
              <w:rPr>
                <w:b/>
                <w:bCs/>
                <w:color w:val="auto"/>
              </w:rPr>
            </w:pPr>
            <w:r>
              <w:rPr>
                <w:rFonts w:hint="eastAsia"/>
                <w:b/>
                <w:bCs/>
                <w:color w:val="auto"/>
              </w:rPr>
              <w:t>东</w:t>
            </w:r>
            <w:r>
              <w:rPr>
                <w:b/>
                <w:bCs/>
                <w:color w:val="auto"/>
              </w:rPr>
              <w:t>厂界</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49" w:type="pct"/>
            <w:vMerge w:val="continue"/>
            <w:vAlign w:val="center"/>
          </w:tcPr>
          <w:p>
            <w:pPr>
              <w:pStyle w:val="182"/>
              <w:bidi w:val="0"/>
              <w:rPr>
                <w:b/>
                <w:bCs/>
                <w:color w:val="auto"/>
              </w:rPr>
            </w:pPr>
          </w:p>
        </w:tc>
        <w:tc>
          <w:tcPr>
            <w:tcW w:w="727" w:type="pct"/>
            <w:vMerge w:val="continue"/>
            <w:shd w:val="clear" w:color="auto" w:fill="auto"/>
            <w:vAlign w:val="center"/>
          </w:tcPr>
          <w:p>
            <w:pPr>
              <w:pStyle w:val="182"/>
              <w:bidi w:val="0"/>
              <w:rPr>
                <w:b/>
                <w:bCs/>
                <w:color w:val="auto"/>
              </w:rPr>
            </w:pPr>
          </w:p>
        </w:tc>
        <w:tc>
          <w:tcPr>
            <w:tcW w:w="930" w:type="pct"/>
            <w:vAlign w:val="center"/>
          </w:tcPr>
          <w:p>
            <w:pPr>
              <w:pStyle w:val="182"/>
              <w:bidi w:val="0"/>
              <w:rPr>
                <w:b/>
                <w:bCs/>
                <w:color w:val="auto"/>
              </w:rPr>
            </w:pPr>
            <w:r>
              <w:rPr>
                <w:rFonts w:hint="eastAsia"/>
                <w:b/>
                <w:bCs/>
                <w:color w:val="auto"/>
              </w:rPr>
              <w:t>排放源至厂界的距离</w:t>
            </w:r>
          </w:p>
        </w:tc>
        <w:tc>
          <w:tcPr>
            <w:tcW w:w="711" w:type="pct"/>
            <w:vAlign w:val="center"/>
          </w:tcPr>
          <w:p>
            <w:pPr>
              <w:pStyle w:val="182"/>
              <w:bidi w:val="0"/>
              <w:rPr>
                <w:b/>
                <w:bCs/>
                <w:color w:val="auto"/>
              </w:rPr>
            </w:pPr>
            <w:r>
              <w:rPr>
                <w:rFonts w:hint="eastAsia"/>
                <w:b/>
                <w:bCs/>
                <w:color w:val="auto"/>
              </w:rPr>
              <w:t>预测值</w:t>
            </w:r>
            <w:r>
              <w:rPr>
                <w:b/>
                <w:bCs/>
                <w:color w:val="auto"/>
              </w:rPr>
              <w:t>浓度mg/L</w:t>
            </w:r>
          </w:p>
        </w:tc>
        <w:tc>
          <w:tcPr>
            <w:tcW w:w="996" w:type="pct"/>
            <w:vAlign w:val="center"/>
          </w:tcPr>
          <w:p>
            <w:pPr>
              <w:pStyle w:val="182"/>
              <w:bidi w:val="0"/>
              <w:rPr>
                <w:b/>
                <w:bCs/>
                <w:color w:val="auto"/>
              </w:rPr>
            </w:pPr>
            <w:r>
              <w:rPr>
                <w:rFonts w:hint="eastAsia"/>
                <w:b/>
                <w:bCs/>
                <w:color w:val="auto"/>
              </w:rPr>
              <w:t>现状背景值</w:t>
            </w:r>
            <w:r>
              <w:rPr>
                <w:b/>
                <w:bCs/>
                <w:color w:val="auto"/>
              </w:rPr>
              <w:t>浓度mg/L</w:t>
            </w:r>
          </w:p>
        </w:tc>
        <w:tc>
          <w:tcPr>
            <w:tcW w:w="888" w:type="pct"/>
            <w:vAlign w:val="center"/>
          </w:tcPr>
          <w:p>
            <w:pPr>
              <w:pStyle w:val="182"/>
              <w:bidi w:val="0"/>
              <w:rPr>
                <w:b/>
                <w:bCs/>
                <w:color w:val="auto"/>
              </w:rPr>
            </w:pPr>
            <w:r>
              <w:rPr>
                <w:rFonts w:hint="eastAsia"/>
                <w:b/>
                <w:bCs/>
                <w:color w:val="auto"/>
              </w:rPr>
              <w:t>叠加值</w:t>
            </w:r>
            <w:r>
              <w:rPr>
                <w:b/>
                <w:bCs/>
                <w:color w:val="auto"/>
              </w:rPr>
              <w:t>浓度mg/L</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vMerge w:val="restart"/>
            <w:vAlign w:val="center"/>
          </w:tcPr>
          <w:p>
            <w:pPr>
              <w:pStyle w:val="182"/>
              <w:bidi w:val="0"/>
              <w:rPr>
                <w:b/>
                <w:bCs/>
                <w:color w:val="auto"/>
                <w:u w:val="single"/>
              </w:rPr>
            </w:pPr>
            <w:r>
              <w:rPr>
                <w:rFonts w:hint="eastAsia"/>
                <w:b/>
                <w:bCs/>
                <w:color w:val="auto"/>
                <w:u w:val="single"/>
              </w:rPr>
              <w:t>C</w:t>
            </w:r>
            <w:r>
              <w:rPr>
                <w:b/>
                <w:bCs/>
                <w:color w:val="auto"/>
                <w:u w:val="single"/>
              </w:rPr>
              <w:t>OD</w:t>
            </w:r>
          </w:p>
        </w:tc>
        <w:tc>
          <w:tcPr>
            <w:tcW w:w="727" w:type="pct"/>
            <w:shd w:val="clear" w:color="auto" w:fill="auto"/>
            <w:vAlign w:val="center"/>
          </w:tcPr>
          <w:p>
            <w:pPr>
              <w:pStyle w:val="182"/>
              <w:bidi w:val="0"/>
              <w:rPr>
                <w:b/>
                <w:bCs/>
                <w:color w:val="auto"/>
                <w:u w:val="single"/>
              </w:rPr>
            </w:pPr>
            <w:r>
              <w:rPr>
                <w:rFonts w:hint="eastAsia"/>
                <w:b/>
                <w:bCs/>
                <w:color w:val="auto"/>
                <w:u w:val="single"/>
              </w:rPr>
              <w:t>100d</w:t>
            </w:r>
          </w:p>
        </w:tc>
        <w:tc>
          <w:tcPr>
            <w:tcW w:w="930" w:type="pct"/>
            <w:vMerge w:val="restart"/>
            <w:vAlign w:val="center"/>
          </w:tcPr>
          <w:p>
            <w:pPr>
              <w:pStyle w:val="182"/>
              <w:bidi w:val="0"/>
              <w:rPr>
                <w:b/>
                <w:bCs/>
                <w:color w:val="auto"/>
                <w:u w:val="single"/>
              </w:rPr>
            </w:pPr>
            <w:r>
              <w:rPr>
                <w:rFonts w:hint="eastAsia"/>
                <w:b/>
                <w:bCs/>
                <w:color w:val="auto"/>
                <w:u w:val="single"/>
                <w:lang w:val="en-US" w:eastAsia="zh-CN"/>
              </w:rPr>
              <w:t>1</w:t>
            </w:r>
            <w:r>
              <w:rPr>
                <w:rFonts w:hint="eastAsia"/>
                <w:b/>
                <w:bCs/>
                <w:color w:val="auto"/>
                <w:u w:val="single"/>
              </w:rPr>
              <w:t>350</w:t>
            </w:r>
            <w:r>
              <w:rPr>
                <w:b/>
                <w:bCs/>
                <w:color w:val="auto"/>
                <w:u w:val="single"/>
              </w:rPr>
              <w:t xml:space="preserve"> </w:t>
            </w:r>
            <w:r>
              <w:rPr>
                <w:rFonts w:hint="eastAsia"/>
                <w:b/>
                <w:bCs/>
                <w:color w:val="auto"/>
                <w:u w:val="single"/>
              </w:rPr>
              <w:t>m</w:t>
            </w:r>
          </w:p>
        </w:tc>
        <w:tc>
          <w:tcPr>
            <w:tcW w:w="711" w:type="pct"/>
            <w:vAlign w:val="center"/>
          </w:tcPr>
          <w:p>
            <w:pPr>
              <w:pStyle w:val="182"/>
              <w:bidi w:val="0"/>
              <w:rPr>
                <w:b/>
                <w:bCs/>
                <w:color w:val="auto"/>
                <w:u w:val="single"/>
              </w:rPr>
            </w:pPr>
            <w:r>
              <w:rPr>
                <w:rFonts w:hint="eastAsia"/>
                <w:b/>
                <w:bCs/>
                <w:color w:val="auto"/>
                <w:u w:val="single"/>
              </w:rPr>
              <w:t>0</w:t>
            </w:r>
          </w:p>
        </w:tc>
        <w:tc>
          <w:tcPr>
            <w:tcW w:w="996" w:type="pct"/>
            <w:vMerge w:val="restar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0.75</w:t>
            </w:r>
          </w:p>
        </w:tc>
        <w:tc>
          <w:tcPr>
            <w:tcW w:w="888" w:type="pct"/>
            <w:vAlign w:val="center"/>
          </w:tcPr>
          <w:p>
            <w:pPr>
              <w:pStyle w:val="182"/>
              <w:bidi w:val="0"/>
              <w:rPr>
                <w:b/>
                <w:bCs/>
                <w:color w:val="auto"/>
                <w:u w:val="single"/>
              </w:rPr>
            </w:pPr>
            <w:r>
              <w:rPr>
                <w:rFonts w:hint="eastAsia"/>
                <w:b/>
                <w:bCs/>
                <w:color w:val="auto"/>
                <w:u w:val="single"/>
                <w:lang w:val="en-US" w:eastAsia="zh-CN"/>
              </w:rPr>
              <w:t>0.75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vMerge w:val="continue"/>
            <w:vAlign w:val="center"/>
          </w:tcPr>
          <w:p>
            <w:pPr>
              <w:pStyle w:val="182"/>
              <w:bidi w:val="0"/>
              <w:rPr>
                <w:b/>
                <w:bCs/>
                <w:color w:val="auto"/>
                <w:u w:val="single"/>
              </w:rPr>
            </w:pPr>
          </w:p>
        </w:tc>
        <w:tc>
          <w:tcPr>
            <w:tcW w:w="727" w:type="pct"/>
            <w:shd w:val="clear" w:color="auto" w:fill="auto"/>
            <w:vAlign w:val="center"/>
          </w:tcPr>
          <w:p>
            <w:pPr>
              <w:pStyle w:val="182"/>
              <w:bidi w:val="0"/>
              <w:rPr>
                <w:b/>
                <w:bCs/>
                <w:color w:val="auto"/>
                <w:u w:val="single"/>
              </w:rPr>
            </w:pPr>
            <w:r>
              <w:rPr>
                <w:rFonts w:hint="eastAsia"/>
                <w:b/>
                <w:bCs/>
                <w:color w:val="auto"/>
                <w:u w:val="single"/>
              </w:rPr>
              <w:t>1000d</w:t>
            </w:r>
          </w:p>
        </w:tc>
        <w:tc>
          <w:tcPr>
            <w:tcW w:w="930" w:type="pct"/>
            <w:vMerge w:val="continue"/>
            <w:vAlign w:val="center"/>
          </w:tcPr>
          <w:p>
            <w:pPr>
              <w:pStyle w:val="182"/>
              <w:bidi w:val="0"/>
              <w:rPr>
                <w:b/>
                <w:bCs/>
                <w:color w:val="auto"/>
                <w:u w:val="single"/>
              </w:rPr>
            </w:pPr>
          </w:p>
        </w:tc>
        <w:tc>
          <w:tcPr>
            <w:tcW w:w="711" w:type="pct"/>
            <w:vAlign w:val="center"/>
          </w:tcPr>
          <w:p>
            <w:pPr>
              <w:pStyle w:val="182"/>
              <w:bidi w:val="0"/>
              <w:rPr>
                <w:b/>
                <w:bCs/>
                <w:color w:val="auto"/>
                <w:u w:val="single"/>
              </w:rPr>
            </w:pPr>
            <w:r>
              <w:rPr>
                <w:rFonts w:hint="eastAsia"/>
                <w:b/>
                <w:bCs/>
                <w:color w:val="auto"/>
                <w:u w:val="single"/>
              </w:rPr>
              <w:t>0</w:t>
            </w:r>
          </w:p>
        </w:tc>
        <w:tc>
          <w:tcPr>
            <w:tcW w:w="996" w:type="pct"/>
            <w:vMerge w:val="continue"/>
            <w:vAlign w:val="center"/>
          </w:tcPr>
          <w:p>
            <w:pPr>
              <w:pStyle w:val="182"/>
              <w:bidi w:val="0"/>
              <w:rPr>
                <w:b/>
                <w:bCs/>
                <w:color w:val="auto"/>
                <w:u w:val="single"/>
              </w:rPr>
            </w:pPr>
          </w:p>
        </w:tc>
        <w:tc>
          <w:tcPr>
            <w:tcW w:w="888" w:type="pct"/>
            <w:vAlign w:val="center"/>
          </w:tcPr>
          <w:p>
            <w:pPr>
              <w:pStyle w:val="182"/>
              <w:bidi w:val="0"/>
              <w:rPr>
                <w:b/>
                <w:bCs/>
                <w:color w:val="auto"/>
                <w:u w:val="single"/>
              </w:rPr>
            </w:pPr>
            <w:r>
              <w:rPr>
                <w:rFonts w:hint="eastAsia"/>
                <w:b/>
                <w:bCs/>
                <w:color w:val="auto"/>
                <w:u w:val="single"/>
                <w:lang w:val="en-US" w:eastAsia="zh-CN"/>
              </w:rPr>
              <w:t>0.75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vMerge w:val="continue"/>
            <w:vAlign w:val="center"/>
          </w:tcPr>
          <w:p>
            <w:pPr>
              <w:pStyle w:val="182"/>
              <w:bidi w:val="0"/>
              <w:rPr>
                <w:b/>
                <w:bCs/>
                <w:color w:val="auto"/>
                <w:u w:val="single"/>
              </w:rPr>
            </w:pPr>
          </w:p>
        </w:tc>
        <w:tc>
          <w:tcPr>
            <w:tcW w:w="727" w:type="pct"/>
            <w:shd w:val="clear" w:color="auto" w:fill="auto"/>
            <w:vAlign w:val="center"/>
          </w:tcPr>
          <w:p>
            <w:pPr>
              <w:pStyle w:val="182"/>
              <w:bidi w:val="0"/>
              <w:rPr>
                <w:b/>
                <w:bCs/>
                <w:color w:val="auto"/>
                <w:u w:val="single"/>
              </w:rPr>
            </w:pPr>
            <w:r>
              <w:rPr>
                <w:rFonts w:hint="eastAsia"/>
                <w:b/>
                <w:bCs/>
                <w:color w:val="auto"/>
                <w:u w:val="single"/>
              </w:rPr>
              <w:t>10年</w:t>
            </w:r>
          </w:p>
        </w:tc>
        <w:tc>
          <w:tcPr>
            <w:tcW w:w="930" w:type="pct"/>
            <w:vMerge w:val="continue"/>
            <w:vAlign w:val="center"/>
          </w:tcPr>
          <w:p>
            <w:pPr>
              <w:pStyle w:val="182"/>
              <w:bidi w:val="0"/>
              <w:rPr>
                <w:b/>
                <w:bCs/>
                <w:color w:val="auto"/>
                <w:u w:val="single"/>
              </w:rPr>
            </w:pPr>
          </w:p>
        </w:tc>
        <w:tc>
          <w:tcPr>
            <w:tcW w:w="711" w:type="pct"/>
            <w:vAlign w:val="center"/>
          </w:tcPr>
          <w:p>
            <w:pPr>
              <w:pStyle w:val="182"/>
              <w:bidi w:val="0"/>
              <w:rPr>
                <w:b/>
                <w:bCs/>
                <w:color w:val="auto"/>
                <w:u w:val="single"/>
              </w:rPr>
            </w:pPr>
            <w:r>
              <w:rPr>
                <w:rFonts w:hint="eastAsia"/>
                <w:b/>
                <w:bCs/>
                <w:color w:val="auto"/>
                <w:u w:val="single"/>
              </w:rPr>
              <w:t>0</w:t>
            </w:r>
          </w:p>
        </w:tc>
        <w:tc>
          <w:tcPr>
            <w:tcW w:w="996" w:type="pct"/>
            <w:vMerge w:val="continue"/>
            <w:vAlign w:val="center"/>
          </w:tcPr>
          <w:p>
            <w:pPr>
              <w:pStyle w:val="182"/>
              <w:bidi w:val="0"/>
              <w:rPr>
                <w:b/>
                <w:bCs/>
                <w:color w:val="auto"/>
                <w:u w:val="single"/>
              </w:rPr>
            </w:pPr>
          </w:p>
        </w:tc>
        <w:tc>
          <w:tcPr>
            <w:tcW w:w="888" w:type="pct"/>
            <w:vAlign w:val="center"/>
          </w:tcPr>
          <w:p>
            <w:pPr>
              <w:pStyle w:val="182"/>
              <w:bidi w:val="0"/>
              <w:rPr>
                <w:b/>
                <w:bCs/>
                <w:color w:val="auto"/>
                <w:u w:val="single"/>
              </w:rPr>
            </w:pPr>
            <w:r>
              <w:rPr>
                <w:rFonts w:hint="eastAsia"/>
                <w:b/>
                <w:bCs/>
                <w:color w:val="auto"/>
                <w:u w:val="single"/>
                <w:lang w:val="en-US" w:eastAsia="zh-CN"/>
              </w:rPr>
              <w:t>0.75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vMerge w:val="continue"/>
            <w:vAlign w:val="center"/>
          </w:tcPr>
          <w:p>
            <w:pPr>
              <w:pStyle w:val="182"/>
              <w:bidi w:val="0"/>
              <w:rPr>
                <w:b/>
                <w:bCs/>
                <w:color w:val="auto"/>
                <w:u w:val="single"/>
              </w:rPr>
            </w:pPr>
          </w:p>
        </w:tc>
        <w:tc>
          <w:tcPr>
            <w:tcW w:w="727" w:type="pct"/>
            <w:shd w:val="clear" w:color="auto" w:fill="auto"/>
            <w:vAlign w:val="center"/>
          </w:tcPr>
          <w:p>
            <w:pPr>
              <w:pStyle w:val="182"/>
              <w:bidi w:val="0"/>
              <w:rPr>
                <w:b/>
                <w:bCs/>
                <w:color w:val="auto"/>
                <w:u w:val="single"/>
              </w:rPr>
            </w:pPr>
            <w:r>
              <w:rPr>
                <w:rFonts w:hint="eastAsia"/>
                <w:b/>
                <w:bCs/>
                <w:color w:val="auto"/>
                <w:u w:val="single"/>
              </w:rPr>
              <w:t>20年</w:t>
            </w:r>
          </w:p>
        </w:tc>
        <w:tc>
          <w:tcPr>
            <w:tcW w:w="930" w:type="pct"/>
            <w:vMerge w:val="continue"/>
            <w:vAlign w:val="center"/>
          </w:tcPr>
          <w:p>
            <w:pPr>
              <w:pStyle w:val="182"/>
              <w:bidi w:val="0"/>
              <w:rPr>
                <w:b/>
                <w:bCs/>
                <w:color w:val="auto"/>
                <w:u w:val="single"/>
              </w:rPr>
            </w:pPr>
          </w:p>
        </w:tc>
        <w:tc>
          <w:tcPr>
            <w:tcW w:w="711" w:type="pct"/>
            <w:vAlign w:val="center"/>
          </w:tcPr>
          <w:p>
            <w:pPr>
              <w:pStyle w:val="182"/>
              <w:bidi w:val="0"/>
              <w:rPr>
                <w:rFonts w:hint="eastAsia" w:eastAsia="宋体"/>
                <w:b/>
                <w:bCs/>
                <w:color w:val="auto"/>
                <w:u w:val="single"/>
                <w:lang w:eastAsia="zh-CN"/>
              </w:rPr>
            </w:pPr>
            <w:r>
              <w:rPr>
                <w:rFonts w:hint="eastAsia"/>
                <w:b/>
                <w:bCs/>
                <w:color w:val="auto"/>
                <w:u w:val="single"/>
                <w:lang w:val="en-US" w:eastAsia="zh-CN"/>
              </w:rPr>
              <w:t>0</w:t>
            </w:r>
          </w:p>
        </w:tc>
        <w:tc>
          <w:tcPr>
            <w:tcW w:w="996" w:type="pct"/>
            <w:vMerge w:val="continue"/>
            <w:vAlign w:val="center"/>
          </w:tcPr>
          <w:p>
            <w:pPr>
              <w:pStyle w:val="182"/>
              <w:bidi w:val="0"/>
              <w:rPr>
                <w:b/>
                <w:bCs/>
                <w:color w:val="auto"/>
                <w:u w:val="single"/>
              </w:rPr>
            </w:pPr>
          </w:p>
        </w:tc>
        <w:tc>
          <w:tcPr>
            <w:tcW w:w="888"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vMerge w:val="restart"/>
            <w:vAlign w:val="center"/>
          </w:tcPr>
          <w:p>
            <w:pPr>
              <w:pStyle w:val="182"/>
              <w:bidi w:val="0"/>
              <w:rPr>
                <w:color w:val="auto"/>
              </w:rPr>
            </w:pPr>
            <w:r>
              <w:rPr>
                <w:color w:val="auto"/>
              </w:rPr>
              <w:t>氨氮</w:t>
            </w:r>
          </w:p>
        </w:tc>
        <w:tc>
          <w:tcPr>
            <w:tcW w:w="727" w:type="pct"/>
            <w:shd w:val="clear" w:color="auto" w:fill="auto"/>
            <w:vAlign w:val="center"/>
          </w:tcPr>
          <w:p>
            <w:pPr>
              <w:pStyle w:val="182"/>
              <w:bidi w:val="0"/>
              <w:rPr>
                <w:color w:val="auto"/>
              </w:rPr>
            </w:pPr>
            <w:r>
              <w:rPr>
                <w:rFonts w:hint="eastAsia"/>
                <w:color w:val="auto"/>
              </w:rPr>
              <w:t>100d</w:t>
            </w:r>
          </w:p>
        </w:tc>
        <w:tc>
          <w:tcPr>
            <w:tcW w:w="930" w:type="pct"/>
            <w:vMerge w:val="restart"/>
            <w:vAlign w:val="center"/>
          </w:tcPr>
          <w:p>
            <w:pPr>
              <w:pStyle w:val="182"/>
              <w:bidi w:val="0"/>
              <w:rPr>
                <w:color w:val="auto"/>
              </w:rPr>
            </w:pPr>
            <w:r>
              <w:rPr>
                <w:rFonts w:hint="eastAsia"/>
                <w:color w:val="auto"/>
                <w:lang w:val="en-US" w:eastAsia="zh-CN"/>
              </w:rPr>
              <w:t>1</w:t>
            </w:r>
            <w:r>
              <w:rPr>
                <w:rFonts w:hint="eastAsia"/>
                <w:color w:val="auto"/>
              </w:rPr>
              <w:t>350</w:t>
            </w:r>
            <w:r>
              <w:rPr>
                <w:color w:val="auto"/>
              </w:rPr>
              <w:t xml:space="preserve"> </w:t>
            </w:r>
            <w:r>
              <w:rPr>
                <w:rFonts w:hint="eastAsia"/>
                <w:color w:val="auto"/>
              </w:rPr>
              <w:t>m</w:t>
            </w:r>
          </w:p>
        </w:tc>
        <w:tc>
          <w:tcPr>
            <w:tcW w:w="711" w:type="pct"/>
            <w:vAlign w:val="center"/>
          </w:tcPr>
          <w:p>
            <w:pPr>
              <w:pStyle w:val="182"/>
              <w:bidi w:val="0"/>
              <w:rPr>
                <w:color w:val="auto"/>
              </w:rPr>
            </w:pPr>
            <w:r>
              <w:rPr>
                <w:rFonts w:hint="eastAsia"/>
                <w:color w:val="auto"/>
              </w:rPr>
              <w:t>0</w:t>
            </w:r>
          </w:p>
        </w:tc>
        <w:tc>
          <w:tcPr>
            <w:tcW w:w="996" w:type="pct"/>
            <w:vMerge w:val="restart"/>
            <w:vAlign w:val="center"/>
          </w:tcPr>
          <w:p>
            <w:pPr>
              <w:pStyle w:val="182"/>
              <w:bidi w:val="0"/>
              <w:rPr>
                <w:rFonts w:hint="default" w:eastAsia="宋体"/>
                <w:color w:val="auto"/>
                <w:lang w:val="en-US" w:eastAsia="zh-CN"/>
              </w:rPr>
            </w:pPr>
            <w:r>
              <w:rPr>
                <w:rFonts w:hint="eastAsia"/>
                <w:color w:val="auto"/>
                <w:lang w:val="en-US" w:eastAsia="zh-CN"/>
              </w:rPr>
              <w:t>0.123</w:t>
            </w:r>
          </w:p>
        </w:tc>
        <w:tc>
          <w:tcPr>
            <w:tcW w:w="888" w:type="pct"/>
            <w:vAlign w:val="center"/>
          </w:tcPr>
          <w:p>
            <w:pPr>
              <w:pStyle w:val="182"/>
              <w:bidi w:val="0"/>
              <w:rPr>
                <w:color w:val="auto"/>
              </w:rPr>
            </w:pPr>
            <w:r>
              <w:rPr>
                <w:rFonts w:hint="eastAsia"/>
                <w:color w:val="auto"/>
                <w:lang w:val="en-US" w:eastAsia="zh-CN"/>
              </w:rPr>
              <w:t>0.123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vMerge w:val="continue"/>
            <w:vAlign w:val="center"/>
          </w:tcPr>
          <w:p>
            <w:pPr>
              <w:pStyle w:val="182"/>
              <w:bidi w:val="0"/>
              <w:rPr>
                <w:color w:val="auto"/>
              </w:rPr>
            </w:pPr>
          </w:p>
        </w:tc>
        <w:tc>
          <w:tcPr>
            <w:tcW w:w="727" w:type="pct"/>
            <w:shd w:val="clear" w:color="auto" w:fill="auto"/>
            <w:vAlign w:val="center"/>
          </w:tcPr>
          <w:p>
            <w:pPr>
              <w:pStyle w:val="182"/>
              <w:bidi w:val="0"/>
              <w:rPr>
                <w:color w:val="auto"/>
              </w:rPr>
            </w:pPr>
            <w:r>
              <w:rPr>
                <w:rFonts w:hint="eastAsia"/>
                <w:color w:val="auto"/>
              </w:rPr>
              <w:t>1000d</w:t>
            </w:r>
          </w:p>
        </w:tc>
        <w:tc>
          <w:tcPr>
            <w:tcW w:w="930" w:type="pct"/>
            <w:vMerge w:val="continue"/>
            <w:vAlign w:val="center"/>
          </w:tcPr>
          <w:p>
            <w:pPr>
              <w:pStyle w:val="182"/>
              <w:bidi w:val="0"/>
              <w:rPr>
                <w:color w:val="auto"/>
              </w:rPr>
            </w:pPr>
          </w:p>
        </w:tc>
        <w:tc>
          <w:tcPr>
            <w:tcW w:w="711" w:type="pct"/>
            <w:vAlign w:val="center"/>
          </w:tcPr>
          <w:p>
            <w:pPr>
              <w:pStyle w:val="182"/>
              <w:bidi w:val="0"/>
              <w:rPr>
                <w:color w:val="auto"/>
              </w:rPr>
            </w:pPr>
            <w:r>
              <w:rPr>
                <w:rFonts w:hint="eastAsia"/>
                <w:color w:val="auto"/>
              </w:rPr>
              <w:t>0</w:t>
            </w:r>
          </w:p>
        </w:tc>
        <w:tc>
          <w:tcPr>
            <w:tcW w:w="996" w:type="pct"/>
            <w:vMerge w:val="continue"/>
            <w:vAlign w:val="center"/>
          </w:tcPr>
          <w:p>
            <w:pPr>
              <w:pStyle w:val="182"/>
              <w:bidi w:val="0"/>
              <w:rPr>
                <w:color w:val="auto"/>
              </w:rPr>
            </w:pPr>
          </w:p>
        </w:tc>
        <w:tc>
          <w:tcPr>
            <w:tcW w:w="888" w:type="pct"/>
            <w:vAlign w:val="center"/>
          </w:tcPr>
          <w:p>
            <w:pPr>
              <w:pStyle w:val="182"/>
              <w:bidi w:val="0"/>
              <w:rPr>
                <w:color w:val="auto"/>
              </w:rPr>
            </w:pPr>
            <w:r>
              <w:rPr>
                <w:rFonts w:hint="eastAsia"/>
                <w:color w:val="auto"/>
                <w:lang w:val="en-US" w:eastAsia="zh-CN"/>
              </w:rPr>
              <w:t>0.123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vMerge w:val="continue"/>
            <w:vAlign w:val="center"/>
          </w:tcPr>
          <w:p>
            <w:pPr>
              <w:pStyle w:val="182"/>
              <w:bidi w:val="0"/>
              <w:rPr>
                <w:color w:val="auto"/>
              </w:rPr>
            </w:pPr>
          </w:p>
        </w:tc>
        <w:tc>
          <w:tcPr>
            <w:tcW w:w="727" w:type="pct"/>
            <w:shd w:val="clear" w:color="auto" w:fill="auto"/>
            <w:vAlign w:val="center"/>
          </w:tcPr>
          <w:p>
            <w:pPr>
              <w:pStyle w:val="182"/>
              <w:bidi w:val="0"/>
              <w:rPr>
                <w:color w:val="auto"/>
              </w:rPr>
            </w:pPr>
            <w:r>
              <w:rPr>
                <w:rFonts w:hint="eastAsia"/>
                <w:color w:val="auto"/>
              </w:rPr>
              <w:t>10年</w:t>
            </w:r>
          </w:p>
        </w:tc>
        <w:tc>
          <w:tcPr>
            <w:tcW w:w="930" w:type="pct"/>
            <w:vMerge w:val="continue"/>
            <w:vAlign w:val="center"/>
          </w:tcPr>
          <w:p>
            <w:pPr>
              <w:pStyle w:val="182"/>
              <w:bidi w:val="0"/>
              <w:rPr>
                <w:color w:val="auto"/>
              </w:rPr>
            </w:pPr>
          </w:p>
        </w:tc>
        <w:tc>
          <w:tcPr>
            <w:tcW w:w="711" w:type="pct"/>
            <w:vAlign w:val="center"/>
          </w:tcPr>
          <w:p>
            <w:pPr>
              <w:pStyle w:val="182"/>
              <w:bidi w:val="0"/>
              <w:rPr>
                <w:color w:val="auto"/>
              </w:rPr>
            </w:pPr>
            <w:r>
              <w:rPr>
                <w:rFonts w:hint="eastAsia"/>
                <w:color w:val="auto"/>
              </w:rPr>
              <w:t>0</w:t>
            </w:r>
          </w:p>
        </w:tc>
        <w:tc>
          <w:tcPr>
            <w:tcW w:w="996" w:type="pct"/>
            <w:vMerge w:val="continue"/>
            <w:vAlign w:val="center"/>
          </w:tcPr>
          <w:p>
            <w:pPr>
              <w:pStyle w:val="182"/>
              <w:bidi w:val="0"/>
              <w:rPr>
                <w:color w:val="auto"/>
              </w:rPr>
            </w:pPr>
          </w:p>
        </w:tc>
        <w:tc>
          <w:tcPr>
            <w:tcW w:w="888" w:type="pct"/>
            <w:vAlign w:val="center"/>
          </w:tcPr>
          <w:p>
            <w:pPr>
              <w:pStyle w:val="182"/>
              <w:bidi w:val="0"/>
              <w:rPr>
                <w:color w:val="auto"/>
              </w:rPr>
            </w:pPr>
            <w:r>
              <w:rPr>
                <w:rFonts w:hint="eastAsia"/>
                <w:color w:val="auto"/>
                <w:lang w:val="en-US" w:eastAsia="zh-CN"/>
              </w:rPr>
              <w:t>0.123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vMerge w:val="continue"/>
            <w:vAlign w:val="center"/>
          </w:tcPr>
          <w:p>
            <w:pPr>
              <w:pStyle w:val="182"/>
              <w:bidi w:val="0"/>
              <w:rPr>
                <w:color w:val="auto"/>
              </w:rPr>
            </w:pPr>
          </w:p>
        </w:tc>
        <w:tc>
          <w:tcPr>
            <w:tcW w:w="727" w:type="pct"/>
            <w:shd w:val="clear" w:color="auto" w:fill="auto"/>
            <w:vAlign w:val="center"/>
          </w:tcPr>
          <w:p>
            <w:pPr>
              <w:pStyle w:val="182"/>
              <w:bidi w:val="0"/>
              <w:rPr>
                <w:color w:val="auto"/>
              </w:rPr>
            </w:pPr>
            <w:r>
              <w:rPr>
                <w:rFonts w:hint="eastAsia"/>
                <w:color w:val="auto"/>
              </w:rPr>
              <w:t>20年</w:t>
            </w:r>
          </w:p>
        </w:tc>
        <w:tc>
          <w:tcPr>
            <w:tcW w:w="930" w:type="pct"/>
            <w:vMerge w:val="continue"/>
            <w:vAlign w:val="center"/>
          </w:tcPr>
          <w:p>
            <w:pPr>
              <w:pStyle w:val="182"/>
              <w:bidi w:val="0"/>
              <w:rPr>
                <w:color w:val="auto"/>
              </w:rPr>
            </w:pPr>
          </w:p>
        </w:tc>
        <w:tc>
          <w:tcPr>
            <w:tcW w:w="711" w:type="pct"/>
            <w:vAlign w:val="center"/>
          </w:tcPr>
          <w:p>
            <w:pPr>
              <w:pStyle w:val="182"/>
              <w:bidi w:val="0"/>
              <w:rPr>
                <w:rFonts w:hint="eastAsia" w:eastAsia="宋体"/>
                <w:color w:val="auto"/>
                <w:lang w:eastAsia="zh-CN"/>
              </w:rPr>
            </w:pPr>
            <w:r>
              <w:rPr>
                <w:rFonts w:hint="eastAsia"/>
                <w:color w:val="auto"/>
                <w:lang w:val="en-US" w:eastAsia="zh-CN"/>
              </w:rPr>
              <w:t>0</w:t>
            </w:r>
          </w:p>
        </w:tc>
        <w:tc>
          <w:tcPr>
            <w:tcW w:w="996" w:type="pct"/>
            <w:vMerge w:val="continue"/>
            <w:vAlign w:val="center"/>
          </w:tcPr>
          <w:p>
            <w:pPr>
              <w:pStyle w:val="182"/>
              <w:bidi w:val="0"/>
              <w:rPr>
                <w:color w:val="auto"/>
              </w:rPr>
            </w:pPr>
          </w:p>
        </w:tc>
        <w:tc>
          <w:tcPr>
            <w:tcW w:w="888" w:type="pct"/>
            <w:vAlign w:val="center"/>
          </w:tcPr>
          <w:p>
            <w:pPr>
              <w:pStyle w:val="182"/>
              <w:bidi w:val="0"/>
              <w:rPr>
                <w:rFonts w:hint="default" w:eastAsia="宋体"/>
                <w:color w:val="auto"/>
                <w:lang w:val="en-US" w:eastAsia="zh-CN"/>
              </w:rPr>
            </w:pPr>
            <w:r>
              <w:rPr>
                <w:rFonts w:hint="eastAsia"/>
                <w:color w:val="auto"/>
                <w:lang w:val="en-US" w:eastAsia="zh-CN"/>
              </w:rPr>
              <w:t>0.123</w:t>
            </w:r>
          </w:p>
        </w:tc>
      </w:tr>
    </w:tbl>
    <w:p>
      <w:pPr>
        <w:bidi w:val="0"/>
        <w:rPr>
          <w:color w:val="auto"/>
          <w:sz w:val="24"/>
          <w:szCs w:val="24"/>
        </w:rPr>
      </w:pPr>
      <w:r>
        <w:rPr>
          <w:rFonts w:hint="eastAsia"/>
          <w:color w:val="auto"/>
          <w:sz w:val="24"/>
          <w:szCs w:val="24"/>
        </w:rPr>
        <w:t>注：高锰酸钾指数预测值以检出限0.5mg/L为界，氨氮以0.025mg/L为界，低于检出限的预测值以0计。</w:t>
      </w:r>
    </w:p>
    <w:p>
      <w:pPr>
        <w:bidi w:val="0"/>
        <w:rPr>
          <w:color w:val="auto"/>
        </w:rPr>
      </w:pPr>
      <w:r>
        <w:rPr>
          <w:rFonts w:hint="eastAsia"/>
          <w:color w:val="auto"/>
        </w:rPr>
        <w:t>由上表可知，项目废水调节池发生泄漏后</w:t>
      </w:r>
      <w:r>
        <w:rPr>
          <w:color w:val="auto"/>
        </w:rPr>
        <w:t>20</w:t>
      </w:r>
      <w:r>
        <w:rPr>
          <w:rFonts w:hint="eastAsia"/>
          <w:color w:val="auto"/>
        </w:rPr>
        <w:t>年内</w:t>
      </w:r>
      <w:r>
        <w:rPr>
          <w:rFonts w:hint="eastAsia"/>
          <w:color w:val="auto"/>
          <w:lang w:val="en-US" w:eastAsia="zh-CN"/>
        </w:rPr>
        <w:t>未能扩散至东厂界</w:t>
      </w:r>
      <w:r>
        <w:rPr>
          <w:rFonts w:hint="eastAsia"/>
          <w:color w:val="auto"/>
        </w:rPr>
        <w:t>。</w:t>
      </w:r>
    </w:p>
    <w:p>
      <w:pPr>
        <w:bidi w:val="0"/>
        <w:rPr>
          <w:color w:val="auto"/>
        </w:rPr>
      </w:pPr>
      <w:r>
        <w:rPr>
          <w:rFonts w:hint="eastAsia"/>
          <w:color w:val="auto"/>
        </w:rPr>
        <w:t>（3）对敏感点的预测</w:t>
      </w:r>
    </w:p>
    <w:p>
      <w:pPr>
        <w:bidi w:val="0"/>
        <w:rPr>
          <w:color w:val="auto"/>
        </w:rPr>
      </w:pPr>
      <w:r>
        <w:rPr>
          <w:rFonts w:hint="eastAsia"/>
          <w:color w:val="auto"/>
        </w:rPr>
        <w:t>项目评价范围内下游没有地下水环境敏感点，项目生产对</w:t>
      </w:r>
      <w:r>
        <w:rPr>
          <w:rFonts w:hint="eastAsia"/>
          <w:color w:val="auto"/>
          <w:lang w:val="en-US" w:eastAsia="zh-CN"/>
        </w:rPr>
        <w:t>厂界</w:t>
      </w:r>
      <w:r>
        <w:rPr>
          <w:rFonts w:hint="eastAsia"/>
          <w:color w:val="auto"/>
        </w:rPr>
        <w:t>地下水的影响可以接受。</w:t>
      </w:r>
    </w:p>
    <w:p>
      <w:pPr>
        <w:bidi w:val="0"/>
        <w:rPr>
          <w:rFonts w:hint="eastAsia"/>
          <w:color w:val="auto"/>
        </w:rPr>
      </w:pPr>
      <w:r>
        <w:rPr>
          <w:rFonts w:hint="eastAsia"/>
          <w:color w:val="auto"/>
        </w:rPr>
        <w:t>综上所述，评价建议污水处理站各构筑物周边应</w:t>
      </w:r>
      <w:r>
        <w:rPr>
          <w:rFonts w:hint="eastAsia"/>
          <w:color w:val="auto"/>
          <w:lang w:val="en-US" w:eastAsia="zh-CN"/>
        </w:rPr>
        <w:t>按要求进行</w:t>
      </w:r>
      <w:r>
        <w:rPr>
          <w:rFonts w:hint="eastAsia"/>
          <w:color w:val="auto"/>
        </w:rPr>
        <w:t>防渗，同时制定严格的巡检制度并落实到责任人，杜绝项目厂区地面及各类废水池防渗措施出现渗漏现象，在落实以上各项防渗措施和巡检制度后，基本可杜绝非正常泄漏的发生，因此本项目地下水环境影响是可以接受的。</w:t>
      </w:r>
    </w:p>
    <w:p>
      <w:pPr>
        <w:pStyle w:val="9"/>
        <w:bidi w:val="0"/>
        <w:rPr>
          <w:color w:val="auto"/>
        </w:rPr>
      </w:pPr>
      <w:r>
        <w:rPr>
          <w:rFonts w:hint="eastAsia"/>
          <w:color w:val="auto"/>
        </w:rPr>
        <w:t>5</w:t>
      </w:r>
      <w:r>
        <w:rPr>
          <w:color w:val="auto"/>
        </w:rPr>
        <w:t>.</w:t>
      </w:r>
      <w:r>
        <w:rPr>
          <w:rFonts w:hint="eastAsia"/>
          <w:color w:val="auto"/>
          <w:lang w:val="en-US" w:eastAsia="zh-CN"/>
        </w:rPr>
        <w:t>4</w:t>
      </w:r>
      <w:r>
        <w:rPr>
          <w:color w:val="auto"/>
        </w:rPr>
        <w:t>.</w:t>
      </w:r>
      <w:r>
        <w:rPr>
          <w:rFonts w:hint="eastAsia"/>
          <w:color w:val="auto"/>
        </w:rPr>
        <w:t>7地下水</w:t>
      </w:r>
      <w:r>
        <w:rPr>
          <w:color w:val="auto"/>
        </w:rPr>
        <w:t>评价结论</w:t>
      </w:r>
    </w:p>
    <w:p>
      <w:pPr>
        <w:bidi w:val="0"/>
        <w:rPr>
          <w:color w:val="auto"/>
        </w:rPr>
      </w:pPr>
      <w:r>
        <w:rPr>
          <w:rFonts w:hint="eastAsia"/>
          <w:color w:val="auto"/>
        </w:rPr>
        <w:t>（1）正常工况</w:t>
      </w:r>
    </w:p>
    <w:p>
      <w:pPr>
        <w:bidi w:val="0"/>
        <w:rPr>
          <w:color w:val="auto"/>
          <w:lang w:val="en-US"/>
        </w:rPr>
      </w:pPr>
      <w:r>
        <w:rPr>
          <w:rFonts w:hint="eastAsia"/>
          <w:color w:val="auto"/>
          <w:lang w:val="en-US"/>
        </w:rPr>
        <w:t>正常情况下，项目建设均按照GB16889、GB18597、GB18598、GB18599、GB/T50934的要求进行了地下水分区防渗，</w:t>
      </w:r>
      <w:r>
        <w:rPr>
          <w:color w:val="auto"/>
          <w:lang w:val="en-US"/>
        </w:rPr>
        <w:t>正常工况下污水不会渗漏进入地下造成污染。</w:t>
      </w:r>
    </w:p>
    <w:p>
      <w:pPr>
        <w:bidi w:val="0"/>
        <w:rPr>
          <w:color w:val="auto"/>
        </w:rPr>
      </w:pPr>
      <w:r>
        <w:rPr>
          <w:rFonts w:hint="eastAsia"/>
          <w:color w:val="auto"/>
        </w:rPr>
        <w:t>（2）非正常工况</w:t>
      </w:r>
    </w:p>
    <w:p>
      <w:pPr>
        <w:bidi w:val="0"/>
        <w:rPr>
          <w:color w:val="auto"/>
        </w:rPr>
      </w:pPr>
      <w:r>
        <w:rPr>
          <w:color w:val="auto"/>
          <w:lang w:val="en-US"/>
        </w:rPr>
        <w:t>综合分析，在非正常工况下，该工程对厂址周围的地下水环境有一定的影响。但从泄漏概率、地面破损概率综合考虑，废水</w:t>
      </w:r>
      <w:r>
        <w:rPr>
          <w:rFonts w:hint="eastAsia"/>
          <w:color w:val="auto"/>
          <w:lang w:val="en-US"/>
        </w:rPr>
        <w:t>调节</w:t>
      </w:r>
      <w:r>
        <w:rPr>
          <w:color w:val="auto"/>
          <w:lang w:val="en-US"/>
        </w:rPr>
        <w:t>池渗入地下是概率很小的事件，</w:t>
      </w:r>
      <w:r>
        <w:rPr>
          <w:color w:val="auto"/>
        </w:rPr>
        <w:t>如果采取适当的预防措施和应急处理措施，可以把对地下水环境的影响控制到地下水环境容量可以接受的程度</w:t>
      </w:r>
      <w:r>
        <w:rPr>
          <w:rFonts w:hint="eastAsia"/>
          <w:color w:val="auto"/>
        </w:rPr>
        <w:t>。</w:t>
      </w:r>
    </w:p>
    <w:p>
      <w:pPr>
        <w:pStyle w:val="9"/>
        <w:bidi w:val="0"/>
        <w:rPr>
          <w:color w:val="auto"/>
        </w:rPr>
      </w:pPr>
      <w:r>
        <w:rPr>
          <w:rFonts w:hint="eastAsia"/>
          <w:color w:val="auto"/>
        </w:rPr>
        <w:t>5</w:t>
      </w:r>
      <w:r>
        <w:rPr>
          <w:color w:val="auto"/>
        </w:rPr>
        <w:t>.</w:t>
      </w:r>
      <w:r>
        <w:rPr>
          <w:rFonts w:hint="eastAsia"/>
          <w:color w:val="auto"/>
          <w:lang w:val="en-US" w:eastAsia="zh-CN"/>
        </w:rPr>
        <w:t>4</w:t>
      </w:r>
      <w:r>
        <w:rPr>
          <w:color w:val="auto"/>
        </w:rPr>
        <w:t>.</w:t>
      </w:r>
      <w:r>
        <w:rPr>
          <w:rFonts w:hint="eastAsia"/>
          <w:color w:val="auto"/>
        </w:rPr>
        <w:t>8建议</w:t>
      </w:r>
    </w:p>
    <w:p>
      <w:pPr>
        <w:bidi w:val="0"/>
        <w:rPr>
          <w:color w:val="auto"/>
        </w:rPr>
      </w:pPr>
      <w:r>
        <w:rPr>
          <w:color w:val="auto"/>
        </w:rPr>
        <w:t>（1）地下水污染具有不易发现和一旦污染很难治理的特点，因此，防止地下水污染应遵循源头控制、防止渗漏、污染监测及事故应急处理的主动及被动防渗相结合的原则。</w:t>
      </w:r>
    </w:p>
    <w:p>
      <w:pPr>
        <w:bidi w:val="0"/>
        <w:rPr>
          <w:color w:val="auto"/>
        </w:rPr>
      </w:pPr>
      <w:r>
        <w:rPr>
          <w:color w:val="auto"/>
        </w:rPr>
        <w:t>（2）项目建成后，应加强对厂址浅层地下水的动态监测工作，以实时掌握项目排放污染物对浅层地下水水质的影响。</w:t>
      </w:r>
    </w:p>
    <w:p>
      <w:pPr>
        <w:pStyle w:val="9"/>
        <w:bidi w:val="0"/>
        <w:rPr>
          <w:color w:val="auto"/>
        </w:rPr>
      </w:pPr>
      <w:r>
        <w:rPr>
          <w:rFonts w:hint="eastAsia"/>
          <w:color w:val="auto"/>
        </w:rPr>
        <w:t>5</w:t>
      </w:r>
      <w:r>
        <w:rPr>
          <w:color w:val="auto"/>
        </w:rPr>
        <w:t>.</w:t>
      </w:r>
      <w:r>
        <w:rPr>
          <w:rFonts w:hint="eastAsia"/>
          <w:color w:val="auto"/>
          <w:lang w:val="en-US" w:eastAsia="zh-CN"/>
        </w:rPr>
        <w:t>4</w:t>
      </w:r>
      <w:r>
        <w:rPr>
          <w:color w:val="auto"/>
        </w:rPr>
        <w:t>.</w:t>
      </w:r>
      <w:r>
        <w:rPr>
          <w:rFonts w:hint="eastAsia"/>
          <w:color w:val="auto"/>
        </w:rPr>
        <w:t>9</w:t>
      </w:r>
      <w:r>
        <w:rPr>
          <w:color w:val="auto"/>
        </w:rPr>
        <w:t>地下水环境保护措施</w:t>
      </w:r>
    </w:p>
    <w:p>
      <w:pPr>
        <w:bidi w:val="0"/>
        <w:rPr>
          <w:color w:val="auto"/>
        </w:rPr>
      </w:pPr>
      <w:r>
        <w:rPr>
          <w:color w:val="auto"/>
        </w:rPr>
        <w:t>为减少和防止本项目生产过程中产生的废水污染物对地下水造成污染影响，项目在建设过程中应对生产车间、道路采用水泥硬化，对</w:t>
      </w:r>
      <w:r>
        <w:rPr>
          <w:rFonts w:hint="eastAsia"/>
          <w:color w:val="auto"/>
        </w:rPr>
        <w:t>厂区</w:t>
      </w:r>
      <w:r>
        <w:rPr>
          <w:rFonts w:hint="eastAsia"/>
          <w:color w:val="auto"/>
          <w:lang w:val="en-US" w:eastAsia="zh-CN"/>
        </w:rPr>
        <w:t>项目生产车间，输送管道</w:t>
      </w:r>
      <w:r>
        <w:rPr>
          <w:color w:val="auto"/>
        </w:rPr>
        <w:t>等采取防渗处理，以防止各种构筑物渗漏对区域地下水造成污染。</w:t>
      </w:r>
    </w:p>
    <w:p>
      <w:pPr>
        <w:bidi w:val="0"/>
        <w:rPr>
          <w:b/>
          <w:bCs/>
          <w:color w:val="auto"/>
        </w:rPr>
      </w:pPr>
      <w:r>
        <w:rPr>
          <w:b/>
          <w:bCs/>
          <w:color w:val="auto"/>
        </w:rPr>
        <w:t>一、防渗原则</w:t>
      </w:r>
    </w:p>
    <w:p>
      <w:pPr>
        <w:bidi w:val="0"/>
        <w:rPr>
          <w:color w:val="auto"/>
        </w:rPr>
      </w:pPr>
      <w:r>
        <w:rPr>
          <w:color w:val="auto"/>
        </w:rPr>
        <w:t>采取源头控制、末端防治、污染监控相结合的原则，具体如下：</w:t>
      </w:r>
    </w:p>
    <w:p>
      <w:pPr>
        <w:bidi w:val="0"/>
        <w:rPr>
          <w:color w:val="auto"/>
        </w:rPr>
      </w:pPr>
      <w:r>
        <w:rPr>
          <w:color w:val="auto"/>
        </w:rPr>
        <w:t>（1）源头控制措施主要为在工艺、管道、设备、污水存储及处理构筑物处采取防泄漏和防渗措施，将污染物泄露污染地下水的环境风险降低到最低程度；</w:t>
      </w:r>
    </w:p>
    <w:p>
      <w:pPr>
        <w:bidi w:val="0"/>
        <w:rPr>
          <w:color w:val="auto"/>
        </w:rPr>
      </w:pPr>
      <w:r>
        <w:rPr>
          <w:color w:val="auto"/>
        </w:rPr>
        <w:t>（2）末端防治措施主要包括厂区防渗措施、污水收集措施，</w:t>
      </w:r>
      <w:r>
        <w:rPr>
          <w:rFonts w:hint="eastAsia"/>
          <w:color w:val="auto"/>
        </w:rPr>
        <w:t>防止</w:t>
      </w:r>
      <w:r>
        <w:rPr>
          <w:color w:val="auto"/>
        </w:rPr>
        <w:t>洒落地面的污染物渗入地下，同时对渗入地下的污染物及时收集，防止污染地下水；</w:t>
      </w:r>
    </w:p>
    <w:p>
      <w:pPr>
        <w:bidi w:val="0"/>
        <w:rPr>
          <w:color w:val="auto"/>
        </w:rPr>
      </w:pPr>
      <w:r>
        <w:rPr>
          <w:color w:val="auto"/>
        </w:rPr>
        <w:t>（3）污染监控措施主要包括建立完善的监测制度、配备先进的监测仪器和设备，科学合理</w:t>
      </w:r>
      <w:r>
        <w:rPr>
          <w:rFonts w:hint="eastAsia"/>
          <w:color w:val="auto"/>
          <w:lang w:eastAsia="zh-CN"/>
        </w:rPr>
        <w:t>地</w:t>
      </w:r>
      <w:r>
        <w:rPr>
          <w:color w:val="auto"/>
        </w:rPr>
        <w:t>设置地下水监控井，同时加强车间和各用排水单元的管理，避免跑冒滴漏现象的发生，增强员工的环境保护意识，及时对员工进行宣传教育。</w:t>
      </w:r>
    </w:p>
    <w:p>
      <w:pPr>
        <w:bidi w:val="0"/>
        <w:rPr>
          <w:color w:val="auto"/>
        </w:rPr>
      </w:pPr>
      <w:r>
        <w:rPr>
          <w:color w:val="auto"/>
        </w:rPr>
        <w:t>（4）项目设置的固废全密闭暂存间应严格按照一般固废和危险固废全密闭暂存间建设要求，设置相应的围堰、排水设施等，并对厂区地面进行硬化。</w:t>
      </w:r>
    </w:p>
    <w:p>
      <w:pPr>
        <w:bidi w:val="0"/>
        <w:rPr>
          <w:b/>
          <w:bCs/>
          <w:color w:val="auto"/>
        </w:rPr>
      </w:pPr>
      <w:r>
        <w:rPr>
          <w:b/>
          <w:bCs/>
          <w:color w:val="auto"/>
        </w:rPr>
        <w:t>二、厂区防渗要求</w:t>
      </w:r>
    </w:p>
    <w:p>
      <w:pPr>
        <w:bidi w:val="0"/>
        <w:rPr>
          <w:rFonts w:hint="eastAsia"/>
          <w:color w:val="auto"/>
        </w:rPr>
      </w:pPr>
      <w:r>
        <w:rPr>
          <w:rFonts w:hint="eastAsia"/>
          <w:color w:val="auto"/>
        </w:rPr>
        <w:t>整个厂区划分为重点污染防渗区、一般污染防渗区、非污染防渗区：</w:t>
      </w:r>
    </w:p>
    <w:p>
      <w:pPr>
        <w:bidi w:val="0"/>
        <w:rPr>
          <w:rFonts w:hint="eastAsia"/>
          <w:color w:val="auto"/>
        </w:rPr>
      </w:pPr>
      <w:r>
        <w:rPr>
          <w:rFonts w:hint="eastAsia"/>
          <w:color w:val="auto"/>
        </w:rPr>
        <w:t>重点污染防渗区：位于地下或半地下的生产功能单元，污染地下水环境的物料或污染物泄漏后，不易及时发现和处理的区域或部位。本项目的重点污染防治区为：废污水管道</w:t>
      </w:r>
      <w:r>
        <w:rPr>
          <w:rFonts w:hint="eastAsia"/>
          <w:color w:val="auto"/>
          <w:lang w:eastAsia="zh-CN"/>
        </w:rPr>
        <w:t>、</w:t>
      </w:r>
      <w:r>
        <w:rPr>
          <w:rFonts w:hint="eastAsia"/>
          <w:color w:val="auto"/>
          <w:lang w:val="en-US" w:eastAsia="zh-CN"/>
        </w:rPr>
        <w:t>硫酸输送管道等</w:t>
      </w:r>
      <w:r>
        <w:rPr>
          <w:rFonts w:hint="eastAsia"/>
          <w:color w:val="auto"/>
        </w:rPr>
        <w:t>。</w:t>
      </w:r>
    </w:p>
    <w:p>
      <w:pPr>
        <w:bidi w:val="0"/>
        <w:rPr>
          <w:rFonts w:hint="eastAsia"/>
          <w:color w:val="auto"/>
        </w:rPr>
      </w:pPr>
      <w:r>
        <w:rPr>
          <w:rFonts w:hint="eastAsia"/>
          <w:color w:val="auto"/>
        </w:rPr>
        <w:t>一般污染防渗区：</w:t>
      </w:r>
      <w:r>
        <w:rPr>
          <w:rFonts w:hint="eastAsia"/>
          <w:color w:val="auto"/>
          <w:lang w:eastAsia="zh-CN"/>
        </w:rPr>
        <w:t>裸露</w:t>
      </w:r>
      <w:r>
        <w:rPr>
          <w:rFonts w:hint="eastAsia"/>
          <w:color w:val="auto"/>
        </w:rPr>
        <w:t>于地面的生产功能单元，污染地下水环境的物料或污染物泄漏后，可及时发现和处理的区域或部位。本项目的一般污染防治区为：生产车间。</w:t>
      </w:r>
    </w:p>
    <w:p>
      <w:pPr>
        <w:bidi w:val="0"/>
        <w:rPr>
          <w:rFonts w:hint="eastAsia"/>
          <w:iCs/>
          <w:color w:val="auto"/>
          <w:szCs w:val="24"/>
        </w:rPr>
      </w:pPr>
      <w:r>
        <w:rPr>
          <w:rFonts w:hint="eastAsia"/>
          <w:color w:val="auto"/>
        </w:rPr>
        <w:t>非污染防渗区：没有物料或污染物泄露，不会对地下水环境造成污染的区域或部位。本项目的非污染防治区为：仓库及其他区域。</w:t>
      </w:r>
    </w:p>
    <w:p>
      <w:pPr>
        <w:bidi w:val="0"/>
        <w:ind w:left="0" w:leftChars="0" w:firstLine="0" w:firstLineChars="0"/>
        <w:rPr>
          <w:rFonts w:hint="eastAsia" w:eastAsia="宋体"/>
          <w:color w:val="auto"/>
          <w:lang w:eastAsia="zh-CN"/>
        </w:rPr>
      </w:pPr>
    </w:p>
    <w:p>
      <w:pPr>
        <w:bidi w:val="0"/>
        <w:ind w:left="0" w:leftChars="0" w:firstLine="0" w:firstLineChars="0"/>
        <w:jc w:val="center"/>
        <w:rPr>
          <w:rFonts w:hint="eastAsia"/>
          <w:color w:val="auto"/>
          <w:lang w:eastAsia="zh-CN"/>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bidi w:val="0"/>
        <w:ind w:left="0" w:leftChars="0" w:firstLine="0" w:firstLineChars="0"/>
        <w:rPr>
          <w:color w:val="auto"/>
        </w:rPr>
      </w:pPr>
      <w:r>
        <w:rPr>
          <w:color w:val="auto"/>
        </w:rPr>
        <w:drawing>
          <wp:inline distT="0" distB="0" distL="114300" distR="114300">
            <wp:extent cx="8404860" cy="4914900"/>
            <wp:effectExtent l="0" t="0" r="7620" b="7620"/>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80"/>
                    <a:stretch>
                      <a:fillRect/>
                    </a:stretch>
                  </pic:blipFill>
                  <pic:spPr>
                    <a:xfrm>
                      <a:off x="0" y="0"/>
                      <a:ext cx="8404860" cy="4914900"/>
                    </a:xfrm>
                    <a:prstGeom prst="rect">
                      <a:avLst/>
                    </a:prstGeom>
                    <a:noFill/>
                    <a:ln>
                      <a:noFill/>
                    </a:ln>
                  </pic:spPr>
                </pic:pic>
              </a:graphicData>
            </a:graphic>
          </wp:inline>
        </w:drawing>
      </w:r>
    </w:p>
    <w:p>
      <w:pPr>
        <w:pStyle w:val="181"/>
        <w:bidi w:val="0"/>
        <w:ind w:left="0" w:leftChars="0" w:firstLine="0" w:firstLineChars="0"/>
        <w:jc w:val="center"/>
        <w:rPr>
          <w:rFonts w:hint="eastAsia"/>
          <w:color w:val="auto"/>
          <w:lang w:eastAsia="zh-CN"/>
        </w:rPr>
      </w:pPr>
      <w:r>
        <w:rPr>
          <w:rFonts w:hint="eastAsia"/>
          <w:color w:val="auto"/>
          <w:lang w:val="en-US" w:eastAsia="zh-CN"/>
        </w:rPr>
        <w:t>图5.4-6  项目厂区分区防渗图</w:t>
      </w:r>
    </w:p>
    <w:p>
      <w:pPr>
        <w:bidi w:val="0"/>
        <w:ind w:left="0" w:leftChars="0" w:firstLine="0" w:firstLineChars="0"/>
        <w:rPr>
          <w:rFonts w:hint="eastAsia"/>
          <w:color w:val="auto"/>
          <w:lang w:eastAsia="zh-CN"/>
        </w:rPr>
      </w:pPr>
    </w:p>
    <w:p>
      <w:pPr>
        <w:pStyle w:val="2"/>
        <w:ind w:left="0" w:leftChars="0" w:firstLine="0" w:firstLineChars="0"/>
        <w:rPr>
          <w:rFonts w:hint="eastAsia"/>
          <w:color w:val="auto"/>
          <w:lang w:eastAsia="zh-CN"/>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bidi w:val="0"/>
        <w:rPr>
          <w:b/>
          <w:bCs/>
          <w:color w:val="auto"/>
          <w:u w:val="single"/>
        </w:rPr>
      </w:pPr>
      <w:r>
        <w:rPr>
          <w:rFonts w:hint="eastAsia"/>
          <w:b/>
          <w:bCs/>
          <w:color w:val="auto"/>
          <w:u w:val="single"/>
        </w:rPr>
        <w:t>针对不同的防渗区域，采取不同的污染防渗措施</w:t>
      </w:r>
      <w:r>
        <w:rPr>
          <w:rFonts w:hint="eastAsia"/>
          <w:b/>
          <w:bCs/>
          <w:color w:val="auto"/>
          <w:u w:val="single"/>
          <w:lang w:eastAsia="zh-CN"/>
        </w:rPr>
        <w:t>，</w:t>
      </w:r>
      <w:r>
        <w:rPr>
          <w:rFonts w:hint="eastAsia"/>
          <w:b/>
          <w:bCs/>
          <w:color w:val="auto"/>
          <w:u w:val="single"/>
        </w:rPr>
        <w:t>本项目划分为重点污染防渗区、一般污染防渗区、非污染防渗区：</w:t>
      </w:r>
    </w:p>
    <w:p>
      <w:pPr>
        <w:bidi w:val="0"/>
        <w:rPr>
          <w:b/>
          <w:bCs/>
          <w:color w:val="auto"/>
          <w:u w:val="single"/>
        </w:rPr>
      </w:pPr>
      <w:r>
        <w:rPr>
          <w:rFonts w:hint="eastAsia"/>
          <w:b/>
          <w:bCs/>
          <w:color w:val="auto"/>
          <w:u w:val="single"/>
        </w:rPr>
        <w:t>重点污染防渗区：位于地下或半地下的生产功能单元，污染地下水环境的物料或污染物泄漏后，不易及时发现和处理的区域或部位。本项目的重点污染防治区为：</w:t>
      </w:r>
      <w:r>
        <w:rPr>
          <w:rFonts w:hint="eastAsia"/>
          <w:b/>
          <w:bCs/>
          <w:color w:val="auto"/>
          <w:u w:val="single"/>
          <w:lang w:val="en-US" w:eastAsia="zh-CN"/>
        </w:rPr>
        <w:t>硫酸输送管道</w:t>
      </w:r>
      <w:r>
        <w:rPr>
          <w:rFonts w:hint="eastAsia"/>
          <w:b/>
          <w:bCs/>
          <w:color w:val="auto"/>
          <w:u w:val="single"/>
        </w:rPr>
        <w:t>、废污水管道。</w:t>
      </w:r>
    </w:p>
    <w:p>
      <w:pPr>
        <w:bidi w:val="0"/>
        <w:rPr>
          <w:b/>
          <w:bCs/>
          <w:color w:val="auto"/>
          <w:u w:val="single"/>
        </w:rPr>
      </w:pPr>
      <w:r>
        <w:rPr>
          <w:rFonts w:hint="eastAsia"/>
          <w:b/>
          <w:bCs/>
          <w:color w:val="auto"/>
          <w:u w:val="single"/>
        </w:rPr>
        <w:t>一般污染防渗区：</w:t>
      </w:r>
      <w:r>
        <w:rPr>
          <w:rFonts w:hint="eastAsia"/>
          <w:b/>
          <w:bCs/>
          <w:color w:val="auto"/>
          <w:u w:val="single"/>
          <w:lang w:eastAsia="zh-CN"/>
        </w:rPr>
        <w:t>裸露</w:t>
      </w:r>
      <w:r>
        <w:rPr>
          <w:rFonts w:hint="eastAsia"/>
          <w:b/>
          <w:bCs/>
          <w:color w:val="auto"/>
          <w:u w:val="single"/>
        </w:rPr>
        <w:t>于地面的生产功能单元，污染地下水环境的物料或污染物泄漏后，可及时发现和处理的区域或部位。本项目的一般污染防治区为：生产车间。</w:t>
      </w:r>
    </w:p>
    <w:p>
      <w:pPr>
        <w:bidi w:val="0"/>
        <w:rPr>
          <w:b/>
          <w:bCs/>
          <w:color w:val="auto"/>
          <w:u w:val="single"/>
        </w:rPr>
      </w:pPr>
      <w:r>
        <w:rPr>
          <w:rFonts w:hint="eastAsia"/>
          <w:b/>
          <w:bCs/>
          <w:color w:val="auto"/>
          <w:u w:val="single"/>
        </w:rPr>
        <w:t>非污染防渗区：没有物料或污染物泄露，不会对地下水环境造成污染的区域或部位。本项目的非污染防治区为：仓库及其他区域。</w:t>
      </w:r>
    </w:p>
    <w:p>
      <w:pPr>
        <w:bidi w:val="0"/>
        <w:rPr>
          <w:b/>
          <w:bCs/>
          <w:color w:val="auto"/>
          <w:u w:val="single"/>
        </w:rPr>
      </w:pPr>
      <w:r>
        <w:rPr>
          <w:rFonts w:hint="eastAsia"/>
          <w:b/>
          <w:bCs/>
          <w:color w:val="auto"/>
          <w:u w:val="single"/>
        </w:rPr>
        <w:t>针对不同的防渗区域，采取不同的污染防渗措施，具体如下：</w:t>
      </w:r>
    </w:p>
    <w:p>
      <w:pPr>
        <w:bidi w:val="0"/>
        <w:rPr>
          <w:b/>
          <w:bCs/>
          <w:color w:val="auto"/>
          <w:u w:val="single"/>
        </w:rPr>
      </w:pPr>
      <w:r>
        <w:rPr>
          <w:rFonts w:hint="eastAsia"/>
          <w:b/>
          <w:bCs/>
          <w:color w:val="auto"/>
          <w:u w:val="single"/>
        </w:rPr>
        <w:t>（1）重点污染防渗区：</w:t>
      </w:r>
    </w:p>
    <w:p>
      <w:pPr>
        <w:bidi w:val="0"/>
        <w:rPr>
          <w:b/>
          <w:bCs/>
          <w:color w:val="auto"/>
          <w:u w:val="single"/>
        </w:rPr>
      </w:pPr>
      <w:r>
        <w:rPr>
          <w:rFonts w:hint="eastAsia"/>
          <w:b/>
          <w:bCs/>
          <w:color w:val="auto"/>
          <w:u w:val="single"/>
        </w:rPr>
        <w:t>a</w:t>
      </w:r>
      <w:r>
        <w:rPr>
          <w:rFonts w:hint="eastAsia"/>
          <w:b/>
          <w:bCs/>
          <w:color w:val="auto"/>
          <w:u w:val="single"/>
          <w:lang w:eastAsia="zh-CN"/>
        </w:rPr>
        <w:t>.</w:t>
      </w:r>
      <w:r>
        <w:rPr>
          <w:rFonts w:hint="eastAsia"/>
          <w:b/>
          <w:bCs/>
          <w:color w:val="auto"/>
          <w:u w:val="single"/>
        </w:rPr>
        <w:t>防渗性能应与6.0m厚</w:t>
      </w:r>
      <w:r>
        <w:rPr>
          <w:rFonts w:hint="eastAsia"/>
          <w:b/>
          <w:bCs/>
          <w:color w:val="auto"/>
          <w:u w:val="single"/>
          <w:lang w:eastAsia="zh-CN"/>
        </w:rPr>
        <w:t>黏土</w:t>
      </w:r>
      <w:r>
        <w:rPr>
          <w:rFonts w:hint="eastAsia"/>
          <w:b/>
          <w:bCs/>
          <w:color w:val="auto"/>
          <w:u w:val="single"/>
        </w:rPr>
        <w:t>层（渗透系数1.0×10</w:t>
      </w:r>
      <w:r>
        <w:rPr>
          <w:rFonts w:hint="eastAsia"/>
          <w:b/>
          <w:bCs/>
          <w:color w:val="auto"/>
          <w:u w:val="single"/>
          <w:lang w:eastAsia="zh-CN"/>
        </w:rPr>
        <w:t>—</w:t>
      </w:r>
      <w:r>
        <w:rPr>
          <w:rFonts w:hint="eastAsia"/>
          <w:b/>
          <w:bCs/>
          <w:color w:val="auto"/>
          <w:u w:val="single"/>
          <w:vertAlign w:val="superscript"/>
        </w:rPr>
        <w:t>7</w:t>
      </w:r>
      <w:r>
        <w:rPr>
          <w:rFonts w:hint="eastAsia"/>
          <w:b/>
          <w:bCs/>
          <w:color w:val="auto"/>
          <w:u w:val="single"/>
        </w:rPr>
        <w:t>cm/s）等效；</w:t>
      </w:r>
    </w:p>
    <w:p>
      <w:pPr>
        <w:bidi w:val="0"/>
        <w:rPr>
          <w:b/>
          <w:bCs/>
          <w:color w:val="auto"/>
          <w:u w:val="single"/>
        </w:rPr>
      </w:pPr>
      <w:r>
        <w:rPr>
          <w:rFonts w:hint="eastAsia"/>
          <w:b/>
          <w:bCs/>
          <w:color w:val="auto"/>
          <w:u w:val="single"/>
        </w:rPr>
        <w:t>b</w:t>
      </w:r>
      <w:r>
        <w:rPr>
          <w:rFonts w:hint="eastAsia"/>
          <w:b/>
          <w:bCs/>
          <w:color w:val="auto"/>
          <w:u w:val="single"/>
          <w:lang w:eastAsia="zh-CN"/>
        </w:rPr>
        <w:t>.</w:t>
      </w:r>
      <w:r>
        <w:rPr>
          <w:rFonts w:hint="eastAsia"/>
          <w:b/>
          <w:bCs/>
          <w:color w:val="auto"/>
          <w:u w:val="single"/>
        </w:rPr>
        <w:t>第一层采用底层粘土，采用0.3m压实</w:t>
      </w:r>
      <w:r>
        <w:rPr>
          <w:rFonts w:hint="eastAsia"/>
          <w:b/>
          <w:bCs/>
          <w:color w:val="auto"/>
          <w:u w:val="single"/>
          <w:lang w:eastAsia="zh-CN"/>
        </w:rPr>
        <w:t>黏土</w:t>
      </w:r>
      <w:r>
        <w:rPr>
          <w:rFonts w:hint="eastAsia"/>
          <w:b/>
          <w:bCs/>
          <w:color w:val="auto"/>
          <w:u w:val="single"/>
        </w:rPr>
        <w:t>层；</w:t>
      </w:r>
    </w:p>
    <w:p>
      <w:pPr>
        <w:bidi w:val="0"/>
        <w:rPr>
          <w:b/>
          <w:bCs/>
          <w:color w:val="auto"/>
          <w:u w:val="single"/>
        </w:rPr>
      </w:pPr>
      <w:r>
        <w:rPr>
          <w:rFonts w:hint="eastAsia"/>
          <w:b/>
          <w:bCs/>
          <w:color w:val="auto"/>
          <w:u w:val="single"/>
        </w:rPr>
        <w:t>c</w:t>
      </w:r>
      <w:r>
        <w:rPr>
          <w:rFonts w:hint="eastAsia"/>
          <w:b/>
          <w:bCs/>
          <w:color w:val="auto"/>
          <w:u w:val="single"/>
          <w:lang w:eastAsia="zh-CN"/>
        </w:rPr>
        <w:t>.</w:t>
      </w:r>
      <w:r>
        <w:rPr>
          <w:rFonts w:hint="eastAsia"/>
          <w:b/>
          <w:bCs/>
          <w:color w:val="auto"/>
          <w:u w:val="single"/>
        </w:rPr>
        <w:t>第二层采用GCL（纳基膨润土防水毯），抗渗等级不小于P10，厚度宜为2.0mm；</w:t>
      </w:r>
    </w:p>
    <w:p>
      <w:pPr>
        <w:bidi w:val="0"/>
        <w:rPr>
          <w:b/>
          <w:bCs/>
          <w:color w:val="auto"/>
          <w:u w:val="single"/>
        </w:rPr>
      </w:pPr>
      <w:r>
        <w:rPr>
          <w:rFonts w:hint="eastAsia"/>
          <w:b/>
          <w:bCs/>
          <w:color w:val="auto"/>
          <w:u w:val="single"/>
        </w:rPr>
        <w:t>d</w:t>
      </w:r>
      <w:r>
        <w:rPr>
          <w:rFonts w:hint="eastAsia"/>
          <w:b/>
          <w:bCs/>
          <w:color w:val="auto"/>
          <w:u w:val="single"/>
          <w:lang w:eastAsia="zh-CN"/>
        </w:rPr>
        <w:t>.</w:t>
      </w:r>
      <w:r>
        <w:rPr>
          <w:rFonts w:hint="eastAsia"/>
          <w:b/>
          <w:bCs/>
          <w:color w:val="auto"/>
          <w:u w:val="single"/>
        </w:rPr>
        <w:t>第三层采用HDPE土工膜，厚度宜为1.5mm；</w:t>
      </w:r>
    </w:p>
    <w:p>
      <w:pPr>
        <w:bidi w:val="0"/>
        <w:rPr>
          <w:b/>
          <w:bCs/>
          <w:color w:val="auto"/>
          <w:u w:val="single"/>
        </w:rPr>
      </w:pPr>
      <w:r>
        <w:rPr>
          <w:rFonts w:hint="eastAsia"/>
          <w:b/>
          <w:bCs/>
          <w:color w:val="auto"/>
          <w:u w:val="single"/>
        </w:rPr>
        <w:t>e</w:t>
      </w:r>
      <w:r>
        <w:rPr>
          <w:rFonts w:hint="eastAsia"/>
          <w:b/>
          <w:bCs/>
          <w:color w:val="auto"/>
          <w:u w:val="single"/>
          <w:lang w:eastAsia="zh-CN"/>
        </w:rPr>
        <w:t>.</w:t>
      </w:r>
      <w:r>
        <w:rPr>
          <w:rFonts w:hint="eastAsia"/>
          <w:b/>
          <w:bCs/>
          <w:color w:val="auto"/>
          <w:u w:val="single"/>
        </w:rPr>
        <w:t>第四层采用长丝无纺土工布保护，其规格不宜小于600g/m</w:t>
      </w:r>
      <w:r>
        <w:rPr>
          <w:rFonts w:hint="eastAsia"/>
          <w:b/>
          <w:bCs/>
          <w:color w:val="auto"/>
          <w:u w:val="single"/>
          <w:vertAlign w:val="superscript"/>
        </w:rPr>
        <w:t>2</w:t>
      </w:r>
      <w:r>
        <w:rPr>
          <w:rFonts w:hint="eastAsia"/>
          <w:b/>
          <w:bCs/>
          <w:color w:val="auto"/>
          <w:u w:val="single"/>
        </w:rPr>
        <w:t>。</w:t>
      </w:r>
    </w:p>
    <w:p>
      <w:pPr>
        <w:bidi w:val="0"/>
        <w:rPr>
          <w:b/>
          <w:bCs/>
          <w:color w:val="auto"/>
          <w:u w:val="single"/>
        </w:rPr>
      </w:pPr>
      <w:r>
        <w:rPr>
          <w:rFonts w:hint="eastAsia"/>
          <w:b/>
          <w:bCs/>
          <w:color w:val="auto"/>
          <w:u w:val="single"/>
        </w:rPr>
        <w:t>f</w:t>
      </w:r>
      <w:r>
        <w:rPr>
          <w:rFonts w:hint="eastAsia"/>
          <w:b/>
          <w:bCs/>
          <w:color w:val="auto"/>
          <w:u w:val="single"/>
          <w:lang w:eastAsia="zh-CN"/>
        </w:rPr>
        <w:t>.</w:t>
      </w:r>
      <w:r>
        <w:rPr>
          <w:rFonts w:hint="eastAsia"/>
          <w:b/>
          <w:bCs/>
          <w:color w:val="auto"/>
          <w:u w:val="single"/>
        </w:rPr>
        <w:t>第五层采用抗渗钢筋混凝土结构，混凝土强度等级不宜小于C30；钢筋混凝土水池的抗渗等级不应小于P8；结构厚度不应小于250mm；最大裂缝宽度不应大于0.2mm，并不得贯通；钢筋的混凝土保护层厚度应根据结构的耐久性和环境类别选用，迎水面钢筋的混凝土保护层厚度不应小于50mm；防渗钢筋混凝土水池所有缝应设置止水带，止水带可选用塑料止水带和橡胶止水带，缝内应填置填缝板和嵌缝密封料，接缝处等细部构造应采取防渗处理。</w:t>
      </w:r>
    </w:p>
    <w:p>
      <w:pPr>
        <w:bidi w:val="0"/>
        <w:rPr>
          <w:b/>
          <w:bCs/>
          <w:color w:val="auto"/>
          <w:u w:val="single"/>
        </w:rPr>
      </w:pPr>
      <w:r>
        <w:rPr>
          <w:rFonts w:hint="eastAsia"/>
          <w:b/>
          <w:bCs/>
          <w:color w:val="auto"/>
          <w:u w:val="single"/>
        </w:rPr>
        <w:t>防渗层应由中心坡向四周，坡度不宜小于1.5%。</w:t>
      </w:r>
    </w:p>
    <w:p>
      <w:pPr>
        <w:spacing w:line="520" w:lineRule="exact"/>
        <w:ind w:firstLine="482" w:firstLineChars="200"/>
        <w:rPr>
          <w:b/>
          <w:bCs/>
          <w:color w:val="auto"/>
          <w:u w:val="single"/>
        </w:rPr>
      </w:pPr>
      <w:r>
        <w:rPr>
          <w:rFonts w:hint="eastAsia"/>
          <w:b/>
          <w:bCs/>
          <w:color w:val="auto"/>
          <w:u w:val="single"/>
        </w:rPr>
        <w:t>（2）一般污染防渗区：</w:t>
      </w:r>
    </w:p>
    <w:p>
      <w:pPr>
        <w:spacing w:line="520" w:lineRule="exact"/>
        <w:ind w:firstLine="482" w:firstLineChars="200"/>
        <w:rPr>
          <w:b/>
          <w:bCs/>
          <w:color w:val="auto"/>
          <w:u w:val="single"/>
        </w:rPr>
      </w:pPr>
      <w:r>
        <w:rPr>
          <w:rFonts w:hint="eastAsia"/>
          <w:b/>
          <w:bCs/>
          <w:color w:val="auto"/>
          <w:u w:val="single"/>
        </w:rPr>
        <w:t>a</w:t>
      </w:r>
      <w:r>
        <w:rPr>
          <w:rFonts w:hint="eastAsia"/>
          <w:b/>
          <w:bCs/>
          <w:color w:val="auto"/>
          <w:u w:val="single"/>
          <w:lang w:eastAsia="zh-CN"/>
        </w:rPr>
        <w:t>.</w:t>
      </w:r>
      <w:r>
        <w:rPr>
          <w:rFonts w:hint="eastAsia"/>
          <w:b/>
          <w:bCs/>
          <w:color w:val="auto"/>
          <w:u w:val="single"/>
        </w:rPr>
        <w:t>对一般污染防治区，防渗性能应与1.5m厚</w:t>
      </w:r>
      <w:r>
        <w:rPr>
          <w:rFonts w:hint="eastAsia"/>
          <w:b/>
          <w:bCs/>
          <w:color w:val="auto"/>
          <w:u w:val="single"/>
          <w:lang w:eastAsia="zh-CN"/>
        </w:rPr>
        <w:t>黏土</w:t>
      </w:r>
      <w:r>
        <w:rPr>
          <w:rFonts w:hint="eastAsia"/>
          <w:b/>
          <w:bCs/>
          <w:color w:val="auto"/>
          <w:u w:val="single"/>
        </w:rPr>
        <w:t>层（渗透系数1.0×10</w:t>
      </w:r>
      <w:r>
        <w:rPr>
          <w:rFonts w:hint="eastAsia"/>
          <w:b/>
          <w:bCs/>
          <w:color w:val="auto"/>
          <w:u w:val="single"/>
          <w:lang w:eastAsia="zh-CN"/>
        </w:rPr>
        <w:t>—</w:t>
      </w:r>
      <w:r>
        <w:rPr>
          <w:rFonts w:hint="eastAsia"/>
          <w:b/>
          <w:bCs/>
          <w:color w:val="auto"/>
          <w:u w:val="single"/>
          <w:vertAlign w:val="superscript"/>
        </w:rPr>
        <w:t>7</w:t>
      </w:r>
      <w:r>
        <w:rPr>
          <w:rFonts w:hint="eastAsia"/>
          <w:b/>
          <w:bCs/>
          <w:color w:val="auto"/>
          <w:u w:val="single"/>
        </w:rPr>
        <w:t>cm/s）等效；</w:t>
      </w:r>
    </w:p>
    <w:p>
      <w:pPr>
        <w:spacing w:line="520" w:lineRule="exact"/>
        <w:ind w:firstLine="482" w:firstLineChars="200"/>
        <w:rPr>
          <w:b/>
          <w:bCs/>
          <w:color w:val="auto"/>
          <w:u w:val="single"/>
        </w:rPr>
      </w:pPr>
      <w:r>
        <w:rPr>
          <w:rFonts w:hint="eastAsia"/>
          <w:b/>
          <w:bCs/>
          <w:color w:val="auto"/>
          <w:u w:val="single"/>
        </w:rPr>
        <w:t>b</w:t>
      </w:r>
      <w:r>
        <w:rPr>
          <w:rFonts w:hint="eastAsia"/>
          <w:b/>
          <w:bCs/>
          <w:color w:val="auto"/>
          <w:u w:val="single"/>
          <w:lang w:eastAsia="zh-CN"/>
        </w:rPr>
        <w:t>.</w:t>
      </w:r>
      <w:r>
        <w:rPr>
          <w:rFonts w:hint="eastAsia"/>
          <w:b/>
          <w:bCs/>
          <w:color w:val="auto"/>
          <w:u w:val="single"/>
        </w:rPr>
        <w:t>第一层基地土采用粘土夯实；</w:t>
      </w:r>
    </w:p>
    <w:p>
      <w:pPr>
        <w:spacing w:line="520" w:lineRule="exact"/>
        <w:ind w:firstLine="482" w:firstLineChars="200"/>
        <w:rPr>
          <w:b/>
          <w:bCs/>
          <w:color w:val="auto"/>
          <w:u w:val="single"/>
        </w:rPr>
      </w:pPr>
      <w:r>
        <w:rPr>
          <w:rFonts w:hint="eastAsia"/>
          <w:b/>
          <w:bCs/>
          <w:color w:val="auto"/>
          <w:u w:val="single"/>
        </w:rPr>
        <w:t>c</w:t>
      </w:r>
      <w:r>
        <w:rPr>
          <w:rFonts w:hint="eastAsia"/>
          <w:b/>
          <w:bCs/>
          <w:color w:val="auto"/>
          <w:u w:val="single"/>
          <w:lang w:eastAsia="zh-CN"/>
        </w:rPr>
        <w:t>.</w:t>
      </w:r>
      <w:r>
        <w:rPr>
          <w:rFonts w:hint="eastAsia"/>
          <w:b/>
          <w:bCs/>
          <w:color w:val="auto"/>
          <w:u w:val="single"/>
        </w:rPr>
        <w:t>第二层垫层采用碎石垫层；</w:t>
      </w:r>
    </w:p>
    <w:p>
      <w:pPr>
        <w:spacing w:line="520" w:lineRule="exact"/>
        <w:ind w:firstLine="482" w:firstLineChars="200"/>
        <w:rPr>
          <w:b/>
          <w:bCs/>
          <w:color w:val="auto"/>
          <w:u w:val="single"/>
        </w:rPr>
      </w:pPr>
      <w:r>
        <w:rPr>
          <w:rFonts w:hint="eastAsia"/>
          <w:b/>
          <w:bCs/>
          <w:color w:val="auto"/>
          <w:u w:val="single"/>
        </w:rPr>
        <w:t>d</w:t>
      </w:r>
      <w:r>
        <w:rPr>
          <w:rFonts w:hint="eastAsia"/>
          <w:b/>
          <w:bCs/>
          <w:color w:val="auto"/>
          <w:u w:val="single"/>
          <w:lang w:eastAsia="zh-CN"/>
        </w:rPr>
        <w:t>.</w:t>
      </w:r>
      <w:r>
        <w:rPr>
          <w:rFonts w:hint="eastAsia"/>
          <w:b/>
          <w:bCs/>
          <w:color w:val="auto"/>
          <w:u w:val="single"/>
        </w:rPr>
        <w:t>第三层防渗层采用混凝土防渗；混凝土防渗层的强度等级不应小于C20，水灰比不宜大于0.50；抗渗混凝土的抗渗等级不宜小于P8，其厚度小于100mm；</w:t>
      </w:r>
    </w:p>
    <w:p>
      <w:pPr>
        <w:spacing w:line="520" w:lineRule="exact"/>
        <w:ind w:firstLine="482" w:firstLineChars="200"/>
        <w:rPr>
          <w:b/>
          <w:bCs/>
          <w:color w:val="auto"/>
          <w:u w:val="single"/>
        </w:rPr>
      </w:pPr>
      <w:r>
        <w:rPr>
          <w:rFonts w:hint="eastAsia"/>
          <w:b/>
          <w:bCs/>
          <w:color w:val="auto"/>
          <w:u w:val="single"/>
        </w:rPr>
        <w:t>e</w:t>
      </w:r>
      <w:r>
        <w:rPr>
          <w:rFonts w:hint="eastAsia"/>
          <w:b/>
          <w:bCs/>
          <w:color w:val="auto"/>
          <w:u w:val="single"/>
          <w:lang w:eastAsia="zh-CN"/>
        </w:rPr>
        <w:t>.</w:t>
      </w:r>
      <w:r>
        <w:rPr>
          <w:rFonts w:hint="eastAsia"/>
          <w:b/>
          <w:bCs/>
          <w:color w:val="auto"/>
          <w:u w:val="single"/>
        </w:rPr>
        <w:t>抗渗混凝土地面设置缩缝和变形缝，接缝处等细部构造进行防渗。</w:t>
      </w:r>
    </w:p>
    <w:p>
      <w:pPr>
        <w:spacing w:line="520" w:lineRule="exact"/>
        <w:ind w:firstLine="482" w:firstLineChars="200"/>
        <w:rPr>
          <w:b/>
          <w:bCs/>
          <w:color w:val="auto"/>
          <w:u w:val="single"/>
        </w:rPr>
      </w:pPr>
      <w:r>
        <w:rPr>
          <w:rFonts w:hint="eastAsia"/>
          <w:b/>
          <w:bCs/>
          <w:color w:val="auto"/>
          <w:u w:val="single"/>
        </w:rPr>
        <w:t>（3）非污染防渗区：</w:t>
      </w:r>
    </w:p>
    <w:p>
      <w:pPr>
        <w:spacing w:line="520" w:lineRule="exact"/>
        <w:ind w:firstLine="482" w:firstLineChars="200"/>
        <w:rPr>
          <w:b/>
          <w:bCs/>
          <w:color w:val="auto"/>
          <w:u w:val="single"/>
        </w:rPr>
      </w:pPr>
      <w:r>
        <w:rPr>
          <w:rFonts w:hint="eastAsia"/>
          <w:b/>
          <w:bCs/>
          <w:color w:val="auto"/>
          <w:u w:val="single"/>
        </w:rPr>
        <w:t>a</w:t>
      </w:r>
      <w:r>
        <w:rPr>
          <w:rFonts w:hint="eastAsia"/>
          <w:b/>
          <w:bCs/>
          <w:color w:val="auto"/>
          <w:u w:val="single"/>
          <w:lang w:eastAsia="zh-CN"/>
        </w:rPr>
        <w:t>.</w:t>
      </w:r>
      <w:r>
        <w:rPr>
          <w:rFonts w:hint="eastAsia"/>
          <w:b/>
          <w:bCs/>
          <w:color w:val="auto"/>
          <w:u w:val="single"/>
        </w:rPr>
        <w:t>第一层基地土采用原土夯实；</w:t>
      </w:r>
    </w:p>
    <w:p>
      <w:pPr>
        <w:spacing w:line="520" w:lineRule="exact"/>
        <w:ind w:firstLine="482" w:firstLineChars="200"/>
        <w:rPr>
          <w:b/>
          <w:bCs/>
          <w:color w:val="auto"/>
          <w:u w:val="single"/>
        </w:rPr>
      </w:pPr>
      <w:r>
        <w:rPr>
          <w:rFonts w:hint="eastAsia"/>
          <w:b/>
          <w:bCs/>
          <w:color w:val="auto"/>
          <w:u w:val="single"/>
        </w:rPr>
        <w:t>b</w:t>
      </w:r>
      <w:r>
        <w:rPr>
          <w:rFonts w:hint="eastAsia"/>
          <w:b/>
          <w:bCs/>
          <w:color w:val="auto"/>
          <w:u w:val="single"/>
          <w:lang w:eastAsia="zh-CN"/>
        </w:rPr>
        <w:t>.</w:t>
      </w:r>
      <w:r>
        <w:rPr>
          <w:rFonts w:hint="eastAsia"/>
          <w:b/>
          <w:bCs/>
          <w:color w:val="auto"/>
          <w:u w:val="single"/>
        </w:rPr>
        <w:t>第二层垫层采用60厚C15混凝土垫层，抗渗等级P6；</w:t>
      </w:r>
    </w:p>
    <w:p>
      <w:pPr>
        <w:spacing w:line="520" w:lineRule="exact"/>
        <w:ind w:firstLine="482" w:firstLineChars="200"/>
        <w:rPr>
          <w:b/>
          <w:bCs/>
          <w:color w:val="auto"/>
          <w:u w:val="single"/>
        </w:rPr>
      </w:pPr>
      <w:r>
        <w:rPr>
          <w:rFonts w:hint="eastAsia"/>
          <w:b/>
          <w:bCs/>
          <w:color w:val="auto"/>
          <w:u w:val="single"/>
        </w:rPr>
        <w:t>c</w:t>
      </w:r>
      <w:r>
        <w:rPr>
          <w:rFonts w:hint="eastAsia"/>
          <w:b/>
          <w:bCs/>
          <w:color w:val="auto"/>
          <w:u w:val="single"/>
          <w:lang w:eastAsia="zh-CN"/>
        </w:rPr>
        <w:t>.</w:t>
      </w:r>
      <w:r>
        <w:rPr>
          <w:rFonts w:hint="eastAsia"/>
          <w:b/>
          <w:bCs/>
          <w:color w:val="auto"/>
          <w:u w:val="single"/>
        </w:rPr>
        <w:t>第三层20厚1：3干硬水泥砂浆结合层。</w:t>
      </w:r>
    </w:p>
    <w:p>
      <w:pPr>
        <w:spacing w:line="520" w:lineRule="exact"/>
        <w:ind w:firstLine="482" w:firstLineChars="200"/>
        <w:rPr>
          <w:b/>
          <w:bCs/>
          <w:color w:val="auto"/>
          <w:u w:val="single"/>
        </w:rPr>
      </w:pPr>
      <w:r>
        <w:rPr>
          <w:rFonts w:hint="eastAsia"/>
          <w:b/>
          <w:bCs/>
          <w:color w:val="auto"/>
          <w:u w:val="single"/>
        </w:rPr>
        <w:t>d</w:t>
      </w:r>
      <w:r>
        <w:rPr>
          <w:rFonts w:hint="eastAsia"/>
          <w:b/>
          <w:bCs/>
          <w:color w:val="auto"/>
          <w:u w:val="single"/>
          <w:lang w:eastAsia="zh-CN"/>
        </w:rPr>
        <w:t>.</w:t>
      </w:r>
      <w:r>
        <w:rPr>
          <w:rFonts w:hint="eastAsia"/>
          <w:b/>
          <w:bCs/>
          <w:color w:val="auto"/>
          <w:u w:val="single"/>
        </w:rPr>
        <w:t>第四层铺地砖。</w:t>
      </w:r>
    </w:p>
    <w:p>
      <w:pPr>
        <w:spacing w:line="520" w:lineRule="exact"/>
        <w:ind w:firstLine="482" w:firstLineChars="200"/>
        <w:rPr>
          <w:b/>
          <w:bCs/>
          <w:color w:val="auto"/>
          <w:u w:val="single"/>
        </w:rPr>
      </w:pPr>
      <w:r>
        <w:rPr>
          <w:rFonts w:hint="eastAsia"/>
          <w:b/>
          <w:bCs/>
          <w:color w:val="auto"/>
          <w:u w:val="single"/>
        </w:rPr>
        <w:t>各污染防治区在满足上述防渗要求的前提下，厂区地面除绿化区外均要进行硬化处理；工程产生的固废必须堆放在固废贮存场内，贮存场必须有防雨、防渗、防流失的“三防”措施。</w:t>
      </w:r>
    </w:p>
    <w:p>
      <w:pPr>
        <w:bidi w:val="0"/>
        <w:rPr>
          <w:b/>
          <w:bCs/>
          <w:color w:val="auto"/>
        </w:rPr>
      </w:pPr>
      <w:r>
        <w:rPr>
          <w:b/>
          <w:bCs/>
          <w:color w:val="auto"/>
        </w:rPr>
        <w:t>三、跟踪监测计划与应急响应</w:t>
      </w:r>
    </w:p>
    <w:p>
      <w:pPr>
        <w:bidi w:val="0"/>
        <w:rPr>
          <w:color w:val="auto"/>
        </w:rPr>
      </w:pPr>
      <w:r>
        <w:rPr>
          <w:color w:val="auto"/>
        </w:rPr>
        <w:t>制定地下水环境影响跟踪监测计划，设置地下水跟踪监测点，数量不少于3个，至少在建设项目场地，上、下游各布设1个。结合区域地下水流向，评价建议利用区域现状</w:t>
      </w:r>
      <w:r>
        <w:rPr>
          <w:rFonts w:hint="eastAsia"/>
          <w:color w:val="auto"/>
        </w:rPr>
        <w:t>夏庄</w:t>
      </w:r>
      <w:r>
        <w:rPr>
          <w:color w:val="auto"/>
        </w:rPr>
        <w:t>村（背景监测点）、厂区内（污染扩散监测点）以及十八里庄村（环境影响监测点）作为跟踪监测点，监测因子包括项目排放废水中的常规因子和特征因子。同时应配备相应的地下水监测仪器和设备，监测人员应经过专业技术培训和考核，具备相应的分析化验工作能力。制定地下水污染应急响应预案。一旦发现项目造成地下水污染事故，应立即根据地下水污染监控特征污染因子，对厂区内可能导致该特征污染因子泄漏的污染源进行全面排查，及时找到泄漏源，对泄漏源进行堵漏处理，尽快切断污染途径；同时根据现场污染情况开展地下水污染调查、修复治理工作；此外，对受影响区域的居民通过供应桶装水或备用水源的方式以免造成社会恐慌。</w:t>
      </w:r>
    </w:p>
    <w:p>
      <w:pPr>
        <w:pStyle w:val="7"/>
        <w:bidi w:val="0"/>
        <w:rPr>
          <w:rFonts w:hint="eastAsia"/>
          <w:color w:val="auto"/>
          <w:lang w:val="en-US" w:eastAsia="zh-CN"/>
        </w:rPr>
      </w:pPr>
      <w:bookmarkStart w:id="313" w:name="_Toc13507"/>
      <w:bookmarkStart w:id="314" w:name="_Toc19497"/>
      <w:bookmarkStart w:id="315" w:name="_Toc20651"/>
      <w:r>
        <w:rPr>
          <w:rFonts w:hint="eastAsia"/>
          <w:color w:val="auto"/>
        </w:rPr>
        <w:t>5.</w:t>
      </w:r>
      <w:r>
        <w:rPr>
          <w:rFonts w:hint="eastAsia"/>
          <w:color w:val="auto"/>
          <w:lang w:val="en-US" w:eastAsia="zh-CN"/>
        </w:rPr>
        <w:t>5</w:t>
      </w:r>
      <w:r>
        <w:rPr>
          <w:color w:val="auto"/>
        </w:rPr>
        <w:t>声环境影响</w:t>
      </w:r>
      <w:bookmarkEnd w:id="312"/>
      <w:bookmarkEnd w:id="313"/>
      <w:bookmarkEnd w:id="314"/>
      <w:r>
        <w:rPr>
          <w:rFonts w:hint="eastAsia"/>
          <w:color w:val="auto"/>
          <w:lang w:val="en-US" w:eastAsia="zh-CN"/>
        </w:rPr>
        <w:t>预测</w:t>
      </w:r>
      <w:bookmarkEnd w:id="315"/>
    </w:p>
    <w:p>
      <w:pPr>
        <w:pStyle w:val="9"/>
        <w:bidi w:val="0"/>
        <w:rPr>
          <w:rFonts w:hint="eastAsia"/>
          <w:b/>
          <w:bCs/>
          <w:color w:val="auto"/>
          <w:u w:val="single"/>
          <w:lang w:val="en-US" w:eastAsia="zh-CN"/>
        </w:rPr>
      </w:pPr>
      <w:r>
        <w:rPr>
          <w:rFonts w:hint="eastAsia"/>
          <w:b/>
          <w:bCs/>
          <w:color w:val="auto"/>
          <w:u w:val="single"/>
          <w:lang w:val="en-US" w:eastAsia="zh-CN"/>
        </w:rPr>
        <w:t>5.5.1 噪声源强及预测方式</w:t>
      </w:r>
    </w:p>
    <w:p>
      <w:pPr>
        <w:bidi w:val="0"/>
        <w:rPr>
          <w:rFonts w:hint="default"/>
          <w:b/>
          <w:bCs/>
          <w:color w:val="auto"/>
          <w:u w:val="single"/>
          <w:lang w:val="en-US" w:eastAsia="zh-CN"/>
        </w:rPr>
      </w:pPr>
      <w:r>
        <w:rPr>
          <w:rFonts w:hint="default"/>
          <w:b/>
          <w:bCs/>
          <w:color w:val="auto"/>
          <w:u w:val="single"/>
          <w:lang w:val="en-US" w:eastAsia="zh-CN"/>
        </w:rPr>
        <w:t xml:space="preserve">根据项目产噪设备类型、数量及其与场地边界、敏感目标的相对位置关系，综合考虑建筑物遮挡、绕射、空气吸收衰减、距离衰减等各项因素，对本项目工业场地进行预测。采用《环境影响评价技术导则 </w:t>
      </w:r>
      <w:r>
        <w:rPr>
          <w:rFonts w:hint="eastAsia"/>
          <w:b/>
          <w:bCs/>
          <w:color w:val="auto"/>
          <w:u w:val="single"/>
          <w:lang w:val="en-US" w:eastAsia="zh-CN"/>
        </w:rPr>
        <w:t xml:space="preserve"> </w:t>
      </w:r>
      <w:r>
        <w:rPr>
          <w:rFonts w:hint="default"/>
          <w:b/>
          <w:bCs/>
          <w:color w:val="auto"/>
          <w:u w:val="single"/>
          <w:lang w:val="en-US" w:eastAsia="zh-CN"/>
        </w:rPr>
        <w:t>声环境》（HJ2.4-2021）中8.3及附录A部分所列的计算模式，包括基本公式，点、线、平面、立面声源的几何发散衰减，空气吸收、地面效应、屏障引起的衰减等各种因素。</w:t>
      </w:r>
      <w:r>
        <w:rPr>
          <w:rFonts w:hint="eastAsia"/>
          <w:b/>
          <w:bCs/>
          <w:color w:val="auto"/>
          <w:u w:val="single"/>
          <w:lang w:val="en-US" w:eastAsia="zh-CN"/>
        </w:rPr>
        <w:t>本项目</w:t>
      </w:r>
      <w:r>
        <w:rPr>
          <w:rFonts w:hint="default"/>
          <w:b/>
          <w:bCs/>
          <w:color w:val="auto"/>
          <w:u w:val="single"/>
          <w:lang w:val="en-US" w:eastAsia="zh-CN"/>
        </w:rPr>
        <w:t>噪声源特征及其输入参数详见表</w:t>
      </w:r>
      <w:r>
        <w:rPr>
          <w:rFonts w:hint="eastAsia"/>
          <w:b/>
          <w:bCs/>
          <w:color w:val="auto"/>
          <w:u w:val="single"/>
          <w:lang w:val="en-US" w:eastAsia="zh-CN"/>
        </w:rPr>
        <w:t>5.5-1</w:t>
      </w:r>
      <w:r>
        <w:rPr>
          <w:rFonts w:hint="default"/>
          <w:b/>
          <w:bCs/>
          <w:color w:val="auto"/>
          <w:u w:val="single"/>
          <w:lang w:val="en-US" w:eastAsia="zh-CN"/>
        </w:rPr>
        <w:t>。</w:t>
      </w:r>
    </w:p>
    <w:p>
      <w:pPr>
        <w:bidi w:val="0"/>
        <w:rPr>
          <w:rFonts w:hint="eastAsia"/>
          <w:b/>
          <w:bCs/>
          <w:color w:val="auto"/>
          <w:u w:val="single"/>
          <w:lang w:val="en-US" w:eastAsia="zh-CN"/>
        </w:rPr>
      </w:pPr>
      <w:r>
        <w:rPr>
          <w:rFonts w:hint="eastAsia"/>
          <w:b/>
          <w:bCs/>
          <w:color w:val="auto"/>
          <w:u w:val="single"/>
          <w:lang w:val="en-US" w:eastAsia="zh-CN"/>
        </w:rPr>
        <w:t>声源位于室内，室内声源可采用等效室外声源声功率级法进行计算。设靠近开口处（或窗户）室内、室外某倍频带的声压级或</w:t>
      </w:r>
      <w:r>
        <w:rPr>
          <w:rFonts w:hint="default"/>
          <w:b/>
          <w:bCs/>
          <w:color w:val="auto"/>
          <w:u w:val="single"/>
          <w:lang w:val="en-US" w:eastAsia="zh-CN"/>
        </w:rPr>
        <w:t>A</w:t>
      </w:r>
      <w:r>
        <w:rPr>
          <w:rFonts w:hint="eastAsia"/>
          <w:b/>
          <w:bCs/>
          <w:color w:val="auto"/>
          <w:u w:val="single"/>
          <w:lang w:val="en-US" w:eastAsia="zh-CN"/>
        </w:rPr>
        <w:t>声级分别为</w:t>
      </w:r>
      <w:r>
        <w:rPr>
          <w:rFonts w:hint="default"/>
          <w:b/>
          <w:bCs/>
          <w:color w:val="auto"/>
          <w:u w:val="single"/>
          <w:lang w:val="en-US" w:eastAsia="zh-CN"/>
        </w:rPr>
        <w:t>Lp1</w:t>
      </w:r>
      <w:r>
        <w:rPr>
          <w:rFonts w:hint="eastAsia"/>
          <w:b/>
          <w:bCs/>
          <w:color w:val="auto"/>
          <w:u w:val="single"/>
          <w:lang w:val="en-US" w:eastAsia="zh-CN"/>
        </w:rPr>
        <w:t>和</w:t>
      </w:r>
      <w:r>
        <w:rPr>
          <w:rFonts w:hint="default"/>
          <w:b/>
          <w:bCs/>
          <w:color w:val="auto"/>
          <w:u w:val="single"/>
          <w:lang w:val="en-US" w:eastAsia="zh-CN"/>
        </w:rPr>
        <w:t>Lp2</w:t>
      </w:r>
      <w:r>
        <w:rPr>
          <w:rFonts w:hint="eastAsia"/>
          <w:b/>
          <w:bCs/>
          <w:color w:val="auto"/>
          <w:u w:val="single"/>
          <w:lang w:val="en-US" w:eastAsia="zh-CN"/>
        </w:rPr>
        <w:t>。若声源所在室内声场为近似扩散声场，则室外的倍频带声压级可按下式近似求出。</w:t>
      </w:r>
    </w:p>
    <w:p>
      <w:pPr>
        <w:bidi w:val="0"/>
        <w:rPr>
          <w:rFonts w:hint="default"/>
          <w:b/>
          <w:bCs/>
          <w:color w:val="auto"/>
          <w:u w:val="single"/>
          <w:lang w:val="en-US" w:eastAsia="zh-CN"/>
        </w:rPr>
      </w:pPr>
      <m:oMathPara>
        <m:oMath>
          <m:r>
            <m:rPr>
              <m:sty m:val="b"/>
            </m:rPr>
            <w:rPr>
              <w:rFonts w:hint="default" w:ascii="Cambria Math" w:hAnsi="Cambria Math" w:cs="Times New Roman"/>
              <w:color w:val="auto"/>
              <w:kern w:val="2"/>
              <w:sz w:val="24"/>
              <w:szCs w:val="24"/>
              <w:u w:val="single"/>
              <w:lang w:val="en-US" w:eastAsia="zh-CN" w:bidi="ar-SA"/>
            </w:rPr>
            <m:t>Lp1=Lw+10lg（</m:t>
          </m:r>
          <m:f>
            <m:fPr>
              <m:ctrlPr>
                <w:rPr>
                  <w:rFonts w:hint="default" w:ascii="Cambria Math" w:hAnsi="Cambria Math" w:cs="Times New Roman"/>
                  <w:b/>
                  <w:bCs/>
                  <w:i w:val="0"/>
                  <w:color w:val="auto"/>
                  <w:kern w:val="2"/>
                  <w:sz w:val="24"/>
                  <w:szCs w:val="24"/>
                  <w:u w:val="single"/>
                  <w:lang w:val="en-US" w:eastAsia="zh-CN" w:bidi="ar-SA"/>
                </w:rPr>
              </m:ctrlPr>
            </m:fPr>
            <m:num>
              <m:r>
                <m:rPr>
                  <m:sty m:val="b"/>
                </m:rPr>
                <w:rPr>
                  <w:rFonts w:hint="default" w:ascii="Cambria Math" w:hAnsi="Cambria Math" w:cs="Times New Roman"/>
                  <w:color w:val="auto"/>
                  <w:kern w:val="2"/>
                  <w:sz w:val="24"/>
                  <w:szCs w:val="24"/>
                  <w:u w:val="single"/>
                  <w:lang w:val="en-US" w:eastAsia="zh-CN" w:bidi="ar-SA"/>
                </w:rPr>
                <m:t>Q</m:t>
              </m:r>
              <m:ctrlPr>
                <w:rPr>
                  <w:rFonts w:hint="default" w:ascii="Cambria Math" w:hAnsi="Cambria Math" w:cs="Times New Roman"/>
                  <w:b/>
                  <w:bCs/>
                  <w:i w:val="0"/>
                  <w:color w:val="auto"/>
                  <w:kern w:val="2"/>
                  <w:sz w:val="24"/>
                  <w:szCs w:val="24"/>
                  <w:u w:val="single"/>
                  <w:lang w:val="en-US" w:eastAsia="zh-CN" w:bidi="ar-SA"/>
                </w:rPr>
              </m:ctrlPr>
            </m:num>
            <m:den>
              <m:r>
                <m:rPr>
                  <m:sty m:val="b"/>
                </m:rPr>
                <w:rPr>
                  <w:rFonts w:hint="default" w:ascii="Cambria Math" w:hAnsi="Cambria Math" w:cs="Times New Roman"/>
                  <w:color w:val="auto"/>
                  <w:kern w:val="2"/>
                  <w:sz w:val="24"/>
                  <w:szCs w:val="24"/>
                  <w:u w:val="single"/>
                  <w:lang w:val="en-US" w:eastAsia="zh-CN" w:bidi="ar-SA"/>
                </w:rPr>
                <m:t>4</m:t>
              </m:r>
              <m:r>
                <m:rPr>
                  <m:sty m:val="b"/>
                </m:rPr>
                <w:rPr>
                  <w:rFonts w:hint="default" w:ascii="Cambria Math" w:hAnsi="Cambria Math" w:cs="Times New Roman"/>
                  <w:color w:val="auto"/>
                  <w:kern w:val="2"/>
                  <w:sz w:val="24"/>
                  <w:szCs w:val="24"/>
                  <w:u w:val="single"/>
                  <w:lang w:val="en-US" w:bidi="ar-SA"/>
                </w:rPr>
                <m:t>π</m:t>
              </m:r>
              <m:sSup>
                <m:sSupPr>
                  <m:ctrlPr>
                    <w:rPr>
                      <w:rFonts w:hint="eastAsia" w:ascii="Cambria Math" w:hAnsi="Cambria Math" w:cs="Times New Roman"/>
                      <w:b/>
                      <w:bCs/>
                      <w:color w:val="auto"/>
                      <w:kern w:val="2"/>
                      <w:sz w:val="24"/>
                      <w:szCs w:val="24"/>
                      <w:u w:val="single"/>
                      <w:lang w:val="en-US" w:eastAsia="zh-CN" w:bidi="ar-SA"/>
                    </w:rPr>
                  </m:ctrlPr>
                </m:sSupPr>
                <m:e>
                  <m:r>
                    <m:rPr>
                      <m:sty m:val="b"/>
                    </m:rPr>
                    <w:rPr>
                      <w:rFonts w:hint="default" w:ascii="Cambria Math" w:hAnsi="Cambria Math" w:cs="Times New Roman"/>
                      <w:color w:val="auto"/>
                      <w:kern w:val="2"/>
                      <w:sz w:val="24"/>
                      <w:szCs w:val="24"/>
                      <w:u w:val="single"/>
                      <w:lang w:val="en-US" w:eastAsia="zh-CN" w:bidi="ar-SA"/>
                    </w:rPr>
                    <m:t>r</m:t>
                  </m:r>
                  <m:ctrlPr>
                    <w:rPr>
                      <w:rFonts w:hint="eastAsia" w:ascii="Cambria Math" w:hAnsi="Cambria Math" w:cs="Times New Roman"/>
                      <w:b/>
                      <w:bCs/>
                      <w:color w:val="auto"/>
                      <w:kern w:val="2"/>
                      <w:sz w:val="24"/>
                      <w:szCs w:val="24"/>
                      <w:u w:val="single"/>
                      <w:lang w:val="en-US" w:eastAsia="zh-CN" w:bidi="ar-SA"/>
                    </w:rPr>
                  </m:ctrlPr>
                </m:e>
                <m:sup>
                  <m:r>
                    <m:rPr>
                      <m:sty m:val="b"/>
                    </m:rPr>
                    <w:rPr>
                      <w:rFonts w:hint="default" w:ascii="Cambria Math" w:hAnsi="Cambria Math" w:cs="Times New Roman"/>
                      <w:color w:val="auto"/>
                      <w:kern w:val="2"/>
                      <w:sz w:val="24"/>
                      <w:szCs w:val="24"/>
                      <w:u w:val="single"/>
                      <w:lang w:val="en-US" w:eastAsia="zh-CN" w:bidi="ar-SA"/>
                    </w:rPr>
                    <m:t>2</m:t>
                  </m:r>
                  <m:ctrlPr>
                    <w:rPr>
                      <w:rFonts w:hint="eastAsia" w:ascii="Cambria Math" w:hAnsi="Cambria Math" w:cs="Times New Roman"/>
                      <w:b/>
                      <w:bCs/>
                      <w:color w:val="auto"/>
                      <w:kern w:val="2"/>
                      <w:sz w:val="24"/>
                      <w:szCs w:val="24"/>
                      <w:u w:val="single"/>
                      <w:lang w:val="en-US" w:eastAsia="zh-CN" w:bidi="ar-SA"/>
                    </w:rPr>
                  </m:ctrlPr>
                </m:sup>
              </m:sSup>
              <m:ctrlPr>
                <w:rPr>
                  <w:rFonts w:hint="default" w:ascii="Cambria Math" w:hAnsi="Cambria Math" w:cs="Times New Roman"/>
                  <w:b/>
                  <w:bCs/>
                  <w:i w:val="0"/>
                  <w:color w:val="auto"/>
                  <w:kern w:val="2"/>
                  <w:sz w:val="24"/>
                  <w:szCs w:val="24"/>
                  <w:u w:val="single"/>
                  <w:lang w:val="en-US" w:eastAsia="zh-CN" w:bidi="ar-SA"/>
                </w:rPr>
              </m:ctrlPr>
            </m:den>
          </m:f>
          <m:r>
            <m:rPr>
              <m:sty m:val="b"/>
            </m:rPr>
            <w:rPr>
              <w:rFonts w:hint="default" w:ascii="Cambria Math" w:hAnsi="Cambria Math" w:cs="Times New Roman"/>
              <w:color w:val="auto"/>
              <w:kern w:val="2"/>
              <w:sz w:val="24"/>
              <w:szCs w:val="24"/>
              <w:u w:val="single"/>
              <w:lang w:val="en-US" w:eastAsia="zh-CN" w:bidi="ar-SA"/>
            </w:rPr>
            <m:t>+</m:t>
          </m:r>
          <m:f>
            <m:fPr>
              <m:ctrlPr>
                <w:rPr>
                  <w:rFonts w:hint="default" w:ascii="Cambria Math" w:hAnsi="Cambria Math" w:cs="Times New Roman"/>
                  <w:b/>
                  <w:bCs/>
                  <w:i w:val="0"/>
                  <w:color w:val="auto"/>
                  <w:kern w:val="2"/>
                  <w:sz w:val="24"/>
                  <w:szCs w:val="24"/>
                  <w:u w:val="single"/>
                  <w:lang w:val="en-US" w:eastAsia="zh-CN" w:bidi="ar-SA"/>
                </w:rPr>
              </m:ctrlPr>
            </m:fPr>
            <m:num>
              <m:r>
                <m:rPr>
                  <m:sty m:val="b"/>
                </m:rPr>
                <w:rPr>
                  <w:rFonts w:hint="default" w:ascii="Cambria Math" w:hAnsi="Cambria Math" w:cs="Times New Roman"/>
                  <w:color w:val="auto"/>
                  <w:kern w:val="2"/>
                  <w:sz w:val="24"/>
                  <w:szCs w:val="24"/>
                  <w:u w:val="single"/>
                  <w:lang w:val="en-US" w:eastAsia="zh-CN" w:bidi="ar-SA"/>
                </w:rPr>
                <m:t>4</m:t>
              </m:r>
              <m:ctrlPr>
                <w:rPr>
                  <w:rFonts w:hint="default" w:ascii="Cambria Math" w:hAnsi="Cambria Math" w:cs="Times New Roman"/>
                  <w:b/>
                  <w:bCs/>
                  <w:i w:val="0"/>
                  <w:color w:val="auto"/>
                  <w:kern w:val="2"/>
                  <w:sz w:val="24"/>
                  <w:szCs w:val="24"/>
                  <w:u w:val="single"/>
                  <w:lang w:val="en-US" w:eastAsia="zh-CN" w:bidi="ar-SA"/>
                </w:rPr>
              </m:ctrlPr>
            </m:num>
            <m:den>
              <m:r>
                <m:rPr>
                  <m:sty m:val="b"/>
                </m:rPr>
                <w:rPr>
                  <w:rFonts w:hint="default" w:ascii="Cambria Math" w:hAnsi="Cambria Math" w:cs="Times New Roman"/>
                  <w:color w:val="auto"/>
                  <w:kern w:val="2"/>
                  <w:sz w:val="24"/>
                  <w:szCs w:val="24"/>
                  <w:u w:val="single"/>
                  <w:lang w:val="en-US" w:eastAsia="zh-CN" w:bidi="ar-SA"/>
                </w:rPr>
                <m:t>R</m:t>
              </m:r>
              <m:ctrlPr>
                <w:rPr>
                  <w:rFonts w:hint="default" w:ascii="Cambria Math" w:hAnsi="Cambria Math" w:cs="Times New Roman"/>
                  <w:b/>
                  <w:bCs/>
                  <w:i w:val="0"/>
                  <w:color w:val="auto"/>
                  <w:kern w:val="2"/>
                  <w:sz w:val="24"/>
                  <w:szCs w:val="24"/>
                  <w:u w:val="single"/>
                  <w:lang w:val="en-US" w:eastAsia="zh-CN" w:bidi="ar-SA"/>
                </w:rPr>
              </m:ctrlPr>
            </m:den>
          </m:f>
          <m:r>
            <m:rPr>
              <m:sty m:val="b"/>
            </m:rPr>
            <w:rPr>
              <w:rFonts w:hint="eastAsia" w:ascii="Cambria Math" w:hAnsi="Cambria Math" w:cs="Times New Roman"/>
              <w:color w:val="auto"/>
              <w:kern w:val="2"/>
              <w:sz w:val="24"/>
              <w:szCs w:val="24"/>
              <w:u w:val="single"/>
              <w:lang w:val="en-US" w:eastAsia="zh-CN" w:bidi="ar-SA"/>
            </w:rPr>
            <m:t>）</m:t>
          </m:r>
        </m:oMath>
      </m:oMathPara>
    </w:p>
    <w:p>
      <w:pPr>
        <w:pStyle w:val="2"/>
        <w:ind w:left="0" w:leftChars="0" w:firstLine="0" w:firstLineChars="0"/>
        <w:rPr>
          <w:rFonts w:hint="eastAsia" w:hAnsi="Cambria Math" w:cs="Times New Roman"/>
          <w:b/>
          <w:bCs/>
          <w:i w:val="0"/>
          <w:color w:val="auto"/>
          <w:kern w:val="2"/>
          <w:sz w:val="24"/>
          <w:szCs w:val="24"/>
          <w:u w:val="single"/>
          <w:lang w:val="en-US" w:eastAsia="zh-CN" w:bidi="ar-SA"/>
        </w:rPr>
      </w:pPr>
      <m:oMathPara>
        <m:oMath>
          <m:r>
            <m:rPr>
              <m:sty m:val="b"/>
            </m:rPr>
            <w:rPr>
              <w:rFonts w:hint="default" w:ascii="Cambria Math" w:hAnsi="Cambria Math" w:cs="Times New Roman"/>
              <w:color w:val="auto"/>
              <w:kern w:val="2"/>
              <w:sz w:val="24"/>
              <w:szCs w:val="24"/>
              <w:u w:val="single"/>
              <w:lang w:val="en-US" w:eastAsia="zh-CN" w:bidi="ar-SA"/>
            </w:rPr>
            <m:t>Lp2=Lp1−</m:t>
          </m:r>
          <m:r>
            <m:rPr>
              <m:sty m:val="b"/>
            </m:rPr>
            <w:rPr>
              <w:rFonts w:hint="eastAsia" w:ascii="Cambria Math" w:hAnsi="Cambria Math" w:cs="Times New Roman"/>
              <w:color w:val="auto"/>
              <w:kern w:val="2"/>
              <w:sz w:val="24"/>
              <w:szCs w:val="24"/>
              <w:u w:val="single"/>
              <w:lang w:val="en-US" w:eastAsia="zh-CN" w:bidi="ar-SA"/>
            </w:rPr>
            <m:t>（</m:t>
          </m:r>
          <m:r>
            <m:rPr>
              <m:sty m:val="b"/>
            </m:rPr>
            <w:rPr>
              <w:rFonts w:hint="default" w:ascii="Cambria Math" w:hAnsi="Cambria Math" w:cs="Times New Roman"/>
              <w:color w:val="auto"/>
              <w:kern w:val="2"/>
              <w:sz w:val="24"/>
              <w:szCs w:val="24"/>
              <w:u w:val="single"/>
              <w:lang w:val="en-US" w:eastAsia="zh-CN" w:bidi="ar-SA"/>
            </w:rPr>
            <m:t>TL+6</m:t>
          </m:r>
          <m:r>
            <m:rPr>
              <m:sty m:val="b"/>
            </m:rPr>
            <w:rPr>
              <w:rFonts w:hint="eastAsia" w:ascii="Cambria Math" w:hAnsi="Cambria Math" w:cs="Times New Roman"/>
              <w:color w:val="auto"/>
              <w:kern w:val="2"/>
              <w:sz w:val="24"/>
              <w:szCs w:val="24"/>
              <w:u w:val="single"/>
              <w:lang w:val="en-US" w:eastAsia="zh-CN" w:bidi="ar-SA"/>
            </w:rPr>
            <m:t>）</m:t>
          </m:r>
        </m:oMath>
      </m:oMathPara>
    </w:p>
    <w:p>
      <w:pPr>
        <w:bidi w:val="0"/>
        <w:rPr>
          <w:b/>
          <w:bCs/>
          <w:color w:val="auto"/>
          <w:u w:val="single"/>
        </w:rPr>
      </w:pPr>
      <w:r>
        <w:rPr>
          <w:rFonts w:hint="eastAsia"/>
          <w:b/>
          <w:bCs/>
          <w:color w:val="auto"/>
          <w:u w:val="single"/>
          <w:lang w:val="en-US" w:eastAsia="zh-CN"/>
        </w:rPr>
        <w:t>式中：</w:t>
      </w:r>
      <w:r>
        <w:rPr>
          <w:rFonts w:hint="default"/>
          <w:b/>
          <w:bCs/>
          <w:color w:val="auto"/>
          <w:u w:val="single"/>
          <w:lang w:val="en-US" w:eastAsia="zh-CN"/>
        </w:rPr>
        <w:t>Lp1——</w:t>
      </w:r>
      <w:r>
        <w:rPr>
          <w:rFonts w:hint="eastAsia"/>
          <w:b/>
          <w:bCs/>
          <w:color w:val="auto"/>
          <w:u w:val="single"/>
          <w:lang w:val="en-US" w:eastAsia="zh-CN"/>
        </w:rPr>
        <w:t>靠近开口处（或窗户）室内某倍频带的声压级或</w:t>
      </w:r>
      <w:r>
        <w:rPr>
          <w:rFonts w:hint="default"/>
          <w:b/>
          <w:bCs/>
          <w:color w:val="auto"/>
          <w:u w:val="single"/>
          <w:lang w:val="en-US" w:eastAsia="zh-CN"/>
        </w:rPr>
        <w:t>A</w:t>
      </w:r>
      <w:r>
        <w:rPr>
          <w:rFonts w:hint="eastAsia"/>
          <w:b/>
          <w:bCs/>
          <w:color w:val="auto"/>
          <w:u w:val="single"/>
          <w:lang w:val="en-US" w:eastAsia="zh-CN"/>
        </w:rPr>
        <w:t>声级，</w:t>
      </w:r>
      <w:r>
        <w:rPr>
          <w:rFonts w:hint="default"/>
          <w:b/>
          <w:bCs/>
          <w:color w:val="auto"/>
          <w:u w:val="single"/>
          <w:lang w:val="en-US" w:eastAsia="zh-CN"/>
        </w:rPr>
        <w:t>dB</w:t>
      </w:r>
      <w:r>
        <w:rPr>
          <w:rFonts w:hint="eastAsia"/>
          <w:b/>
          <w:bCs/>
          <w:color w:val="auto"/>
          <w:u w:val="single"/>
          <w:lang w:val="en-US" w:eastAsia="zh-CN"/>
        </w:rPr>
        <w:t>；</w:t>
      </w:r>
    </w:p>
    <w:p>
      <w:pPr>
        <w:bidi w:val="0"/>
        <w:rPr>
          <w:b/>
          <w:bCs/>
          <w:color w:val="auto"/>
          <w:u w:val="single"/>
        </w:rPr>
      </w:pPr>
      <w:r>
        <w:rPr>
          <w:rFonts w:hint="default"/>
          <w:b/>
          <w:bCs/>
          <w:color w:val="auto"/>
          <w:u w:val="single"/>
          <w:lang w:val="en-US" w:eastAsia="zh-CN"/>
        </w:rPr>
        <w:t>Lp2——</w:t>
      </w:r>
      <w:r>
        <w:rPr>
          <w:rFonts w:hint="eastAsia"/>
          <w:b/>
          <w:bCs/>
          <w:color w:val="auto"/>
          <w:u w:val="single"/>
          <w:lang w:val="en-US" w:eastAsia="zh-CN"/>
        </w:rPr>
        <w:t>靠近开口处（或窗户）室外某倍频带的声压级或</w:t>
      </w:r>
      <w:r>
        <w:rPr>
          <w:rFonts w:hint="default"/>
          <w:b/>
          <w:bCs/>
          <w:color w:val="auto"/>
          <w:u w:val="single"/>
          <w:lang w:val="en-US" w:eastAsia="zh-CN"/>
        </w:rPr>
        <w:t>A</w:t>
      </w:r>
      <w:r>
        <w:rPr>
          <w:rFonts w:hint="eastAsia"/>
          <w:b/>
          <w:bCs/>
          <w:color w:val="auto"/>
          <w:u w:val="single"/>
          <w:lang w:val="en-US" w:eastAsia="zh-CN"/>
        </w:rPr>
        <w:t>声级，</w:t>
      </w:r>
      <w:r>
        <w:rPr>
          <w:rFonts w:hint="default"/>
          <w:b/>
          <w:bCs/>
          <w:color w:val="auto"/>
          <w:u w:val="single"/>
          <w:lang w:val="en-US" w:eastAsia="zh-CN"/>
        </w:rPr>
        <w:t>dB</w:t>
      </w:r>
      <w:r>
        <w:rPr>
          <w:rFonts w:hint="eastAsia"/>
          <w:b/>
          <w:bCs/>
          <w:color w:val="auto"/>
          <w:u w:val="single"/>
          <w:lang w:val="en-US" w:eastAsia="zh-CN"/>
        </w:rPr>
        <w:t>；</w:t>
      </w:r>
    </w:p>
    <w:p>
      <w:pPr>
        <w:rPr>
          <w:rFonts w:hint="default"/>
          <w:b/>
          <w:bCs/>
          <w:color w:val="auto"/>
          <w:u w:val="single"/>
          <w:lang w:val="en-US"/>
        </w:rPr>
      </w:pPr>
      <w:r>
        <w:rPr>
          <w:rFonts w:hint="default"/>
          <w:b/>
          <w:bCs/>
          <w:color w:val="auto"/>
          <w:u w:val="single"/>
          <w:lang w:val="en-US" w:eastAsia="zh-CN"/>
        </w:rPr>
        <w:t>TL——</w:t>
      </w:r>
      <w:r>
        <w:rPr>
          <w:rFonts w:hint="eastAsia"/>
          <w:b/>
          <w:bCs/>
          <w:color w:val="auto"/>
          <w:u w:val="single"/>
          <w:lang w:val="en-US" w:eastAsia="zh-CN"/>
        </w:rPr>
        <w:t>隔墙（或窗户）倍频带或</w:t>
      </w:r>
      <w:r>
        <w:rPr>
          <w:rFonts w:hint="default"/>
          <w:b/>
          <w:bCs/>
          <w:color w:val="auto"/>
          <w:u w:val="single"/>
          <w:lang w:val="en-US" w:eastAsia="zh-CN"/>
        </w:rPr>
        <w:t>A</w:t>
      </w:r>
      <w:r>
        <w:rPr>
          <w:rFonts w:hint="eastAsia"/>
          <w:b/>
          <w:bCs/>
          <w:color w:val="auto"/>
          <w:u w:val="single"/>
          <w:lang w:val="en-US" w:eastAsia="zh-CN"/>
        </w:rPr>
        <w:t>声级的隔声量，</w:t>
      </w:r>
      <w:r>
        <w:rPr>
          <w:rFonts w:hint="default"/>
          <w:b/>
          <w:bCs/>
          <w:color w:val="auto"/>
          <w:u w:val="single"/>
          <w:lang w:val="en-US" w:eastAsia="zh-CN"/>
        </w:rPr>
        <w:t>dB</w:t>
      </w:r>
      <w:r>
        <w:rPr>
          <w:rFonts w:hint="eastAsia"/>
          <w:b/>
          <w:bCs/>
          <w:color w:val="auto"/>
          <w:u w:val="single"/>
          <w:lang w:val="en-US" w:eastAsia="zh-CN"/>
        </w:rPr>
        <w:t>。</w:t>
      </w:r>
    </w:p>
    <w:p>
      <w:pPr>
        <w:pStyle w:val="2"/>
        <w:ind w:left="0" w:leftChars="0" w:firstLine="0" w:firstLineChars="0"/>
        <w:jc w:val="center"/>
        <w:rPr>
          <w:b/>
          <w:bCs/>
          <w:color w:val="auto"/>
          <w:u w:val="none"/>
        </w:rPr>
      </w:pPr>
      <w:r>
        <w:rPr>
          <w:b/>
          <w:bCs/>
          <w:color w:val="auto"/>
          <w:u w:val="none"/>
        </w:rPr>
        <w:drawing>
          <wp:inline distT="0" distB="0" distL="114300" distR="114300">
            <wp:extent cx="4663440" cy="2277110"/>
            <wp:effectExtent l="0" t="0" r="0" b="8890"/>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81"/>
                    <a:srcRect t="6615"/>
                    <a:stretch>
                      <a:fillRect/>
                    </a:stretch>
                  </pic:blipFill>
                  <pic:spPr>
                    <a:xfrm>
                      <a:off x="0" y="0"/>
                      <a:ext cx="4663440" cy="2277110"/>
                    </a:xfrm>
                    <a:prstGeom prst="rect">
                      <a:avLst/>
                    </a:prstGeom>
                    <a:noFill/>
                    <a:ln>
                      <a:noFill/>
                    </a:ln>
                  </pic:spPr>
                </pic:pic>
              </a:graphicData>
            </a:graphic>
          </wp:inline>
        </w:drawing>
      </w:r>
    </w:p>
    <w:p>
      <w:pPr>
        <w:pStyle w:val="181"/>
        <w:bidi w:val="0"/>
        <w:rPr>
          <w:rFonts w:hint="eastAsia"/>
          <w:color w:val="auto"/>
          <w:u w:val="single"/>
        </w:rPr>
      </w:pPr>
      <w:r>
        <w:rPr>
          <w:rFonts w:hint="eastAsia"/>
          <w:color w:val="auto"/>
          <w:u w:val="single"/>
          <w:lang w:val="en-US" w:eastAsia="zh-CN"/>
        </w:rPr>
        <w:t xml:space="preserve">图5.5-1  </w:t>
      </w:r>
      <w:r>
        <w:rPr>
          <w:rFonts w:hint="eastAsia"/>
          <w:color w:val="auto"/>
          <w:u w:val="single"/>
        </w:rPr>
        <w:t>室内声源等效为室外声源图例</w:t>
      </w:r>
    </w:p>
    <w:p>
      <w:pPr>
        <w:bidi w:val="0"/>
        <w:rPr>
          <w:b/>
          <w:bCs/>
          <w:color w:val="auto"/>
          <w:u w:val="single"/>
        </w:rPr>
      </w:pPr>
    </w:p>
    <w:p>
      <w:pPr>
        <w:pStyle w:val="2"/>
        <w:rPr>
          <w:b/>
          <w:bCs/>
          <w:color w:val="auto"/>
          <w:u w:val="single"/>
        </w:rPr>
      </w:pPr>
    </w:p>
    <w:p>
      <w:pPr>
        <w:rPr>
          <w:b/>
          <w:bCs/>
          <w:color w:val="auto"/>
          <w:u w:val="single"/>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181"/>
        <w:bidi w:val="0"/>
        <w:jc w:val="center"/>
        <w:rPr>
          <w:rFonts w:hint="eastAsia"/>
          <w:b/>
          <w:bCs/>
          <w:color w:val="auto"/>
          <w:u w:val="single"/>
        </w:rPr>
      </w:pPr>
      <w:r>
        <w:rPr>
          <w:rFonts w:hint="eastAsia"/>
          <w:b/>
          <w:bCs/>
          <w:color w:val="auto"/>
          <w:u w:val="single"/>
        </w:rPr>
        <w:t>表</w:t>
      </w:r>
      <w:r>
        <w:rPr>
          <w:rFonts w:hint="eastAsia"/>
          <w:b/>
          <w:bCs/>
          <w:color w:val="auto"/>
          <w:u w:val="single"/>
          <w:lang w:val="en-US" w:eastAsia="zh-CN"/>
        </w:rPr>
        <w:t>5.5-1                年产5000吨菌草生物质纤维产业化研发中试项目</w:t>
      </w:r>
      <w:r>
        <w:rPr>
          <w:rFonts w:hint="eastAsia"/>
          <w:b/>
          <w:bCs/>
          <w:color w:val="auto"/>
          <w:u w:val="single"/>
        </w:rPr>
        <w:t>噪声源强调查清单（室内声源）</w:t>
      </w:r>
    </w:p>
    <w:tbl>
      <w:tblPr>
        <w:tblStyle w:val="32"/>
        <w:tblW w:w="1421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45"/>
        <w:gridCol w:w="804"/>
        <w:gridCol w:w="1213"/>
        <w:gridCol w:w="1820"/>
        <w:gridCol w:w="1089"/>
        <w:gridCol w:w="686"/>
        <w:gridCol w:w="580"/>
        <w:gridCol w:w="540"/>
        <w:gridCol w:w="516"/>
        <w:gridCol w:w="960"/>
        <w:gridCol w:w="1080"/>
        <w:gridCol w:w="864"/>
        <w:gridCol w:w="1594"/>
        <w:gridCol w:w="1047"/>
        <w:gridCol w:w="8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blHeader/>
          <w:jc w:val="center"/>
        </w:trPr>
        <w:tc>
          <w:tcPr>
            <w:tcW w:w="191"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序号</w:t>
            </w:r>
          </w:p>
        </w:tc>
        <w:tc>
          <w:tcPr>
            <w:tcW w:w="282"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建筑物名称</w:t>
            </w:r>
          </w:p>
        </w:tc>
        <w:tc>
          <w:tcPr>
            <w:tcW w:w="426"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声源名称</w:t>
            </w:r>
          </w:p>
        </w:tc>
        <w:tc>
          <w:tcPr>
            <w:tcW w:w="640"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型号</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声源源强</w:t>
            </w:r>
          </w:p>
        </w:tc>
        <w:tc>
          <w:tcPr>
            <w:tcW w:w="241"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声源控制措施</w:t>
            </w:r>
          </w:p>
        </w:tc>
        <w:tc>
          <w:tcPr>
            <w:tcW w:w="575" w:type="pct"/>
            <w:gridSpan w:val="3"/>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空间相对位置</w:t>
            </w:r>
          </w:p>
        </w:tc>
        <w:tc>
          <w:tcPr>
            <w:tcW w:w="337"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距室内边界距离</w:t>
            </w:r>
            <w:r>
              <w:rPr>
                <w:rFonts w:hint="default"/>
                <w:b/>
                <w:bCs/>
                <w:color w:val="auto"/>
                <w:u w:val="single"/>
                <w:lang w:val="en-US" w:eastAsia="zh-CN"/>
              </w:rPr>
              <w:t>/m</w:t>
            </w:r>
          </w:p>
        </w:tc>
        <w:tc>
          <w:tcPr>
            <w:tcW w:w="379"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室内边界声级</w:t>
            </w:r>
            <w:r>
              <w:rPr>
                <w:rFonts w:hint="default"/>
                <w:b/>
                <w:bCs/>
                <w:color w:val="auto"/>
                <w:u w:val="single"/>
                <w:lang w:val="en-US" w:eastAsia="zh-CN"/>
              </w:rPr>
              <w:t>dB</w:t>
            </w:r>
            <w:r>
              <w:rPr>
                <w:rFonts w:hint="eastAsia"/>
                <w:b/>
                <w:bCs/>
                <w:color w:val="auto"/>
                <w:u w:val="single"/>
                <w:lang w:val="en-US" w:eastAsia="zh-CN"/>
              </w:rPr>
              <w:t>（</w:t>
            </w:r>
            <w:r>
              <w:rPr>
                <w:rFonts w:hint="default"/>
                <w:b/>
                <w:bCs/>
                <w:color w:val="auto"/>
                <w:u w:val="single"/>
                <w:lang w:val="en-US" w:eastAsia="zh-CN"/>
              </w:rPr>
              <w:t>A</w:t>
            </w:r>
            <w:r>
              <w:rPr>
                <w:rFonts w:hint="eastAsia"/>
                <w:b/>
                <w:bCs/>
                <w:color w:val="auto"/>
                <w:u w:val="single"/>
                <w:lang w:val="en-US" w:eastAsia="zh-CN"/>
              </w:rPr>
              <w:t>）</w:t>
            </w:r>
          </w:p>
        </w:tc>
        <w:tc>
          <w:tcPr>
            <w:tcW w:w="303"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运行时段</w:t>
            </w:r>
          </w:p>
        </w:tc>
        <w:tc>
          <w:tcPr>
            <w:tcW w:w="560"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建筑物插入损失</w:t>
            </w:r>
            <w:r>
              <w:rPr>
                <w:rFonts w:hint="default"/>
                <w:b/>
                <w:bCs/>
                <w:color w:val="auto"/>
                <w:u w:val="single"/>
                <w:lang w:val="en-US" w:eastAsia="zh-CN"/>
              </w:rPr>
              <w:t>dB</w:t>
            </w:r>
            <w:r>
              <w:rPr>
                <w:rFonts w:hint="eastAsia"/>
                <w:b/>
                <w:bCs/>
                <w:color w:val="auto"/>
                <w:u w:val="single"/>
                <w:lang w:val="en-US" w:eastAsia="zh-CN"/>
              </w:rPr>
              <w:t>（</w:t>
            </w:r>
            <w:r>
              <w:rPr>
                <w:rFonts w:hint="default"/>
                <w:b/>
                <w:bCs/>
                <w:color w:val="auto"/>
                <w:u w:val="single"/>
                <w:lang w:val="en-US" w:eastAsia="zh-CN"/>
              </w:rPr>
              <w:t>A</w:t>
            </w:r>
            <w:r>
              <w:rPr>
                <w:rFonts w:hint="eastAsia"/>
                <w:b/>
                <w:bCs/>
                <w:color w:val="auto"/>
                <w:u w:val="single"/>
                <w:lang w:val="en-US" w:eastAsia="zh-CN"/>
              </w:rPr>
              <w:t>）</w:t>
            </w:r>
          </w:p>
        </w:tc>
        <w:tc>
          <w:tcPr>
            <w:tcW w:w="675"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建筑物外噪声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blHeader/>
          <w:jc w:val="center"/>
        </w:trPr>
        <w:tc>
          <w:tcPr>
            <w:tcW w:w="19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82"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64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声功率级</w:t>
            </w:r>
            <w:r>
              <w:rPr>
                <w:rFonts w:hint="default"/>
                <w:b/>
                <w:bCs/>
                <w:color w:val="auto"/>
                <w:u w:val="single"/>
                <w:lang w:val="en-US" w:eastAsia="zh-CN"/>
              </w:rPr>
              <w:t>dB</w:t>
            </w:r>
            <w:r>
              <w:rPr>
                <w:rFonts w:hint="eastAsia"/>
                <w:b/>
                <w:bCs/>
                <w:color w:val="auto"/>
                <w:u w:val="single"/>
                <w:lang w:val="en-US" w:eastAsia="zh-CN"/>
              </w:rPr>
              <w:t>（</w:t>
            </w:r>
            <w:r>
              <w:rPr>
                <w:rFonts w:hint="default"/>
                <w:b/>
                <w:bCs/>
                <w:color w:val="auto"/>
                <w:u w:val="single"/>
                <w:lang w:val="en-US" w:eastAsia="zh-CN"/>
              </w:rPr>
              <w:t>A</w:t>
            </w:r>
            <w:r>
              <w:rPr>
                <w:rFonts w:hint="eastAsia"/>
                <w:b/>
                <w:bCs/>
                <w:color w:val="auto"/>
                <w:u w:val="single"/>
                <w:lang w:val="en-US" w:eastAsia="zh-CN"/>
              </w:rPr>
              <w:t>）</w:t>
            </w:r>
          </w:p>
        </w:tc>
        <w:tc>
          <w:tcPr>
            <w:tcW w:w="24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X</w:t>
            </w:r>
          </w:p>
        </w:tc>
        <w:tc>
          <w:tcPr>
            <w:tcW w:w="189"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Y</w:t>
            </w:r>
          </w:p>
        </w:tc>
        <w:tc>
          <w:tcPr>
            <w:tcW w:w="181"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Z</w:t>
            </w:r>
          </w:p>
        </w:tc>
        <w:tc>
          <w:tcPr>
            <w:tcW w:w="337"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379"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303"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56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368"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声压级</w:t>
            </w:r>
            <w:r>
              <w:rPr>
                <w:rFonts w:hint="default"/>
                <w:b/>
                <w:bCs/>
                <w:color w:val="auto"/>
                <w:u w:val="single"/>
                <w:lang w:val="en-US" w:eastAsia="zh-CN"/>
              </w:rPr>
              <w:t>dB</w:t>
            </w:r>
            <w:r>
              <w:rPr>
                <w:rFonts w:hint="eastAsia"/>
                <w:b/>
                <w:bCs/>
                <w:color w:val="auto"/>
                <w:u w:val="single"/>
                <w:lang w:val="en-US" w:eastAsia="zh-CN"/>
              </w:rPr>
              <w:t>（</w:t>
            </w:r>
            <w:r>
              <w:rPr>
                <w:rFonts w:hint="default"/>
                <w:b/>
                <w:bCs/>
                <w:color w:val="auto"/>
                <w:u w:val="single"/>
                <w:lang w:val="en-US" w:eastAsia="zh-CN"/>
              </w:rPr>
              <w:t>A</w:t>
            </w:r>
            <w:r>
              <w:rPr>
                <w:rFonts w:hint="eastAsia"/>
                <w:b/>
                <w:bCs/>
                <w:color w:val="auto"/>
                <w:u w:val="single"/>
                <w:lang w:val="en-US" w:eastAsia="zh-CN"/>
              </w:rPr>
              <w:t>）</w:t>
            </w:r>
          </w:p>
        </w:tc>
        <w:tc>
          <w:tcPr>
            <w:tcW w:w="30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建筑物外距离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w:t>
            </w:r>
          </w:p>
        </w:tc>
        <w:tc>
          <w:tcPr>
            <w:tcW w:w="282" w:type="pct"/>
            <w:vMerge w:val="restart"/>
            <w:tcBorders>
              <w:top w:val="single" w:color="000000" w:sz="8" w:space="0"/>
              <w:left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生物质纤维产业化研发中试车间</w:t>
            </w: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药液泵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IJ100-80-160D</w:t>
            </w:r>
            <w:r>
              <w:rPr>
                <w:rFonts w:hint="eastAsia"/>
                <w:b/>
                <w:bCs/>
                <w:color w:val="auto"/>
                <w:u w:val="single"/>
                <w:lang w:val="en-US" w:eastAsia="zh-CN"/>
              </w:rPr>
              <w:t>，</w:t>
            </w:r>
            <w:r>
              <w:rPr>
                <w:rFonts w:hint="default"/>
                <w:b/>
                <w:bCs/>
                <w:color w:val="auto"/>
                <w:u w:val="single"/>
                <w:lang w:val="en-US" w:eastAsia="zh-CN"/>
              </w:rPr>
              <w:t>Q=90m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H=32m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restart"/>
            <w:tcBorders>
              <w:top w:val="single" w:color="000000" w:sz="8" w:space="0"/>
              <w:left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建筑隔声，安装隔声门窗，电机设置减震基础</w:t>
            </w: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206</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33</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33</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66.87</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51.87</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碱液泵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IJ100-80-125D</w:t>
            </w:r>
            <w:r>
              <w:rPr>
                <w:rFonts w:hint="eastAsia"/>
                <w:b/>
                <w:bCs/>
                <w:color w:val="auto"/>
                <w:u w:val="single"/>
                <w:lang w:val="en-US" w:eastAsia="zh-CN"/>
              </w:rPr>
              <w:t>，</w:t>
            </w:r>
            <w:r>
              <w:rPr>
                <w:rFonts w:hint="default"/>
                <w:b/>
                <w:bCs/>
                <w:color w:val="auto"/>
                <w:u w:val="single"/>
                <w:lang w:val="en-US" w:eastAsia="zh-CN"/>
              </w:rPr>
              <w:t>Q=100m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H=20m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213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66.87</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51.87</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高压黑液泵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IJ100-65-315</w:t>
            </w:r>
            <w:r>
              <w:rPr>
                <w:rFonts w:hint="eastAsia"/>
                <w:b/>
                <w:bCs/>
                <w:color w:val="auto"/>
                <w:u w:val="single"/>
                <w:lang w:val="en-US" w:eastAsia="zh-CN"/>
              </w:rPr>
              <w:t>，</w:t>
            </w:r>
            <w:r>
              <w:rPr>
                <w:rFonts w:hint="default"/>
                <w:b/>
                <w:bCs/>
                <w:color w:val="auto"/>
                <w:u w:val="single"/>
                <w:lang w:val="en-US" w:eastAsia="zh-CN"/>
              </w:rPr>
              <w:t>Q=120m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H=105m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65-90</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211</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71.86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56.86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IJ100-80-125D</w:t>
            </w:r>
            <w:r>
              <w:rPr>
                <w:rFonts w:hint="eastAsia"/>
                <w:b/>
                <w:bCs/>
                <w:color w:val="auto"/>
                <w:u w:val="single"/>
                <w:lang w:val="en-US" w:eastAsia="zh-CN"/>
              </w:rPr>
              <w:t>，</w:t>
            </w:r>
            <w:r>
              <w:rPr>
                <w:rFonts w:hint="default"/>
                <w:b/>
                <w:bCs/>
                <w:color w:val="auto"/>
                <w:u w:val="single"/>
                <w:lang w:val="en-US" w:eastAsia="zh-CN"/>
              </w:rPr>
              <w:t>Q=100m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H=20m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260</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57</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57</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清水泵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IJ100-80-160</w:t>
            </w:r>
            <w:r>
              <w:rPr>
                <w:rFonts w:hint="eastAsia"/>
                <w:b/>
                <w:bCs/>
                <w:color w:val="auto"/>
                <w:u w:val="single"/>
                <w:lang w:val="en-US" w:eastAsia="zh-CN"/>
              </w:rPr>
              <w:t>，</w:t>
            </w:r>
            <w:r>
              <w:rPr>
                <w:rFonts w:hint="default"/>
                <w:b/>
                <w:bCs/>
                <w:color w:val="auto"/>
                <w:u w:val="single"/>
                <w:lang w:val="en-US" w:eastAsia="zh-CN"/>
              </w:rPr>
              <w:t>Q=100m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H=32m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256</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润滑油泵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default"/>
                <w:b/>
                <w:bCs/>
                <w:color w:val="auto"/>
                <w:u w:val="single"/>
              </w:rPr>
            </w:pP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223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碱液泵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Q=100m³/h</w:t>
            </w:r>
            <w:r>
              <w:rPr>
                <w:rFonts w:hint="eastAsia"/>
                <w:b/>
                <w:bCs/>
                <w:color w:val="auto"/>
                <w:u w:val="single"/>
                <w:lang w:val="en-US" w:eastAsia="zh-CN"/>
              </w:rPr>
              <w:t>，</w:t>
            </w:r>
            <w:r>
              <w:rPr>
                <w:rFonts w:hint="default"/>
                <w:b/>
                <w:bCs/>
                <w:color w:val="auto"/>
                <w:u w:val="single"/>
                <w:lang w:val="en-US" w:eastAsia="zh-CN"/>
              </w:rPr>
              <w:t>H=20m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8</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挤浆机</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SJ928</w:t>
            </w:r>
            <w:r>
              <w:rPr>
                <w:rFonts w:hint="eastAsia"/>
                <w:b/>
                <w:bCs/>
                <w:color w:val="auto"/>
                <w:u w:val="single"/>
                <w:lang w:val="en-US" w:eastAsia="zh-CN"/>
              </w:rPr>
              <w:t>，</w:t>
            </w:r>
            <w:r>
              <w:rPr>
                <w:rFonts w:hint="default"/>
                <w:b/>
                <w:bCs/>
                <w:color w:val="auto"/>
                <w:u w:val="single"/>
                <w:lang w:val="en-US" w:eastAsia="zh-CN"/>
              </w:rPr>
              <w:t>2820mm</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90</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335</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46</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46</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71.86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56.86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浆泵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default"/>
                <w:b/>
                <w:bCs/>
                <w:color w:val="auto"/>
                <w:u w:val="single"/>
              </w:rPr>
            </w:pP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329</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40</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40</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default"/>
                <w:b/>
                <w:bCs/>
                <w:u w:val="single"/>
                <w:lang w:val="en-US"/>
              </w:rPr>
            </w:pPr>
            <w:r>
              <w:rPr>
                <w:rFonts w:hint="eastAsia"/>
                <w:b/>
                <w:bCs/>
                <w:u w:val="single"/>
                <w:lang w:val="en-US" w:eastAsia="zh-CN"/>
              </w:rPr>
              <w:t>66.87</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51.87</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稀黑液泵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Q=100m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H=13m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49</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49</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半浓黑液泵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Q=30m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269</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Ⅰ</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Q=900m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265</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57</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57</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13</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Ⅱ</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Q=580m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271</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51</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51</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14</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Ⅲ</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283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Ⅳ</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288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76</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76</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16</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Ⅴ</w:t>
            </w:r>
            <w:r>
              <w:rPr>
                <w:rFonts w:hint="eastAsia"/>
                <w:b/>
                <w:bCs/>
                <w:color w:val="auto"/>
                <w:u w:val="single"/>
                <w:lang w:val="en-US" w:eastAsia="zh-CN"/>
              </w:rPr>
              <w:t>效黑液循环泵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292</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17</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出</w:t>
            </w:r>
            <w:r>
              <w:rPr>
                <w:rFonts w:hint="default"/>
                <w:b/>
                <w:bCs/>
                <w:color w:val="auto"/>
                <w:u w:val="single"/>
                <w:lang w:val="en-US" w:eastAsia="zh-CN"/>
              </w:rPr>
              <w:t>Ⅰ</w:t>
            </w:r>
            <w:r>
              <w:rPr>
                <w:rFonts w:hint="eastAsia"/>
                <w:b/>
                <w:bCs/>
                <w:color w:val="auto"/>
                <w:u w:val="single"/>
                <w:lang w:val="en-US" w:eastAsia="zh-CN"/>
              </w:rPr>
              <w:t>效浓黑液泵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Q=30m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290</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53</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53</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18</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清冷凝水泵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Q=25m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H=30m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265</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61</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61</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污冷凝水泵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Q=80m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H=30m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269</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65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水环式真空泵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Q=8m</w:t>
            </w:r>
            <w:r>
              <w:rPr>
                <w:rFonts w:hint="default"/>
                <w:b/>
                <w:bCs/>
                <w:color w:val="auto"/>
                <w:u w:val="single"/>
                <w:vertAlign w:val="superscript"/>
                <w:lang w:val="en-US" w:eastAsia="zh-CN"/>
              </w:rPr>
              <w:t>3</w:t>
            </w:r>
            <w:r>
              <w:rPr>
                <w:rFonts w:hint="default"/>
                <w:b/>
                <w:bCs/>
                <w:color w:val="auto"/>
                <w:u w:val="single"/>
                <w:lang w:val="en-US" w:eastAsia="zh-CN"/>
              </w:rPr>
              <w:t>/min</w:t>
            </w:r>
            <w:r>
              <w:rPr>
                <w:rFonts w:hint="eastAsia"/>
                <w:b/>
                <w:bCs/>
                <w:color w:val="auto"/>
                <w:u w:val="single"/>
                <w:lang w:val="en-US" w:eastAsia="zh-CN"/>
              </w:rPr>
              <w:t>，最大真空度：</w:t>
            </w:r>
            <w:r>
              <w:rPr>
                <w:rFonts w:hint="default"/>
                <w:b/>
                <w:bCs/>
                <w:color w:val="auto"/>
                <w:u w:val="single"/>
                <w:lang w:val="en-US" w:eastAsia="zh-CN"/>
              </w:rPr>
              <w:t>0.7-0.8</w:t>
            </w:r>
            <w:r>
              <w:rPr>
                <w:rFonts w:hint="eastAsia"/>
                <w:b/>
                <w:bCs/>
                <w:color w:val="auto"/>
                <w:u w:val="single"/>
                <w:lang w:val="en-US" w:eastAsia="zh-CN"/>
              </w:rPr>
              <w:t>，碳钢</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90</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298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75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71.86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56.86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21</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浓黑液泵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Q=20m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H=36m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195</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22</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出</w:t>
            </w:r>
            <w:r>
              <w:rPr>
                <w:rFonts w:hint="default"/>
                <w:b/>
                <w:bCs/>
                <w:color w:val="auto"/>
                <w:u w:val="single"/>
                <w:lang w:val="en-US" w:eastAsia="zh-CN"/>
              </w:rPr>
              <w:t>Ⅱ</w:t>
            </w:r>
            <w:r>
              <w:rPr>
                <w:rFonts w:hint="eastAsia"/>
                <w:b/>
                <w:bCs/>
                <w:color w:val="auto"/>
                <w:u w:val="single"/>
                <w:lang w:val="en-US" w:eastAsia="zh-CN"/>
              </w:rPr>
              <w:t>效黑液泵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Q=40m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198</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92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23</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出</w:t>
            </w:r>
            <w:r>
              <w:rPr>
                <w:rFonts w:hint="default"/>
                <w:b/>
                <w:bCs/>
                <w:color w:val="auto"/>
                <w:u w:val="single"/>
                <w:lang w:val="en-US" w:eastAsia="zh-CN"/>
              </w:rPr>
              <w:t>Ⅲ</w:t>
            </w:r>
            <w:r>
              <w:rPr>
                <w:rFonts w:hint="eastAsia"/>
                <w:b/>
                <w:bCs/>
                <w:color w:val="auto"/>
                <w:u w:val="single"/>
                <w:lang w:val="en-US" w:eastAsia="zh-CN"/>
              </w:rPr>
              <w:t>效黑液泵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H=11m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201</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24</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污冷凝水泵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Q=50m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H=30m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190</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25</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蒸馏水泵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Q=45m</w:t>
            </w:r>
            <w:r>
              <w:rPr>
                <w:rFonts w:hint="default"/>
                <w:b/>
                <w:bCs/>
                <w:color w:val="auto"/>
                <w:u w:val="single"/>
                <w:vertAlign w:val="superscript"/>
                <w:lang w:val="en-US" w:eastAsia="zh-CN"/>
              </w:rPr>
              <w:t>3</w:t>
            </w:r>
            <w:r>
              <w:rPr>
                <w:rFonts w:hint="default"/>
                <w:b/>
                <w:bCs/>
                <w:color w:val="auto"/>
                <w:u w:val="single"/>
                <w:lang w:val="en-US" w:eastAsia="zh-CN"/>
              </w:rPr>
              <w:t>/h</w:t>
            </w:r>
            <w:r>
              <w:rPr>
                <w:rFonts w:hint="eastAsia"/>
                <w:b/>
                <w:bCs/>
                <w:color w:val="auto"/>
                <w:u w:val="single"/>
                <w:lang w:val="en-US" w:eastAsia="zh-CN"/>
              </w:rPr>
              <w:t>，</w:t>
            </w:r>
            <w:r>
              <w:rPr>
                <w:rFonts w:hint="default"/>
                <w:b/>
                <w:bCs/>
                <w:color w:val="auto"/>
                <w:u w:val="single"/>
                <w:lang w:val="en-US" w:eastAsia="zh-CN"/>
              </w:rPr>
              <w:t>H=24m</w:t>
            </w:r>
            <w:r>
              <w:rPr>
                <w:rFonts w:hint="eastAsia"/>
                <w:b/>
                <w:bCs/>
                <w:color w:val="auto"/>
                <w:u w:val="single"/>
                <w:lang w:val="en-US" w:eastAsia="zh-CN"/>
              </w:rPr>
              <w:t>，过流部件材质：</w:t>
            </w:r>
            <w:r>
              <w:rPr>
                <w:rFonts w:hint="default"/>
                <w:b/>
                <w:bCs/>
                <w:color w:val="auto"/>
                <w:u w:val="single"/>
                <w:lang w:val="en-US" w:eastAsia="zh-CN"/>
              </w:rPr>
              <w:t>SS304</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197</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112</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112</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26</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蒸发进校泵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YE3-132S1-2</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183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27</w:t>
            </w:r>
          </w:p>
        </w:tc>
        <w:tc>
          <w:tcPr>
            <w:tcW w:w="282"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蒸发出料泵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YE3-132S1-2</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194</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120</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120</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 xml:space="preserve">51.86 </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9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28</w:t>
            </w:r>
          </w:p>
        </w:tc>
        <w:tc>
          <w:tcPr>
            <w:tcW w:w="282" w:type="pct"/>
            <w:vMerge w:val="continue"/>
            <w:tcBorders>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2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木质素上料泵</w:t>
            </w:r>
          </w:p>
        </w:tc>
        <w:tc>
          <w:tcPr>
            <w:tcW w:w="640"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G50-IAJST-4CJ383</w:t>
            </w:r>
          </w:p>
        </w:tc>
        <w:tc>
          <w:tcPr>
            <w:tcW w:w="38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bidi w:val="0"/>
              <w:rPr>
                <w:rFonts w:hint="default"/>
                <w:b/>
                <w:bCs/>
                <w:u w:val="single"/>
              </w:rPr>
            </w:pPr>
            <w:r>
              <w:rPr>
                <w:rFonts w:hint="default"/>
                <w:b/>
                <w:bCs/>
                <w:u w:val="single"/>
                <w:lang w:val="en-US" w:eastAsia="zh-CN"/>
              </w:rPr>
              <w:t>65-85</w:t>
            </w:r>
          </w:p>
        </w:tc>
        <w:tc>
          <w:tcPr>
            <w:tcW w:w="241" w:type="pct"/>
            <w:vMerge w:val="continue"/>
            <w:tcBorders>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20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203</w:t>
            </w:r>
          </w:p>
        </w:tc>
        <w:tc>
          <w:tcPr>
            <w:tcW w:w="18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125</w:t>
            </w:r>
          </w:p>
        </w:tc>
        <w:tc>
          <w:tcPr>
            <w:tcW w:w="18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3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125</w:t>
            </w:r>
          </w:p>
        </w:tc>
        <w:tc>
          <w:tcPr>
            <w:tcW w:w="3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66.86</w:t>
            </w:r>
          </w:p>
        </w:tc>
        <w:tc>
          <w:tcPr>
            <w:tcW w:w="303"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c>
          <w:tcPr>
            <w:tcW w:w="56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15</w:t>
            </w:r>
          </w:p>
        </w:tc>
        <w:tc>
          <w:tcPr>
            <w:tcW w:w="36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51.86</w:t>
            </w:r>
          </w:p>
        </w:tc>
        <w:tc>
          <w:tcPr>
            <w:tcW w:w="3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1m</w:t>
            </w:r>
          </w:p>
        </w:tc>
      </w:tr>
    </w:tbl>
    <w:p>
      <w:pPr>
        <w:rPr>
          <w:rFonts w:hint="eastAsia"/>
          <w:color w:val="auto"/>
        </w:rPr>
      </w:pPr>
    </w:p>
    <w:p>
      <w:pPr>
        <w:pStyle w:val="2"/>
        <w:rPr>
          <w:rFonts w:hint="eastAsia"/>
          <w:color w:val="auto"/>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181"/>
        <w:bidi w:val="0"/>
        <w:rPr>
          <w:rFonts w:hint="eastAsia"/>
        </w:rPr>
      </w:pPr>
      <w:r>
        <w:rPr>
          <w:rFonts w:hint="eastAsia"/>
          <w:u w:val="single"/>
        </w:rPr>
        <w:t>表</w:t>
      </w:r>
      <w:r>
        <w:rPr>
          <w:rFonts w:hint="eastAsia"/>
          <w:u w:val="single"/>
          <w:lang w:val="en-US" w:eastAsia="zh-CN"/>
        </w:rPr>
        <w:t>5.5-2                年产5000吨菌草生物质纤维产业化研发中试项目</w:t>
      </w:r>
      <w:r>
        <w:rPr>
          <w:rFonts w:hint="eastAsia"/>
          <w:u w:val="single"/>
        </w:rPr>
        <w:t>噪声源强调查清单（室</w:t>
      </w:r>
      <w:r>
        <w:rPr>
          <w:rFonts w:hint="eastAsia"/>
          <w:u w:val="single"/>
          <w:lang w:val="en-US" w:eastAsia="zh-CN"/>
        </w:rPr>
        <w:t>外</w:t>
      </w:r>
      <w:r>
        <w:rPr>
          <w:rFonts w:hint="eastAsia"/>
        </w:rPr>
        <w:t>声源）</w:t>
      </w:r>
    </w:p>
    <w:tbl>
      <w:tblPr>
        <w:tblStyle w:val="32"/>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7"/>
        <w:gridCol w:w="1633"/>
        <w:gridCol w:w="1741"/>
        <w:gridCol w:w="1302"/>
        <w:gridCol w:w="1012"/>
        <w:gridCol w:w="1189"/>
        <w:gridCol w:w="2131"/>
        <w:gridCol w:w="2518"/>
        <w:gridCol w:w="11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274"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序号</w:t>
            </w:r>
          </w:p>
        </w:tc>
        <w:tc>
          <w:tcPr>
            <w:tcW w:w="607"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声源名称</w:t>
            </w:r>
          </w:p>
        </w:tc>
        <w:tc>
          <w:tcPr>
            <w:tcW w:w="647"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型号</w:t>
            </w:r>
          </w:p>
        </w:tc>
        <w:tc>
          <w:tcPr>
            <w:tcW w:w="1302" w:type="pct"/>
            <w:gridSpan w:val="3"/>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空间相对位置</w:t>
            </w:r>
          </w:p>
        </w:tc>
        <w:tc>
          <w:tcPr>
            <w:tcW w:w="792"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r>
              <w:rPr>
                <w:rFonts w:hint="eastAsia"/>
                <w:b/>
                <w:bCs/>
                <w:color w:val="auto"/>
                <w:u w:val="single"/>
                <w:lang w:val="en-US" w:eastAsia="zh-CN"/>
              </w:rPr>
              <w:t>声源源强</w:t>
            </w:r>
          </w:p>
        </w:tc>
        <w:tc>
          <w:tcPr>
            <w:tcW w:w="936"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rPr>
              <w:t>声源控制措施</w:t>
            </w:r>
          </w:p>
        </w:tc>
        <w:tc>
          <w:tcPr>
            <w:tcW w:w="440"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rPr>
              <w:t>运行时段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274"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607"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647"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84"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X</w:t>
            </w:r>
          </w:p>
        </w:tc>
        <w:tc>
          <w:tcPr>
            <w:tcW w:w="376"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Y</w:t>
            </w:r>
          </w:p>
        </w:tc>
        <w:tc>
          <w:tcPr>
            <w:tcW w:w="441"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Z</w:t>
            </w:r>
          </w:p>
        </w:tc>
        <w:tc>
          <w:tcPr>
            <w:tcW w:w="792"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r>
              <w:rPr>
                <w:b/>
                <w:bCs/>
                <w:color w:val="auto"/>
                <w:u w:val="single"/>
              </w:rPr>
              <w:t>声功率级dB（A）</w:t>
            </w:r>
          </w:p>
        </w:tc>
        <w:tc>
          <w:tcPr>
            <w:tcW w:w="936"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c>
          <w:tcPr>
            <w:tcW w:w="44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jc w:val="center"/>
              <w:rPr>
                <w:rFonts w:hint="eastAsia"/>
                <w:b/>
                <w:bCs/>
                <w:color w:val="auto"/>
                <w:u w:val="singl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27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w:t>
            </w:r>
          </w:p>
        </w:tc>
        <w:tc>
          <w:tcPr>
            <w:tcW w:w="60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引风机</w:t>
            </w:r>
          </w:p>
        </w:tc>
        <w:tc>
          <w:tcPr>
            <w:tcW w:w="64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4-73-12D</w:t>
            </w:r>
          </w:p>
        </w:tc>
        <w:tc>
          <w:tcPr>
            <w:tcW w:w="48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410</w:t>
            </w:r>
          </w:p>
        </w:tc>
        <w:tc>
          <w:tcPr>
            <w:tcW w:w="376"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105</w:t>
            </w:r>
          </w:p>
        </w:tc>
        <w:tc>
          <w:tcPr>
            <w:tcW w:w="44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213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85</w:t>
            </w:r>
          </w:p>
        </w:tc>
        <w:tc>
          <w:tcPr>
            <w:tcW w:w="936" w:type="pct"/>
            <w:vMerge w:val="restart"/>
            <w:tcBorders>
              <w:top w:val="single" w:color="000000" w:sz="8" w:space="0"/>
              <w:left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rPr>
              <w:t>设置减震基础、隔声间</w:t>
            </w:r>
          </w:p>
        </w:tc>
        <w:tc>
          <w:tcPr>
            <w:tcW w:w="44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27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2</w:t>
            </w:r>
          </w:p>
        </w:tc>
        <w:tc>
          <w:tcPr>
            <w:tcW w:w="60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回流风机</w:t>
            </w:r>
          </w:p>
        </w:tc>
        <w:tc>
          <w:tcPr>
            <w:tcW w:w="647"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9-19-9D</w:t>
            </w:r>
          </w:p>
        </w:tc>
        <w:tc>
          <w:tcPr>
            <w:tcW w:w="48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416</w:t>
            </w:r>
          </w:p>
        </w:tc>
        <w:tc>
          <w:tcPr>
            <w:tcW w:w="376"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115</w:t>
            </w:r>
          </w:p>
        </w:tc>
        <w:tc>
          <w:tcPr>
            <w:tcW w:w="44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1.2</w:t>
            </w:r>
          </w:p>
        </w:tc>
        <w:tc>
          <w:tcPr>
            <w:tcW w:w="213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85</w:t>
            </w:r>
          </w:p>
        </w:tc>
        <w:tc>
          <w:tcPr>
            <w:tcW w:w="936" w:type="pct"/>
            <w:vMerge w:val="continue"/>
            <w:tcBorders>
              <w:left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p>
        </w:tc>
        <w:tc>
          <w:tcPr>
            <w:tcW w:w="44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27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w:t>
            </w:r>
          </w:p>
        </w:tc>
        <w:tc>
          <w:tcPr>
            <w:tcW w:w="60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除尘风机</w:t>
            </w:r>
          </w:p>
        </w:tc>
        <w:tc>
          <w:tcPr>
            <w:tcW w:w="64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jc w:val="center"/>
              <w:rPr>
                <w:rFonts w:hint="eastAsia"/>
                <w:b/>
                <w:bCs/>
                <w:color w:val="auto"/>
                <w:u w:val="single"/>
              </w:rPr>
            </w:pPr>
          </w:p>
        </w:tc>
        <w:tc>
          <w:tcPr>
            <w:tcW w:w="48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420</w:t>
            </w:r>
          </w:p>
        </w:tc>
        <w:tc>
          <w:tcPr>
            <w:tcW w:w="376"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130</w:t>
            </w:r>
          </w:p>
        </w:tc>
        <w:tc>
          <w:tcPr>
            <w:tcW w:w="44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3</w:t>
            </w:r>
          </w:p>
        </w:tc>
        <w:tc>
          <w:tcPr>
            <w:tcW w:w="213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bidi w:val="0"/>
              <w:rPr>
                <w:rFonts w:hint="eastAsia"/>
                <w:b/>
                <w:bCs/>
                <w:u w:val="single"/>
              </w:rPr>
            </w:pPr>
            <w:r>
              <w:rPr>
                <w:rFonts w:hint="eastAsia"/>
                <w:b/>
                <w:bCs/>
                <w:u w:val="single"/>
                <w:lang w:val="en-US" w:eastAsia="zh-CN"/>
              </w:rPr>
              <w:t>85</w:t>
            </w:r>
          </w:p>
        </w:tc>
        <w:tc>
          <w:tcPr>
            <w:tcW w:w="936" w:type="pct"/>
            <w:vMerge w:val="continue"/>
            <w:tcBorders>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p>
        </w:tc>
        <w:tc>
          <w:tcPr>
            <w:tcW w:w="44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全天</w:t>
            </w:r>
          </w:p>
        </w:tc>
      </w:tr>
    </w:tbl>
    <w:p>
      <w:pPr>
        <w:rPr>
          <w:rFonts w:hint="eastAsia"/>
          <w:color w:val="auto"/>
        </w:rPr>
      </w:pPr>
    </w:p>
    <w:p>
      <w:pPr>
        <w:rPr>
          <w:color w:val="auto"/>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9"/>
        <w:bidi w:val="0"/>
        <w:rPr>
          <w:color w:val="auto"/>
          <w:u w:val="single"/>
        </w:rPr>
      </w:pPr>
      <w:r>
        <w:rPr>
          <w:rFonts w:hint="eastAsia"/>
          <w:color w:val="auto"/>
          <w:u w:val="single"/>
        </w:rPr>
        <w:t>5.</w:t>
      </w:r>
      <w:r>
        <w:rPr>
          <w:rFonts w:hint="eastAsia"/>
          <w:color w:val="auto"/>
          <w:u w:val="single"/>
          <w:lang w:val="en-US" w:eastAsia="zh-CN"/>
        </w:rPr>
        <w:t>5</w:t>
      </w:r>
      <w:r>
        <w:rPr>
          <w:rFonts w:hint="eastAsia"/>
          <w:color w:val="auto"/>
          <w:u w:val="single"/>
        </w:rPr>
        <w:t>.</w:t>
      </w:r>
      <w:r>
        <w:rPr>
          <w:rFonts w:hint="eastAsia"/>
          <w:color w:val="auto"/>
          <w:u w:val="single"/>
          <w:lang w:val="en-US" w:eastAsia="zh-CN"/>
        </w:rPr>
        <w:t xml:space="preserve">2 </w:t>
      </w:r>
      <w:r>
        <w:rPr>
          <w:rFonts w:hint="eastAsia"/>
          <w:color w:val="auto"/>
          <w:u w:val="single"/>
        </w:rPr>
        <w:t>厂界预测结果及评价</w:t>
      </w:r>
    </w:p>
    <w:p>
      <w:pPr>
        <w:bidi w:val="0"/>
        <w:rPr>
          <w:rFonts w:ascii="Times New Roman" w:hAnsi="Times New Roman" w:eastAsia="宋体"/>
          <w:b/>
          <w:bCs/>
          <w:color w:val="auto"/>
          <w:u w:val="single"/>
        </w:rPr>
      </w:pPr>
      <w:r>
        <w:rPr>
          <w:b/>
          <w:bCs/>
          <w:color w:val="auto"/>
          <w:u w:val="single"/>
        </w:rPr>
        <w:t>根据工程噪声源在厂区的分布和源强，以及其与四周厂界的距离及建筑物的衰减状况，计算出各声源对四周厂界的噪声贡献值</w:t>
      </w:r>
      <w:r>
        <w:rPr>
          <w:rFonts w:hint="eastAsia"/>
          <w:b/>
          <w:bCs/>
          <w:color w:val="auto"/>
          <w:u w:val="single"/>
        </w:rPr>
        <w:t>，</w:t>
      </w:r>
      <w:r>
        <w:rPr>
          <w:b/>
          <w:bCs/>
          <w:color w:val="auto"/>
          <w:u w:val="single"/>
        </w:rPr>
        <w:t>结合背景值，对本工程完成后各厂界噪声值进行预测，预测结果见表5</w:t>
      </w:r>
      <w:r>
        <w:rPr>
          <w:rFonts w:hint="eastAsia"/>
          <w:b/>
          <w:bCs/>
          <w:color w:val="auto"/>
          <w:u w:val="single"/>
        </w:rPr>
        <w:t>.</w:t>
      </w:r>
      <w:r>
        <w:rPr>
          <w:rFonts w:hint="eastAsia"/>
          <w:b/>
          <w:bCs/>
          <w:color w:val="auto"/>
          <w:u w:val="single"/>
          <w:lang w:val="en-US" w:eastAsia="zh-CN"/>
        </w:rPr>
        <w:t>5</w:t>
      </w:r>
      <w:r>
        <w:rPr>
          <w:b/>
          <w:bCs/>
          <w:color w:val="auto"/>
          <w:u w:val="single"/>
        </w:rPr>
        <w:t>-</w:t>
      </w:r>
      <w:r>
        <w:rPr>
          <w:rFonts w:hint="eastAsia"/>
          <w:b/>
          <w:bCs/>
          <w:color w:val="auto"/>
          <w:u w:val="single"/>
          <w:lang w:val="en-US" w:eastAsia="zh-CN"/>
        </w:rPr>
        <w:t>3</w:t>
      </w:r>
      <w:r>
        <w:rPr>
          <w:b/>
          <w:bCs/>
          <w:color w:val="auto"/>
          <w:u w:val="single"/>
        </w:rPr>
        <w:t>。</w:t>
      </w:r>
    </w:p>
    <w:p>
      <w:pPr>
        <w:pStyle w:val="181"/>
        <w:bidi w:val="0"/>
        <w:rPr>
          <w:b/>
          <w:bCs/>
          <w:color w:val="auto"/>
          <w:u w:val="single"/>
        </w:rPr>
      </w:pPr>
      <w:r>
        <w:rPr>
          <w:b/>
          <w:bCs/>
          <w:color w:val="auto"/>
          <w:u w:val="single"/>
        </w:rPr>
        <w:t>表5</w:t>
      </w:r>
      <w:r>
        <w:rPr>
          <w:rFonts w:hint="eastAsia"/>
          <w:b/>
          <w:bCs/>
          <w:color w:val="auto"/>
          <w:u w:val="single"/>
        </w:rPr>
        <w:t>.</w:t>
      </w:r>
      <w:r>
        <w:rPr>
          <w:rFonts w:hint="eastAsia"/>
          <w:b/>
          <w:bCs/>
          <w:color w:val="auto"/>
          <w:u w:val="single"/>
          <w:lang w:val="en-US" w:eastAsia="zh-CN"/>
        </w:rPr>
        <w:t>5</w:t>
      </w:r>
      <w:r>
        <w:rPr>
          <w:b/>
          <w:bCs/>
          <w:color w:val="auto"/>
          <w:u w:val="single"/>
        </w:rPr>
        <w:t>-</w:t>
      </w:r>
      <w:r>
        <w:rPr>
          <w:rFonts w:hint="eastAsia"/>
          <w:b/>
          <w:bCs/>
          <w:color w:val="auto"/>
          <w:u w:val="single"/>
          <w:lang w:val="en-US" w:eastAsia="zh-CN"/>
        </w:rPr>
        <w:t>3</w:t>
      </w:r>
      <w:r>
        <w:rPr>
          <w:b/>
          <w:bCs/>
          <w:color w:val="auto"/>
          <w:u w:val="single"/>
        </w:rPr>
        <w:t xml:space="preserve">  </w:t>
      </w:r>
      <w:r>
        <w:rPr>
          <w:rFonts w:hint="eastAsia"/>
          <w:b/>
          <w:bCs/>
          <w:color w:val="auto"/>
          <w:u w:val="single"/>
          <w:lang w:val="en-US" w:eastAsia="zh-CN"/>
        </w:rPr>
        <w:t xml:space="preserve">      </w:t>
      </w:r>
      <w:r>
        <w:rPr>
          <w:b/>
          <w:bCs/>
          <w:color w:val="auto"/>
          <w:u w:val="single"/>
        </w:rPr>
        <w:t>四周厂界噪声预测结果单位：dB(A)</w:t>
      </w:r>
    </w:p>
    <w:tbl>
      <w:tblPr>
        <w:tblStyle w:val="32"/>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92"/>
        <w:gridCol w:w="1210"/>
        <w:gridCol w:w="695"/>
        <w:gridCol w:w="907"/>
        <w:gridCol w:w="869"/>
        <w:gridCol w:w="508"/>
        <w:gridCol w:w="585"/>
        <w:gridCol w:w="1957"/>
        <w:gridCol w:w="8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057" w:hRule="atLeast"/>
          <w:jc w:val="center"/>
        </w:trPr>
        <w:tc>
          <w:tcPr>
            <w:tcW w:w="523"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点位</w:t>
            </w:r>
          </w:p>
        </w:tc>
        <w:tc>
          <w:tcPr>
            <w:tcW w:w="710"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本项目至厂界距离（</w:t>
            </w:r>
            <w:r>
              <w:rPr>
                <w:rFonts w:hint="default"/>
                <w:b/>
                <w:bCs/>
                <w:color w:val="auto"/>
                <w:u w:val="single"/>
                <w:lang w:val="en-US" w:eastAsia="zh-CN"/>
              </w:rPr>
              <w:t>m</w:t>
            </w:r>
            <w:r>
              <w:rPr>
                <w:rFonts w:hint="eastAsia"/>
                <w:b/>
                <w:bCs/>
                <w:color w:val="auto"/>
                <w:u w:val="single"/>
                <w:lang w:val="en-US" w:eastAsia="zh-CN"/>
              </w:rPr>
              <w:t>）</w:t>
            </w:r>
          </w:p>
        </w:tc>
        <w:tc>
          <w:tcPr>
            <w:tcW w:w="940" w:type="pct"/>
            <w:gridSpan w:val="2"/>
            <w:tcBorders>
              <w:tl2br w:val="nil"/>
              <w:tr2bl w:val="nil"/>
            </w:tcBorders>
            <w:shd w:val="clear" w:color="auto" w:fill="auto"/>
            <w:vAlign w:val="center"/>
          </w:tcPr>
          <w:p>
            <w:pPr>
              <w:pStyle w:val="182"/>
              <w:rPr>
                <w:rFonts w:hint="eastAsia"/>
                <w:b/>
                <w:bCs/>
                <w:color w:val="auto"/>
                <w:u w:val="single"/>
                <w:lang w:val="en-US" w:eastAsia="zh-CN"/>
              </w:rPr>
            </w:pPr>
            <w:r>
              <w:rPr>
                <w:rFonts w:hint="eastAsia"/>
                <w:b/>
                <w:bCs/>
                <w:color w:val="auto"/>
                <w:u w:val="single"/>
                <w:lang w:val="en-US" w:eastAsia="zh-CN"/>
              </w:rPr>
              <w:t>现状背景值</w:t>
            </w:r>
          </w:p>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dB(A)</w:t>
            </w:r>
          </w:p>
        </w:tc>
        <w:tc>
          <w:tcPr>
            <w:tcW w:w="510" w:type="pct"/>
            <w:tcBorders>
              <w:tl2br w:val="nil"/>
              <w:tr2bl w:val="nil"/>
            </w:tcBorders>
            <w:shd w:val="clear" w:color="auto" w:fill="auto"/>
            <w:vAlign w:val="center"/>
          </w:tcPr>
          <w:p>
            <w:pPr>
              <w:pStyle w:val="182"/>
              <w:rPr>
                <w:rFonts w:hint="eastAsia"/>
                <w:b/>
                <w:bCs/>
                <w:color w:val="auto"/>
                <w:u w:val="single"/>
                <w:lang w:val="en-US" w:eastAsia="zh-CN"/>
              </w:rPr>
            </w:pPr>
            <w:r>
              <w:rPr>
                <w:rFonts w:hint="eastAsia"/>
                <w:b/>
                <w:bCs/>
                <w:color w:val="auto"/>
                <w:u w:val="single"/>
                <w:lang w:val="en-US" w:eastAsia="zh-CN"/>
              </w:rPr>
              <w:t>贡献值</w:t>
            </w:r>
          </w:p>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dB(A)</w:t>
            </w:r>
          </w:p>
        </w:tc>
        <w:tc>
          <w:tcPr>
            <w:tcW w:w="641" w:type="pct"/>
            <w:gridSpan w:val="2"/>
            <w:tcBorders>
              <w:tl2br w:val="nil"/>
              <w:tr2bl w:val="nil"/>
            </w:tcBorders>
            <w:shd w:val="clear" w:color="auto" w:fill="auto"/>
            <w:vAlign w:val="center"/>
          </w:tcPr>
          <w:p>
            <w:pPr>
              <w:pStyle w:val="182"/>
              <w:rPr>
                <w:rFonts w:hint="eastAsia"/>
                <w:b/>
                <w:bCs/>
                <w:color w:val="auto"/>
                <w:u w:val="single"/>
                <w:lang w:val="en-US" w:eastAsia="zh-CN"/>
              </w:rPr>
            </w:pPr>
            <w:r>
              <w:rPr>
                <w:rFonts w:hint="eastAsia"/>
                <w:b/>
                <w:bCs/>
                <w:color w:val="auto"/>
                <w:u w:val="single"/>
                <w:lang w:val="en-US" w:eastAsia="zh-CN"/>
              </w:rPr>
              <w:t>预测结果</w:t>
            </w:r>
          </w:p>
          <w:p>
            <w:pPr>
              <w:pStyle w:val="182"/>
              <w:keepNext w:val="0"/>
              <w:keepLines w:val="0"/>
              <w:widowControl/>
              <w:suppressLineNumbers w:val="0"/>
              <w:jc w:val="center"/>
              <w:textAlignment w:val="center"/>
              <w:rPr>
                <w:rFonts w:hint="default"/>
                <w:b/>
                <w:bCs/>
                <w:color w:val="auto"/>
                <w:u w:val="single"/>
              </w:rPr>
            </w:pPr>
            <w:r>
              <w:rPr>
                <w:rFonts w:hint="default"/>
                <w:b/>
                <w:bCs/>
                <w:color w:val="auto"/>
                <w:u w:val="single"/>
                <w:lang w:val="en-US" w:eastAsia="zh-CN"/>
              </w:rPr>
              <w:t>dB(A)</w:t>
            </w:r>
          </w:p>
        </w:tc>
        <w:tc>
          <w:tcPr>
            <w:tcW w:w="1148"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评价标准</w:t>
            </w:r>
          </w:p>
        </w:tc>
        <w:tc>
          <w:tcPr>
            <w:tcW w:w="525" w:type="pct"/>
            <w:tcBorders>
              <w:tl2br w:val="nil"/>
              <w:tr2bl w:val="nil"/>
            </w:tcBorders>
            <w:shd w:val="clear" w:color="auto" w:fill="auto"/>
            <w:vAlign w:val="center"/>
          </w:tcPr>
          <w:p>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预测达标情况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东厂界</w:t>
            </w:r>
          </w:p>
        </w:tc>
        <w:tc>
          <w:tcPr>
            <w:tcW w:w="7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1205</w:t>
            </w:r>
          </w:p>
        </w:tc>
        <w:tc>
          <w:tcPr>
            <w:tcW w:w="4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昼</w:t>
            </w:r>
          </w:p>
        </w:tc>
        <w:tc>
          <w:tcPr>
            <w:tcW w:w="53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50</w:t>
            </w:r>
          </w:p>
        </w:tc>
        <w:tc>
          <w:tcPr>
            <w:tcW w:w="5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28.17</w:t>
            </w:r>
          </w:p>
        </w:tc>
        <w:tc>
          <w:tcPr>
            <w:tcW w:w="29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昼</w:t>
            </w:r>
          </w:p>
        </w:tc>
        <w:tc>
          <w:tcPr>
            <w:tcW w:w="342"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50.0</w:t>
            </w:r>
          </w:p>
        </w:tc>
        <w:tc>
          <w:tcPr>
            <w:tcW w:w="1148"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《工业企业厂界环境噪声排放标准》（</w:t>
            </w:r>
            <w:r>
              <w:rPr>
                <w:rFonts w:hint="default"/>
                <w:b/>
                <w:bCs/>
                <w:u w:val="single"/>
                <w:lang w:val="en-US" w:eastAsia="zh-CN"/>
              </w:rPr>
              <w:t>GB12348-2008</w:t>
            </w:r>
            <w:r>
              <w:rPr>
                <w:rFonts w:hint="eastAsia"/>
                <w:b/>
                <w:bCs/>
                <w:u w:val="single"/>
                <w:lang w:val="en-US" w:eastAsia="zh-CN"/>
              </w:rPr>
              <w:t>）</w:t>
            </w:r>
            <w:r>
              <w:rPr>
                <w:rFonts w:hint="default"/>
                <w:b/>
                <w:bCs/>
                <w:u w:val="single"/>
                <w:lang w:val="en-US" w:eastAsia="zh-CN"/>
              </w:rPr>
              <w:t>3</w:t>
            </w:r>
            <w:r>
              <w:rPr>
                <w:rFonts w:hint="eastAsia"/>
                <w:b/>
                <w:bCs/>
                <w:u w:val="single"/>
                <w:lang w:val="en-US" w:eastAsia="zh-CN"/>
              </w:rPr>
              <w:t>类标准：昼间</w:t>
            </w:r>
            <w:r>
              <w:rPr>
                <w:rFonts w:hint="default"/>
                <w:b/>
                <w:bCs/>
                <w:u w:val="single"/>
                <w:lang w:val="en-US" w:eastAsia="zh-CN"/>
              </w:rPr>
              <w:t>65dB(A)</w:t>
            </w:r>
            <w:r>
              <w:rPr>
                <w:rFonts w:hint="eastAsia"/>
                <w:b/>
                <w:bCs/>
                <w:u w:val="single"/>
                <w:lang w:val="en-US" w:eastAsia="zh-CN"/>
              </w:rPr>
              <w:t>，夜间</w:t>
            </w:r>
            <w:r>
              <w:rPr>
                <w:rFonts w:hint="default"/>
                <w:b/>
                <w:bCs/>
                <w:u w:val="single"/>
                <w:lang w:val="en-US" w:eastAsia="zh-CN"/>
              </w:rPr>
              <w:t>55dB(A)</w:t>
            </w:r>
          </w:p>
        </w:tc>
        <w:tc>
          <w:tcPr>
            <w:tcW w:w="525"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continue"/>
            <w:tcBorders>
              <w:tl2br w:val="nil"/>
              <w:tr2bl w:val="nil"/>
            </w:tcBorders>
            <w:shd w:val="clear" w:color="auto" w:fill="auto"/>
            <w:vAlign w:val="center"/>
          </w:tcPr>
          <w:p>
            <w:pPr>
              <w:pStyle w:val="182"/>
              <w:bidi w:val="0"/>
              <w:rPr>
                <w:rFonts w:hint="eastAsia"/>
                <w:b/>
                <w:bCs/>
                <w:u w:val="single"/>
              </w:rPr>
            </w:pPr>
          </w:p>
        </w:tc>
        <w:tc>
          <w:tcPr>
            <w:tcW w:w="7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1205</w:t>
            </w:r>
          </w:p>
        </w:tc>
        <w:tc>
          <w:tcPr>
            <w:tcW w:w="4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夜</w:t>
            </w:r>
          </w:p>
        </w:tc>
        <w:tc>
          <w:tcPr>
            <w:tcW w:w="53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39</w:t>
            </w:r>
          </w:p>
        </w:tc>
        <w:tc>
          <w:tcPr>
            <w:tcW w:w="5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28.17</w:t>
            </w:r>
          </w:p>
        </w:tc>
        <w:tc>
          <w:tcPr>
            <w:tcW w:w="29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夜</w:t>
            </w:r>
          </w:p>
        </w:tc>
        <w:tc>
          <w:tcPr>
            <w:tcW w:w="342"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39.3</w:t>
            </w:r>
          </w:p>
        </w:tc>
        <w:tc>
          <w:tcPr>
            <w:tcW w:w="1148" w:type="pct"/>
            <w:vMerge w:val="continue"/>
            <w:tcBorders>
              <w:tl2br w:val="nil"/>
              <w:tr2bl w:val="nil"/>
            </w:tcBorders>
            <w:shd w:val="clear" w:color="auto" w:fill="auto"/>
            <w:vAlign w:val="center"/>
          </w:tcPr>
          <w:p>
            <w:pPr>
              <w:pStyle w:val="182"/>
              <w:bidi w:val="0"/>
              <w:rPr>
                <w:rFonts w:hint="eastAsia"/>
                <w:b/>
                <w:bCs/>
                <w:u w:val="single"/>
              </w:rPr>
            </w:pPr>
          </w:p>
        </w:tc>
        <w:tc>
          <w:tcPr>
            <w:tcW w:w="525" w:type="pct"/>
            <w:vMerge w:val="continue"/>
            <w:tcBorders>
              <w:tl2br w:val="nil"/>
              <w:tr2bl w:val="nil"/>
            </w:tcBorders>
            <w:shd w:val="clear" w:color="auto" w:fill="auto"/>
            <w:vAlign w:val="center"/>
          </w:tcPr>
          <w:p>
            <w:pPr>
              <w:pStyle w:val="182"/>
              <w:bidi w:val="0"/>
              <w:rPr>
                <w:rFonts w:hint="eastAsia"/>
                <w:b/>
                <w:bCs/>
                <w:u w:val="singl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西厂界</w:t>
            </w:r>
          </w:p>
        </w:tc>
        <w:tc>
          <w:tcPr>
            <w:tcW w:w="7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401</w:t>
            </w:r>
          </w:p>
        </w:tc>
        <w:tc>
          <w:tcPr>
            <w:tcW w:w="4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昼</w:t>
            </w:r>
          </w:p>
        </w:tc>
        <w:tc>
          <w:tcPr>
            <w:tcW w:w="53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51</w:t>
            </w:r>
          </w:p>
        </w:tc>
        <w:tc>
          <w:tcPr>
            <w:tcW w:w="5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37.73</w:t>
            </w:r>
          </w:p>
        </w:tc>
        <w:tc>
          <w:tcPr>
            <w:tcW w:w="29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昼</w:t>
            </w:r>
          </w:p>
        </w:tc>
        <w:tc>
          <w:tcPr>
            <w:tcW w:w="342"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51.2</w:t>
            </w:r>
          </w:p>
        </w:tc>
        <w:tc>
          <w:tcPr>
            <w:tcW w:w="1148" w:type="pct"/>
            <w:vMerge w:val="continue"/>
            <w:tcBorders>
              <w:tl2br w:val="nil"/>
              <w:tr2bl w:val="nil"/>
            </w:tcBorders>
            <w:shd w:val="clear" w:color="auto" w:fill="auto"/>
            <w:vAlign w:val="center"/>
          </w:tcPr>
          <w:p>
            <w:pPr>
              <w:pStyle w:val="182"/>
              <w:bidi w:val="0"/>
              <w:rPr>
                <w:rFonts w:hint="eastAsia"/>
                <w:b/>
                <w:bCs/>
                <w:u w:val="single"/>
              </w:rPr>
            </w:pPr>
          </w:p>
        </w:tc>
        <w:tc>
          <w:tcPr>
            <w:tcW w:w="525"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continue"/>
            <w:tcBorders>
              <w:tl2br w:val="nil"/>
              <w:tr2bl w:val="nil"/>
            </w:tcBorders>
            <w:shd w:val="clear" w:color="auto" w:fill="auto"/>
            <w:vAlign w:val="center"/>
          </w:tcPr>
          <w:p>
            <w:pPr>
              <w:pStyle w:val="182"/>
              <w:bidi w:val="0"/>
              <w:rPr>
                <w:rFonts w:hint="eastAsia"/>
                <w:b/>
                <w:bCs/>
                <w:u w:val="single"/>
              </w:rPr>
            </w:pPr>
          </w:p>
        </w:tc>
        <w:tc>
          <w:tcPr>
            <w:tcW w:w="7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401</w:t>
            </w:r>
          </w:p>
        </w:tc>
        <w:tc>
          <w:tcPr>
            <w:tcW w:w="4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夜</w:t>
            </w:r>
          </w:p>
        </w:tc>
        <w:tc>
          <w:tcPr>
            <w:tcW w:w="53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42</w:t>
            </w:r>
          </w:p>
        </w:tc>
        <w:tc>
          <w:tcPr>
            <w:tcW w:w="5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37.73</w:t>
            </w:r>
          </w:p>
        </w:tc>
        <w:tc>
          <w:tcPr>
            <w:tcW w:w="29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夜</w:t>
            </w:r>
          </w:p>
        </w:tc>
        <w:tc>
          <w:tcPr>
            <w:tcW w:w="342"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43.4</w:t>
            </w:r>
          </w:p>
        </w:tc>
        <w:tc>
          <w:tcPr>
            <w:tcW w:w="1148" w:type="pct"/>
            <w:vMerge w:val="continue"/>
            <w:tcBorders>
              <w:tl2br w:val="nil"/>
              <w:tr2bl w:val="nil"/>
            </w:tcBorders>
            <w:shd w:val="clear" w:color="auto" w:fill="auto"/>
            <w:vAlign w:val="center"/>
          </w:tcPr>
          <w:p>
            <w:pPr>
              <w:pStyle w:val="182"/>
              <w:bidi w:val="0"/>
              <w:rPr>
                <w:rFonts w:hint="eastAsia"/>
                <w:b/>
                <w:bCs/>
                <w:u w:val="single"/>
              </w:rPr>
            </w:pPr>
          </w:p>
        </w:tc>
        <w:tc>
          <w:tcPr>
            <w:tcW w:w="525" w:type="pct"/>
            <w:vMerge w:val="continue"/>
            <w:tcBorders>
              <w:tl2br w:val="nil"/>
              <w:tr2bl w:val="nil"/>
            </w:tcBorders>
            <w:shd w:val="clear" w:color="auto" w:fill="auto"/>
            <w:vAlign w:val="center"/>
          </w:tcPr>
          <w:p>
            <w:pPr>
              <w:pStyle w:val="182"/>
              <w:bidi w:val="0"/>
              <w:rPr>
                <w:rFonts w:hint="eastAsia"/>
                <w:b/>
                <w:bCs/>
                <w:u w:val="singl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3" w:hRule="atLeast"/>
          <w:jc w:val="center"/>
        </w:trPr>
        <w:tc>
          <w:tcPr>
            <w:tcW w:w="523"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南厂界</w:t>
            </w:r>
          </w:p>
        </w:tc>
        <w:tc>
          <w:tcPr>
            <w:tcW w:w="7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426</w:t>
            </w:r>
          </w:p>
        </w:tc>
        <w:tc>
          <w:tcPr>
            <w:tcW w:w="4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昼</w:t>
            </w:r>
          </w:p>
        </w:tc>
        <w:tc>
          <w:tcPr>
            <w:tcW w:w="53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55</w:t>
            </w:r>
          </w:p>
        </w:tc>
        <w:tc>
          <w:tcPr>
            <w:tcW w:w="5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37.21</w:t>
            </w:r>
          </w:p>
        </w:tc>
        <w:tc>
          <w:tcPr>
            <w:tcW w:w="29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昼</w:t>
            </w:r>
          </w:p>
        </w:tc>
        <w:tc>
          <w:tcPr>
            <w:tcW w:w="342"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55.1</w:t>
            </w:r>
          </w:p>
        </w:tc>
        <w:tc>
          <w:tcPr>
            <w:tcW w:w="1148" w:type="pct"/>
            <w:vMerge w:val="continue"/>
            <w:tcBorders>
              <w:tl2br w:val="nil"/>
              <w:tr2bl w:val="nil"/>
            </w:tcBorders>
            <w:shd w:val="clear" w:color="auto" w:fill="auto"/>
            <w:vAlign w:val="center"/>
          </w:tcPr>
          <w:p>
            <w:pPr>
              <w:pStyle w:val="182"/>
              <w:bidi w:val="0"/>
              <w:rPr>
                <w:rFonts w:hint="eastAsia"/>
                <w:b/>
                <w:bCs/>
                <w:u w:val="single"/>
              </w:rPr>
            </w:pPr>
          </w:p>
        </w:tc>
        <w:tc>
          <w:tcPr>
            <w:tcW w:w="525"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3" w:hRule="atLeast"/>
          <w:jc w:val="center"/>
        </w:trPr>
        <w:tc>
          <w:tcPr>
            <w:tcW w:w="523" w:type="pct"/>
            <w:vMerge w:val="continue"/>
            <w:tcBorders>
              <w:tl2br w:val="nil"/>
              <w:tr2bl w:val="nil"/>
            </w:tcBorders>
            <w:shd w:val="clear" w:color="auto" w:fill="auto"/>
            <w:vAlign w:val="center"/>
          </w:tcPr>
          <w:p>
            <w:pPr>
              <w:pStyle w:val="182"/>
              <w:bidi w:val="0"/>
              <w:rPr>
                <w:rFonts w:hint="eastAsia"/>
                <w:b/>
                <w:bCs/>
                <w:u w:val="single"/>
              </w:rPr>
            </w:pPr>
          </w:p>
        </w:tc>
        <w:tc>
          <w:tcPr>
            <w:tcW w:w="7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426</w:t>
            </w:r>
          </w:p>
        </w:tc>
        <w:tc>
          <w:tcPr>
            <w:tcW w:w="4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夜</w:t>
            </w:r>
          </w:p>
        </w:tc>
        <w:tc>
          <w:tcPr>
            <w:tcW w:w="53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43</w:t>
            </w:r>
          </w:p>
        </w:tc>
        <w:tc>
          <w:tcPr>
            <w:tcW w:w="5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37.21</w:t>
            </w:r>
          </w:p>
        </w:tc>
        <w:tc>
          <w:tcPr>
            <w:tcW w:w="29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夜</w:t>
            </w:r>
          </w:p>
        </w:tc>
        <w:tc>
          <w:tcPr>
            <w:tcW w:w="342"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44.0</w:t>
            </w:r>
          </w:p>
        </w:tc>
        <w:tc>
          <w:tcPr>
            <w:tcW w:w="1148" w:type="pct"/>
            <w:vMerge w:val="continue"/>
            <w:tcBorders>
              <w:tl2br w:val="nil"/>
              <w:tr2bl w:val="nil"/>
            </w:tcBorders>
            <w:shd w:val="clear" w:color="auto" w:fill="auto"/>
            <w:vAlign w:val="center"/>
          </w:tcPr>
          <w:p>
            <w:pPr>
              <w:pStyle w:val="182"/>
              <w:bidi w:val="0"/>
              <w:rPr>
                <w:rFonts w:hint="eastAsia"/>
                <w:b/>
                <w:bCs/>
                <w:u w:val="single"/>
              </w:rPr>
            </w:pPr>
          </w:p>
        </w:tc>
        <w:tc>
          <w:tcPr>
            <w:tcW w:w="525" w:type="pct"/>
            <w:vMerge w:val="continue"/>
            <w:tcBorders>
              <w:tl2br w:val="nil"/>
              <w:tr2bl w:val="nil"/>
            </w:tcBorders>
            <w:shd w:val="clear" w:color="auto" w:fill="auto"/>
            <w:vAlign w:val="center"/>
          </w:tcPr>
          <w:p>
            <w:pPr>
              <w:pStyle w:val="182"/>
              <w:bidi w:val="0"/>
              <w:rPr>
                <w:rFonts w:hint="eastAsia"/>
                <w:b/>
                <w:bCs/>
                <w:u w:val="singl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523"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北厂界</w:t>
            </w:r>
          </w:p>
        </w:tc>
        <w:tc>
          <w:tcPr>
            <w:tcW w:w="7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471</w:t>
            </w:r>
          </w:p>
        </w:tc>
        <w:tc>
          <w:tcPr>
            <w:tcW w:w="4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昼</w:t>
            </w:r>
          </w:p>
        </w:tc>
        <w:tc>
          <w:tcPr>
            <w:tcW w:w="53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54</w:t>
            </w:r>
          </w:p>
        </w:tc>
        <w:tc>
          <w:tcPr>
            <w:tcW w:w="5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36.33</w:t>
            </w:r>
          </w:p>
        </w:tc>
        <w:tc>
          <w:tcPr>
            <w:tcW w:w="29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昼</w:t>
            </w:r>
          </w:p>
        </w:tc>
        <w:tc>
          <w:tcPr>
            <w:tcW w:w="342"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54.1</w:t>
            </w:r>
          </w:p>
        </w:tc>
        <w:tc>
          <w:tcPr>
            <w:tcW w:w="1148" w:type="pct"/>
            <w:vMerge w:val="continue"/>
            <w:tcBorders>
              <w:tl2br w:val="nil"/>
              <w:tr2bl w:val="nil"/>
            </w:tcBorders>
            <w:shd w:val="clear" w:color="auto" w:fill="auto"/>
            <w:vAlign w:val="center"/>
          </w:tcPr>
          <w:p>
            <w:pPr>
              <w:pStyle w:val="182"/>
              <w:bidi w:val="0"/>
              <w:rPr>
                <w:rFonts w:hint="eastAsia"/>
                <w:b/>
                <w:bCs/>
                <w:u w:val="single"/>
              </w:rPr>
            </w:pPr>
          </w:p>
        </w:tc>
        <w:tc>
          <w:tcPr>
            <w:tcW w:w="525" w:type="pct"/>
            <w:vMerge w:val="restar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jc w:val="center"/>
        </w:trPr>
        <w:tc>
          <w:tcPr>
            <w:tcW w:w="523" w:type="pct"/>
            <w:vMerge w:val="continue"/>
            <w:tcBorders>
              <w:tl2br w:val="nil"/>
              <w:tr2bl w:val="nil"/>
            </w:tcBorders>
            <w:shd w:val="clear" w:color="auto" w:fill="auto"/>
            <w:vAlign w:val="center"/>
          </w:tcPr>
          <w:p>
            <w:pPr>
              <w:pStyle w:val="182"/>
              <w:bidi w:val="0"/>
              <w:rPr>
                <w:rFonts w:hint="eastAsia"/>
                <w:b/>
                <w:bCs/>
                <w:u w:val="single"/>
              </w:rPr>
            </w:pPr>
          </w:p>
        </w:tc>
        <w:tc>
          <w:tcPr>
            <w:tcW w:w="7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471</w:t>
            </w:r>
          </w:p>
        </w:tc>
        <w:tc>
          <w:tcPr>
            <w:tcW w:w="40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夜</w:t>
            </w:r>
          </w:p>
        </w:tc>
        <w:tc>
          <w:tcPr>
            <w:tcW w:w="531"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43</w:t>
            </w:r>
          </w:p>
        </w:tc>
        <w:tc>
          <w:tcPr>
            <w:tcW w:w="510"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36.33</w:t>
            </w:r>
          </w:p>
        </w:tc>
        <w:tc>
          <w:tcPr>
            <w:tcW w:w="298" w:type="pct"/>
            <w:tcBorders>
              <w:tl2br w:val="nil"/>
              <w:tr2bl w:val="nil"/>
            </w:tcBorders>
            <w:shd w:val="clear" w:color="auto" w:fill="auto"/>
            <w:vAlign w:val="center"/>
          </w:tcPr>
          <w:p>
            <w:pPr>
              <w:pStyle w:val="182"/>
              <w:bidi w:val="0"/>
              <w:rPr>
                <w:rFonts w:hint="eastAsia"/>
                <w:b/>
                <w:bCs/>
                <w:u w:val="single"/>
              </w:rPr>
            </w:pPr>
            <w:r>
              <w:rPr>
                <w:rFonts w:hint="eastAsia"/>
                <w:b/>
                <w:bCs/>
                <w:u w:val="single"/>
                <w:lang w:val="en-US" w:eastAsia="zh-CN"/>
              </w:rPr>
              <w:t>夜</w:t>
            </w:r>
          </w:p>
        </w:tc>
        <w:tc>
          <w:tcPr>
            <w:tcW w:w="342" w:type="pct"/>
            <w:tcBorders>
              <w:tl2br w:val="nil"/>
              <w:tr2bl w:val="nil"/>
            </w:tcBorders>
            <w:shd w:val="clear" w:color="auto" w:fill="auto"/>
            <w:vAlign w:val="center"/>
          </w:tcPr>
          <w:p>
            <w:pPr>
              <w:pStyle w:val="182"/>
              <w:bidi w:val="0"/>
              <w:rPr>
                <w:rFonts w:hint="default"/>
                <w:b/>
                <w:bCs/>
                <w:u w:val="single"/>
              </w:rPr>
            </w:pPr>
            <w:r>
              <w:rPr>
                <w:rFonts w:hint="default"/>
                <w:b/>
                <w:bCs/>
                <w:u w:val="single"/>
                <w:lang w:val="en-US" w:eastAsia="zh-CN"/>
              </w:rPr>
              <w:t>43.8</w:t>
            </w:r>
          </w:p>
        </w:tc>
        <w:tc>
          <w:tcPr>
            <w:tcW w:w="1148" w:type="pct"/>
            <w:vMerge w:val="continue"/>
            <w:tcBorders>
              <w:tl2br w:val="nil"/>
              <w:tr2bl w:val="nil"/>
            </w:tcBorders>
            <w:shd w:val="clear" w:color="auto" w:fill="auto"/>
            <w:vAlign w:val="center"/>
          </w:tcPr>
          <w:p>
            <w:pPr>
              <w:pStyle w:val="182"/>
              <w:bidi w:val="0"/>
              <w:rPr>
                <w:rFonts w:hint="eastAsia"/>
                <w:b/>
                <w:bCs/>
                <w:u w:val="single"/>
              </w:rPr>
            </w:pPr>
          </w:p>
        </w:tc>
        <w:tc>
          <w:tcPr>
            <w:tcW w:w="525" w:type="pct"/>
            <w:vMerge w:val="continue"/>
            <w:tcBorders>
              <w:tl2br w:val="nil"/>
              <w:tr2bl w:val="nil"/>
            </w:tcBorders>
            <w:shd w:val="clear" w:color="auto" w:fill="auto"/>
            <w:vAlign w:val="center"/>
          </w:tcPr>
          <w:p>
            <w:pPr>
              <w:pStyle w:val="182"/>
              <w:bidi w:val="0"/>
              <w:rPr>
                <w:rFonts w:hint="eastAsia"/>
                <w:b/>
                <w:bCs/>
                <w:u w:val="single"/>
              </w:rPr>
            </w:pPr>
          </w:p>
        </w:tc>
      </w:tr>
    </w:tbl>
    <w:p>
      <w:pPr>
        <w:bidi w:val="0"/>
        <w:rPr>
          <w:rFonts w:hint="eastAsia"/>
          <w:b/>
          <w:bCs/>
          <w:color w:val="auto"/>
          <w:u w:val="single"/>
        </w:rPr>
      </w:pPr>
      <w:r>
        <w:rPr>
          <w:b/>
          <w:bCs/>
          <w:color w:val="auto"/>
          <w:u w:val="single"/>
        </w:rPr>
        <w:t>由</w:t>
      </w:r>
      <w:r>
        <w:rPr>
          <w:rFonts w:hint="eastAsia"/>
          <w:b/>
          <w:bCs/>
          <w:color w:val="auto"/>
          <w:u w:val="single"/>
        </w:rPr>
        <w:t>上</w:t>
      </w:r>
      <w:r>
        <w:rPr>
          <w:b/>
          <w:bCs/>
          <w:color w:val="auto"/>
          <w:u w:val="single"/>
        </w:rPr>
        <w:t>表可以看出：</w:t>
      </w:r>
      <w:r>
        <w:rPr>
          <w:rFonts w:hint="eastAsia"/>
          <w:b/>
          <w:bCs/>
          <w:color w:val="auto"/>
          <w:u w:val="single"/>
        </w:rPr>
        <w:t>项目</w:t>
      </w:r>
      <w:r>
        <w:rPr>
          <w:rFonts w:hint="eastAsia"/>
          <w:b/>
          <w:bCs/>
          <w:color w:val="auto"/>
          <w:u w:val="single"/>
          <w:lang w:val="en-US" w:eastAsia="zh-CN"/>
        </w:rPr>
        <w:t>建设</w:t>
      </w:r>
      <w:r>
        <w:rPr>
          <w:b/>
          <w:bCs/>
          <w:color w:val="auto"/>
          <w:u w:val="single"/>
        </w:rPr>
        <w:t>完成后，本项目东、西、南、北厂界昼间、夜间噪声预测值均能满足《工业企业厂界环境噪声排放标准》（GB12348-2008）3类昼间65dB(A)、夜间55dB(A</w:t>
      </w:r>
      <w:r>
        <w:rPr>
          <w:rFonts w:hint="eastAsia"/>
          <w:b/>
          <w:bCs/>
          <w:color w:val="auto"/>
          <w:u w:val="single"/>
          <w:lang w:eastAsia="zh-CN"/>
        </w:rPr>
        <w:t>)</w:t>
      </w:r>
      <w:r>
        <w:rPr>
          <w:b/>
          <w:bCs/>
          <w:color w:val="auto"/>
          <w:u w:val="single"/>
        </w:rPr>
        <w:t>标准的要求，项目周边200m范围内无敏感点，不会出现噪声扰民现象，该项目建设对区域声环境影响较小，可接受。</w:t>
      </w:r>
    </w:p>
    <w:p>
      <w:pPr>
        <w:pStyle w:val="7"/>
        <w:bidi w:val="0"/>
        <w:rPr>
          <w:color w:val="auto"/>
        </w:rPr>
      </w:pPr>
      <w:bookmarkStart w:id="316" w:name="_Toc25817"/>
      <w:bookmarkStart w:id="317" w:name="_Toc67041060"/>
      <w:bookmarkStart w:id="318" w:name="_Toc16621"/>
      <w:bookmarkStart w:id="319" w:name="_Toc20822"/>
      <w:r>
        <w:rPr>
          <w:rFonts w:hint="eastAsia"/>
          <w:color w:val="auto"/>
        </w:rPr>
        <w:t>5.</w:t>
      </w:r>
      <w:r>
        <w:rPr>
          <w:rFonts w:hint="eastAsia"/>
          <w:color w:val="auto"/>
          <w:lang w:val="en-US" w:eastAsia="zh-CN"/>
        </w:rPr>
        <w:t>6</w:t>
      </w:r>
      <w:r>
        <w:rPr>
          <w:color w:val="auto"/>
        </w:rPr>
        <w:t>固体废物环境影响分析</w:t>
      </w:r>
      <w:bookmarkEnd w:id="316"/>
      <w:bookmarkEnd w:id="317"/>
      <w:bookmarkEnd w:id="318"/>
      <w:bookmarkEnd w:id="319"/>
    </w:p>
    <w:p>
      <w:pPr>
        <w:bidi w:val="0"/>
        <w:rPr>
          <w:b/>
          <w:bCs/>
          <w:color w:val="auto"/>
          <w:u w:val="single"/>
        </w:rPr>
      </w:pPr>
      <w:r>
        <w:rPr>
          <w:rFonts w:hint="eastAsia"/>
          <w:b/>
          <w:bCs/>
          <w:color w:val="auto"/>
          <w:u w:val="single"/>
        </w:rPr>
        <w:t>本项目固体废物主要有水力除杂沉淀池污泥、</w:t>
      </w:r>
      <w:r>
        <w:rPr>
          <w:rFonts w:hint="eastAsia"/>
          <w:b/>
          <w:bCs/>
          <w:color w:val="auto"/>
          <w:u w:val="single"/>
          <w:lang w:val="en-US" w:eastAsia="zh-CN"/>
        </w:rPr>
        <w:t>袋式除尘器收集的颗粒物、</w:t>
      </w:r>
      <w:r>
        <w:rPr>
          <w:rFonts w:hint="eastAsia"/>
          <w:b/>
          <w:bCs/>
          <w:color w:val="auto"/>
          <w:u w:val="single"/>
        </w:rPr>
        <w:t>废</w:t>
      </w:r>
      <w:r>
        <w:rPr>
          <w:rFonts w:hint="eastAsia"/>
          <w:b/>
          <w:bCs/>
          <w:color w:val="auto"/>
          <w:u w:val="single"/>
          <w:lang w:val="en-US" w:eastAsia="zh-CN"/>
        </w:rPr>
        <w:t>布袋、废</w:t>
      </w:r>
      <w:r>
        <w:rPr>
          <w:rFonts w:hint="eastAsia"/>
          <w:b/>
          <w:bCs/>
          <w:color w:val="auto"/>
          <w:u w:val="single"/>
        </w:rPr>
        <w:t>包装袋以及生活垃圾等。</w:t>
      </w:r>
    </w:p>
    <w:p>
      <w:pPr>
        <w:bidi w:val="0"/>
        <w:rPr>
          <w:b/>
          <w:bCs/>
          <w:color w:val="auto"/>
          <w:u w:val="single"/>
        </w:rPr>
      </w:pPr>
      <w:r>
        <w:rPr>
          <w:rFonts w:hint="eastAsia"/>
          <w:b/>
          <w:bCs/>
          <w:color w:val="auto"/>
          <w:u w:val="single"/>
        </w:rPr>
        <w:t>1）水力除杂沉淀池污泥</w:t>
      </w:r>
    </w:p>
    <w:p>
      <w:pPr>
        <w:bidi w:val="0"/>
        <w:rPr>
          <w:rFonts w:hint="eastAsia"/>
          <w:b/>
          <w:bCs/>
          <w:color w:val="auto"/>
          <w:u w:val="single"/>
        </w:rPr>
      </w:pPr>
      <w:r>
        <w:rPr>
          <w:rFonts w:hint="eastAsia"/>
          <w:b/>
          <w:bCs/>
          <w:color w:val="auto"/>
          <w:u w:val="single"/>
        </w:rPr>
        <w:t>主要来源于水力除杂沉淀水池</w:t>
      </w:r>
      <w:r>
        <w:rPr>
          <w:rFonts w:hint="eastAsia"/>
          <w:b/>
          <w:bCs/>
          <w:color w:val="auto"/>
          <w:u w:val="single"/>
          <w:lang w:val="en-US" w:eastAsia="zh-CN"/>
        </w:rPr>
        <w:t>及后续工序未煮解滤渣</w:t>
      </w:r>
      <w:r>
        <w:rPr>
          <w:rFonts w:hint="eastAsia"/>
          <w:b/>
          <w:bCs/>
          <w:color w:val="auto"/>
          <w:u w:val="single"/>
        </w:rPr>
        <w:t>，根据</w:t>
      </w:r>
      <w:r>
        <w:rPr>
          <w:rFonts w:hint="eastAsia"/>
          <w:b/>
          <w:bCs/>
          <w:color w:val="auto"/>
          <w:u w:val="single"/>
          <w:lang w:val="en-US" w:eastAsia="zh-CN"/>
        </w:rPr>
        <w:t>物料平衡</w:t>
      </w:r>
      <w:r>
        <w:rPr>
          <w:rFonts w:hint="eastAsia"/>
          <w:b/>
          <w:bCs/>
          <w:color w:val="auto"/>
          <w:u w:val="single"/>
        </w:rPr>
        <w:t>，</w:t>
      </w:r>
      <w:r>
        <w:rPr>
          <w:rFonts w:hint="eastAsia"/>
          <w:b/>
          <w:bCs/>
          <w:color w:val="auto"/>
          <w:u w:val="single"/>
          <w:lang w:val="en-US" w:eastAsia="zh-CN"/>
        </w:rPr>
        <w:t>水力除杂杂质及后续工序收集的滤渣</w:t>
      </w:r>
      <w:r>
        <w:rPr>
          <w:rFonts w:hint="eastAsia"/>
          <w:b/>
          <w:bCs/>
          <w:color w:val="auto"/>
          <w:u w:val="single"/>
        </w:rPr>
        <w:t>产生量为</w:t>
      </w:r>
      <w:r>
        <w:rPr>
          <w:rFonts w:hint="eastAsia"/>
          <w:b/>
          <w:bCs/>
          <w:color w:val="auto"/>
          <w:u w:val="single"/>
          <w:lang w:val="en-US" w:eastAsia="zh-CN"/>
        </w:rPr>
        <w:t>700</w:t>
      </w:r>
      <w:r>
        <w:rPr>
          <w:rFonts w:hint="eastAsia"/>
          <w:b/>
          <w:bCs/>
          <w:color w:val="auto"/>
          <w:u w:val="single"/>
        </w:rPr>
        <w:t>t/a，清理出来的</w:t>
      </w:r>
      <w:r>
        <w:rPr>
          <w:rFonts w:hint="eastAsia"/>
          <w:b/>
          <w:bCs/>
          <w:color w:val="auto"/>
          <w:u w:val="single"/>
          <w:lang w:val="en-US" w:eastAsia="zh-CN"/>
        </w:rPr>
        <w:t>杂质</w:t>
      </w:r>
      <w:r>
        <w:rPr>
          <w:rFonts w:hint="eastAsia"/>
          <w:b/>
          <w:bCs/>
          <w:color w:val="auto"/>
          <w:u w:val="single"/>
        </w:rPr>
        <w:t>依托现有一般固废暂存间</w:t>
      </w:r>
      <w:r>
        <w:rPr>
          <w:rFonts w:hint="default"/>
          <w:b/>
          <w:bCs/>
          <w:color w:val="auto"/>
          <w:u w:val="single"/>
          <w:lang w:val="en-US" w:eastAsia="zh-CN"/>
        </w:rPr>
        <w:t>（36m</w:t>
      </w:r>
      <w:r>
        <w:rPr>
          <w:rFonts w:hint="default"/>
          <w:b/>
          <w:bCs/>
          <w:color w:val="auto"/>
          <w:u w:val="single"/>
          <w:vertAlign w:val="superscript"/>
          <w:lang w:val="en-US" w:eastAsia="zh-CN"/>
        </w:rPr>
        <w:t>2</w:t>
      </w:r>
      <w:r>
        <w:rPr>
          <w:rFonts w:hint="default"/>
          <w:b/>
          <w:bCs/>
          <w:color w:val="auto"/>
          <w:u w:val="single"/>
          <w:lang w:val="en-US" w:eastAsia="zh-CN"/>
        </w:rPr>
        <w:t>）</w:t>
      </w:r>
      <w:r>
        <w:rPr>
          <w:rFonts w:hint="eastAsia"/>
          <w:b/>
          <w:bCs/>
          <w:color w:val="auto"/>
          <w:u w:val="single"/>
        </w:rPr>
        <w:t>暂存后，</w:t>
      </w:r>
      <w:r>
        <w:rPr>
          <w:rFonts w:hint="eastAsia"/>
          <w:b/>
          <w:bCs/>
          <w:color w:val="auto"/>
          <w:u w:val="single"/>
          <w:lang w:val="en-US" w:eastAsia="zh-CN"/>
        </w:rPr>
        <w:t>及时</w:t>
      </w:r>
      <w:r>
        <w:rPr>
          <w:rFonts w:hint="eastAsia"/>
          <w:b/>
          <w:bCs/>
          <w:color w:val="auto"/>
          <w:u w:val="single"/>
        </w:rPr>
        <w:t>送</w:t>
      </w:r>
      <w:r>
        <w:rPr>
          <w:rFonts w:hint="eastAsia"/>
          <w:b/>
          <w:bCs/>
          <w:color w:val="auto"/>
          <w:u w:val="single"/>
          <w:lang w:val="en-US" w:eastAsia="zh-CN"/>
        </w:rPr>
        <w:t>往</w:t>
      </w:r>
      <w:r>
        <w:rPr>
          <w:rFonts w:hint="eastAsia"/>
          <w:b/>
          <w:bCs/>
          <w:color w:val="auto"/>
          <w:u w:val="single"/>
        </w:rPr>
        <w:t>厂区锅炉燃烧。</w:t>
      </w:r>
    </w:p>
    <w:p>
      <w:pPr>
        <w:bidi w:val="0"/>
        <w:rPr>
          <w:rFonts w:hint="eastAsia"/>
          <w:b/>
          <w:bCs/>
          <w:color w:val="auto"/>
          <w:u w:val="single"/>
        </w:rPr>
      </w:pPr>
      <w:r>
        <w:rPr>
          <w:rFonts w:hint="eastAsia"/>
          <w:b/>
          <w:bCs/>
          <w:color w:val="auto"/>
          <w:u w:val="single"/>
          <w:lang w:val="en-US" w:eastAsia="zh-CN"/>
        </w:rPr>
        <w:t>2）</w:t>
      </w:r>
      <w:r>
        <w:rPr>
          <w:rFonts w:hint="eastAsia"/>
          <w:b/>
          <w:bCs/>
          <w:color w:val="auto"/>
          <w:u w:val="single"/>
        </w:rPr>
        <w:t>除尘器收集的粉尘</w:t>
      </w:r>
    </w:p>
    <w:p>
      <w:pPr>
        <w:bidi w:val="0"/>
        <w:rPr>
          <w:b/>
          <w:bCs/>
          <w:color w:val="auto"/>
          <w:u w:val="single"/>
        </w:rPr>
      </w:pPr>
      <w:r>
        <w:rPr>
          <w:rFonts w:hint="eastAsia"/>
          <w:b/>
          <w:bCs/>
          <w:color w:val="auto"/>
          <w:u w:val="single"/>
        </w:rPr>
        <w:t>本工程</w:t>
      </w:r>
      <w:r>
        <w:rPr>
          <w:rFonts w:hint="eastAsia"/>
          <w:b/>
          <w:bCs/>
          <w:color w:val="auto"/>
          <w:u w:val="single"/>
          <w:lang w:val="en-US" w:eastAsia="zh-CN"/>
        </w:rPr>
        <w:t>木质素混合物在</w:t>
      </w:r>
      <w:r>
        <w:rPr>
          <w:rFonts w:hint="eastAsia"/>
          <w:b/>
          <w:bCs/>
          <w:color w:val="auto"/>
          <w:u w:val="single"/>
        </w:rPr>
        <w:t>干燥工序将采用</w:t>
      </w:r>
      <w:r>
        <w:rPr>
          <w:rFonts w:hint="eastAsia"/>
          <w:b/>
          <w:bCs/>
          <w:color w:val="auto"/>
          <w:u w:val="single"/>
          <w:lang w:val="en-US" w:eastAsia="zh-CN"/>
        </w:rPr>
        <w:t>袋式</w:t>
      </w:r>
      <w:r>
        <w:rPr>
          <w:rFonts w:hint="eastAsia"/>
          <w:b/>
          <w:bCs/>
          <w:color w:val="auto"/>
          <w:u w:val="single"/>
        </w:rPr>
        <w:t>除尘设施处理含尘废气，其除尘器收集的粉尘约</w:t>
      </w:r>
      <w:r>
        <w:rPr>
          <w:rFonts w:hint="eastAsia"/>
          <w:b/>
          <w:bCs/>
          <w:color w:val="auto"/>
          <w:u w:val="single"/>
          <w:lang w:val="en-US" w:eastAsia="zh-CN"/>
        </w:rPr>
        <w:t xml:space="preserve">0.706 </w:t>
      </w:r>
      <w:r>
        <w:rPr>
          <w:rFonts w:hint="eastAsia"/>
          <w:b/>
          <w:bCs/>
          <w:color w:val="auto"/>
          <w:u w:val="single"/>
        </w:rPr>
        <w:t>t/a，</w:t>
      </w:r>
      <w:r>
        <w:rPr>
          <w:rFonts w:hint="eastAsia"/>
          <w:b/>
          <w:bCs/>
          <w:color w:val="auto"/>
          <w:u w:val="single"/>
          <w:lang w:val="en-US" w:eastAsia="zh-CN"/>
        </w:rPr>
        <w:t>收集后作为木质素混合物试验的原料</w:t>
      </w:r>
      <w:r>
        <w:rPr>
          <w:rFonts w:hint="eastAsia"/>
          <w:b/>
          <w:bCs/>
          <w:color w:val="auto"/>
          <w:u w:val="single"/>
        </w:rPr>
        <w:t>，</w:t>
      </w:r>
      <w:r>
        <w:rPr>
          <w:rFonts w:hint="eastAsia"/>
          <w:b/>
          <w:bCs/>
          <w:color w:val="auto"/>
          <w:u w:val="single"/>
          <w:lang w:val="en-US" w:eastAsia="zh-CN"/>
        </w:rPr>
        <w:t>暂</w:t>
      </w:r>
      <w:r>
        <w:rPr>
          <w:rFonts w:hint="eastAsia"/>
          <w:b/>
          <w:bCs/>
          <w:color w:val="auto"/>
          <w:u w:val="single"/>
        </w:rPr>
        <w:t>不纳入固废管理</w:t>
      </w:r>
      <w:r>
        <w:rPr>
          <w:rFonts w:hint="eastAsia"/>
          <w:b/>
          <w:bCs/>
          <w:color w:val="auto"/>
          <w:u w:val="single"/>
          <w:lang w:eastAsia="zh-CN"/>
        </w:rPr>
        <w:t>，</w:t>
      </w:r>
      <w:r>
        <w:rPr>
          <w:rFonts w:hint="eastAsia"/>
          <w:b/>
          <w:bCs/>
          <w:color w:val="auto"/>
          <w:u w:val="single"/>
          <w:lang w:val="en-US" w:eastAsia="zh-CN"/>
        </w:rPr>
        <w:t>后期如确定木质素混合物不适合回收利用则作为一般固废妥善处理，锅炉焚烧作为应急处理的备用方案</w:t>
      </w:r>
      <w:r>
        <w:rPr>
          <w:rFonts w:hint="eastAsia"/>
          <w:b/>
          <w:bCs/>
          <w:color w:val="auto"/>
          <w:u w:val="single"/>
        </w:rPr>
        <w:t>。</w:t>
      </w:r>
    </w:p>
    <w:p>
      <w:pPr>
        <w:bidi w:val="0"/>
        <w:rPr>
          <w:color w:val="auto"/>
        </w:rPr>
      </w:pPr>
      <w:r>
        <w:rPr>
          <w:rFonts w:hint="eastAsia"/>
          <w:color w:val="auto"/>
          <w:lang w:val="en-US" w:eastAsia="zh-CN"/>
        </w:rPr>
        <w:t>3</w:t>
      </w:r>
      <w:r>
        <w:rPr>
          <w:color w:val="auto"/>
        </w:rPr>
        <w:t>）</w:t>
      </w:r>
      <w:r>
        <w:rPr>
          <w:rFonts w:hint="eastAsia"/>
          <w:color w:val="auto"/>
        </w:rPr>
        <w:t>废</w:t>
      </w:r>
      <w:r>
        <w:rPr>
          <w:color w:val="auto"/>
        </w:rPr>
        <w:t>包装袋</w:t>
      </w:r>
    </w:p>
    <w:p>
      <w:pPr>
        <w:bidi w:val="0"/>
        <w:rPr>
          <w:rFonts w:hint="eastAsia"/>
          <w:b/>
          <w:bCs/>
          <w:color w:val="auto"/>
          <w:u w:val="single"/>
        </w:rPr>
      </w:pPr>
      <w:r>
        <w:rPr>
          <w:rFonts w:hint="eastAsia"/>
          <w:b/>
          <w:bCs/>
          <w:color w:val="auto"/>
          <w:u w:val="single"/>
        </w:rPr>
        <w:t>本项目使用固体二氧化氯释放剂12吨，采用袋装方式，每袋25kg，则产生废弃固体二氧化氯释放剂包装袋480个（约0.048t/a），固体二氧化氯释放剂包装袋内部装有少量固体二氧化氯释放剂，二氧化氯为危险废物，废物类别为HW49其他废物，废物代码为900-041-49，因此固体二氧化氯释放剂包装袋作为危废交由有资质的单位进行处置。</w:t>
      </w:r>
    </w:p>
    <w:p>
      <w:pPr>
        <w:bidi w:val="0"/>
        <w:rPr>
          <w:color w:val="auto"/>
        </w:rPr>
      </w:pPr>
      <w:r>
        <w:rPr>
          <w:rFonts w:hint="eastAsia"/>
          <w:color w:val="auto"/>
          <w:lang w:val="en-US" w:eastAsia="zh-CN"/>
        </w:rPr>
        <w:t>4</w:t>
      </w:r>
      <w:r>
        <w:rPr>
          <w:rFonts w:hint="eastAsia"/>
          <w:color w:val="auto"/>
        </w:rPr>
        <w:t>）</w:t>
      </w:r>
      <w:r>
        <w:rPr>
          <w:color w:val="auto"/>
        </w:rPr>
        <w:t>生活垃圾</w:t>
      </w:r>
    </w:p>
    <w:p>
      <w:pPr>
        <w:bidi w:val="0"/>
        <w:rPr>
          <w:color w:val="auto"/>
        </w:rPr>
      </w:pPr>
      <w:r>
        <w:rPr>
          <w:rFonts w:hint="eastAsia"/>
          <w:color w:val="auto"/>
        </w:rPr>
        <w:t>本项目</w:t>
      </w:r>
      <w:r>
        <w:rPr>
          <w:color w:val="auto"/>
        </w:rPr>
        <w:t>新增劳动定员100人，生活垃圾产生量按0.5kg/d·人计，则</w:t>
      </w:r>
      <w:r>
        <w:rPr>
          <w:rFonts w:hint="eastAsia"/>
          <w:color w:val="auto"/>
        </w:rPr>
        <w:t>本项目</w:t>
      </w:r>
      <w:r>
        <w:rPr>
          <w:color w:val="auto"/>
        </w:rPr>
        <w:t>产生的生活垃圾量为16.5t/a，</w:t>
      </w:r>
      <w:r>
        <w:rPr>
          <w:rFonts w:hint="eastAsia"/>
          <w:color w:val="auto"/>
        </w:rPr>
        <w:t>厂区设置垃圾桶，生活垃圾集中收集后送环卫部门指定地点处理。</w:t>
      </w:r>
    </w:p>
    <w:p>
      <w:pPr>
        <w:bidi w:val="0"/>
        <w:rPr>
          <w:rFonts w:ascii="Times New Roman" w:hAnsi="Times New Roman" w:eastAsia="宋体"/>
          <w:color w:val="auto"/>
        </w:rPr>
      </w:pPr>
      <w:r>
        <w:rPr>
          <w:color w:val="auto"/>
        </w:rPr>
        <w:t>综上所述，</w:t>
      </w:r>
      <w:r>
        <w:rPr>
          <w:rFonts w:hint="eastAsia"/>
          <w:color w:val="auto"/>
        </w:rPr>
        <w:t>本项目</w:t>
      </w:r>
      <w:r>
        <w:rPr>
          <w:color w:val="auto"/>
        </w:rPr>
        <w:t>营运期</w:t>
      </w:r>
      <w:r>
        <w:rPr>
          <w:rFonts w:hint="eastAsia"/>
          <w:color w:val="auto"/>
        </w:rPr>
        <w:t>固体废物产</w:t>
      </w:r>
      <w:r>
        <w:rPr>
          <w:rFonts w:hint="eastAsia"/>
          <w:color w:val="auto"/>
          <w:lang w:eastAsia="zh-CN"/>
        </w:rPr>
        <w:t>排放</w:t>
      </w:r>
      <w:r>
        <w:rPr>
          <w:rFonts w:hint="eastAsia"/>
          <w:color w:val="auto"/>
        </w:rPr>
        <w:t>情况和处理措施见表</w:t>
      </w:r>
      <w:r>
        <w:rPr>
          <w:color w:val="auto"/>
        </w:rPr>
        <w:t>5.</w:t>
      </w:r>
      <w:r>
        <w:rPr>
          <w:rFonts w:hint="eastAsia"/>
          <w:color w:val="auto"/>
          <w:lang w:val="en-US" w:eastAsia="zh-CN"/>
        </w:rPr>
        <w:t>6</w:t>
      </w:r>
      <w:r>
        <w:rPr>
          <w:rFonts w:hint="eastAsia"/>
          <w:color w:val="auto"/>
        </w:rPr>
        <w:t>-</w:t>
      </w:r>
      <w:r>
        <w:rPr>
          <w:rFonts w:hint="eastAsia"/>
          <w:color w:val="auto"/>
          <w:lang w:val="en-US" w:eastAsia="zh-CN"/>
        </w:rPr>
        <w:t>1</w:t>
      </w:r>
      <w:r>
        <w:rPr>
          <w:rFonts w:hint="eastAsia"/>
          <w:color w:val="auto"/>
        </w:rPr>
        <w:t>。</w:t>
      </w:r>
    </w:p>
    <w:p>
      <w:pPr>
        <w:pStyle w:val="181"/>
        <w:bidi w:val="0"/>
        <w:rPr>
          <w:color w:val="auto"/>
        </w:rPr>
      </w:pPr>
      <w:r>
        <w:rPr>
          <w:color w:val="auto"/>
        </w:rPr>
        <w:t>表5</w:t>
      </w:r>
      <w:r>
        <w:rPr>
          <w:rFonts w:hint="eastAsia"/>
          <w:color w:val="auto"/>
        </w:rPr>
        <w:t>.</w:t>
      </w:r>
      <w:r>
        <w:rPr>
          <w:rFonts w:hint="eastAsia"/>
          <w:color w:val="auto"/>
          <w:lang w:val="en-US" w:eastAsia="zh-CN"/>
        </w:rPr>
        <w:t>6</w:t>
      </w:r>
      <w:r>
        <w:rPr>
          <w:color w:val="auto"/>
        </w:rPr>
        <w:t>-</w:t>
      </w:r>
      <w:r>
        <w:rPr>
          <w:rFonts w:hint="eastAsia"/>
          <w:color w:val="auto"/>
          <w:lang w:val="en-US" w:eastAsia="zh-CN"/>
        </w:rPr>
        <w:t>1</w:t>
      </w:r>
      <w:r>
        <w:rPr>
          <w:color w:val="auto"/>
        </w:rPr>
        <w:t xml:space="preserve">  </w:t>
      </w:r>
      <w:r>
        <w:rPr>
          <w:rFonts w:hint="eastAsia"/>
          <w:color w:val="auto"/>
          <w:lang w:val="en-US" w:eastAsia="zh-CN"/>
        </w:rPr>
        <w:t xml:space="preserve">          </w:t>
      </w:r>
      <w:r>
        <w:rPr>
          <w:color w:val="auto"/>
        </w:rPr>
        <w:t>固体废弃物产生及处置情况</w:t>
      </w:r>
    </w:p>
    <w:tbl>
      <w:tblPr>
        <w:tblStyle w:val="32"/>
        <w:tblW w:w="88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276"/>
        <w:gridCol w:w="1559"/>
        <w:gridCol w:w="1276"/>
        <w:gridCol w:w="1275"/>
        <w:gridCol w:w="2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b/>
                <w:bCs/>
                <w:color w:val="auto"/>
                <w:u w:val="single"/>
              </w:rPr>
            </w:pPr>
            <w:r>
              <w:rPr>
                <w:rFonts w:hint="eastAsia"/>
                <w:b/>
                <w:bCs/>
                <w:color w:val="auto"/>
                <w:u w:val="single"/>
              </w:rPr>
              <w:t>序号</w:t>
            </w:r>
          </w:p>
        </w:tc>
        <w:tc>
          <w:tcPr>
            <w:tcW w:w="1276" w:type="dxa"/>
            <w:vAlign w:val="center"/>
          </w:tcPr>
          <w:p>
            <w:pPr>
              <w:pStyle w:val="182"/>
              <w:bidi w:val="0"/>
              <w:rPr>
                <w:b/>
                <w:bCs/>
                <w:color w:val="auto"/>
                <w:u w:val="single"/>
              </w:rPr>
            </w:pPr>
            <w:r>
              <w:rPr>
                <w:rFonts w:hint="eastAsia"/>
                <w:b/>
                <w:bCs/>
                <w:color w:val="auto"/>
                <w:u w:val="single"/>
              </w:rPr>
              <w:t>污染物</w:t>
            </w:r>
          </w:p>
        </w:tc>
        <w:tc>
          <w:tcPr>
            <w:tcW w:w="1559" w:type="dxa"/>
            <w:vAlign w:val="center"/>
          </w:tcPr>
          <w:p>
            <w:pPr>
              <w:pStyle w:val="182"/>
              <w:bidi w:val="0"/>
              <w:rPr>
                <w:b/>
                <w:bCs/>
                <w:color w:val="auto"/>
                <w:u w:val="single"/>
              </w:rPr>
            </w:pPr>
            <w:r>
              <w:rPr>
                <w:rFonts w:hint="eastAsia"/>
                <w:b/>
                <w:bCs/>
                <w:color w:val="auto"/>
                <w:u w:val="single"/>
              </w:rPr>
              <w:t>产生量（</w:t>
            </w:r>
            <w:r>
              <w:rPr>
                <w:b/>
                <w:bCs/>
                <w:color w:val="auto"/>
                <w:u w:val="single"/>
              </w:rPr>
              <w:t>t/a</w:t>
            </w:r>
            <w:r>
              <w:rPr>
                <w:rFonts w:hint="eastAsia"/>
                <w:b/>
                <w:bCs/>
                <w:color w:val="auto"/>
                <w:u w:val="single"/>
              </w:rPr>
              <w:t>）</w:t>
            </w:r>
          </w:p>
        </w:tc>
        <w:tc>
          <w:tcPr>
            <w:tcW w:w="1276" w:type="dxa"/>
            <w:vAlign w:val="center"/>
          </w:tcPr>
          <w:p>
            <w:pPr>
              <w:pStyle w:val="182"/>
              <w:bidi w:val="0"/>
              <w:rPr>
                <w:b/>
                <w:bCs/>
                <w:color w:val="auto"/>
                <w:u w:val="single"/>
              </w:rPr>
            </w:pPr>
            <w:r>
              <w:rPr>
                <w:rFonts w:hint="eastAsia"/>
                <w:b/>
                <w:bCs/>
                <w:color w:val="auto"/>
                <w:u w:val="single"/>
              </w:rPr>
              <w:t>固废性质</w:t>
            </w:r>
          </w:p>
        </w:tc>
        <w:tc>
          <w:tcPr>
            <w:tcW w:w="1275" w:type="dxa"/>
            <w:vAlign w:val="center"/>
          </w:tcPr>
          <w:p>
            <w:pPr>
              <w:pStyle w:val="182"/>
              <w:bidi w:val="0"/>
              <w:rPr>
                <w:b/>
                <w:bCs/>
                <w:color w:val="auto"/>
                <w:u w:val="single"/>
              </w:rPr>
            </w:pPr>
            <w:r>
              <w:rPr>
                <w:rFonts w:hint="eastAsia"/>
                <w:b/>
                <w:bCs/>
                <w:color w:val="auto"/>
                <w:u w:val="single"/>
              </w:rPr>
              <w:t>产生位置</w:t>
            </w:r>
          </w:p>
        </w:tc>
        <w:tc>
          <w:tcPr>
            <w:tcW w:w="2659" w:type="dxa"/>
            <w:vAlign w:val="center"/>
          </w:tcPr>
          <w:p>
            <w:pPr>
              <w:pStyle w:val="182"/>
              <w:bidi w:val="0"/>
              <w:rPr>
                <w:b/>
                <w:bCs/>
                <w:color w:val="auto"/>
                <w:u w:val="single"/>
              </w:rPr>
            </w:pPr>
            <w:r>
              <w:rPr>
                <w:rFonts w:hint="eastAsia"/>
                <w:b/>
                <w:bCs/>
                <w:color w:val="auto"/>
                <w:u w:val="single"/>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b/>
                <w:bCs/>
                <w:color w:val="auto"/>
                <w:u w:val="single"/>
              </w:rPr>
            </w:pPr>
            <w:r>
              <w:rPr>
                <w:rFonts w:hint="eastAsia"/>
                <w:b/>
                <w:bCs/>
                <w:color w:val="auto"/>
                <w:u w:val="single"/>
              </w:rPr>
              <w:t>1</w:t>
            </w:r>
          </w:p>
        </w:tc>
        <w:tc>
          <w:tcPr>
            <w:tcW w:w="1276" w:type="dxa"/>
            <w:vAlign w:val="center"/>
          </w:tcPr>
          <w:p>
            <w:pPr>
              <w:pStyle w:val="182"/>
              <w:bidi w:val="0"/>
              <w:rPr>
                <w:b/>
                <w:bCs/>
                <w:color w:val="auto"/>
                <w:u w:val="single"/>
              </w:rPr>
            </w:pPr>
            <w:r>
              <w:rPr>
                <w:rFonts w:hint="eastAsia"/>
                <w:b/>
                <w:bCs/>
                <w:color w:val="auto"/>
                <w:u w:val="single"/>
              </w:rPr>
              <w:t>水力除杂沉淀池污泥</w:t>
            </w:r>
          </w:p>
        </w:tc>
        <w:tc>
          <w:tcPr>
            <w:tcW w:w="1559" w:type="dxa"/>
            <w:vAlign w:val="center"/>
          </w:tcPr>
          <w:p>
            <w:pPr>
              <w:pStyle w:val="182"/>
              <w:bidi w:val="0"/>
              <w:ind w:firstLine="0" w:firstLineChars="0"/>
              <w:rPr>
                <w:rFonts w:hint="default"/>
                <w:b/>
                <w:bCs/>
                <w:color w:val="auto"/>
                <w:u w:val="single"/>
                <w:lang w:val="en-US"/>
              </w:rPr>
            </w:pPr>
            <w:r>
              <w:rPr>
                <w:rFonts w:hint="eastAsia"/>
                <w:b/>
                <w:bCs/>
                <w:color w:val="auto"/>
                <w:u w:val="single"/>
                <w:lang w:val="en-US" w:eastAsia="zh-CN"/>
              </w:rPr>
              <w:t>200</w:t>
            </w:r>
          </w:p>
        </w:tc>
        <w:tc>
          <w:tcPr>
            <w:tcW w:w="1276" w:type="dxa"/>
            <w:vAlign w:val="center"/>
          </w:tcPr>
          <w:p>
            <w:pPr>
              <w:pStyle w:val="182"/>
              <w:bidi w:val="0"/>
              <w:rPr>
                <w:b/>
                <w:bCs/>
                <w:color w:val="auto"/>
                <w:u w:val="single"/>
              </w:rPr>
            </w:pPr>
            <w:r>
              <w:rPr>
                <w:rFonts w:hint="eastAsia"/>
                <w:b/>
                <w:bCs/>
                <w:color w:val="auto"/>
                <w:u w:val="single"/>
              </w:rPr>
              <w:t>一般固废</w:t>
            </w:r>
          </w:p>
        </w:tc>
        <w:tc>
          <w:tcPr>
            <w:tcW w:w="1275" w:type="dxa"/>
            <w:vAlign w:val="center"/>
          </w:tcPr>
          <w:p>
            <w:pPr>
              <w:pStyle w:val="182"/>
              <w:bidi w:val="0"/>
              <w:rPr>
                <w:b/>
                <w:bCs/>
                <w:color w:val="auto"/>
                <w:u w:val="single"/>
              </w:rPr>
            </w:pPr>
            <w:r>
              <w:rPr>
                <w:rFonts w:hint="eastAsia"/>
                <w:b/>
                <w:bCs/>
                <w:color w:val="auto"/>
                <w:u w:val="single"/>
              </w:rPr>
              <w:t>水力除杂</w:t>
            </w:r>
          </w:p>
        </w:tc>
        <w:tc>
          <w:tcPr>
            <w:tcW w:w="2659" w:type="dxa"/>
            <w:vAlign w:val="center"/>
          </w:tcPr>
          <w:p>
            <w:pPr>
              <w:pStyle w:val="182"/>
              <w:bidi w:val="0"/>
              <w:rPr>
                <w:b/>
                <w:bCs/>
                <w:color w:val="auto"/>
                <w:u w:val="single"/>
              </w:rPr>
            </w:pPr>
            <w:r>
              <w:rPr>
                <w:rFonts w:hint="eastAsia"/>
                <w:b/>
                <w:bCs/>
                <w:color w:val="auto"/>
                <w:u w:val="single"/>
              </w:rPr>
              <w:t>依托现有一般固废暂存间</w:t>
            </w:r>
            <w:r>
              <w:rPr>
                <w:rFonts w:hint="default"/>
                <w:b/>
                <w:bCs/>
                <w:color w:val="auto"/>
                <w:lang w:val="en-US" w:eastAsia="zh-CN"/>
              </w:rPr>
              <w:t>（36m</w:t>
            </w:r>
            <w:r>
              <w:rPr>
                <w:rFonts w:hint="default"/>
                <w:b/>
                <w:bCs/>
                <w:color w:val="auto"/>
                <w:vertAlign w:val="superscript"/>
                <w:lang w:val="en-US" w:eastAsia="zh-CN"/>
              </w:rPr>
              <w:t>2</w:t>
            </w:r>
            <w:r>
              <w:rPr>
                <w:rFonts w:hint="default"/>
                <w:b/>
                <w:bCs/>
                <w:color w:val="auto"/>
                <w:lang w:val="en-US" w:eastAsia="zh-CN"/>
              </w:rPr>
              <w:t>）</w:t>
            </w:r>
            <w:r>
              <w:rPr>
                <w:rFonts w:hint="eastAsia"/>
                <w:b/>
                <w:bCs/>
                <w:color w:val="auto"/>
                <w:u w:val="single"/>
              </w:rPr>
              <w:t>暂存后，送厂区锅炉燃烧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2</w:t>
            </w:r>
          </w:p>
        </w:tc>
        <w:tc>
          <w:tcPr>
            <w:tcW w:w="1276" w:type="dxa"/>
            <w:vAlign w:val="center"/>
          </w:tcPr>
          <w:p>
            <w:pPr>
              <w:pStyle w:val="182"/>
              <w:bidi w:val="0"/>
              <w:rPr>
                <w:rFonts w:hint="default"/>
                <w:b/>
                <w:bCs/>
                <w:color w:val="auto"/>
                <w:u w:val="single"/>
                <w:lang w:val="en-US"/>
              </w:rPr>
            </w:pPr>
            <w:r>
              <w:rPr>
                <w:rFonts w:hint="eastAsia"/>
                <w:b/>
                <w:bCs/>
                <w:color w:val="auto"/>
                <w:u w:val="single"/>
                <w:lang w:val="en-US" w:eastAsia="zh-CN"/>
              </w:rPr>
              <w:t>后续工序未煮解滤渣</w:t>
            </w:r>
          </w:p>
        </w:tc>
        <w:tc>
          <w:tcPr>
            <w:tcW w:w="1559"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500</w:t>
            </w:r>
          </w:p>
        </w:tc>
        <w:tc>
          <w:tcPr>
            <w:tcW w:w="1276" w:type="dxa"/>
            <w:vAlign w:val="center"/>
          </w:tcPr>
          <w:p>
            <w:pPr>
              <w:pStyle w:val="182"/>
              <w:bidi w:val="0"/>
              <w:rPr>
                <w:rFonts w:hint="eastAsia"/>
                <w:b/>
                <w:bCs/>
                <w:color w:val="auto"/>
                <w:u w:val="single"/>
              </w:rPr>
            </w:pPr>
            <w:r>
              <w:rPr>
                <w:rFonts w:hint="eastAsia"/>
                <w:b/>
                <w:bCs/>
                <w:color w:val="auto"/>
                <w:u w:val="single"/>
              </w:rPr>
              <w:t>一般固废</w:t>
            </w:r>
          </w:p>
        </w:tc>
        <w:tc>
          <w:tcPr>
            <w:tcW w:w="1275"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蒸煮挤浆</w:t>
            </w:r>
          </w:p>
        </w:tc>
        <w:tc>
          <w:tcPr>
            <w:tcW w:w="2659" w:type="dxa"/>
            <w:vAlign w:val="center"/>
          </w:tcPr>
          <w:p>
            <w:pPr>
              <w:pStyle w:val="182"/>
              <w:bidi w:val="0"/>
              <w:rPr>
                <w:rFonts w:hint="eastAsia"/>
                <w:b/>
                <w:bCs/>
                <w:color w:val="auto"/>
                <w:u w:val="single"/>
              </w:rPr>
            </w:pPr>
            <w:r>
              <w:rPr>
                <w:rFonts w:hint="eastAsia"/>
                <w:b/>
                <w:bCs/>
                <w:color w:val="auto"/>
                <w:u w:val="single"/>
              </w:rPr>
              <w:t>依托现有一般固废暂存间</w:t>
            </w:r>
            <w:r>
              <w:rPr>
                <w:rFonts w:hint="default"/>
                <w:b/>
                <w:bCs/>
                <w:color w:val="auto"/>
                <w:lang w:val="en-US" w:eastAsia="zh-CN"/>
              </w:rPr>
              <w:t>（120m</w:t>
            </w:r>
            <w:r>
              <w:rPr>
                <w:rFonts w:hint="default"/>
                <w:b/>
                <w:bCs/>
                <w:color w:val="auto"/>
                <w:vertAlign w:val="superscript"/>
                <w:lang w:val="en-US" w:eastAsia="zh-CN"/>
              </w:rPr>
              <w:t>3</w:t>
            </w:r>
            <w:r>
              <w:rPr>
                <w:rFonts w:hint="default"/>
                <w:b/>
                <w:bCs/>
                <w:color w:val="auto"/>
                <w:lang w:val="en-US" w:eastAsia="zh-CN"/>
              </w:rPr>
              <w:t>，36m</w:t>
            </w:r>
            <w:r>
              <w:rPr>
                <w:rFonts w:hint="default"/>
                <w:b/>
                <w:bCs/>
                <w:color w:val="auto"/>
                <w:vertAlign w:val="superscript"/>
                <w:lang w:val="en-US" w:eastAsia="zh-CN"/>
              </w:rPr>
              <w:t>2</w:t>
            </w:r>
            <w:r>
              <w:rPr>
                <w:rFonts w:hint="default"/>
                <w:b/>
                <w:bCs/>
                <w:color w:val="auto"/>
                <w:lang w:val="en-US" w:eastAsia="zh-CN"/>
              </w:rPr>
              <w:t>）</w:t>
            </w:r>
            <w:r>
              <w:rPr>
                <w:rFonts w:hint="eastAsia"/>
                <w:b/>
                <w:bCs/>
                <w:color w:val="auto"/>
                <w:u w:val="single"/>
              </w:rPr>
              <w:t>暂存后，送厂区锅炉燃烧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rFonts w:hint="eastAsia" w:eastAsia="宋体"/>
                <w:b/>
                <w:bCs/>
                <w:color w:val="auto"/>
                <w:u w:val="single"/>
                <w:lang w:eastAsia="zh-CN"/>
              </w:rPr>
            </w:pPr>
            <w:r>
              <w:rPr>
                <w:rFonts w:hint="eastAsia"/>
                <w:b/>
                <w:bCs/>
                <w:color w:val="auto"/>
                <w:u w:val="single"/>
                <w:lang w:val="en-US" w:eastAsia="zh-CN"/>
              </w:rPr>
              <w:t>3</w:t>
            </w:r>
          </w:p>
        </w:tc>
        <w:tc>
          <w:tcPr>
            <w:tcW w:w="1276" w:type="dxa"/>
            <w:vAlign w:val="center"/>
          </w:tcPr>
          <w:p>
            <w:pPr>
              <w:pStyle w:val="182"/>
              <w:bidi w:val="0"/>
              <w:rPr>
                <w:b/>
                <w:bCs/>
                <w:color w:val="auto"/>
                <w:u w:val="single"/>
              </w:rPr>
            </w:pPr>
            <w:r>
              <w:rPr>
                <w:rFonts w:hint="eastAsia"/>
                <w:b/>
                <w:bCs/>
                <w:color w:val="auto"/>
                <w:u w:val="single"/>
              </w:rPr>
              <w:t>废包装袋</w:t>
            </w:r>
          </w:p>
        </w:tc>
        <w:tc>
          <w:tcPr>
            <w:tcW w:w="1559" w:type="dxa"/>
            <w:vAlign w:val="center"/>
          </w:tcPr>
          <w:p>
            <w:pPr>
              <w:pStyle w:val="182"/>
              <w:bidi w:val="0"/>
              <w:ind w:firstLine="0" w:firstLineChars="0"/>
              <w:rPr>
                <w:b/>
                <w:bCs/>
                <w:color w:val="auto"/>
                <w:u w:val="single"/>
              </w:rPr>
            </w:pPr>
            <w:r>
              <w:rPr>
                <w:rFonts w:hint="eastAsia"/>
                <w:b/>
                <w:bCs/>
                <w:color w:val="auto"/>
                <w:u w:val="single"/>
                <w:lang w:val="en-US" w:eastAsia="zh-CN"/>
              </w:rPr>
              <w:t>0.048</w:t>
            </w:r>
          </w:p>
        </w:tc>
        <w:tc>
          <w:tcPr>
            <w:tcW w:w="1276" w:type="dxa"/>
            <w:vAlign w:val="center"/>
          </w:tcPr>
          <w:p>
            <w:pPr>
              <w:pStyle w:val="182"/>
              <w:bidi w:val="0"/>
              <w:rPr>
                <w:b/>
                <w:bCs/>
                <w:color w:val="auto"/>
                <w:u w:val="single"/>
              </w:rPr>
            </w:pPr>
            <w:r>
              <w:rPr>
                <w:rFonts w:hint="eastAsia"/>
                <w:b/>
                <w:bCs/>
                <w:color w:val="auto"/>
                <w:u w:val="single"/>
              </w:rPr>
              <w:t>危险固废</w:t>
            </w:r>
          </w:p>
        </w:tc>
        <w:tc>
          <w:tcPr>
            <w:tcW w:w="1275" w:type="dxa"/>
            <w:vAlign w:val="center"/>
          </w:tcPr>
          <w:p>
            <w:pPr>
              <w:pStyle w:val="182"/>
              <w:bidi w:val="0"/>
              <w:rPr>
                <w:b/>
                <w:bCs/>
                <w:color w:val="auto"/>
                <w:u w:val="single"/>
              </w:rPr>
            </w:pPr>
            <w:r>
              <w:rPr>
                <w:rFonts w:hint="eastAsia"/>
                <w:b/>
                <w:bCs/>
                <w:color w:val="auto"/>
                <w:u w:val="single"/>
              </w:rPr>
              <w:t>原料库</w:t>
            </w:r>
          </w:p>
        </w:tc>
        <w:tc>
          <w:tcPr>
            <w:tcW w:w="2659" w:type="dxa"/>
            <w:vAlign w:val="center"/>
          </w:tcPr>
          <w:p>
            <w:pPr>
              <w:pStyle w:val="182"/>
              <w:bidi w:val="0"/>
              <w:rPr>
                <w:b/>
                <w:bCs/>
                <w:color w:val="auto"/>
                <w:u w:val="single"/>
              </w:rPr>
            </w:pPr>
            <w:r>
              <w:rPr>
                <w:rFonts w:hint="eastAsia"/>
                <w:b/>
                <w:bCs/>
                <w:color w:val="auto"/>
                <w:u w:val="single"/>
              </w:rPr>
              <w:t>危废间暂存，定期交由有资质的单位进行处置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rFonts w:hint="eastAsia" w:eastAsia="宋体"/>
                <w:b/>
                <w:bCs/>
                <w:color w:val="auto"/>
                <w:u w:val="single"/>
                <w:lang w:eastAsia="zh-CN"/>
              </w:rPr>
            </w:pPr>
            <w:r>
              <w:rPr>
                <w:rFonts w:hint="eastAsia"/>
                <w:b/>
                <w:bCs/>
                <w:color w:val="auto"/>
                <w:u w:val="single"/>
                <w:lang w:val="en-US" w:eastAsia="zh-CN"/>
              </w:rPr>
              <w:t>4</w:t>
            </w:r>
          </w:p>
        </w:tc>
        <w:tc>
          <w:tcPr>
            <w:tcW w:w="1276" w:type="dxa"/>
            <w:vAlign w:val="center"/>
          </w:tcPr>
          <w:p>
            <w:pPr>
              <w:pStyle w:val="182"/>
              <w:bidi w:val="0"/>
              <w:rPr>
                <w:b/>
                <w:bCs/>
                <w:color w:val="auto"/>
                <w:u w:val="single"/>
              </w:rPr>
            </w:pPr>
            <w:r>
              <w:rPr>
                <w:rFonts w:hint="eastAsia"/>
                <w:b/>
                <w:bCs/>
                <w:color w:val="auto"/>
                <w:u w:val="single"/>
              </w:rPr>
              <w:t>生活垃圾</w:t>
            </w:r>
          </w:p>
        </w:tc>
        <w:tc>
          <w:tcPr>
            <w:tcW w:w="1559" w:type="dxa"/>
            <w:vAlign w:val="center"/>
          </w:tcPr>
          <w:p>
            <w:pPr>
              <w:pStyle w:val="182"/>
              <w:bidi w:val="0"/>
              <w:ind w:firstLine="0" w:firstLineChars="0"/>
              <w:rPr>
                <w:b/>
                <w:bCs/>
                <w:color w:val="auto"/>
                <w:u w:val="single"/>
              </w:rPr>
            </w:pPr>
            <w:r>
              <w:rPr>
                <w:rFonts w:hint="eastAsia"/>
                <w:b/>
                <w:bCs/>
                <w:color w:val="auto"/>
                <w:u w:val="single"/>
              </w:rPr>
              <w:t>1</w:t>
            </w:r>
            <w:r>
              <w:rPr>
                <w:b/>
                <w:bCs/>
                <w:color w:val="auto"/>
                <w:u w:val="single"/>
              </w:rPr>
              <w:t>6.5</w:t>
            </w:r>
          </w:p>
        </w:tc>
        <w:tc>
          <w:tcPr>
            <w:tcW w:w="1276" w:type="dxa"/>
            <w:vAlign w:val="center"/>
          </w:tcPr>
          <w:p>
            <w:pPr>
              <w:pStyle w:val="182"/>
              <w:bidi w:val="0"/>
              <w:rPr>
                <w:b/>
                <w:bCs/>
                <w:color w:val="auto"/>
                <w:u w:val="single"/>
              </w:rPr>
            </w:pPr>
            <w:r>
              <w:rPr>
                <w:rFonts w:hint="eastAsia"/>
                <w:b/>
                <w:bCs/>
                <w:color w:val="auto"/>
                <w:u w:val="single"/>
              </w:rPr>
              <w:t>一般固废</w:t>
            </w:r>
          </w:p>
        </w:tc>
        <w:tc>
          <w:tcPr>
            <w:tcW w:w="1275" w:type="dxa"/>
            <w:vAlign w:val="center"/>
          </w:tcPr>
          <w:p>
            <w:pPr>
              <w:pStyle w:val="182"/>
              <w:bidi w:val="0"/>
              <w:rPr>
                <w:b/>
                <w:bCs/>
                <w:color w:val="auto"/>
                <w:u w:val="single"/>
              </w:rPr>
            </w:pPr>
            <w:r>
              <w:rPr>
                <w:rFonts w:hint="eastAsia"/>
                <w:b/>
                <w:bCs/>
                <w:color w:val="auto"/>
                <w:u w:val="single"/>
              </w:rPr>
              <w:t>厂区</w:t>
            </w:r>
          </w:p>
        </w:tc>
        <w:tc>
          <w:tcPr>
            <w:tcW w:w="2659" w:type="dxa"/>
            <w:vAlign w:val="center"/>
          </w:tcPr>
          <w:p>
            <w:pPr>
              <w:pStyle w:val="182"/>
              <w:bidi w:val="0"/>
              <w:rPr>
                <w:b/>
                <w:bCs/>
                <w:color w:val="auto"/>
                <w:u w:val="single"/>
              </w:rPr>
            </w:pPr>
            <w:r>
              <w:rPr>
                <w:rFonts w:hint="eastAsia"/>
                <w:b/>
                <w:bCs/>
                <w:color w:val="auto"/>
                <w:u w:val="single"/>
              </w:rPr>
              <w:t>集中收集后送环卫部门指定地点处理</w:t>
            </w:r>
          </w:p>
        </w:tc>
      </w:tr>
    </w:tbl>
    <w:p>
      <w:pPr>
        <w:bidi w:val="0"/>
        <w:rPr>
          <w:color w:val="auto"/>
        </w:rPr>
      </w:pPr>
      <w:r>
        <w:rPr>
          <w:color w:val="auto"/>
        </w:rPr>
        <w:t>评价要求工程产生的一般固废及时清运，尽量缩短在厂区内的堆存时间。同时为减少工程固废不能及时外运造成污染，对暂时不能利用的废旧原料，暂存于一般固废暂存间（依托现有）。</w:t>
      </w:r>
    </w:p>
    <w:p>
      <w:pPr>
        <w:bidi w:val="0"/>
        <w:rPr>
          <w:b/>
          <w:bCs/>
          <w:color w:val="auto"/>
          <w:u w:val="single"/>
        </w:rPr>
      </w:pPr>
      <w:r>
        <w:rPr>
          <w:rFonts w:hint="eastAsia"/>
          <w:b/>
          <w:bCs/>
          <w:color w:val="auto"/>
          <w:u w:val="single"/>
        </w:rPr>
        <w:t>本项目依托厂区现有一般工业固废暂存间（</w:t>
      </w:r>
      <w:r>
        <w:rPr>
          <w:rFonts w:hint="eastAsia"/>
          <w:b/>
          <w:bCs/>
          <w:color w:val="auto"/>
          <w:u w:val="single"/>
          <w:vertAlign w:val="baseline"/>
          <w:lang w:val="en-US" w:eastAsia="zh-CN"/>
        </w:rPr>
        <w:t>36m</w:t>
      </w:r>
      <w:r>
        <w:rPr>
          <w:rFonts w:hint="eastAsia"/>
          <w:b/>
          <w:bCs/>
          <w:color w:val="auto"/>
          <w:u w:val="single"/>
          <w:vertAlign w:val="superscript"/>
          <w:lang w:val="en-US" w:eastAsia="zh-CN"/>
        </w:rPr>
        <w:t>2</w:t>
      </w:r>
      <w:r>
        <w:rPr>
          <w:rFonts w:hint="eastAsia"/>
          <w:b/>
          <w:bCs/>
          <w:color w:val="auto"/>
          <w:u w:val="single"/>
        </w:rPr>
        <w:t>）和1座危险固废暂存间（</w:t>
      </w:r>
      <w:r>
        <w:rPr>
          <w:rFonts w:hint="eastAsia"/>
          <w:b/>
          <w:bCs/>
          <w:color w:val="auto"/>
          <w:u w:val="single"/>
          <w:vertAlign w:val="baseline"/>
          <w:lang w:val="en-US" w:eastAsia="zh-CN"/>
        </w:rPr>
        <w:t>75m</w:t>
      </w:r>
      <w:r>
        <w:rPr>
          <w:rFonts w:hint="eastAsia"/>
          <w:b/>
          <w:bCs/>
          <w:color w:val="auto"/>
          <w:u w:val="single"/>
          <w:vertAlign w:val="superscript"/>
          <w:lang w:val="en-US" w:eastAsia="zh-CN"/>
        </w:rPr>
        <w:t>2</w:t>
      </w:r>
      <w:r>
        <w:rPr>
          <w:rFonts w:hint="eastAsia"/>
          <w:b/>
          <w:bCs/>
          <w:color w:val="auto"/>
          <w:u w:val="single"/>
        </w:rPr>
        <w:t>），并对项目固废分类分区存放。厂区内一般工业固废暂存间已按照《一般工业固体废物贮存和填埋污染控制标准》（GB</w:t>
      </w:r>
      <w:r>
        <w:rPr>
          <w:rFonts w:hint="eastAsia"/>
          <w:b/>
          <w:bCs/>
          <w:color w:val="auto"/>
          <w:u w:val="single"/>
          <w:lang w:val="en-US" w:eastAsia="zh-CN"/>
        </w:rPr>
        <w:t xml:space="preserve"> </w:t>
      </w:r>
      <w:r>
        <w:rPr>
          <w:rFonts w:hint="eastAsia"/>
          <w:b/>
          <w:bCs/>
          <w:color w:val="auto"/>
          <w:u w:val="single"/>
        </w:rPr>
        <w:t>18599-</w:t>
      </w:r>
      <w:r>
        <w:rPr>
          <w:b/>
          <w:bCs/>
          <w:color w:val="auto"/>
          <w:u w:val="single"/>
        </w:rPr>
        <w:t>2020</w:t>
      </w:r>
      <w:r>
        <w:rPr>
          <w:rFonts w:hint="eastAsia"/>
          <w:b/>
          <w:bCs/>
          <w:color w:val="auto"/>
          <w:u w:val="single"/>
        </w:rPr>
        <w:t>）的相关要求进行建设，暂存间地面已硬化，并且有防渗、防风、防晒、防雨淋措施。危险废物暂存间设置在厂区东北方，已对地面进行硬化，并且有防渗、防风、防晒、防雨淋措施，可满足《危险废物贮存污染控制标准》（GB</w:t>
      </w:r>
      <w:r>
        <w:rPr>
          <w:rFonts w:hint="eastAsia"/>
          <w:b/>
          <w:bCs/>
          <w:color w:val="auto"/>
          <w:u w:val="single"/>
          <w:lang w:val="en-US" w:eastAsia="zh-CN"/>
        </w:rPr>
        <w:t xml:space="preserve"> </w:t>
      </w:r>
      <w:r>
        <w:rPr>
          <w:rFonts w:hint="eastAsia"/>
          <w:b/>
          <w:bCs/>
          <w:color w:val="auto"/>
          <w:u w:val="single"/>
        </w:rPr>
        <w:t>18597-20</w:t>
      </w:r>
      <w:r>
        <w:rPr>
          <w:rFonts w:hint="eastAsia"/>
          <w:b/>
          <w:bCs/>
          <w:color w:val="auto"/>
          <w:u w:val="single"/>
          <w:lang w:val="en-US" w:eastAsia="zh-CN"/>
        </w:rPr>
        <w:t>23</w:t>
      </w:r>
      <w:r>
        <w:rPr>
          <w:rFonts w:hint="eastAsia"/>
          <w:b/>
          <w:bCs/>
          <w:color w:val="auto"/>
          <w:u w:val="single"/>
        </w:rPr>
        <w:t>）的相关要求。</w:t>
      </w:r>
    </w:p>
    <w:p>
      <w:pPr>
        <w:bidi w:val="0"/>
        <w:rPr>
          <w:color w:val="auto"/>
        </w:rPr>
      </w:pPr>
      <w:r>
        <w:rPr>
          <w:rFonts w:hint="eastAsia"/>
          <w:color w:val="auto"/>
        </w:rPr>
        <w:t>为了避免危险废物在厂区贮存过程中对环境的影响，评价要求企业及时将危废委托有资质的危废处理单位安全处置，在危废的转移处置过程中，应严格按照《中华人民共和国固体废物污染环境防治法》和《危险废物转移联单管理办法》有关规定执行。</w:t>
      </w:r>
    </w:p>
    <w:p>
      <w:pPr>
        <w:bidi w:val="0"/>
        <w:rPr>
          <w:color w:val="auto"/>
        </w:rPr>
      </w:pPr>
      <w:r>
        <w:rPr>
          <w:rFonts w:hint="eastAsia"/>
          <w:color w:val="auto"/>
        </w:rPr>
        <w:t>综上所述，项目固废均能实现综合利用和安全处置。</w:t>
      </w:r>
    </w:p>
    <w:p>
      <w:pPr>
        <w:pStyle w:val="7"/>
        <w:bidi w:val="0"/>
        <w:rPr>
          <w:color w:val="auto"/>
        </w:rPr>
      </w:pPr>
      <w:bookmarkStart w:id="320" w:name="_Toc493"/>
      <w:bookmarkStart w:id="321" w:name="_Toc28866837"/>
      <w:bookmarkStart w:id="322" w:name="_Toc17058"/>
      <w:bookmarkStart w:id="323" w:name="_Toc2249"/>
      <w:bookmarkStart w:id="324" w:name="_Toc67041062"/>
      <w:r>
        <w:rPr>
          <w:rFonts w:hint="eastAsia"/>
          <w:color w:val="auto"/>
        </w:rPr>
        <w:t>5.</w:t>
      </w:r>
      <w:r>
        <w:rPr>
          <w:rFonts w:hint="eastAsia"/>
          <w:color w:val="auto"/>
          <w:lang w:val="en-US" w:eastAsia="zh-CN"/>
        </w:rPr>
        <w:t>7</w:t>
      </w:r>
      <w:r>
        <w:rPr>
          <w:color w:val="auto"/>
        </w:rPr>
        <w:t>土壤环境影响分析</w:t>
      </w:r>
      <w:bookmarkEnd w:id="320"/>
      <w:bookmarkEnd w:id="321"/>
      <w:bookmarkEnd w:id="322"/>
      <w:bookmarkEnd w:id="323"/>
      <w:bookmarkEnd w:id="324"/>
    </w:p>
    <w:p>
      <w:pPr>
        <w:pStyle w:val="9"/>
        <w:bidi w:val="0"/>
        <w:rPr>
          <w:color w:val="auto"/>
        </w:rPr>
      </w:pPr>
      <w:r>
        <w:rPr>
          <w:color w:val="auto"/>
        </w:rPr>
        <w:t>5.</w:t>
      </w:r>
      <w:r>
        <w:rPr>
          <w:rFonts w:hint="eastAsia"/>
          <w:color w:val="auto"/>
          <w:lang w:val="en-US" w:eastAsia="zh-CN"/>
        </w:rPr>
        <w:t>7</w:t>
      </w:r>
      <w:r>
        <w:rPr>
          <w:color w:val="auto"/>
        </w:rPr>
        <w:t>.</w:t>
      </w:r>
      <w:r>
        <w:rPr>
          <w:rFonts w:hint="eastAsia"/>
          <w:color w:val="auto"/>
          <w:lang w:val="en-US" w:eastAsia="zh-CN"/>
        </w:rPr>
        <w:t>1</w:t>
      </w:r>
      <w:r>
        <w:rPr>
          <w:color w:val="auto"/>
        </w:rPr>
        <w:t>预测及评价标准</w:t>
      </w:r>
    </w:p>
    <w:p>
      <w:pPr>
        <w:bidi w:val="0"/>
        <w:rPr>
          <w:rFonts w:ascii="Times New Roman" w:hAnsi="Times New Roman" w:eastAsia="宋体"/>
          <w:color w:val="auto"/>
        </w:rPr>
      </w:pPr>
      <w:r>
        <w:rPr>
          <w:color w:val="auto"/>
        </w:rPr>
        <w:t>项目厂区土壤执行《</w:t>
      </w:r>
      <w:r>
        <w:rPr>
          <w:rFonts w:hint="eastAsia"/>
          <w:color w:val="auto"/>
          <w:lang w:eastAsia="zh-CN"/>
        </w:rPr>
        <w:t>土壤环境质量 建设用地土壤污染风险管控标准（试行）</w:t>
      </w:r>
      <w:r>
        <w:rPr>
          <w:color w:val="auto"/>
        </w:rPr>
        <w:t>》（GB36600-2018）表1基本项目第二类用地筛选值。</w:t>
      </w:r>
    </w:p>
    <w:p>
      <w:pPr>
        <w:pStyle w:val="9"/>
        <w:bidi w:val="0"/>
        <w:rPr>
          <w:color w:val="auto"/>
        </w:rPr>
      </w:pPr>
      <w:r>
        <w:rPr>
          <w:color w:val="auto"/>
        </w:rPr>
        <w:t>5.</w:t>
      </w:r>
      <w:r>
        <w:rPr>
          <w:rFonts w:hint="eastAsia"/>
          <w:color w:val="auto"/>
          <w:lang w:val="en-US" w:eastAsia="zh-CN"/>
        </w:rPr>
        <w:t>7</w:t>
      </w:r>
      <w:r>
        <w:rPr>
          <w:color w:val="auto"/>
        </w:rPr>
        <w:t>.</w:t>
      </w:r>
      <w:r>
        <w:rPr>
          <w:rFonts w:hint="eastAsia"/>
          <w:color w:val="auto"/>
          <w:lang w:val="en-US" w:eastAsia="zh-CN"/>
        </w:rPr>
        <w:t>2</w:t>
      </w:r>
      <w:r>
        <w:rPr>
          <w:rFonts w:hint="eastAsia"/>
          <w:color w:val="auto"/>
        </w:rPr>
        <w:t>土壤环境影响分析</w:t>
      </w:r>
    </w:p>
    <w:p>
      <w:pPr>
        <w:bidi w:val="0"/>
        <w:rPr>
          <w:color w:val="auto"/>
        </w:rPr>
      </w:pPr>
      <w:r>
        <w:rPr>
          <w:rFonts w:hint="eastAsia"/>
          <w:color w:val="auto"/>
        </w:rPr>
        <w:t>根据《环境影响评价技术导则</w:t>
      </w:r>
      <w:r>
        <w:rPr>
          <w:color w:val="auto"/>
        </w:rPr>
        <w:t xml:space="preserve"> </w:t>
      </w:r>
      <w:r>
        <w:rPr>
          <w:rFonts w:hint="eastAsia"/>
          <w:color w:val="auto"/>
          <w:lang w:val="en-US" w:eastAsia="zh-CN"/>
        </w:rPr>
        <w:t xml:space="preserve"> </w:t>
      </w:r>
      <w:r>
        <w:rPr>
          <w:rFonts w:hint="eastAsia"/>
          <w:color w:val="auto"/>
        </w:rPr>
        <w:t>土壤环境（试行）》（</w:t>
      </w:r>
      <w:r>
        <w:rPr>
          <w:color w:val="auto"/>
        </w:rPr>
        <w:t>HJ 964-2018</w:t>
      </w:r>
      <w:r>
        <w:rPr>
          <w:rFonts w:hint="eastAsia"/>
          <w:color w:val="auto"/>
        </w:rPr>
        <w:t>）附录</w:t>
      </w:r>
      <w:r>
        <w:rPr>
          <w:color w:val="auto"/>
        </w:rPr>
        <w:t>A</w:t>
      </w:r>
      <w:r>
        <w:rPr>
          <w:rFonts w:hint="eastAsia"/>
          <w:color w:val="auto"/>
        </w:rPr>
        <w:t>，本项目属于化学纤维制造业，为</w:t>
      </w:r>
      <w:r>
        <w:rPr>
          <w:color w:val="auto"/>
        </w:rPr>
        <w:fldChar w:fldCharType="begin"/>
      </w:r>
      <w:r>
        <w:rPr>
          <w:color w:val="auto"/>
        </w:rPr>
        <w:instrText xml:space="preserve"> </w:instrText>
      </w:r>
      <w:r>
        <w:rPr>
          <w:rFonts w:hint="eastAsia"/>
          <w:color w:val="auto"/>
        </w:rPr>
        <w:instrText xml:space="preserve">= 3 \* ROMAN</w:instrText>
      </w:r>
      <w:r>
        <w:rPr>
          <w:color w:val="auto"/>
        </w:rPr>
        <w:instrText xml:space="preserve"> </w:instrText>
      </w:r>
      <w:r>
        <w:rPr>
          <w:color w:val="auto"/>
        </w:rPr>
        <w:fldChar w:fldCharType="separate"/>
      </w:r>
      <w:r>
        <w:rPr>
          <w:color w:val="auto"/>
        </w:rPr>
        <w:t>II</w:t>
      </w:r>
      <w:r>
        <w:rPr>
          <w:color w:val="auto"/>
        </w:rPr>
        <w:fldChar w:fldCharType="end"/>
      </w:r>
      <w:r>
        <w:rPr>
          <w:rFonts w:hint="eastAsia"/>
          <w:color w:val="auto"/>
        </w:rPr>
        <w:t>类项目。本项目为污染影响型项目，在新乡化纤股份有限公司厂区内进行建设，占地面积约</w:t>
      </w:r>
      <w:r>
        <w:rPr>
          <w:rFonts w:hint="eastAsia"/>
          <w:color w:val="auto"/>
          <w:lang w:val="en-US" w:eastAsia="zh-CN"/>
        </w:rPr>
        <w:t>8.28</w:t>
      </w:r>
      <w:r>
        <w:rPr>
          <w:rFonts w:hint="eastAsia"/>
          <w:color w:val="auto"/>
        </w:rPr>
        <w:t>公顷，属于</w:t>
      </w:r>
      <w:r>
        <w:rPr>
          <w:rFonts w:hint="eastAsia"/>
          <w:color w:val="auto"/>
          <w:lang w:val="en-US" w:eastAsia="zh-CN"/>
        </w:rPr>
        <w:t>小</w:t>
      </w:r>
      <w:r>
        <w:rPr>
          <w:rFonts w:hint="eastAsia"/>
          <w:color w:val="auto"/>
        </w:rPr>
        <w:t>型建设项目。本项目最近的敏感点为</w:t>
      </w:r>
      <w:r>
        <w:rPr>
          <w:rFonts w:hint="eastAsia"/>
          <w:color w:val="auto"/>
          <w:lang w:val="en-US" w:eastAsia="zh-CN"/>
        </w:rPr>
        <w:t>西南6</w:t>
      </w:r>
      <w:r>
        <w:rPr>
          <w:rFonts w:hint="eastAsia"/>
          <w:color w:val="auto"/>
        </w:rPr>
        <w:t>00</w:t>
      </w:r>
      <w:r>
        <w:rPr>
          <w:color w:val="auto"/>
        </w:rPr>
        <w:t xml:space="preserve"> m</w:t>
      </w:r>
      <w:r>
        <w:rPr>
          <w:rFonts w:hint="eastAsia"/>
          <w:color w:val="auto"/>
        </w:rPr>
        <w:t>处的</w:t>
      </w:r>
      <w:r>
        <w:rPr>
          <w:rFonts w:hint="eastAsia"/>
          <w:color w:val="auto"/>
          <w:lang w:val="en-US" w:eastAsia="zh-CN"/>
        </w:rPr>
        <w:t>夏庄村</w:t>
      </w:r>
      <w:r>
        <w:rPr>
          <w:rFonts w:hint="eastAsia"/>
          <w:color w:val="auto"/>
        </w:rPr>
        <w:t>，因此，本项目周边的土壤环境敏感程度为不敏感。</w:t>
      </w:r>
    </w:p>
    <w:p>
      <w:pPr>
        <w:bidi w:val="0"/>
        <w:rPr>
          <w:color w:val="auto"/>
        </w:rPr>
      </w:pPr>
      <w:r>
        <w:rPr>
          <w:rFonts w:hint="eastAsia"/>
          <w:color w:val="auto"/>
        </w:rPr>
        <w:t>污染影响型评价工作等级划分依据见下表：</w:t>
      </w:r>
    </w:p>
    <w:p>
      <w:pPr>
        <w:pStyle w:val="181"/>
        <w:bidi w:val="0"/>
        <w:rPr>
          <w:color w:val="auto"/>
        </w:rPr>
      </w:pPr>
      <w:r>
        <w:rPr>
          <w:color w:val="auto"/>
        </w:rPr>
        <w:t>表</w:t>
      </w:r>
      <w:r>
        <w:rPr>
          <w:rFonts w:hint="eastAsia"/>
          <w:color w:val="auto"/>
          <w:lang w:val="en-US" w:eastAsia="zh-CN"/>
        </w:rPr>
        <w:t>5.7-1</w:t>
      </w:r>
      <w:r>
        <w:rPr>
          <w:color w:val="auto"/>
        </w:rPr>
        <w:t xml:space="preserve">  </w:t>
      </w:r>
      <w:r>
        <w:rPr>
          <w:rFonts w:hint="eastAsia"/>
          <w:color w:val="auto"/>
          <w:lang w:val="en-US" w:eastAsia="zh-CN"/>
        </w:rPr>
        <w:t xml:space="preserve">          </w:t>
      </w:r>
      <w:r>
        <w:rPr>
          <w:color w:val="auto"/>
        </w:rPr>
        <w:t>污染影响型评价工作等级划分表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948"/>
        <w:gridCol w:w="851"/>
        <w:gridCol w:w="704"/>
        <w:gridCol w:w="707"/>
        <w:gridCol w:w="709"/>
        <w:gridCol w:w="709"/>
        <w:gridCol w:w="711"/>
        <w:gridCol w:w="709"/>
        <w:gridCol w:w="706"/>
        <w:gridCol w:w="769"/>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vMerge w:val="restart"/>
            <w:tcBorders>
              <w:top w:val="single" w:color="auto" w:sz="8" w:space="0"/>
              <w:left w:val="single" w:color="auto" w:sz="8" w:space="0"/>
              <w:bottom w:val="single" w:color="auto" w:sz="6" w:space="0"/>
              <w:right w:val="single" w:color="auto" w:sz="6" w:space="0"/>
            </w:tcBorders>
            <w:vAlign w:val="center"/>
          </w:tcPr>
          <w:p>
            <w:pPr>
              <w:pStyle w:val="182"/>
              <w:bidi w:val="0"/>
              <w:rPr>
                <w:b/>
                <w:bCs/>
                <w:color w:val="auto"/>
              </w:rPr>
            </w:pPr>
            <w:r>
              <w:rPr>
                <w:b/>
                <w:bCs/>
                <w:color w:val="auto"/>
              </w:rPr>
              <w:pict>
                <v:shape id="_x0000_s2063" o:spid="_x0000_s2063" o:spt="32" type="#_x0000_t32" style="position:absolute;left:0pt;flip:x y;margin-left:-3.6pt;margin-top:24.9pt;height:24.65pt;width:97.2pt;z-index:251721728;mso-width-relative:page;mso-height-relative:page;" o:connectortype="straight" filled="f" coordsize="21600,21600">
                  <v:path arrowok="t"/>
                  <v:fill on="f" focussize="0,0"/>
                  <v:stroke weight="0.5pt"/>
                  <v:imagedata o:title=""/>
                  <o:lock v:ext="edit"/>
                </v:shape>
              </w:pict>
            </w:r>
            <w:r>
              <w:rPr>
                <w:b/>
                <w:bCs/>
                <w:color w:val="auto"/>
              </w:rPr>
              <w:pict>
                <v:shape id="_x0000_s2064" o:spid="_x0000_s2064" o:spt="32" type="#_x0000_t32" style="position:absolute;left:0pt;margin-left:37.95pt;margin-top:1.1pt;height:51pt;width:62.4pt;z-index:251720704;mso-width-relative:page;mso-height-relative:page;" o:connectortype="straight" filled="f" coordsize="21600,21600">
                  <v:path arrowok="t"/>
                  <v:fill on="f" focussize="0,0"/>
                  <v:stroke weight="0.5pt"/>
                  <v:imagedata o:title=""/>
                  <o:lock v:ext="edit"/>
                </v:shape>
              </w:pict>
            </w:r>
            <w:r>
              <w:rPr>
                <w:b/>
                <w:bCs/>
                <w:color w:val="auto"/>
              </w:rPr>
              <w:pict>
                <v:shape id="_x0000_s2066" o:spid="_x0000_s2066" o:spt="202" type="#_x0000_t202" style="position:absolute;left:0pt;margin-left:45.7pt;margin-top:-0.05pt;height:27.2pt;width:63.1pt;z-index:251722752;mso-width-relative:page;mso-height-relative:page;" filled="f" stroked="f" coordsize="21600,21600">
                  <v:path/>
                  <v:fill on="f" focussize="0,0"/>
                  <v:stroke on="f"/>
                  <v:imagedata o:title=""/>
                  <o:lock v:ext="edit" aspectratio="f"/>
                  <v:textbox>
                    <w:txbxContent>
                      <w:p>
                        <w:pPr>
                          <w:pStyle w:val="182"/>
                          <w:keepNext w:val="0"/>
                          <w:keepLines w:val="0"/>
                          <w:pageBreakBefore w:val="0"/>
                          <w:widowControl w:val="0"/>
                          <w:kinsoku/>
                          <w:wordWrap/>
                          <w:overflowPunct/>
                          <w:topLinePunct w:val="0"/>
                          <w:autoSpaceDE/>
                          <w:autoSpaceDN/>
                          <w:bidi w:val="0"/>
                          <w:adjustRightInd w:val="0"/>
                          <w:snapToGrid w:val="0"/>
                          <w:spacing w:before="0" w:beforeLines="0"/>
                          <w:textAlignment w:val="auto"/>
                        </w:pPr>
                        <w:r>
                          <w:rPr>
                            <w:rFonts w:hint="eastAsia"/>
                          </w:rPr>
                          <w:t>占地规模</w:t>
                        </w:r>
                      </w:p>
                    </w:txbxContent>
                  </v:textbox>
                </v:shape>
              </w:pict>
            </w:r>
            <w:r>
              <w:rPr>
                <w:b/>
                <w:bCs/>
                <w:color w:val="auto"/>
              </w:rPr>
              <w:pict>
                <v:shape id="_x0000_s2062" o:spid="_x0000_s2062" o:spt="202" type="#_x0000_t202" style="position:absolute;left:0pt;margin-left:-15.65pt;margin-top:11.6pt;height:26.8pt;width:81.65pt;z-index:251723776;mso-width-relative:page;mso-height-relative:page;" filled="f" stroked="f" coordsize="21600,21600">
                  <v:path/>
                  <v:fill on="f" focussize="0,0"/>
                  <v:stroke on="f" joinstyle="miter"/>
                  <v:imagedata o:title=""/>
                  <o:lock v:ext="edit"/>
                  <v:textbox>
                    <w:txbxContent>
                      <w:p>
                        <w:pPr>
                          <w:pStyle w:val="182"/>
                          <w:keepNext w:val="0"/>
                          <w:keepLines w:val="0"/>
                          <w:pageBreakBefore w:val="0"/>
                          <w:widowControl w:val="0"/>
                          <w:kinsoku/>
                          <w:wordWrap/>
                          <w:overflowPunct/>
                          <w:topLinePunct w:val="0"/>
                          <w:autoSpaceDE/>
                          <w:autoSpaceDN/>
                          <w:bidi w:val="0"/>
                          <w:adjustRightInd w:val="0"/>
                          <w:snapToGrid w:val="0"/>
                          <w:spacing w:before="0" w:beforeLines="0"/>
                          <w:textAlignment w:val="auto"/>
                        </w:pPr>
                        <w:r>
                          <w:rPr>
                            <w:rFonts w:hint="eastAsia"/>
                          </w:rPr>
                          <w:t>评价工作等级</w:t>
                        </w:r>
                      </w:p>
                    </w:txbxContent>
                  </v:textbox>
                </v:shape>
              </w:pict>
            </w:r>
            <w:r>
              <w:rPr>
                <w:b/>
                <w:bCs/>
                <w:color w:val="auto"/>
              </w:rPr>
              <w:pict>
                <v:shape id="_x0000_s2065" o:spid="_x0000_s2065" o:spt="202" type="#_x0000_t202" style="position:absolute;left:0pt;margin-left:-9.95pt;margin-top:29.5pt;height:20.7pt;width:61.1pt;z-index:251724800;mso-width-relative:page;mso-height-relative:page;" filled="f" stroked="f" coordsize="21600,21600">
                  <v:path/>
                  <v:fill on="f" focussize="0,0"/>
                  <v:stroke on="f" joinstyle="miter"/>
                  <v:imagedata o:title=""/>
                  <o:lock v:ext="edit"/>
                  <v:textbox>
                    <w:txbxContent>
                      <w:p>
                        <w:pPr>
                          <w:pStyle w:val="182"/>
                          <w:keepNext w:val="0"/>
                          <w:keepLines w:val="0"/>
                          <w:pageBreakBefore w:val="0"/>
                          <w:widowControl w:val="0"/>
                          <w:kinsoku/>
                          <w:wordWrap/>
                          <w:overflowPunct/>
                          <w:topLinePunct w:val="0"/>
                          <w:autoSpaceDE/>
                          <w:autoSpaceDN/>
                          <w:bidi w:val="0"/>
                          <w:adjustRightInd w:val="0"/>
                          <w:snapToGrid w:val="0"/>
                          <w:spacing w:before="0" w:beforeLines="0"/>
                          <w:textAlignment w:val="auto"/>
                        </w:pPr>
                        <w:r>
                          <w:rPr>
                            <w:rFonts w:hint="eastAsia"/>
                          </w:rPr>
                          <w:t>敏感程度</w:t>
                        </w:r>
                      </w:p>
                    </w:txbxContent>
                  </v:textbox>
                </v:shape>
              </w:pict>
            </w:r>
          </w:p>
        </w:tc>
        <w:tc>
          <w:tcPr>
            <w:tcW w:w="1327" w:type="pct"/>
            <w:gridSpan w:val="3"/>
            <w:tcBorders>
              <w:top w:val="single" w:color="auto" w:sz="8"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Ⅰ类</w:t>
            </w:r>
          </w:p>
        </w:tc>
        <w:tc>
          <w:tcPr>
            <w:tcW w:w="1249" w:type="pct"/>
            <w:gridSpan w:val="3"/>
            <w:tcBorders>
              <w:top w:val="single" w:color="auto" w:sz="8"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Ⅱ类</w:t>
            </w:r>
          </w:p>
        </w:tc>
        <w:tc>
          <w:tcPr>
            <w:tcW w:w="1280" w:type="pct"/>
            <w:gridSpan w:val="3"/>
            <w:tcBorders>
              <w:top w:val="single" w:color="auto" w:sz="8" w:space="0"/>
              <w:left w:val="single" w:color="auto" w:sz="6" w:space="0"/>
              <w:bottom w:val="single" w:color="auto" w:sz="6" w:space="0"/>
              <w:right w:val="single" w:color="auto" w:sz="8" w:space="0"/>
            </w:tcBorders>
            <w:vAlign w:val="center"/>
          </w:tcPr>
          <w:p>
            <w:pPr>
              <w:pStyle w:val="182"/>
              <w:bidi w:val="0"/>
              <w:rPr>
                <w:b/>
                <w:bCs/>
                <w:color w:val="auto"/>
              </w:rPr>
            </w:pPr>
            <w:r>
              <w:rPr>
                <w:rFonts w:hint="eastAsia"/>
                <w:b/>
                <w:bCs/>
                <w:color w:val="auto"/>
              </w:rPr>
              <w:t>Ⅲ类</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0" w:type="auto"/>
            <w:vMerge w:val="continue"/>
            <w:tcBorders>
              <w:top w:val="single" w:color="auto" w:sz="8" w:space="0"/>
              <w:left w:val="single" w:color="auto" w:sz="8" w:space="0"/>
              <w:bottom w:val="single" w:color="auto" w:sz="6" w:space="0"/>
              <w:right w:val="single" w:color="auto" w:sz="6" w:space="0"/>
            </w:tcBorders>
            <w:vAlign w:val="center"/>
          </w:tcPr>
          <w:p>
            <w:pPr>
              <w:pStyle w:val="182"/>
              <w:bidi w:val="0"/>
              <w:rPr>
                <w:b/>
                <w:bCs/>
                <w:color w:val="auto"/>
              </w:rPr>
            </w:pPr>
          </w:p>
        </w:tc>
        <w:tc>
          <w:tcPr>
            <w:tcW w:w="499"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大</w:t>
            </w:r>
          </w:p>
        </w:tc>
        <w:tc>
          <w:tcPr>
            <w:tcW w:w="413"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中</w:t>
            </w:r>
          </w:p>
        </w:tc>
        <w:tc>
          <w:tcPr>
            <w:tcW w:w="415"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小</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中</w:t>
            </w:r>
          </w:p>
        </w:tc>
        <w:tc>
          <w:tcPr>
            <w:tcW w:w="417" w:type="pct"/>
            <w:tcBorders>
              <w:top w:val="single" w:color="auto" w:sz="6" w:space="0"/>
              <w:left w:val="single" w:color="auto" w:sz="6" w:space="0"/>
              <w:bottom w:val="single" w:color="auto" w:sz="6" w:space="0"/>
              <w:right w:val="single" w:color="auto" w:sz="6" w:space="0"/>
            </w:tcBorders>
            <w:vAlign w:val="center"/>
          </w:tcPr>
          <w:p>
            <w:pPr>
              <w:pStyle w:val="182"/>
              <w:bidi w:val="0"/>
              <w:rPr>
                <w:b/>
                <w:bCs/>
                <w:color w:val="auto"/>
              </w:rPr>
            </w:pPr>
            <w:r>
              <w:rPr>
                <w:rFonts w:hint="eastAsia"/>
                <w:b/>
                <w:bCs/>
                <w:color w:val="auto"/>
              </w:rPr>
              <w:t>小</w:t>
            </w:r>
          </w:p>
        </w:tc>
        <w:tc>
          <w:tcPr>
            <w:tcW w:w="416" w:type="pct"/>
            <w:tcBorders>
              <w:top w:val="single" w:color="auto" w:sz="6" w:space="0"/>
              <w:left w:val="single" w:color="auto" w:sz="6" w:space="0"/>
              <w:bottom w:val="single" w:color="auto" w:sz="6" w:space="0"/>
              <w:right w:val="single" w:color="auto" w:sz="4" w:space="0"/>
            </w:tcBorders>
            <w:vAlign w:val="center"/>
          </w:tcPr>
          <w:p>
            <w:pPr>
              <w:pStyle w:val="182"/>
              <w:bidi w:val="0"/>
              <w:rPr>
                <w:b/>
                <w:bCs/>
                <w:color w:val="auto"/>
              </w:rPr>
            </w:pPr>
            <w:r>
              <w:rPr>
                <w:rFonts w:hint="eastAsia"/>
                <w:b/>
                <w:bCs/>
                <w:color w:val="auto"/>
              </w:rPr>
              <w:t>大</w:t>
            </w:r>
          </w:p>
        </w:tc>
        <w:tc>
          <w:tcPr>
            <w:tcW w:w="414" w:type="pct"/>
            <w:tcBorders>
              <w:top w:val="single" w:color="auto" w:sz="6" w:space="0"/>
              <w:left w:val="single" w:color="auto" w:sz="4" w:space="0"/>
              <w:bottom w:val="single" w:color="auto" w:sz="6" w:space="0"/>
              <w:right w:val="single" w:color="auto" w:sz="4" w:space="0"/>
            </w:tcBorders>
            <w:vAlign w:val="center"/>
          </w:tcPr>
          <w:p>
            <w:pPr>
              <w:pStyle w:val="182"/>
              <w:bidi w:val="0"/>
              <w:rPr>
                <w:b/>
                <w:bCs/>
                <w:color w:val="auto"/>
              </w:rPr>
            </w:pPr>
            <w:r>
              <w:rPr>
                <w:rFonts w:hint="eastAsia"/>
                <w:b/>
                <w:bCs/>
                <w:color w:val="auto"/>
              </w:rPr>
              <w:t>中</w:t>
            </w:r>
          </w:p>
        </w:tc>
        <w:tc>
          <w:tcPr>
            <w:tcW w:w="450" w:type="pct"/>
            <w:tcBorders>
              <w:top w:val="single" w:color="auto" w:sz="6" w:space="0"/>
              <w:left w:val="single" w:color="auto" w:sz="4" w:space="0"/>
              <w:bottom w:val="single" w:color="auto" w:sz="6" w:space="0"/>
              <w:right w:val="single" w:color="auto" w:sz="8" w:space="0"/>
            </w:tcBorders>
            <w:vAlign w:val="center"/>
          </w:tcPr>
          <w:p>
            <w:pPr>
              <w:pStyle w:val="182"/>
              <w:bidi w:val="0"/>
              <w:rPr>
                <w:b/>
                <w:bCs/>
                <w:color w:val="auto"/>
              </w:rPr>
            </w:pPr>
            <w:r>
              <w:rPr>
                <w:rFonts w:hint="eastAsia"/>
                <w:b/>
                <w:bCs/>
                <w:color w:val="auto"/>
              </w:rPr>
              <w:t>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敏感</w:t>
            </w:r>
          </w:p>
        </w:tc>
        <w:tc>
          <w:tcPr>
            <w:tcW w:w="499"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5"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7"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14" w:type="pct"/>
            <w:tcBorders>
              <w:top w:val="single" w:color="auto" w:sz="6" w:space="0"/>
              <w:left w:val="single" w:color="auto" w:sz="4"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50" w:type="pct"/>
            <w:tcBorders>
              <w:top w:val="single" w:color="auto" w:sz="6" w:space="0"/>
              <w:left w:val="single" w:color="auto" w:sz="4" w:space="0"/>
              <w:bottom w:val="single" w:color="auto" w:sz="6" w:space="0"/>
              <w:right w:val="single" w:color="auto" w:sz="8" w:space="0"/>
            </w:tcBorders>
            <w:vAlign w:val="center"/>
          </w:tcPr>
          <w:p>
            <w:pPr>
              <w:pStyle w:val="182"/>
              <w:bidi w:val="0"/>
              <w:rPr>
                <w:color w:val="auto"/>
              </w:rPr>
            </w:pPr>
            <w:r>
              <w:rPr>
                <w:rFonts w:hint="eastAsia"/>
                <w:color w:val="auto"/>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较敏感</w:t>
            </w:r>
          </w:p>
        </w:tc>
        <w:tc>
          <w:tcPr>
            <w:tcW w:w="499"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5"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7"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三级</w:t>
            </w:r>
          </w:p>
        </w:tc>
        <w:tc>
          <w:tcPr>
            <w:tcW w:w="416" w:type="pct"/>
            <w:tcBorders>
              <w:top w:val="single" w:color="auto" w:sz="6" w:space="0"/>
              <w:left w:val="single" w:color="auto" w:sz="6"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14" w:type="pct"/>
            <w:tcBorders>
              <w:top w:val="single" w:color="auto" w:sz="6" w:space="0"/>
              <w:left w:val="single" w:color="auto" w:sz="4"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50" w:type="pct"/>
            <w:tcBorders>
              <w:top w:val="single" w:color="auto" w:sz="6" w:space="0"/>
              <w:left w:val="single" w:color="auto" w:sz="4" w:space="0"/>
              <w:bottom w:val="single" w:color="auto" w:sz="6" w:space="0"/>
              <w:right w:val="single" w:color="auto" w:sz="8" w:space="0"/>
            </w:tcBorders>
            <w:vAlign w:val="center"/>
          </w:tcPr>
          <w:p>
            <w:pPr>
              <w:pStyle w:val="182"/>
              <w:bidi w:val="0"/>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不敏感</w:t>
            </w:r>
          </w:p>
        </w:tc>
        <w:tc>
          <w:tcPr>
            <w:tcW w:w="499"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一级</w:t>
            </w:r>
          </w:p>
        </w:tc>
        <w:tc>
          <w:tcPr>
            <w:tcW w:w="41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5"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三级</w:t>
            </w:r>
          </w:p>
        </w:tc>
        <w:tc>
          <w:tcPr>
            <w:tcW w:w="417"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rFonts w:hint="eastAsia"/>
                <w:color w:val="auto"/>
              </w:rPr>
              <w:t>三级</w:t>
            </w:r>
          </w:p>
        </w:tc>
        <w:tc>
          <w:tcPr>
            <w:tcW w:w="416" w:type="pct"/>
            <w:tcBorders>
              <w:top w:val="single" w:color="auto" w:sz="6" w:space="0"/>
              <w:left w:val="single" w:color="auto" w:sz="6" w:space="0"/>
              <w:bottom w:val="single" w:color="auto" w:sz="6" w:space="0"/>
              <w:right w:val="single" w:color="auto" w:sz="4" w:space="0"/>
            </w:tcBorders>
            <w:vAlign w:val="center"/>
          </w:tcPr>
          <w:p>
            <w:pPr>
              <w:pStyle w:val="182"/>
              <w:bidi w:val="0"/>
              <w:rPr>
                <w:color w:val="auto"/>
              </w:rPr>
            </w:pPr>
            <w:r>
              <w:rPr>
                <w:rFonts w:hint="eastAsia"/>
                <w:color w:val="auto"/>
              </w:rPr>
              <w:t>三级</w:t>
            </w:r>
          </w:p>
        </w:tc>
        <w:tc>
          <w:tcPr>
            <w:tcW w:w="414" w:type="pct"/>
            <w:tcBorders>
              <w:top w:val="single" w:color="auto" w:sz="6" w:space="0"/>
              <w:left w:val="single" w:color="auto" w:sz="4" w:space="0"/>
              <w:bottom w:val="single" w:color="auto" w:sz="6" w:space="0"/>
              <w:right w:val="single" w:color="auto" w:sz="4" w:space="0"/>
            </w:tcBorders>
            <w:vAlign w:val="center"/>
          </w:tcPr>
          <w:p>
            <w:pPr>
              <w:pStyle w:val="182"/>
              <w:bidi w:val="0"/>
              <w:rPr>
                <w:color w:val="auto"/>
              </w:rPr>
            </w:pPr>
            <w:r>
              <w:rPr>
                <w:color w:val="auto"/>
              </w:rPr>
              <w:t>-</w:t>
            </w:r>
          </w:p>
        </w:tc>
        <w:tc>
          <w:tcPr>
            <w:tcW w:w="450" w:type="pct"/>
            <w:tcBorders>
              <w:top w:val="single" w:color="auto" w:sz="6" w:space="0"/>
              <w:left w:val="single" w:color="auto" w:sz="4" w:space="0"/>
              <w:bottom w:val="single" w:color="auto" w:sz="6" w:space="0"/>
              <w:right w:val="single" w:color="auto" w:sz="8" w:space="0"/>
            </w:tcBorders>
            <w:vAlign w:val="center"/>
          </w:tcPr>
          <w:p>
            <w:pPr>
              <w:pStyle w:val="182"/>
              <w:bidi w:val="0"/>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5000" w:type="pct"/>
            <w:gridSpan w:val="10"/>
            <w:tcBorders>
              <w:top w:val="single" w:color="auto" w:sz="6" w:space="0"/>
              <w:left w:val="single" w:color="auto" w:sz="8" w:space="0"/>
              <w:bottom w:val="single" w:color="auto" w:sz="8" w:space="0"/>
              <w:right w:val="single" w:color="auto" w:sz="8" w:space="0"/>
            </w:tcBorders>
            <w:vAlign w:val="center"/>
          </w:tcPr>
          <w:p>
            <w:pPr>
              <w:pStyle w:val="182"/>
              <w:bidi w:val="0"/>
              <w:rPr>
                <w:color w:val="auto"/>
              </w:rPr>
            </w:pPr>
            <w:r>
              <w:rPr>
                <w:rFonts w:hint="eastAsia"/>
                <w:color w:val="auto"/>
              </w:rPr>
              <w:t>注：“</w:t>
            </w:r>
            <w:r>
              <w:rPr>
                <w:color w:val="auto"/>
              </w:rPr>
              <w:t>-</w:t>
            </w:r>
            <w:r>
              <w:rPr>
                <w:rFonts w:hint="eastAsia"/>
                <w:color w:val="auto"/>
              </w:rPr>
              <w:t>”表示可不开展土壤环境影响评价工作。</w:t>
            </w:r>
          </w:p>
        </w:tc>
      </w:tr>
    </w:tbl>
    <w:p>
      <w:pPr>
        <w:bidi w:val="0"/>
        <w:rPr>
          <w:color w:val="auto"/>
        </w:rPr>
      </w:pPr>
      <w:r>
        <w:rPr>
          <w:rFonts w:hint="eastAsia"/>
          <w:color w:val="auto"/>
        </w:rPr>
        <w:t>由上表可知，本项目的评价等级为三级，评价范围为占地范围内及占地范围外</w:t>
      </w:r>
      <w:r>
        <w:rPr>
          <w:color w:val="auto"/>
        </w:rPr>
        <w:t xml:space="preserve">50 </w:t>
      </w:r>
      <w:r>
        <w:rPr>
          <w:rFonts w:hint="eastAsia"/>
          <w:color w:val="auto"/>
        </w:rPr>
        <w:t>m范围。</w:t>
      </w:r>
    </w:p>
    <w:p>
      <w:pPr>
        <w:bidi w:val="0"/>
        <w:rPr>
          <w:color w:val="auto"/>
        </w:rPr>
      </w:pPr>
      <w:r>
        <w:rPr>
          <w:rFonts w:hint="eastAsia"/>
          <w:color w:val="auto"/>
        </w:rPr>
        <w:t>本项目土壤环境的影响类型为垂直入渗，主要影响途径为</w:t>
      </w:r>
      <w:r>
        <w:rPr>
          <w:rFonts w:hint="eastAsia"/>
          <w:color w:val="auto"/>
          <w:lang w:val="en-US" w:eastAsia="zh-CN"/>
        </w:rPr>
        <w:t>硫酸、烧碱输送管道</w:t>
      </w:r>
      <w:r>
        <w:rPr>
          <w:rFonts w:hint="eastAsia"/>
          <w:color w:val="auto"/>
        </w:rPr>
        <w:t>发生泄漏导致污染物下渗进入土壤，造成土壤污染；影响源为</w:t>
      </w:r>
      <w:r>
        <w:rPr>
          <w:rFonts w:hint="eastAsia"/>
          <w:color w:val="auto"/>
          <w:lang w:val="en-US" w:eastAsia="zh-CN"/>
        </w:rPr>
        <w:t>硫酸输送管道，</w:t>
      </w:r>
      <w:r>
        <w:rPr>
          <w:rFonts w:hint="eastAsia"/>
          <w:color w:val="auto"/>
        </w:rPr>
        <w:t>主要影响因子为</w:t>
      </w:r>
      <w:r>
        <w:rPr>
          <w:rFonts w:hint="eastAsia"/>
          <w:color w:val="auto"/>
          <w:lang w:val="en-US" w:eastAsia="zh-CN"/>
        </w:rPr>
        <w:t>硫酸及烧碱</w:t>
      </w:r>
      <w:r>
        <w:rPr>
          <w:rFonts w:hint="eastAsia"/>
          <w:color w:val="auto"/>
        </w:rPr>
        <w:t>。本项目</w:t>
      </w:r>
      <w:r>
        <w:rPr>
          <w:rFonts w:hint="eastAsia"/>
          <w:color w:val="auto"/>
          <w:lang w:val="en-US" w:eastAsia="zh-CN"/>
        </w:rPr>
        <w:t>土壤状况</w:t>
      </w:r>
      <w:r>
        <w:rPr>
          <w:rFonts w:hint="eastAsia"/>
          <w:color w:val="auto"/>
        </w:rPr>
        <w:t>符合《土壤环境质量建设用地土壤污染风险管控标准（试行）》（</w:t>
      </w:r>
      <w:r>
        <w:rPr>
          <w:color w:val="auto"/>
        </w:rPr>
        <w:t>GB36600-2018</w:t>
      </w:r>
      <w:r>
        <w:rPr>
          <w:rFonts w:hint="eastAsia"/>
          <w:color w:val="auto"/>
        </w:rPr>
        <w:t>）表</w:t>
      </w:r>
      <w:r>
        <w:rPr>
          <w:color w:val="auto"/>
        </w:rPr>
        <w:t>2</w:t>
      </w:r>
      <w:r>
        <w:rPr>
          <w:rFonts w:hint="eastAsia"/>
          <w:color w:val="auto"/>
          <w:lang w:eastAsia="zh-CN"/>
        </w:rPr>
        <w:t>－</w:t>
      </w:r>
      <w:r>
        <w:rPr>
          <w:rFonts w:hint="eastAsia"/>
          <w:color w:val="auto"/>
        </w:rPr>
        <w:t>第二类用地筛选值的限值要求。</w:t>
      </w:r>
    </w:p>
    <w:p>
      <w:pPr>
        <w:bidi w:val="0"/>
        <w:rPr>
          <w:color w:val="auto"/>
        </w:rPr>
      </w:pPr>
      <w:r>
        <w:rPr>
          <w:rFonts w:hint="eastAsia"/>
          <w:color w:val="auto"/>
        </w:rPr>
        <w:t>为了保证防渗措施的有效性，防止对土壤环境造成污染，评价要求：企业加强管理，定期维护检修，保证防渗措施的有效性和安全性；定期检查、排查问题，及时发现问题并采取措施阻隔污染源，防止进一步污染；同时，定期对附近土壤进行跟踪监测，及时掌握了解土壤变化状况，以便及时发现问题并及时采取措施。在上述各措施落实到位的情况下，不会对土壤造成重大不可逆影响。</w:t>
      </w:r>
    </w:p>
    <w:p>
      <w:pPr>
        <w:bidi w:val="0"/>
        <w:rPr>
          <w:rFonts w:ascii="Times New Roman" w:hAnsi="Times New Roman" w:eastAsia="宋体"/>
          <w:color w:val="auto"/>
        </w:rPr>
      </w:pPr>
      <w:r>
        <w:rPr>
          <w:rFonts w:hint="eastAsia"/>
          <w:color w:val="auto"/>
        </w:rPr>
        <w:t>综上所述，本项目建成后对土壤环境影响较小，本项目建设可行。</w:t>
      </w:r>
    </w:p>
    <w:p>
      <w:pPr>
        <w:pStyle w:val="7"/>
        <w:bidi w:val="0"/>
        <w:rPr>
          <w:color w:val="auto"/>
        </w:rPr>
      </w:pPr>
      <w:bookmarkStart w:id="325" w:name="_Toc32467"/>
      <w:bookmarkStart w:id="326" w:name="_Toc121078398"/>
      <w:bookmarkStart w:id="327" w:name="_Toc11571"/>
      <w:bookmarkStart w:id="328" w:name="_Toc9169"/>
      <w:bookmarkStart w:id="329" w:name="_Toc69656936"/>
      <w:bookmarkStart w:id="330" w:name="_Toc84780767"/>
      <w:r>
        <w:rPr>
          <w:rFonts w:hint="eastAsia"/>
          <w:color w:val="auto"/>
        </w:rPr>
        <w:t>5.</w:t>
      </w:r>
      <w:r>
        <w:rPr>
          <w:rFonts w:hint="eastAsia"/>
          <w:color w:val="auto"/>
          <w:lang w:val="en-US" w:eastAsia="zh-CN"/>
        </w:rPr>
        <w:t>8</w:t>
      </w:r>
      <w:r>
        <w:rPr>
          <w:rFonts w:hint="eastAsia"/>
          <w:color w:val="auto"/>
        </w:rPr>
        <w:t>生态环境影响分析</w:t>
      </w:r>
      <w:bookmarkEnd w:id="325"/>
      <w:bookmarkEnd w:id="326"/>
    </w:p>
    <w:p>
      <w:pPr>
        <w:bidi w:val="0"/>
        <w:rPr>
          <w:color w:val="auto"/>
        </w:rPr>
      </w:pPr>
      <w:r>
        <w:rPr>
          <w:rFonts w:hint="eastAsia"/>
          <w:color w:val="auto"/>
        </w:rPr>
        <w:t>本项目运营期生态环境影响主要包括土地功能变化以及对动植物的影响等。</w:t>
      </w:r>
    </w:p>
    <w:p>
      <w:pPr>
        <w:bidi w:val="0"/>
        <w:rPr>
          <w:color w:val="auto"/>
        </w:rPr>
      </w:pPr>
      <w:r>
        <w:rPr>
          <w:rFonts w:hint="eastAsia"/>
          <w:color w:val="auto"/>
        </w:rPr>
        <w:t>（1）土地功能变化</w:t>
      </w:r>
    </w:p>
    <w:p>
      <w:pPr>
        <w:bidi w:val="0"/>
        <w:rPr>
          <w:color w:val="auto"/>
        </w:rPr>
      </w:pPr>
      <w:r>
        <w:rPr>
          <w:rFonts w:hint="eastAsia"/>
          <w:color w:val="auto"/>
        </w:rPr>
        <w:t>项目在原有占地范围内改扩建，拟新增占地本次无工程内容。本次改扩建不会改变区域土地功能。</w:t>
      </w:r>
    </w:p>
    <w:p>
      <w:pPr>
        <w:bidi w:val="0"/>
        <w:rPr>
          <w:color w:val="auto"/>
        </w:rPr>
      </w:pPr>
      <w:r>
        <w:rPr>
          <w:rFonts w:hint="eastAsia"/>
          <w:color w:val="auto"/>
        </w:rPr>
        <w:t>（2）对动植物的影响</w:t>
      </w:r>
    </w:p>
    <w:p>
      <w:pPr>
        <w:bidi w:val="0"/>
        <w:rPr>
          <w:color w:val="auto"/>
        </w:rPr>
      </w:pPr>
      <w:r>
        <w:rPr>
          <w:rFonts w:hint="eastAsia"/>
          <w:color w:val="auto"/>
        </w:rPr>
        <w:t>项目营运期间，由于生境的改变以及人类活动的增加，可能会对征地范围内野生动物的栖息、觅食、繁殖等活动产生一定影响。但由于项目所在地分布的主要是小型农田动物，这些动物的迁移能力较强，且易于在附近寻找到同类生境，因此，本项目的建设不会对周边动物的种群及数量带来明显不利影响。</w:t>
      </w:r>
    </w:p>
    <w:p>
      <w:pPr>
        <w:bidi w:val="0"/>
        <w:rPr>
          <w:color w:val="auto"/>
        </w:rPr>
      </w:pPr>
      <w:r>
        <w:rPr>
          <w:rFonts w:hint="eastAsia"/>
          <w:color w:val="auto"/>
        </w:rPr>
        <w:t>工程排放的粉尘以及道路运输产生的扬尘在扩散过程中可自然沉降，附着于植物叶片上，阻塞气孔，若截留在叶片上的粉尘量多时，会造成波长为400～700n</w:t>
      </w:r>
      <w:r>
        <w:rPr>
          <w:rFonts w:hint="eastAsia"/>
          <w:color w:val="auto"/>
          <w:lang w:val="en-US" w:eastAsia="zh-CN"/>
        </w:rPr>
        <w:t>m</w:t>
      </w:r>
      <w:r>
        <w:rPr>
          <w:rFonts w:hint="eastAsia"/>
          <w:color w:val="auto"/>
        </w:rPr>
        <w:t>的太辐射光反射量增加，从而降低植物的呼吸作用和光合作用，影响植物的正常生长。同时，植物表面覆盖的颗粒物对波长750～1351nm的辐射光吸收量大大增加，形成了叶组织内的高温胁迫，增加了植物对尘的敏感性。本工程粉尘的排放量较小，所以对周围植被的影响也较小。</w:t>
      </w:r>
    </w:p>
    <w:p>
      <w:pPr>
        <w:pStyle w:val="7"/>
        <w:bidi w:val="0"/>
        <w:rPr>
          <w:color w:val="auto"/>
        </w:rPr>
      </w:pPr>
      <w:bookmarkStart w:id="331" w:name="_Toc10446"/>
      <w:r>
        <w:rPr>
          <w:color w:val="auto"/>
        </w:rPr>
        <w:t>5.</w:t>
      </w:r>
      <w:r>
        <w:rPr>
          <w:rFonts w:hint="eastAsia"/>
          <w:color w:val="auto"/>
          <w:lang w:val="en-US" w:eastAsia="zh-CN"/>
        </w:rPr>
        <w:t>9</w:t>
      </w:r>
      <w:r>
        <w:rPr>
          <w:color w:val="auto"/>
        </w:rPr>
        <w:t>环境风险影响分析评价</w:t>
      </w:r>
      <w:bookmarkEnd w:id="327"/>
      <w:bookmarkEnd w:id="328"/>
      <w:bookmarkEnd w:id="329"/>
      <w:bookmarkEnd w:id="330"/>
      <w:bookmarkEnd w:id="331"/>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根据《建设项目环境风险评价技术导则》（HJ</w:t>
      </w:r>
      <w:r>
        <w:rPr>
          <w:rFonts w:hint="eastAsia" w:ascii="Times New Roman" w:hAnsi="Times New Roman" w:eastAsia="宋体"/>
          <w:color w:val="auto"/>
          <w:lang w:val="en-US" w:eastAsia="zh-CN"/>
        </w:rPr>
        <w:t xml:space="preserve"> </w:t>
      </w:r>
      <w:r>
        <w:rPr>
          <w:rFonts w:hint="eastAsia" w:ascii="Times New Roman" w:hAnsi="Times New Roman" w:eastAsia="宋体"/>
          <w:color w:val="auto"/>
        </w:rPr>
        <w:t>169-2018），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pStyle w:val="104"/>
        <w:spacing w:line="520" w:lineRule="exact"/>
        <w:ind w:firstLineChars="200"/>
        <w:rPr>
          <w:rFonts w:hint="eastAsia" w:ascii="Times New Roman" w:hAnsi="Times New Roman" w:eastAsia="宋体"/>
          <w:color w:val="auto"/>
        </w:rPr>
      </w:pPr>
      <w:r>
        <w:rPr>
          <w:rFonts w:hint="eastAsia" w:ascii="Times New Roman" w:hAnsi="Times New Roman" w:eastAsia="宋体"/>
          <w:color w:val="auto"/>
        </w:rPr>
        <w:t>环境风险评价应把事故引起厂（场）界外人群的伤害、环境质量的恶化及对生态系统影响的预测和防护作为评价工作重点。</w:t>
      </w:r>
    </w:p>
    <w:p>
      <w:pPr>
        <w:pStyle w:val="9"/>
        <w:spacing w:line="520" w:lineRule="exact"/>
        <w:ind w:firstLineChars="200"/>
        <w:rPr>
          <w:rFonts w:hint="eastAsia"/>
          <w:b/>
          <w:bCs/>
          <w:color w:val="auto"/>
          <w:u w:val="single"/>
        </w:rPr>
      </w:pPr>
      <w:r>
        <w:rPr>
          <w:rFonts w:hint="eastAsia"/>
          <w:b/>
          <w:bCs/>
          <w:color w:val="auto"/>
          <w:u w:val="single"/>
          <w:lang w:val="en-US" w:eastAsia="zh-CN"/>
        </w:rPr>
        <w:t xml:space="preserve">5.9.1 </w:t>
      </w:r>
      <w:r>
        <w:rPr>
          <w:rFonts w:hint="eastAsia"/>
          <w:b/>
          <w:bCs/>
          <w:color w:val="auto"/>
          <w:u w:val="single"/>
        </w:rPr>
        <w:t>评价工作程序</w:t>
      </w:r>
    </w:p>
    <w:p>
      <w:pPr>
        <w:spacing w:line="520" w:lineRule="exact"/>
        <w:ind w:firstLineChars="200"/>
        <w:rPr>
          <w:rFonts w:hint="eastAsia"/>
          <w:b/>
          <w:bCs/>
          <w:color w:val="auto"/>
          <w:u w:val="single"/>
        </w:rPr>
      </w:pPr>
      <w:r>
        <w:rPr>
          <w:rFonts w:hint="eastAsia"/>
          <w:b/>
          <w:bCs/>
          <w:color w:val="auto"/>
          <w:u w:val="single"/>
        </w:rPr>
        <w:t>环境风险评价的工作程序见下图：</w:t>
      </w:r>
    </w:p>
    <w:p>
      <w:pPr>
        <w:bidi w:val="0"/>
        <w:rPr>
          <w:color w:val="auto"/>
        </w:rPr>
      </w:pPr>
      <w:r>
        <w:rPr>
          <w:color w:val="auto"/>
        </w:rPr>
        <w:drawing>
          <wp:inline distT="0" distB="0" distL="114300" distR="114300">
            <wp:extent cx="5044440" cy="5052060"/>
            <wp:effectExtent l="0" t="0" r="0" b="762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82"/>
                    <a:stretch>
                      <a:fillRect/>
                    </a:stretch>
                  </pic:blipFill>
                  <pic:spPr>
                    <a:xfrm>
                      <a:off x="0" y="0"/>
                      <a:ext cx="5044440" cy="5052060"/>
                    </a:xfrm>
                    <a:prstGeom prst="rect">
                      <a:avLst/>
                    </a:prstGeom>
                    <a:noFill/>
                    <a:ln>
                      <a:noFill/>
                    </a:ln>
                  </pic:spPr>
                </pic:pic>
              </a:graphicData>
            </a:graphic>
          </wp:inline>
        </w:drawing>
      </w:r>
    </w:p>
    <w:p>
      <w:pPr>
        <w:pStyle w:val="181"/>
        <w:spacing w:line="520" w:lineRule="exact"/>
        <w:ind w:firstLineChars="200"/>
        <w:rPr>
          <w:rFonts w:hint="eastAsia"/>
          <w:color w:val="auto"/>
          <w:u w:val="single"/>
        </w:rPr>
      </w:pPr>
      <w:r>
        <w:rPr>
          <w:rFonts w:hint="eastAsia"/>
          <w:color w:val="auto"/>
          <w:u w:val="single"/>
        </w:rPr>
        <w:t>图5</w:t>
      </w:r>
      <w:r>
        <w:rPr>
          <w:rFonts w:hint="eastAsia"/>
          <w:color w:val="auto"/>
          <w:u w:val="single"/>
          <w:lang w:val="en-US" w:eastAsia="zh-CN"/>
        </w:rPr>
        <w:t>.9</w:t>
      </w:r>
      <w:r>
        <w:rPr>
          <w:rFonts w:hint="eastAsia"/>
          <w:color w:val="auto"/>
          <w:u w:val="single"/>
        </w:rPr>
        <w:t>-</w:t>
      </w:r>
      <w:r>
        <w:rPr>
          <w:rFonts w:hint="eastAsia"/>
          <w:color w:val="auto"/>
          <w:u w:val="single"/>
          <w:lang w:val="en-US" w:eastAsia="zh-CN"/>
        </w:rPr>
        <w:t xml:space="preserve">1             </w:t>
      </w:r>
      <w:r>
        <w:rPr>
          <w:rFonts w:hint="eastAsia"/>
          <w:color w:val="auto"/>
          <w:u w:val="single"/>
        </w:rPr>
        <w:t>环境风险评价工作顺序图</w:t>
      </w:r>
    </w:p>
    <w:p>
      <w:pPr>
        <w:pStyle w:val="9"/>
        <w:bidi w:val="0"/>
        <w:rPr>
          <w:color w:val="auto"/>
        </w:rPr>
      </w:pPr>
      <w:r>
        <w:rPr>
          <w:rFonts w:hint="eastAsia"/>
          <w:color w:val="auto"/>
        </w:rPr>
        <w:t>5</w:t>
      </w:r>
      <w:r>
        <w:rPr>
          <w:color w:val="auto"/>
        </w:rPr>
        <w:t>.</w:t>
      </w:r>
      <w:r>
        <w:rPr>
          <w:rFonts w:hint="eastAsia"/>
          <w:color w:val="auto"/>
          <w:lang w:val="en-US" w:eastAsia="zh-CN"/>
        </w:rPr>
        <w:t>9</w:t>
      </w:r>
      <w:r>
        <w:rPr>
          <w:color w:val="auto"/>
        </w:rPr>
        <w:t>.</w:t>
      </w:r>
      <w:r>
        <w:rPr>
          <w:rFonts w:hint="eastAsia"/>
          <w:color w:val="auto"/>
          <w:lang w:val="en-US" w:eastAsia="zh-CN"/>
        </w:rPr>
        <w:t>2</w:t>
      </w:r>
      <w:r>
        <w:rPr>
          <w:color w:val="auto"/>
        </w:rPr>
        <w:t>风险</w:t>
      </w:r>
      <w:r>
        <w:rPr>
          <w:rFonts w:hint="eastAsia"/>
          <w:color w:val="auto"/>
        </w:rPr>
        <w:t>调查</w:t>
      </w:r>
    </w:p>
    <w:p>
      <w:pPr>
        <w:bidi w:val="0"/>
        <w:rPr>
          <w:rFonts w:hint="eastAsia"/>
          <w:b/>
          <w:bCs/>
          <w:color w:val="auto"/>
          <w:u w:val="single"/>
          <w:lang w:val="en-US" w:eastAsia="zh-CN"/>
        </w:rPr>
      </w:pPr>
      <w:r>
        <w:rPr>
          <w:rFonts w:hint="eastAsia"/>
          <w:b/>
          <w:bCs/>
          <w:color w:val="auto"/>
          <w:u w:val="single"/>
          <w:lang w:eastAsia="zh-CN"/>
        </w:rPr>
        <w:t>（</w:t>
      </w:r>
      <w:r>
        <w:rPr>
          <w:rFonts w:hint="eastAsia"/>
          <w:b/>
          <w:bCs/>
          <w:color w:val="auto"/>
          <w:u w:val="single"/>
          <w:lang w:val="en-US" w:eastAsia="zh-CN"/>
        </w:rPr>
        <w:t>1</w:t>
      </w:r>
      <w:r>
        <w:rPr>
          <w:rFonts w:hint="eastAsia"/>
          <w:b/>
          <w:bCs/>
          <w:color w:val="auto"/>
          <w:u w:val="single"/>
          <w:lang w:eastAsia="zh-CN"/>
        </w:rPr>
        <w:t>）</w:t>
      </w:r>
      <w:r>
        <w:rPr>
          <w:rFonts w:hint="eastAsia"/>
          <w:b/>
          <w:bCs/>
          <w:color w:val="auto"/>
          <w:u w:val="single"/>
        </w:rPr>
        <w:t>风险源</w:t>
      </w:r>
      <w:r>
        <w:rPr>
          <w:rFonts w:hint="eastAsia"/>
          <w:b/>
          <w:bCs/>
          <w:color w:val="auto"/>
          <w:u w:val="single"/>
          <w:lang w:val="en-US" w:eastAsia="zh-CN"/>
        </w:rPr>
        <w:t>调查</w:t>
      </w:r>
    </w:p>
    <w:p>
      <w:pPr>
        <w:bidi w:val="0"/>
        <w:rPr>
          <w:rFonts w:hint="eastAsia"/>
          <w:b/>
          <w:bCs/>
          <w:color w:val="auto"/>
          <w:u w:val="single"/>
        </w:rPr>
      </w:pPr>
      <w:r>
        <w:rPr>
          <w:rFonts w:hint="eastAsia"/>
          <w:b/>
          <w:bCs/>
          <w:color w:val="auto"/>
          <w:u w:val="single"/>
        </w:rPr>
        <w:t>本</w:t>
      </w:r>
      <w:r>
        <w:rPr>
          <w:rFonts w:hint="eastAsia"/>
          <w:b/>
          <w:bCs/>
          <w:color w:val="auto"/>
          <w:u w:val="single"/>
          <w:lang w:val="en-US" w:eastAsia="zh-CN"/>
        </w:rPr>
        <w:t>中试</w:t>
      </w:r>
      <w:r>
        <w:rPr>
          <w:rFonts w:hint="eastAsia"/>
          <w:b/>
          <w:bCs/>
          <w:color w:val="auto"/>
          <w:u w:val="single"/>
        </w:rPr>
        <w:t>项目主要风险源为固体二氧化氯释放剂</w:t>
      </w:r>
      <w:r>
        <w:rPr>
          <w:rFonts w:hint="eastAsia"/>
          <w:b/>
          <w:bCs/>
          <w:color w:val="auto"/>
          <w:u w:val="single"/>
          <w:lang w:eastAsia="zh-CN"/>
        </w:rPr>
        <w:t>、</w:t>
      </w:r>
      <w:r>
        <w:rPr>
          <w:rFonts w:hint="eastAsia"/>
          <w:b/>
          <w:bCs/>
          <w:color w:val="auto"/>
          <w:u w:val="single"/>
          <w:lang w:val="en-US" w:eastAsia="zh-CN"/>
        </w:rPr>
        <w:t>依托硫酸储罐，蒸煮工序产生的黑液不设暂存设施，坚持黑液不落地原则，直接进入五效蒸发器提取木质素混合物。</w:t>
      </w:r>
      <w:r>
        <w:rPr>
          <w:rFonts w:hint="eastAsia"/>
          <w:b/>
          <w:bCs/>
          <w:color w:val="auto"/>
          <w:u w:val="single"/>
        </w:rPr>
        <w:t>本次风险评价通过认识本项目的风险程度、危险环节和事故后果影响大小，从中提高风险管理的意识，采取必要的防范措施以减少环境危害，并提出事故应急措施和预案，达到安全生产、发展经济的目的。</w:t>
      </w:r>
    </w:p>
    <w:p>
      <w:pPr>
        <w:bidi w:val="0"/>
        <w:rPr>
          <w:rFonts w:hint="eastAsia"/>
          <w:b/>
          <w:bCs/>
          <w:color w:val="auto"/>
          <w:u w:val="single"/>
        </w:rPr>
      </w:pPr>
      <w:r>
        <w:rPr>
          <w:rFonts w:hint="eastAsia"/>
          <w:b/>
          <w:bCs/>
          <w:color w:val="auto"/>
          <w:u w:val="single"/>
        </w:rPr>
        <w:t>经查阅《建设项目环境风险评价技术导则》（HJ/T169-2018）以及《企业突发环境事件风险分级方法》附录A，确定本项目建成后的危险物质主要为</w:t>
      </w:r>
      <w:r>
        <w:rPr>
          <w:rFonts w:hint="eastAsia"/>
          <w:b/>
          <w:bCs/>
          <w:color w:val="auto"/>
          <w:u w:val="single"/>
          <w:lang w:val="en-US" w:eastAsia="zh-CN"/>
        </w:rPr>
        <w:t>固体</w:t>
      </w:r>
      <w:r>
        <w:rPr>
          <w:rFonts w:hint="eastAsia"/>
          <w:b/>
          <w:bCs/>
          <w:color w:val="auto"/>
          <w:u w:val="single"/>
        </w:rPr>
        <w:t>二氧化氯</w:t>
      </w:r>
      <w:r>
        <w:rPr>
          <w:rFonts w:hint="eastAsia"/>
          <w:b/>
          <w:bCs/>
          <w:color w:val="auto"/>
          <w:u w:val="single"/>
          <w:lang w:val="en-US" w:eastAsia="zh-CN"/>
        </w:rPr>
        <w:t>释放剂</w:t>
      </w:r>
      <w:r>
        <w:rPr>
          <w:rFonts w:hint="eastAsia"/>
          <w:b/>
          <w:bCs/>
          <w:color w:val="auto"/>
          <w:u w:val="single"/>
        </w:rPr>
        <w:t>和</w:t>
      </w:r>
      <w:r>
        <w:rPr>
          <w:rFonts w:hint="eastAsia"/>
          <w:b/>
          <w:bCs/>
          <w:color w:val="auto"/>
          <w:u w:val="single"/>
          <w:lang w:val="en-US" w:eastAsia="zh-CN"/>
        </w:rPr>
        <w:t>硫酸</w:t>
      </w:r>
      <w:r>
        <w:rPr>
          <w:rFonts w:hint="eastAsia"/>
          <w:b/>
          <w:bCs/>
          <w:color w:val="auto"/>
          <w:u w:val="single"/>
        </w:rPr>
        <w:t>，风险物质储存情况见下表：</w:t>
      </w:r>
    </w:p>
    <w:p>
      <w:pPr>
        <w:pStyle w:val="181"/>
        <w:rPr>
          <w:rFonts w:hint="default" w:eastAsia="宋体"/>
          <w:b/>
          <w:bCs/>
          <w:color w:val="auto"/>
          <w:u w:val="single"/>
          <w:lang w:val="en-US" w:eastAsia="zh-CN"/>
        </w:rPr>
      </w:pPr>
      <w:r>
        <w:rPr>
          <w:rFonts w:hint="eastAsia"/>
          <w:b/>
          <w:bCs/>
          <w:color w:val="auto"/>
          <w:u w:val="single"/>
          <w:lang w:val="en-US" w:eastAsia="zh-CN"/>
        </w:rPr>
        <w:t xml:space="preserve">表5.9-1           </w:t>
      </w:r>
      <w:r>
        <w:rPr>
          <w:rFonts w:hint="eastAsia"/>
          <w:b/>
          <w:bCs/>
          <w:color w:val="auto"/>
          <w:u w:val="single"/>
        </w:rPr>
        <w:t>风险物质最大存在量</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0"/>
        <w:gridCol w:w="1705"/>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8" w:type="pct"/>
            <w:vAlign w:val="center"/>
          </w:tcPr>
          <w:p>
            <w:pPr>
              <w:pStyle w:val="182"/>
              <w:rPr>
                <w:rFonts w:hint="eastAsia"/>
                <w:b/>
                <w:bCs/>
                <w:color w:val="auto"/>
                <w:u w:val="single"/>
                <w:lang w:val="en-US" w:eastAsia="zh-CN"/>
              </w:rPr>
            </w:pPr>
            <w:r>
              <w:rPr>
                <w:rFonts w:hint="eastAsia"/>
                <w:b/>
                <w:bCs/>
                <w:color w:val="auto"/>
                <w:u w:val="single"/>
                <w:lang w:val="en-US" w:eastAsia="zh-CN"/>
              </w:rPr>
              <w:t>物质</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最大储存量</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生产最大在线量</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最大存在量</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储存规格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8" w:type="pct"/>
            <w:vAlign w:val="center"/>
          </w:tcPr>
          <w:p>
            <w:pPr>
              <w:pStyle w:val="182"/>
              <w:rPr>
                <w:rFonts w:hint="eastAsia"/>
                <w:b/>
                <w:bCs/>
                <w:color w:val="auto"/>
                <w:u w:val="single"/>
              </w:rPr>
            </w:pPr>
            <w:r>
              <w:rPr>
                <w:rFonts w:hint="eastAsia"/>
                <w:b/>
                <w:bCs/>
                <w:color w:val="auto"/>
                <w:u w:val="single"/>
                <w:lang w:val="en-US" w:eastAsia="zh-CN"/>
              </w:rPr>
              <w:t>固体</w:t>
            </w:r>
            <w:r>
              <w:rPr>
                <w:rFonts w:hint="eastAsia"/>
                <w:b/>
                <w:bCs/>
                <w:color w:val="auto"/>
                <w:u w:val="single"/>
              </w:rPr>
              <w:t>二氧化氯</w:t>
            </w:r>
            <w:r>
              <w:rPr>
                <w:rFonts w:hint="eastAsia"/>
                <w:b/>
                <w:bCs/>
                <w:color w:val="auto"/>
                <w:u w:val="single"/>
                <w:lang w:val="en-US" w:eastAsia="zh-CN"/>
              </w:rPr>
              <w:t>释放剂</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0.3</w:t>
            </w:r>
          </w:p>
        </w:tc>
        <w:tc>
          <w:tcPr>
            <w:tcW w:w="1000"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0.3</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12袋25kg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8" w:type="pct"/>
            <w:vAlign w:val="center"/>
          </w:tcPr>
          <w:p>
            <w:pPr>
              <w:pStyle w:val="182"/>
              <w:rPr>
                <w:rFonts w:hint="eastAsia"/>
                <w:b/>
                <w:bCs/>
                <w:color w:val="auto"/>
                <w:u w:val="single"/>
              </w:rPr>
            </w:pPr>
            <w:r>
              <w:rPr>
                <w:rFonts w:hint="eastAsia"/>
                <w:b/>
                <w:bCs/>
                <w:color w:val="auto"/>
                <w:u w:val="single"/>
                <w:lang w:val="en-US" w:eastAsia="zh-CN"/>
              </w:rPr>
              <w:t>浓硫酸</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900</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1.92</w:t>
            </w:r>
          </w:p>
        </w:tc>
        <w:tc>
          <w:tcPr>
            <w:tcW w:w="1000" w:type="pct"/>
            <w:vAlign w:val="center"/>
          </w:tcPr>
          <w:p>
            <w:pPr>
              <w:pStyle w:val="182"/>
              <w:rPr>
                <w:rFonts w:hint="default"/>
                <w:b/>
                <w:bCs/>
                <w:color w:val="auto"/>
                <w:u w:val="single"/>
                <w:lang w:val="en-US" w:eastAsia="zh-CN"/>
              </w:rPr>
            </w:pPr>
            <w:r>
              <w:rPr>
                <w:rFonts w:hint="eastAsia"/>
                <w:b/>
                <w:bCs/>
                <w:color w:val="auto"/>
                <w:u w:val="single"/>
                <w:lang w:val="en-US" w:eastAsia="zh-CN"/>
              </w:rPr>
              <w:t>901.92</w:t>
            </w:r>
          </w:p>
        </w:tc>
        <w:tc>
          <w:tcPr>
            <w:tcW w:w="1000" w:type="pct"/>
            <w:vAlign w:val="center"/>
          </w:tcPr>
          <w:p>
            <w:pPr>
              <w:pStyle w:val="182"/>
              <w:rPr>
                <w:rFonts w:hint="eastAsia"/>
                <w:b/>
                <w:bCs/>
                <w:color w:val="auto"/>
                <w:u w:val="single"/>
              </w:rPr>
            </w:pPr>
            <w:r>
              <w:rPr>
                <w:rFonts w:hint="eastAsia"/>
                <w:b/>
                <w:bCs/>
                <w:color w:val="auto"/>
                <w:u w:val="single"/>
                <w:lang w:val="en-US" w:eastAsia="zh-CN"/>
              </w:rPr>
              <w:t>1个500m</w:t>
            </w:r>
            <w:r>
              <w:rPr>
                <w:rFonts w:hint="eastAsia"/>
                <w:b/>
                <w:bCs/>
                <w:color w:val="auto"/>
                <w:u w:val="single"/>
                <w:vertAlign w:val="superscript"/>
                <w:lang w:val="en-US" w:eastAsia="zh-CN"/>
              </w:rPr>
              <w:t>3</w:t>
            </w:r>
            <w:r>
              <w:rPr>
                <w:rFonts w:hint="eastAsia"/>
                <w:b/>
                <w:bCs/>
                <w:color w:val="auto"/>
                <w:u w:val="single"/>
                <w:lang w:val="en-US" w:eastAsia="zh-CN"/>
              </w:rPr>
              <w:t>的储罐</w:t>
            </w:r>
          </w:p>
        </w:tc>
      </w:tr>
    </w:tbl>
    <w:p>
      <w:pPr>
        <w:spacing w:before="64"/>
        <w:ind w:left="777"/>
        <w:rPr>
          <w:rFonts w:hint="eastAsia"/>
          <w:color w:val="auto"/>
          <w:lang w:val="en-US" w:eastAsia="zh-CN"/>
        </w:rPr>
      </w:pPr>
    </w:p>
    <w:p>
      <w:pPr>
        <w:spacing w:before="64"/>
        <w:ind w:left="0" w:firstLine="0" w:firstLineChars="0"/>
        <w:rPr>
          <w:rFonts w:hint="eastAsia"/>
          <w:color w:val="auto"/>
          <w:lang w:val="en-US" w:eastAsia="zh-CN"/>
        </w:rPr>
      </w:pPr>
      <w:r>
        <w:rPr>
          <w:color w:val="auto"/>
        </w:rPr>
        <w:drawing>
          <wp:inline distT="0" distB="0" distL="114300" distR="114300">
            <wp:extent cx="5380990" cy="4800600"/>
            <wp:effectExtent l="0" t="0" r="13970" b="0"/>
            <wp:docPr id="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
                    <pic:cNvPicPr>
                      <a:picLocks noChangeAspect="1"/>
                    </pic:cNvPicPr>
                  </pic:nvPicPr>
                  <pic:blipFill>
                    <a:blip r:embed="rId83"/>
                    <a:stretch>
                      <a:fillRect/>
                    </a:stretch>
                  </pic:blipFill>
                  <pic:spPr>
                    <a:xfrm>
                      <a:off x="0" y="0"/>
                      <a:ext cx="5380990" cy="4800600"/>
                    </a:xfrm>
                    <a:prstGeom prst="rect">
                      <a:avLst/>
                    </a:prstGeom>
                    <a:noFill/>
                    <a:ln>
                      <a:noFill/>
                    </a:ln>
                  </pic:spPr>
                </pic:pic>
              </a:graphicData>
            </a:graphic>
          </wp:inline>
        </w:drawing>
      </w:r>
    </w:p>
    <w:p>
      <w:pPr>
        <w:pStyle w:val="181"/>
        <w:spacing w:before="64"/>
        <w:ind w:left="777"/>
        <w:rPr>
          <w:rFonts w:hint="eastAsia"/>
          <w:color w:val="auto"/>
          <w:lang w:val="en-US" w:eastAsia="zh-CN"/>
        </w:rPr>
      </w:pPr>
      <w:r>
        <w:rPr>
          <w:rFonts w:hint="eastAsia"/>
          <w:color w:val="auto"/>
          <w:lang w:val="en-US" w:eastAsia="zh-CN"/>
        </w:rPr>
        <w:t xml:space="preserve">图5.9-2         </w:t>
      </w:r>
      <w:r>
        <w:rPr>
          <w:rFonts w:hint="eastAsia"/>
          <w:color w:val="auto"/>
        </w:rPr>
        <w:t>本项目四周环境敏感点示意图</w:t>
      </w:r>
    </w:p>
    <w:p>
      <w:pPr>
        <w:bidi w:val="0"/>
        <w:rPr>
          <w:rFonts w:hint="eastAsia"/>
          <w:color w:val="auto"/>
          <w:lang w:val="en-US" w:eastAsia="zh-CN"/>
        </w:rPr>
      </w:pPr>
    </w:p>
    <w:p>
      <w:pPr>
        <w:bidi w:val="0"/>
        <w:rPr>
          <w:rFonts w:hint="eastAsia"/>
          <w:color w:val="auto"/>
          <w:lang w:val="en-US" w:eastAsia="zh-CN"/>
        </w:rPr>
      </w:pPr>
    </w:p>
    <w:p>
      <w:pPr>
        <w:pStyle w:val="181"/>
        <w:spacing w:before="64"/>
        <w:ind w:left="777"/>
        <w:rPr>
          <w:color w:val="auto"/>
          <w:u w:val="none"/>
        </w:rPr>
      </w:pPr>
      <w:r>
        <w:rPr>
          <w:rFonts w:hint="eastAsia"/>
          <w:color w:val="auto"/>
          <w:u w:val="none"/>
          <w:lang w:val="en-US" w:eastAsia="zh-CN"/>
        </w:rPr>
        <w:t xml:space="preserve">表5.9-2             </w:t>
      </w:r>
      <w:r>
        <w:rPr>
          <w:color w:val="auto"/>
          <w:u w:val="none"/>
        </w:rPr>
        <w:t>评价区域敏感点情况</w:t>
      </w:r>
    </w:p>
    <w:tbl>
      <w:tblPr>
        <w:tblStyle w:val="32"/>
        <w:tblW w:w="4998"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635"/>
        <w:gridCol w:w="1886"/>
        <w:gridCol w:w="1221"/>
        <w:gridCol w:w="1225"/>
        <w:gridCol w:w="1222"/>
        <w:gridCol w:w="1069"/>
        <w:gridCol w:w="106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vMerge w:val="restart"/>
            <w:tcBorders>
              <w:bottom w:val="single" w:color="000000" w:sz="6" w:space="0"/>
              <w:right w:val="single" w:color="000000" w:sz="6" w:space="0"/>
            </w:tcBorders>
            <w:vAlign w:val="center"/>
          </w:tcPr>
          <w:p>
            <w:pPr>
              <w:pStyle w:val="182"/>
              <w:spacing w:before="106" w:line="242" w:lineRule="auto"/>
              <w:ind w:left="211" w:right="195"/>
              <w:jc w:val="left"/>
              <w:rPr>
                <w:b/>
                <w:bCs/>
                <w:color w:val="auto"/>
                <w:u w:val="single"/>
              </w:rPr>
            </w:pPr>
            <w:r>
              <w:rPr>
                <w:b/>
                <w:bCs/>
                <w:color w:val="auto"/>
                <w:u w:val="single"/>
              </w:rPr>
              <w:t>序列</w:t>
            </w:r>
          </w:p>
        </w:tc>
        <w:tc>
          <w:tcPr>
            <w:tcW w:w="1134" w:type="pct"/>
            <w:vMerge w:val="restart"/>
            <w:tcBorders>
              <w:left w:val="single" w:color="000000" w:sz="6" w:space="0"/>
              <w:bottom w:val="single" w:color="000000" w:sz="6" w:space="0"/>
              <w:right w:val="single" w:color="000000" w:sz="6" w:space="0"/>
            </w:tcBorders>
            <w:vAlign w:val="center"/>
          </w:tcPr>
          <w:p>
            <w:pPr>
              <w:pStyle w:val="182"/>
              <w:ind w:left="548"/>
              <w:jc w:val="left"/>
              <w:rPr>
                <w:b/>
                <w:bCs/>
                <w:color w:val="auto"/>
                <w:u w:val="single"/>
              </w:rPr>
            </w:pPr>
            <w:r>
              <w:rPr>
                <w:b/>
                <w:bCs/>
                <w:color w:val="auto"/>
                <w:u w:val="single"/>
              </w:rPr>
              <w:t>保护目标</w:t>
            </w:r>
          </w:p>
        </w:tc>
        <w:tc>
          <w:tcPr>
            <w:tcW w:w="1472" w:type="pct"/>
            <w:gridSpan w:val="2"/>
            <w:tcBorders>
              <w:left w:val="single" w:color="000000" w:sz="6" w:space="0"/>
              <w:bottom w:val="single" w:color="000000" w:sz="6" w:space="0"/>
              <w:right w:val="single" w:color="000000" w:sz="6" w:space="0"/>
            </w:tcBorders>
            <w:vAlign w:val="center"/>
          </w:tcPr>
          <w:p>
            <w:pPr>
              <w:pStyle w:val="182"/>
              <w:spacing w:before="48"/>
              <w:ind w:left="834"/>
              <w:jc w:val="left"/>
              <w:rPr>
                <w:b/>
                <w:bCs/>
                <w:color w:val="auto"/>
                <w:u w:val="single"/>
              </w:rPr>
            </w:pPr>
            <w:r>
              <w:rPr>
                <w:b/>
                <w:bCs/>
                <w:color w:val="auto"/>
                <w:u w:val="single"/>
              </w:rPr>
              <w:t>相对坐标</w:t>
            </w:r>
          </w:p>
        </w:tc>
        <w:tc>
          <w:tcPr>
            <w:tcW w:w="735" w:type="pct"/>
            <w:vMerge w:val="restart"/>
            <w:tcBorders>
              <w:left w:val="single" w:color="000000" w:sz="6" w:space="0"/>
              <w:bottom w:val="single" w:color="000000" w:sz="6" w:space="0"/>
              <w:right w:val="single" w:color="000000" w:sz="6" w:space="0"/>
            </w:tcBorders>
            <w:vAlign w:val="center"/>
          </w:tcPr>
          <w:p>
            <w:pPr>
              <w:pStyle w:val="182"/>
              <w:ind w:left="206"/>
              <w:jc w:val="left"/>
              <w:rPr>
                <w:b/>
                <w:bCs/>
                <w:color w:val="auto"/>
                <w:u w:val="single"/>
              </w:rPr>
            </w:pPr>
            <w:r>
              <w:rPr>
                <w:b/>
                <w:bCs/>
                <w:color w:val="auto"/>
                <w:u w:val="single"/>
              </w:rPr>
              <w:t>相对方位</w:t>
            </w:r>
          </w:p>
        </w:tc>
        <w:tc>
          <w:tcPr>
            <w:tcW w:w="643" w:type="pct"/>
            <w:vMerge w:val="restart"/>
            <w:tcBorders>
              <w:left w:val="single" w:color="000000" w:sz="6" w:space="0"/>
              <w:bottom w:val="single" w:color="000000" w:sz="6" w:space="0"/>
              <w:right w:val="single" w:color="000000" w:sz="6" w:space="0"/>
            </w:tcBorders>
            <w:vAlign w:val="center"/>
          </w:tcPr>
          <w:p>
            <w:pPr>
              <w:pStyle w:val="182"/>
              <w:spacing w:before="106" w:line="242" w:lineRule="auto"/>
              <w:ind w:left="286" w:right="109" w:hanging="159"/>
              <w:jc w:val="left"/>
              <w:rPr>
                <w:b/>
                <w:bCs/>
                <w:color w:val="auto"/>
                <w:u w:val="single"/>
              </w:rPr>
            </w:pPr>
            <w:r>
              <w:rPr>
                <w:b/>
                <w:bCs/>
                <w:color w:val="auto"/>
                <w:u w:val="single"/>
              </w:rPr>
              <w:t>距项目距离(m)</w:t>
            </w:r>
          </w:p>
        </w:tc>
        <w:tc>
          <w:tcPr>
            <w:tcW w:w="641" w:type="pct"/>
            <w:vMerge w:val="restart"/>
            <w:tcBorders>
              <w:left w:val="single" w:color="000000" w:sz="6" w:space="0"/>
              <w:bottom w:val="single" w:color="000000" w:sz="6" w:space="0"/>
            </w:tcBorders>
            <w:vAlign w:val="center"/>
          </w:tcPr>
          <w:p>
            <w:pPr>
              <w:pStyle w:val="182"/>
              <w:ind w:left="338"/>
              <w:jc w:val="left"/>
              <w:rPr>
                <w:b/>
                <w:bCs/>
                <w:color w:val="auto"/>
                <w:u w:val="single"/>
              </w:rPr>
            </w:pPr>
            <w:r>
              <w:rPr>
                <w:b/>
                <w:bCs/>
                <w:color w:val="auto"/>
                <w:u w:val="single"/>
              </w:rPr>
              <w:t>人口</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vMerge w:val="continue"/>
            <w:tcBorders>
              <w:top w:val="nil"/>
              <w:bottom w:val="single" w:color="000000" w:sz="6" w:space="0"/>
              <w:right w:val="single" w:color="000000" w:sz="6" w:space="0"/>
            </w:tcBorders>
            <w:vAlign w:val="center"/>
          </w:tcPr>
          <w:p>
            <w:pPr>
              <w:pStyle w:val="182"/>
              <w:rPr>
                <w:b/>
                <w:bCs/>
                <w:color w:val="auto"/>
                <w:u w:val="single"/>
              </w:rPr>
            </w:pPr>
          </w:p>
        </w:tc>
        <w:tc>
          <w:tcPr>
            <w:tcW w:w="1134" w:type="pct"/>
            <w:vMerge w:val="continue"/>
            <w:tcBorders>
              <w:top w:val="nil"/>
              <w:left w:val="single" w:color="000000" w:sz="6" w:space="0"/>
              <w:bottom w:val="single" w:color="000000" w:sz="6" w:space="0"/>
              <w:right w:val="single" w:color="000000" w:sz="6" w:space="0"/>
            </w:tcBorders>
            <w:vAlign w:val="center"/>
          </w:tcPr>
          <w:p>
            <w:pPr>
              <w:pStyle w:val="182"/>
              <w:rPr>
                <w:b/>
                <w:bCs/>
                <w:color w:val="auto"/>
                <w:u w:val="single"/>
              </w:rPr>
            </w:pP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9"/>
              <w:rPr>
                <w:b/>
                <w:bCs/>
                <w:color w:val="auto"/>
                <w:u w:val="single"/>
              </w:rPr>
            </w:pPr>
            <w:r>
              <w:rPr>
                <w:b/>
                <w:bCs/>
                <w:color w:val="auto"/>
                <w:u w:val="single"/>
              </w:rPr>
              <w:t>X</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7"/>
              <w:rPr>
                <w:b/>
                <w:bCs/>
                <w:color w:val="auto"/>
                <w:u w:val="single"/>
              </w:rPr>
            </w:pPr>
            <w:r>
              <w:rPr>
                <w:b/>
                <w:bCs/>
                <w:color w:val="auto"/>
                <w:u w:val="single"/>
              </w:rPr>
              <w:t>Y</w:t>
            </w:r>
          </w:p>
        </w:tc>
        <w:tc>
          <w:tcPr>
            <w:tcW w:w="735" w:type="pct"/>
            <w:vMerge w:val="continue"/>
            <w:tcBorders>
              <w:top w:val="nil"/>
              <w:left w:val="single" w:color="000000" w:sz="6" w:space="0"/>
              <w:bottom w:val="single" w:color="000000" w:sz="6" w:space="0"/>
              <w:right w:val="single" w:color="000000" w:sz="6" w:space="0"/>
            </w:tcBorders>
            <w:vAlign w:val="center"/>
          </w:tcPr>
          <w:p>
            <w:pPr>
              <w:pStyle w:val="182"/>
              <w:rPr>
                <w:b/>
                <w:bCs/>
                <w:color w:val="auto"/>
                <w:u w:val="single"/>
              </w:rPr>
            </w:pPr>
          </w:p>
        </w:tc>
        <w:tc>
          <w:tcPr>
            <w:tcW w:w="643" w:type="pct"/>
            <w:vMerge w:val="continue"/>
            <w:tcBorders>
              <w:top w:val="nil"/>
              <w:left w:val="single" w:color="000000" w:sz="6" w:space="0"/>
              <w:bottom w:val="single" w:color="000000" w:sz="6" w:space="0"/>
              <w:right w:val="single" w:color="000000" w:sz="6" w:space="0"/>
            </w:tcBorders>
            <w:vAlign w:val="center"/>
          </w:tcPr>
          <w:p>
            <w:pPr>
              <w:pStyle w:val="182"/>
              <w:rPr>
                <w:b/>
                <w:bCs/>
                <w:color w:val="auto"/>
                <w:u w:val="single"/>
              </w:rPr>
            </w:pPr>
          </w:p>
        </w:tc>
        <w:tc>
          <w:tcPr>
            <w:tcW w:w="641" w:type="pct"/>
            <w:vMerge w:val="continue"/>
            <w:tcBorders>
              <w:top w:val="nil"/>
              <w:left w:val="single" w:color="000000" w:sz="6" w:space="0"/>
              <w:bottom w:val="single" w:color="000000" w:sz="6" w:space="0"/>
            </w:tcBorders>
            <w:vAlign w:val="center"/>
          </w:tcPr>
          <w:p>
            <w:pPr>
              <w:pStyle w:val="182"/>
              <w:rPr>
                <w:b/>
                <w:bCs/>
                <w:color w:val="auto"/>
                <w:u w:val="singl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5"/>
              <w:rPr>
                <w:b/>
                <w:bCs/>
                <w:color w:val="auto"/>
                <w:u w:val="single"/>
              </w:rPr>
            </w:pPr>
            <w:r>
              <w:rPr>
                <w:b/>
                <w:bCs/>
                <w:color w:val="auto"/>
                <w:u w:val="single"/>
              </w:rPr>
              <w:t>1</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沙门村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2859</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74</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6"/>
              <w:rPr>
                <w:b/>
                <w:bCs/>
                <w:color w:val="auto"/>
                <w:u w:val="single"/>
              </w:rPr>
            </w:pPr>
            <w:r>
              <w:rPr>
                <w:b/>
                <w:bCs/>
                <w:color w:val="auto"/>
                <w:u w:val="single"/>
              </w:rPr>
              <w:t>东</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2820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5"/>
              <w:rPr>
                <w:b/>
                <w:bCs/>
                <w:color w:val="auto"/>
                <w:u w:val="single"/>
              </w:rPr>
            </w:pPr>
            <w:r>
              <w:rPr>
                <w:b/>
                <w:bCs/>
                <w:color w:val="auto"/>
                <w:u w:val="single"/>
              </w:rPr>
              <w:t>2</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大杨庄</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1595</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-390</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东南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rFonts w:hint="default"/>
                <w:b/>
                <w:bCs/>
                <w:color w:val="auto"/>
                <w:u w:val="single"/>
                <w:lang w:val="en-US" w:eastAsia="zh-CN"/>
              </w:rPr>
            </w:pPr>
            <w:r>
              <w:rPr>
                <w:rFonts w:hint="eastAsia"/>
                <w:b/>
                <w:bCs/>
                <w:color w:val="auto"/>
                <w:u w:val="single"/>
                <w:lang w:val="en-US" w:eastAsia="zh-CN"/>
              </w:rPr>
              <w:t>1846</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1300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5"/>
              <w:rPr>
                <w:b/>
                <w:bCs/>
                <w:color w:val="auto"/>
                <w:u w:val="single"/>
              </w:rPr>
            </w:pPr>
            <w:r>
              <w:rPr>
                <w:b/>
                <w:bCs/>
                <w:color w:val="auto"/>
                <w:u w:val="single"/>
              </w:rPr>
              <w:t>3</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姚庄</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-522</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8"/>
              <w:rPr>
                <w:b/>
                <w:bCs/>
                <w:color w:val="auto"/>
                <w:u w:val="single"/>
              </w:rPr>
            </w:pPr>
            <w:r>
              <w:rPr>
                <w:b/>
                <w:bCs/>
                <w:color w:val="auto"/>
                <w:u w:val="single"/>
              </w:rPr>
              <w:t>-1028</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1075</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856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5"/>
              <w:rPr>
                <w:b/>
                <w:bCs/>
                <w:color w:val="auto"/>
                <w:u w:val="single"/>
              </w:rPr>
            </w:pPr>
            <w:r>
              <w:rPr>
                <w:b/>
                <w:bCs/>
                <w:color w:val="auto"/>
                <w:u w:val="single"/>
              </w:rPr>
              <w:t>4</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夏庄</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-778</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-693</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rFonts w:hint="default"/>
                <w:b/>
                <w:bCs/>
                <w:color w:val="auto"/>
                <w:u w:val="single"/>
                <w:lang w:val="en-US" w:eastAsia="zh-CN"/>
              </w:rPr>
            </w:pPr>
            <w:r>
              <w:rPr>
                <w:rFonts w:hint="eastAsia"/>
                <w:b/>
                <w:bCs/>
                <w:color w:val="auto"/>
                <w:u w:val="single"/>
                <w:lang w:val="en-US" w:eastAsia="zh-CN"/>
              </w:rPr>
              <w:t>600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5"/>
              <w:rPr>
                <w:b/>
                <w:bCs/>
                <w:color w:val="auto"/>
                <w:u w:val="single"/>
              </w:rPr>
            </w:pPr>
            <w:r>
              <w:rPr>
                <w:b/>
                <w:bCs/>
                <w:color w:val="auto"/>
                <w:u w:val="single"/>
              </w:rPr>
              <w:t>5</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北张兴庄</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5"/>
              <w:rPr>
                <w:b/>
                <w:bCs/>
                <w:color w:val="auto"/>
                <w:u w:val="single"/>
              </w:rPr>
            </w:pPr>
            <w:r>
              <w:rPr>
                <w:b/>
                <w:bCs/>
                <w:color w:val="auto"/>
                <w:u w:val="single"/>
              </w:rPr>
              <w:t>570</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1892</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东北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1325</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412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5"/>
              <w:rPr>
                <w:b/>
                <w:bCs/>
                <w:color w:val="auto"/>
                <w:u w:val="single"/>
              </w:rPr>
            </w:pPr>
            <w:r>
              <w:rPr>
                <w:b/>
                <w:bCs/>
                <w:color w:val="auto"/>
                <w:u w:val="single"/>
              </w:rPr>
              <w:t>6</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贾堤社区</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1307</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1855</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东北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1685</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600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5"/>
              <w:rPr>
                <w:b/>
                <w:bCs/>
                <w:color w:val="auto"/>
                <w:u w:val="single"/>
              </w:rPr>
            </w:pPr>
            <w:r>
              <w:rPr>
                <w:b/>
                <w:bCs/>
                <w:color w:val="auto"/>
                <w:u w:val="single"/>
              </w:rPr>
              <w:t>7</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榆林新村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2258</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-443</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东南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2187</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5"/>
              <w:rPr>
                <w:b/>
                <w:bCs/>
                <w:color w:val="auto"/>
                <w:u w:val="single"/>
              </w:rPr>
            </w:pPr>
            <w:r>
              <w:rPr>
                <w:b/>
                <w:bCs/>
                <w:color w:val="auto"/>
                <w:u w:val="single"/>
              </w:rPr>
              <w:t>8</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龙王庙村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3361</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8"/>
              <w:rPr>
                <w:b/>
                <w:bCs/>
                <w:color w:val="auto"/>
                <w:u w:val="single"/>
              </w:rPr>
            </w:pPr>
            <w:r>
              <w:rPr>
                <w:b/>
                <w:bCs/>
                <w:color w:val="auto"/>
                <w:u w:val="single"/>
              </w:rPr>
              <w:t>-1069</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东南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3214</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1050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5"/>
              <w:rPr>
                <w:b/>
                <w:bCs/>
                <w:color w:val="auto"/>
                <w:u w:val="single"/>
              </w:rPr>
            </w:pPr>
            <w:r>
              <w:rPr>
                <w:b/>
                <w:bCs/>
                <w:color w:val="auto"/>
                <w:u w:val="single"/>
              </w:rPr>
              <w:t>9</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获小庄村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-1593</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8"/>
              <w:rPr>
                <w:b/>
                <w:bCs/>
                <w:color w:val="auto"/>
                <w:u w:val="single"/>
              </w:rPr>
            </w:pPr>
            <w:r>
              <w:rPr>
                <w:b/>
                <w:bCs/>
                <w:color w:val="auto"/>
                <w:u w:val="single"/>
              </w:rPr>
              <w:t>-1320</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2078</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600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10</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贾李庄村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-2832</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8"/>
              <w:rPr>
                <w:b/>
                <w:bCs/>
                <w:color w:val="auto"/>
                <w:u w:val="single"/>
              </w:rPr>
            </w:pPr>
            <w:r>
              <w:rPr>
                <w:b/>
                <w:bCs/>
                <w:color w:val="auto"/>
                <w:u w:val="single"/>
              </w:rPr>
              <w:t>-1736</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3360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400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11</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张兴庄村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-1410</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852</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1450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398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12</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魏堤社区</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-1645</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654</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rFonts w:hint="default"/>
                <w:b/>
                <w:bCs/>
                <w:color w:val="auto"/>
                <w:u w:val="single"/>
                <w:lang w:val="en-US" w:eastAsia="zh-CN"/>
              </w:rPr>
            </w:pPr>
            <w:r>
              <w:rPr>
                <w:rFonts w:hint="eastAsia"/>
                <w:b/>
                <w:bCs/>
                <w:color w:val="auto"/>
                <w:u w:val="single"/>
                <w:lang w:val="en-US" w:eastAsia="zh-CN"/>
              </w:rPr>
              <w:t>980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280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13</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冯堤社区</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-1473</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638</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rFonts w:hint="default"/>
                <w:b/>
                <w:bCs/>
                <w:color w:val="auto"/>
                <w:u w:val="single"/>
                <w:lang w:val="en-US" w:eastAsia="zh-CN"/>
              </w:rPr>
            </w:pPr>
            <w:r>
              <w:rPr>
                <w:b/>
                <w:bCs/>
                <w:color w:val="auto"/>
                <w:u w:val="single"/>
              </w:rPr>
              <w:t>1</w:t>
            </w:r>
            <w:r>
              <w:rPr>
                <w:rFonts w:hint="eastAsia"/>
                <w:b/>
                <w:bCs/>
                <w:color w:val="auto"/>
                <w:u w:val="single"/>
                <w:lang w:val="en-US" w:eastAsia="zh-CN"/>
              </w:rPr>
              <w:t>100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320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14</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樊李社区</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-1620</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1526</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1550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560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15</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格林小镇北区</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-950</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1842</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1670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1900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16</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新联学院</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-364</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1842</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6"/>
              <w:rPr>
                <w:b/>
                <w:bCs/>
                <w:color w:val="auto"/>
                <w:u w:val="single"/>
              </w:rPr>
            </w:pPr>
            <w:r>
              <w:rPr>
                <w:b/>
                <w:bCs/>
                <w:color w:val="auto"/>
                <w:u w:val="single"/>
              </w:rPr>
              <w:t>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1438</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6"/>
              <w:rPr>
                <w:b/>
                <w:bCs/>
                <w:color w:val="auto"/>
                <w:u w:val="single"/>
              </w:rPr>
            </w:pPr>
            <w:r>
              <w:rPr>
                <w:b/>
                <w:bCs/>
                <w:color w:val="auto"/>
                <w:u w:val="single"/>
              </w:rPr>
              <w:t>19000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17</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新城花园</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-326</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2324</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6"/>
              <w:rPr>
                <w:b/>
                <w:bCs/>
                <w:color w:val="auto"/>
                <w:u w:val="single"/>
              </w:rPr>
            </w:pPr>
            <w:r>
              <w:rPr>
                <w:b/>
                <w:bCs/>
                <w:color w:val="auto"/>
                <w:u w:val="single"/>
              </w:rPr>
              <w:t>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1930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240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18</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小杨庄村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5"/>
              <w:rPr>
                <w:b/>
                <w:bCs/>
                <w:color w:val="auto"/>
                <w:u w:val="single"/>
              </w:rPr>
            </w:pPr>
            <w:r>
              <w:rPr>
                <w:b/>
                <w:bCs/>
                <w:color w:val="auto"/>
                <w:u w:val="single"/>
              </w:rPr>
              <w:t>208</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3091</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6"/>
              <w:rPr>
                <w:b/>
                <w:bCs/>
                <w:color w:val="auto"/>
                <w:u w:val="single"/>
              </w:rPr>
            </w:pPr>
            <w:r>
              <w:rPr>
                <w:b/>
                <w:bCs/>
                <w:color w:val="auto"/>
                <w:u w:val="single"/>
              </w:rPr>
              <w:t>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2660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650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19</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李胡寨村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-1537</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2467</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rFonts w:hint="default"/>
                <w:b/>
                <w:bCs/>
                <w:color w:val="auto"/>
                <w:u w:val="single"/>
                <w:lang w:val="en-US" w:eastAsia="zh-CN"/>
              </w:rPr>
            </w:pPr>
            <w:r>
              <w:rPr>
                <w:rFonts w:hint="eastAsia"/>
                <w:b/>
                <w:bCs/>
                <w:color w:val="auto"/>
                <w:u w:val="single"/>
                <w:lang w:val="en-US" w:eastAsia="zh-CN"/>
              </w:rPr>
              <w:t>2488</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20</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郑庄村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-1131</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3324</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3140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600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21</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樊庄村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-2689</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2467</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3410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1180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22</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孟电观澜壹号</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-1319</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1850</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1950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8100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23</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润华美丽谷</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-1492</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1865</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rFonts w:hint="default"/>
                <w:b/>
                <w:bCs/>
                <w:color w:val="auto"/>
                <w:u w:val="single"/>
                <w:lang w:val="en-US" w:eastAsia="zh-CN"/>
              </w:rPr>
            </w:pPr>
            <w:r>
              <w:rPr>
                <w:rFonts w:hint="eastAsia"/>
                <w:b/>
                <w:bCs/>
                <w:color w:val="auto"/>
                <w:u w:val="single"/>
                <w:lang w:val="en-US" w:eastAsia="zh-CN"/>
              </w:rPr>
              <w:t>1950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3100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24</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建业春天里</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-1756</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1850</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rFonts w:hint="default"/>
                <w:b/>
                <w:bCs/>
                <w:color w:val="auto"/>
                <w:u w:val="single"/>
                <w:lang w:val="en-US" w:eastAsia="zh-CN"/>
              </w:rPr>
            </w:pPr>
            <w:r>
              <w:rPr>
                <w:rFonts w:hint="eastAsia"/>
                <w:b/>
                <w:bCs/>
                <w:color w:val="auto"/>
                <w:u w:val="single"/>
                <w:lang w:val="en-US" w:eastAsia="zh-CN"/>
              </w:rPr>
              <w:t>2136</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4000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25</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格林小镇南区</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-973</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1594</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1410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2000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26</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靖业云溪九里</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-499</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2000</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1557</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5000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27</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紫东上院</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-1086</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1865</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1810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28</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太行堤遗址公园</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1089</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-136</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6"/>
              <w:rPr>
                <w:b/>
                <w:bCs/>
                <w:color w:val="auto"/>
                <w:u w:val="single"/>
              </w:rPr>
            </w:pPr>
            <w:r>
              <w:rPr>
                <w:b/>
                <w:bCs/>
                <w:color w:val="auto"/>
                <w:u w:val="single"/>
              </w:rPr>
              <w:t>东</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900</w:t>
            </w:r>
          </w:p>
        </w:tc>
        <w:tc>
          <w:tcPr>
            <w:tcW w:w="641" w:type="pct"/>
            <w:tcBorders>
              <w:top w:val="single" w:color="000000" w:sz="6" w:space="0"/>
              <w:left w:val="single" w:color="000000" w:sz="6" w:space="0"/>
              <w:bottom w:val="single" w:color="000000" w:sz="6" w:space="0"/>
            </w:tcBorders>
            <w:vAlign w:val="center"/>
          </w:tcPr>
          <w:p>
            <w:pPr>
              <w:pStyle w:val="182"/>
              <w:spacing w:before="62"/>
              <w:ind w:left="19"/>
              <w:rPr>
                <w:b/>
                <w:bCs/>
                <w:color w:val="auto"/>
                <w:u w:val="single"/>
              </w:rPr>
            </w:pPr>
            <w:r>
              <w:rPr>
                <w:b/>
                <w:bCs/>
                <w:color w:val="auto"/>
                <w:u w:val="single"/>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29</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小王庄村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5"/>
              <w:rPr>
                <w:b/>
                <w:bCs/>
                <w:color w:val="auto"/>
                <w:u w:val="single"/>
              </w:rPr>
            </w:pPr>
            <w:r>
              <w:rPr>
                <w:b/>
                <w:bCs/>
                <w:color w:val="auto"/>
                <w:u w:val="single"/>
              </w:rPr>
              <w:t>928</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4330</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东北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3990</w:t>
            </w:r>
          </w:p>
        </w:tc>
        <w:tc>
          <w:tcPr>
            <w:tcW w:w="641" w:type="pct"/>
            <w:vMerge w:val="restart"/>
            <w:tcBorders>
              <w:top w:val="single" w:color="000000" w:sz="6" w:space="0"/>
              <w:left w:val="single" w:color="000000" w:sz="6" w:space="0"/>
              <w:bottom w:val="single" w:color="000000" w:sz="6" w:space="0"/>
            </w:tcBorders>
            <w:vAlign w:val="center"/>
          </w:tcPr>
          <w:p>
            <w:pPr>
              <w:pStyle w:val="182"/>
              <w:spacing w:before="10"/>
              <w:jc w:val="left"/>
              <w:rPr>
                <w:b/>
                <w:bCs/>
                <w:color w:val="auto"/>
                <w:u w:val="single"/>
              </w:rPr>
            </w:pPr>
          </w:p>
          <w:p>
            <w:pPr>
              <w:pStyle w:val="182"/>
              <w:spacing w:before="1"/>
              <w:ind w:left="338"/>
              <w:jc w:val="left"/>
              <w:rPr>
                <w:b/>
                <w:bCs/>
                <w:color w:val="auto"/>
                <w:u w:val="single"/>
              </w:rPr>
            </w:pPr>
            <w:r>
              <w:rPr>
                <w:b/>
                <w:bCs/>
                <w:color w:val="auto"/>
                <w:u w:val="single"/>
              </w:rPr>
              <w:t>8100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30</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7" w:right="91"/>
              <w:rPr>
                <w:b/>
                <w:bCs/>
                <w:color w:val="auto"/>
                <w:u w:val="single"/>
              </w:rPr>
            </w:pPr>
            <w:r>
              <w:rPr>
                <w:b/>
                <w:bCs/>
                <w:color w:val="auto"/>
                <w:u w:val="single"/>
              </w:rPr>
              <w:t>东屯镇</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1545</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4861</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东北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4480</w:t>
            </w:r>
          </w:p>
        </w:tc>
        <w:tc>
          <w:tcPr>
            <w:tcW w:w="641" w:type="pct"/>
            <w:vMerge w:val="continue"/>
            <w:tcBorders>
              <w:top w:val="nil"/>
              <w:left w:val="single" w:color="000000" w:sz="6" w:space="0"/>
              <w:bottom w:val="single" w:color="000000" w:sz="6" w:space="0"/>
            </w:tcBorders>
            <w:vAlign w:val="center"/>
          </w:tcPr>
          <w:p>
            <w:pPr>
              <w:pStyle w:val="182"/>
              <w:rPr>
                <w:b/>
                <w:bCs/>
                <w:color w:val="auto"/>
                <w:u w:val="singl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31</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水花堡村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2585</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3528</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东北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4010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600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32</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汲津铺村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3647</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3583</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8"/>
              <w:ind w:left="133" w:right="120"/>
              <w:rPr>
                <w:b/>
                <w:bCs/>
                <w:color w:val="auto"/>
                <w:u w:val="single"/>
              </w:rPr>
            </w:pPr>
            <w:r>
              <w:rPr>
                <w:b/>
                <w:bCs/>
                <w:color w:val="auto"/>
                <w:u w:val="single"/>
              </w:rPr>
              <w:t>东北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4750</w:t>
            </w:r>
          </w:p>
        </w:tc>
        <w:tc>
          <w:tcPr>
            <w:tcW w:w="641" w:type="pct"/>
            <w:tcBorders>
              <w:top w:val="single" w:color="000000" w:sz="6" w:space="0"/>
              <w:left w:val="single" w:color="000000" w:sz="6" w:space="0"/>
              <w:bottom w:val="single" w:color="000000" w:sz="6" w:space="0"/>
            </w:tcBorders>
            <w:vAlign w:val="center"/>
          </w:tcPr>
          <w:p>
            <w:pPr>
              <w:pStyle w:val="182"/>
              <w:spacing w:before="62"/>
              <w:ind w:left="186" w:right="164"/>
              <w:rPr>
                <w:b/>
                <w:bCs/>
                <w:color w:val="auto"/>
                <w:u w:val="single"/>
              </w:rPr>
            </w:pPr>
            <w:r>
              <w:rPr>
                <w:b/>
                <w:bCs/>
                <w:color w:val="auto"/>
                <w:u w:val="single"/>
              </w:rPr>
              <w:t>1550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6" w:hRule="atLeast"/>
          <w:jc w:val="center"/>
        </w:trPr>
        <w:tc>
          <w:tcPr>
            <w:tcW w:w="372" w:type="pct"/>
            <w:tcBorders>
              <w:top w:val="single" w:color="000000" w:sz="6" w:space="0"/>
              <w:right w:val="single" w:color="000000" w:sz="6" w:space="0"/>
            </w:tcBorders>
            <w:vAlign w:val="center"/>
          </w:tcPr>
          <w:p>
            <w:pPr>
              <w:pStyle w:val="182"/>
              <w:spacing w:before="62"/>
              <w:ind w:left="191" w:right="176"/>
              <w:rPr>
                <w:b/>
                <w:bCs/>
                <w:color w:val="auto"/>
                <w:u w:val="single"/>
              </w:rPr>
            </w:pPr>
            <w:r>
              <w:rPr>
                <w:b/>
                <w:bCs/>
                <w:color w:val="auto"/>
                <w:u w:val="single"/>
              </w:rPr>
              <w:t>33</w:t>
            </w:r>
          </w:p>
        </w:tc>
        <w:tc>
          <w:tcPr>
            <w:tcW w:w="1134" w:type="pct"/>
            <w:tcBorders>
              <w:top w:val="single" w:color="000000" w:sz="6" w:space="0"/>
              <w:left w:val="single" w:color="000000" w:sz="6" w:space="0"/>
              <w:right w:val="single" w:color="000000" w:sz="6" w:space="0"/>
            </w:tcBorders>
            <w:vAlign w:val="center"/>
          </w:tcPr>
          <w:p>
            <w:pPr>
              <w:pStyle w:val="182"/>
              <w:spacing w:before="48"/>
              <w:ind w:left="109" w:right="91"/>
              <w:rPr>
                <w:b/>
                <w:bCs/>
                <w:color w:val="auto"/>
                <w:u w:val="single"/>
              </w:rPr>
            </w:pPr>
            <w:r>
              <w:rPr>
                <w:b/>
                <w:bCs/>
                <w:color w:val="auto"/>
                <w:u w:val="single"/>
              </w:rPr>
              <w:t>第五疃村</w:t>
            </w:r>
          </w:p>
        </w:tc>
        <w:tc>
          <w:tcPr>
            <w:tcW w:w="735" w:type="pct"/>
            <w:tcBorders>
              <w:top w:val="single" w:color="000000" w:sz="6" w:space="0"/>
              <w:left w:val="single" w:color="000000" w:sz="6" w:space="0"/>
              <w:right w:val="single" w:color="000000" w:sz="6" w:space="0"/>
            </w:tcBorders>
            <w:vAlign w:val="center"/>
          </w:tcPr>
          <w:p>
            <w:pPr>
              <w:pStyle w:val="182"/>
              <w:spacing w:before="62"/>
              <w:ind w:left="135" w:right="117"/>
              <w:rPr>
                <w:b/>
                <w:bCs/>
                <w:color w:val="auto"/>
                <w:u w:val="single"/>
              </w:rPr>
            </w:pPr>
            <w:r>
              <w:rPr>
                <w:b/>
                <w:bCs/>
                <w:color w:val="auto"/>
                <w:u w:val="single"/>
              </w:rPr>
              <w:t>-3915</w:t>
            </w:r>
          </w:p>
        </w:tc>
        <w:tc>
          <w:tcPr>
            <w:tcW w:w="736" w:type="pct"/>
            <w:tcBorders>
              <w:top w:val="single" w:color="000000" w:sz="6" w:space="0"/>
              <w:left w:val="single" w:color="000000" w:sz="6" w:space="0"/>
              <w:right w:val="single" w:color="000000" w:sz="6" w:space="0"/>
            </w:tcBorders>
            <w:vAlign w:val="center"/>
          </w:tcPr>
          <w:p>
            <w:pPr>
              <w:pStyle w:val="182"/>
              <w:spacing w:before="62"/>
              <w:ind w:left="364" w:right="345"/>
              <w:rPr>
                <w:b/>
                <w:bCs/>
                <w:color w:val="auto"/>
                <w:u w:val="single"/>
              </w:rPr>
            </w:pPr>
            <w:r>
              <w:rPr>
                <w:b/>
                <w:bCs/>
                <w:color w:val="auto"/>
                <w:u w:val="single"/>
              </w:rPr>
              <w:t>225</w:t>
            </w:r>
          </w:p>
        </w:tc>
        <w:tc>
          <w:tcPr>
            <w:tcW w:w="735" w:type="pct"/>
            <w:tcBorders>
              <w:top w:val="single" w:color="000000" w:sz="6" w:space="0"/>
              <w:left w:val="single" w:color="000000" w:sz="6" w:space="0"/>
              <w:right w:val="single" w:color="000000" w:sz="6" w:space="0"/>
            </w:tcBorders>
            <w:vAlign w:val="center"/>
          </w:tcPr>
          <w:p>
            <w:pPr>
              <w:pStyle w:val="182"/>
              <w:spacing w:before="48"/>
              <w:ind w:left="16"/>
              <w:rPr>
                <w:b/>
                <w:bCs/>
                <w:color w:val="auto"/>
                <w:u w:val="single"/>
              </w:rPr>
            </w:pPr>
            <w:r>
              <w:rPr>
                <w:b/>
                <w:bCs/>
                <w:color w:val="auto"/>
                <w:u w:val="single"/>
              </w:rPr>
              <w:t>西</w:t>
            </w:r>
          </w:p>
        </w:tc>
        <w:tc>
          <w:tcPr>
            <w:tcW w:w="643" w:type="pct"/>
            <w:tcBorders>
              <w:top w:val="single" w:color="000000" w:sz="6" w:space="0"/>
              <w:left w:val="single" w:color="000000" w:sz="6" w:space="0"/>
              <w:right w:val="single" w:color="000000" w:sz="6" w:space="0"/>
            </w:tcBorders>
            <w:vAlign w:val="center"/>
          </w:tcPr>
          <w:p>
            <w:pPr>
              <w:pStyle w:val="182"/>
              <w:spacing w:before="62"/>
              <w:ind w:left="266" w:right="249"/>
              <w:rPr>
                <w:b/>
                <w:bCs/>
                <w:color w:val="auto"/>
                <w:u w:val="single"/>
              </w:rPr>
            </w:pPr>
            <w:r>
              <w:rPr>
                <w:b/>
                <w:bCs/>
                <w:color w:val="auto"/>
                <w:u w:val="single"/>
              </w:rPr>
              <w:t>3868</w:t>
            </w:r>
          </w:p>
        </w:tc>
        <w:tc>
          <w:tcPr>
            <w:tcW w:w="641" w:type="pct"/>
            <w:tcBorders>
              <w:top w:val="single" w:color="000000" w:sz="6" w:space="0"/>
              <w:left w:val="single" w:color="000000" w:sz="6" w:space="0"/>
            </w:tcBorders>
            <w:vAlign w:val="center"/>
          </w:tcPr>
          <w:p>
            <w:pPr>
              <w:pStyle w:val="182"/>
              <w:spacing w:before="62"/>
              <w:ind w:left="186" w:right="164"/>
              <w:rPr>
                <w:b/>
                <w:bCs/>
                <w:color w:val="auto"/>
                <w:u w:val="single"/>
              </w:rPr>
            </w:pPr>
            <w:r>
              <w:rPr>
                <w:b/>
                <w:bCs/>
                <w:color w:val="auto"/>
                <w:u w:val="single"/>
              </w:rPr>
              <w:t>4200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34</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邢庄村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-4067</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-1064</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4090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240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35</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9" w:right="91"/>
              <w:rPr>
                <w:b/>
                <w:bCs/>
                <w:color w:val="auto"/>
                <w:u w:val="single"/>
              </w:rPr>
            </w:pPr>
            <w:r>
              <w:rPr>
                <w:b/>
                <w:bCs/>
                <w:color w:val="auto"/>
                <w:u w:val="single"/>
              </w:rPr>
              <w:t>小三王庄</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-3135</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-3252</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4288</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120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36</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9" w:right="91"/>
              <w:rPr>
                <w:b/>
                <w:bCs/>
                <w:color w:val="auto"/>
                <w:u w:val="single"/>
              </w:rPr>
            </w:pPr>
            <w:r>
              <w:rPr>
                <w:b/>
                <w:bCs/>
                <w:color w:val="auto"/>
                <w:u w:val="single"/>
              </w:rPr>
              <w:t>王连屯村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-2377</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-3209</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3707</w:t>
            </w:r>
          </w:p>
        </w:tc>
        <w:tc>
          <w:tcPr>
            <w:tcW w:w="641" w:type="pct"/>
            <w:vMerge w:val="restart"/>
            <w:tcBorders>
              <w:top w:val="single" w:color="000000" w:sz="6" w:space="0"/>
              <w:left w:val="single" w:color="000000" w:sz="6" w:space="0"/>
              <w:bottom w:val="single" w:color="000000" w:sz="6" w:space="0"/>
            </w:tcBorders>
            <w:vAlign w:val="center"/>
          </w:tcPr>
          <w:p>
            <w:pPr>
              <w:pStyle w:val="182"/>
              <w:jc w:val="left"/>
              <w:rPr>
                <w:b/>
                <w:bCs/>
                <w:color w:val="auto"/>
                <w:u w:val="single"/>
              </w:rPr>
            </w:pPr>
          </w:p>
          <w:p>
            <w:pPr>
              <w:pStyle w:val="182"/>
              <w:spacing w:before="165"/>
              <w:ind w:left="286"/>
              <w:jc w:val="left"/>
              <w:rPr>
                <w:b/>
                <w:bCs/>
                <w:color w:val="auto"/>
                <w:u w:val="single"/>
              </w:rPr>
            </w:pPr>
            <w:r>
              <w:rPr>
                <w:b/>
                <w:bCs/>
                <w:color w:val="auto"/>
                <w:u w:val="single"/>
              </w:rPr>
              <w:t>14640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37</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张庄</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-2171</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-3989</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4320</w:t>
            </w:r>
          </w:p>
        </w:tc>
        <w:tc>
          <w:tcPr>
            <w:tcW w:w="641" w:type="pct"/>
            <w:vMerge w:val="continue"/>
            <w:tcBorders>
              <w:top w:val="nil"/>
              <w:left w:val="single" w:color="000000" w:sz="6" w:space="0"/>
              <w:bottom w:val="single" w:color="000000" w:sz="6" w:space="0"/>
            </w:tcBorders>
            <w:vAlign w:val="center"/>
          </w:tcPr>
          <w:p>
            <w:pPr>
              <w:pStyle w:val="182"/>
              <w:rPr>
                <w:b/>
                <w:bCs/>
                <w:color w:val="auto"/>
                <w:u w:val="singl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38</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崔井村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-2583</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-4065</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4760</w:t>
            </w:r>
          </w:p>
        </w:tc>
        <w:tc>
          <w:tcPr>
            <w:tcW w:w="641" w:type="pct"/>
            <w:vMerge w:val="continue"/>
            <w:tcBorders>
              <w:top w:val="nil"/>
              <w:left w:val="single" w:color="000000" w:sz="6" w:space="0"/>
              <w:bottom w:val="single" w:color="000000" w:sz="6" w:space="0"/>
            </w:tcBorders>
            <w:vAlign w:val="center"/>
          </w:tcPr>
          <w:p>
            <w:pPr>
              <w:pStyle w:val="182"/>
              <w:rPr>
                <w:b/>
                <w:bCs/>
                <w:color w:val="auto"/>
                <w:u w:val="singl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39</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9" w:right="91"/>
              <w:rPr>
                <w:b/>
                <w:bCs/>
                <w:color w:val="auto"/>
                <w:u w:val="single"/>
              </w:rPr>
            </w:pPr>
            <w:r>
              <w:rPr>
                <w:b/>
                <w:bCs/>
                <w:color w:val="auto"/>
                <w:u w:val="single"/>
              </w:rPr>
              <w:t>西娄庄村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5"/>
              <w:rPr>
                <w:b/>
                <w:bCs/>
                <w:color w:val="auto"/>
                <w:u w:val="single"/>
              </w:rPr>
            </w:pPr>
            <w:r>
              <w:rPr>
                <w:b/>
                <w:bCs/>
                <w:color w:val="auto"/>
                <w:u w:val="single"/>
              </w:rPr>
              <w:t>427</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-3433</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6"/>
              <w:rPr>
                <w:b/>
                <w:bCs/>
                <w:color w:val="auto"/>
                <w:u w:val="single"/>
              </w:rPr>
            </w:pPr>
            <w:r>
              <w:rPr>
                <w:b/>
                <w:bCs/>
                <w:color w:val="auto"/>
                <w:u w:val="single"/>
              </w:rPr>
              <w:t>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3211</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3300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40</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张河村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1202</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-2839</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东南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2860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1920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41</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枣园村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2613</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-4646</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东南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4928</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2400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42</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9" w:right="91"/>
              <w:rPr>
                <w:b/>
                <w:bCs/>
                <w:color w:val="auto"/>
                <w:u w:val="single"/>
              </w:rPr>
            </w:pPr>
            <w:r>
              <w:rPr>
                <w:b/>
                <w:bCs/>
                <w:color w:val="auto"/>
                <w:u w:val="single"/>
              </w:rPr>
              <w:t>大韩庄村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2556</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-3479</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东南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3950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800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43</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9" w:right="91"/>
              <w:rPr>
                <w:b/>
                <w:bCs/>
                <w:color w:val="auto"/>
                <w:u w:val="single"/>
              </w:rPr>
            </w:pPr>
            <w:r>
              <w:rPr>
                <w:b/>
                <w:bCs/>
                <w:color w:val="auto"/>
                <w:u w:val="single"/>
              </w:rPr>
              <w:t>小韩庄村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3707</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-3275</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东南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4560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1200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44</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9" w:right="91"/>
              <w:rPr>
                <w:b/>
                <w:bCs/>
                <w:color w:val="auto"/>
                <w:u w:val="single"/>
              </w:rPr>
            </w:pPr>
            <w:r>
              <w:rPr>
                <w:b/>
                <w:bCs/>
                <w:color w:val="auto"/>
                <w:u w:val="single"/>
              </w:rPr>
              <w:t>刘景屯村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-3190</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5"/>
              <w:rPr>
                <w:b/>
                <w:bCs/>
                <w:color w:val="auto"/>
                <w:u w:val="single"/>
              </w:rPr>
            </w:pPr>
            <w:r>
              <w:rPr>
                <w:b/>
                <w:bCs/>
                <w:color w:val="auto"/>
                <w:u w:val="single"/>
              </w:rPr>
              <w:t>3434</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4480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5000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45</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大屯村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-1911</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5"/>
              <w:rPr>
                <w:b/>
                <w:bCs/>
                <w:color w:val="auto"/>
                <w:u w:val="single"/>
              </w:rPr>
            </w:pPr>
            <w:r>
              <w:rPr>
                <w:b/>
                <w:bCs/>
                <w:color w:val="auto"/>
                <w:u w:val="single"/>
              </w:rPr>
              <w:t>4370</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4450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800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46</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小屯村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-975</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5"/>
              <w:rPr>
                <w:b/>
                <w:bCs/>
                <w:color w:val="auto"/>
                <w:u w:val="single"/>
              </w:rPr>
            </w:pPr>
            <w:r>
              <w:rPr>
                <w:b/>
                <w:bCs/>
                <w:color w:val="auto"/>
                <w:u w:val="single"/>
              </w:rPr>
              <w:t>4573</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4350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4000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47</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新远实验学校</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2934</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5"/>
              <w:rPr>
                <w:b/>
                <w:bCs/>
                <w:color w:val="auto"/>
                <w:u w:val="single"/>
              </w:rPr>
            </w:pPr>
            <w:r>
              <w:rPr>
                <w:b/>
                <w:bCs/>
                <w:color w:val="auto"/>
                <w:u w:val="single"/>
              </w:rPr>
              <w:t>258</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6"/>
              <w:rPr>
                <w:b/>
                <w:bCs/>
                <w:color w:val="auto"/>
                <w:u w:val="single"/>
              </w:rPr>
            </w:pPr>
            <w:r>
              <w:rPr>
                <w:b/>
                <w:bCs/>
                <w:color w:val="auto"/>
                <w:u w:val="single"/>
              </w:rPr>
              <w:t>东</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2610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900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48</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9" w:right="91"/>
              <w:rPr>
                <w:b/>
                <w:bCs/>
                <w:color w:val="auto"/>
                <w:u w:val="single"/>
              </w:rPr>
            </w:pPr>
            <w:r>
              <w:rPr>
                <w:b/>
                <w:bCs/>
                <w:color w:val="auto"/>
                <w:u w:val="single"/>
              </w:rPr>
              <w:t>新乡职业技术学院</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-2069</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5"/>
              <w:rPr>
                <w:b/>
                <w:bCs/>
                <w:color w:val="auto"/>
                <w:u w:val="single"/>
              </w:rPr>
            </w:pPr>
            <w:r>
              <w:rPr>
                <w:b/>
                <w:bCs/>
                <w:color w:val="auto"/>
                <w:u w:val="single"/>
              </w:rPr>
              <w:t>208</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6"/>
              <w:rPr>
                <w:b/>
                <w:bCs/>
                <w:color w:val="auto"/>
                <w:u w:val="single"/>
              </w:rPr>
            </w:pPr>
            <w:r>
              <w:rPr>
                <w:b/>
                <w:bCs/>
                <w:color w:val="auto"/>
                <w:u w:val="single"/>
              </w:rPr>
              <w:t>西</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rFonts w:hint="default"/>
                <w:b/>
                <w:bCs/>
                <w:color w:val="auto"/>
                <w:u w:val="single"/>
                <w:lang w:val="en-US" w:eastAsia="zh-CN"/>
              </w:rPr>
            </w:pPr>
            <w:r>
              <w:rPr>
                <w:rFonts w:hint="eastAsia"/>
                <w:b/>
                <w:bCs/>
                <w:color w:val="auto"/>
                <w:u w:val="single"/>
                <w:lang w:val="en-US" w:eastAsia="zh-CN"/>
              </w:rPr>
              <w:t>1660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6"/>
              <w:rPr>
                <w:b/>
                <w:bCs/>
                <w:color w:val="auto"/>
                <w:u w:val="single"/>
              </w:rPr>
            </w:pPr>
            <w:r>
              <w:rPr>
                <w:b/>
                <w:bCs/>
                <w:color w:val="auto"/>
                <w:u w:val="single"/>
              </w:rPr>
              <w:t>12000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49</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9" w:right="91"/>
              <w:rPr>
                <w:b/>
                <w:bCs/>
                <w:color w:val="auto"/>
                <w:u w:val="single"/>
              </w:rPr>
            </w:pPr>
            <w:r>
              <w:rPr>
                <w:rFonts w:hint="eastAsia"/>
                <w:b/>
                <w:bCs/>
                <w:color w:val="auto"/>
                <w:u w:val="single"/>
              </w:rPr>
              <w:t>新乡工业园区中心学校</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-2127</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5"/>
              <w:rPr>
                <w:b/>
                <w:bCs/>
                <w:color w:val="auto"/>
                <w:u w:val="single"/>
              </w:rPr>
            </w:pPr>
            <w:r>
              <w:rPr>
                <w:b/>
                <w:bCs/>
                <w:color w:val="auto"/>
                <w:u w:val="single"/>
              </w:rPr>
              <w:t>1882</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rFonts w:hint="default"/>
                <w:b/>
                <w:bCs/>
                <w:color w:val="auto"/>
                <w:u w:val="single"/>
                <w:lang w:val="en-US" w:eastAsia="zh-CN"/>
              </w:rPr>
            </w:pPr>
            <w:r>
              <w:rPr>
                <w:rFonts w:hint="eastAsia"/>
                <w:b/>
                <w:bCs/>
                <w:color w:val="auto"/>
                <w:u w:val="single"/>
                <w:lang w:val="en-US" w:eastAsia="zh-CN"/>
              </w:rPr>
              <w:t>1439</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rFonts w:hint="default"/>
                <w:b/>
                <w:bCs/>
                <w:color w:val="auto"/>
                <w:u w:val="single"/>
                <w:lang w:val="en-US" w:eastAsia="zh-CN"/>
              </w:rPr>
            </w:pPr>
            <w:r>
              <w:rPr>
                <w:rFonts w:hint="eastAsia"/>
                <w:b/>
                <w:bCs/>
                <w:color w:val="auto"/>
                <w:u w:val="single"/>
                <w:lang w:val="en-US" w:eastAsia="zh-CN"/>
              </w:rPr>
              <w:t>700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50</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延津县人民医院</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2834</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5"/>
              <w:rPr>
                <w:b/>
                <w:bCs/>
                <w:color w:val="auto"/>
                <w:u w:val="single"/>
              </w:rPr>
            </w:pPr>
            <w:r>
              <w:rPr>
                <w:b/>
                <w:bCs/>
                <w:color w:val="auto"/>
                <w:u w:val="single"/>
              </w:rPr>
              <w:t>528</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东北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2550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1700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51</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西屯村</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5"/>
              <w:rPr>
                <w:b/>
                <w:bCs/>
                <w:color w:val="auto"/>
                <w:u w:val="single"/>
              </w:rPr>
            </w:pPr>
            <w:r>
              <w:rPr>
                <w:b/>
                <w:bCs/>
                <w:color w:val="auto"/>
                <w:u w:val="single"/>
              </w:rPr>
              <w:t>585</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5"/>
              <w:rPr>
                <w:b/>
                <w:bCs/>
                <w:color w:val="auto"/>
                <w:u w:val="single"/>
              </w:rPr>
            </w:pPr>
            <w:r>
              <w:rPr>
                <w:b/>
                <w:bCs/>
                <w:color w:val="auto"/>
                <w:u w:val="single"/>
              </w:rPr>
              <w:t>4916</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6"/>
              <w:rPr>
                <w:b/>
                <w:bCs/>
                <w:color w:val="auto"/>
                <w:u w:val="single"/>
              </w:rPr>
            </w:pPr>
            <w:r>
              <w:rPr>
                <w:b/>
                <w:bCs/>
                <w:color w:val="auto"/>
                <w:u w:val="single"/>
              </w:rPr>
              <w:t>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4675</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5000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52</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宋屯</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-4594</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5"/>
              <w:rPr>
                <w:b/>
                <w:bCs/>
                <w:color w:val="auto"/>
                <w:u w:val="single"/>
              </w:rPr>
            </w:pPr>
            <w:r>
              <w:rPr>
                <w:b/>
                <w:bCs/>
                <w:color w:val="auto"/>
                <w:u w:val="single"/>
              </w:rPr>
              <w:t>938</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4440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2700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53</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三王庄</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135" w:right="117"/>
              <w:rPr>
                <w:b/>
                <w:bCs/>
                <w:color w:val="auto"/>
                <w:u w:val="single"/>
              </w:rPr>
            </w:pPr>
            <w:r>
              <w:rPr>
                <w:b/>
                <w:bCs/>
                <w:color w:val="auto"/>
                <w:u w:val="single"/>
              </w:rPr>
              <w:t>-4220</w:t>
            </w:r>
          </w:p>
        </w:tc>
        <w:tc>
          <w:tcPr>
            <w:tcW w:w="736"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364" w:right="348"/>
              <w:rPr>
                <w:b/>
                <w:bCs/>
                <w:color w:val="auto"/>
                <w:u w:val="single"/>
              </w:rPr>
            </w:pPr>
            <w:r>
              <w:rPr>
                <w:b/>
                <w:bCs/>
                <w:color w:val="auto"/>
                <w:u w:val="single"/>
              </w:rPr>
              <w:t>-2119</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33" w:right="120"/>
              <w:rPr>
                <w:b/>
                <w:bCs/>
                <w:color w:val="auto"/>
                <w:u w:val="single"/>
              </w:rPr>
            </w:pPr>
            <w:r>
              <w:rPr>
                <w:b/>
                <w:bCs/>
                <w:color w:val="auto"/>
                <w:u w:val="single"/>
              </w:rPr>
              <w:t>西南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4600</w:t>
            </w:r>
          </w:p>
        </w:tc>
        <w:tc>
          <w:tcPr>
            <w:tcW w:w="641" w:type="pct"/>
            <w:tcBorders>
              <w:top w:val="single" w:color="000000" w:sz="6" w:space="0"/>
              <w:left w:val="single" w:color="000000" w:sz="6" w:space="0"/>
              <w:bottom w:val="single" w:color="000000" w:sz="6" w:space="0"/>
            </w:tcBorders>
            <w:vAlign w:val="center"/>
          </w:tcPr>
          <w:p>
            <w:pPr>
              <w:pStyle w:val="182"/>
              <w:spacing w:before="63"/>
              <w:ind w:left="186" w:right="164"/>
              <w:rPr>
                <w:b/>
                <w:bCs/>
                <w:color w:val="auto"/>
                <w:u w:val="single"/>
              </w:rPr>
            </w:pPr>
            <w:r>
              <w:rPr>
                <w:b/>
                <w:bCs/>
                <w:color w:val="auto"/>
                <w:u w:val="single"/>
              </w:rPr>
              <w:t>7100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72" w:type="pct"/>
            <w:tcBorders>
              <w:top w:val="single" w:color="000000" w:sz="6" w:space="0"/>
              <w:bottom w:val="single" w:color="000000" w:sz="6" w:space="0"/>
              <w:right w:val="single" w:color="000000" w:sz="6" w:space="0"/>
            </w:tcBorders>
            <w:vAlign w:val="center"/>
          </w:tcPr>
          <w:p>
            <w:pPr>
              <w:pStyle w:val="182"/>
              <w:spacing w:before="63"/>
              <w:ind w:left="191" w:right="176"/>
              <w:rPr>
                <w:b/>
                <w:bCs/>
                <w:color w:val="auto"/>
                <w:u w:val="single"/>
              </w:rPr>
            </w:pPr>
            <w:r>
              <w:rPr>
                <w:b/>
                <w:bCs/>
                <w:color w:val="auto"/>
                <w:u w:val="single"/>
              </w:rPr>
              <w:t>54</w:t>
            </w:r>
          </w:p>
        </w:tc>
        <w:tc>
          <w:tcPr>
            <w:tcW w:w="1134"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07" w:right="91"/>
              <w:rPr>
                <w:b/>
                <w:bCs/>
                <w:color w:val="auto"/>
                <w:u w:val="single"/>
              </w:rPr>
            </w:pPr>
            <w:r>
              <w:rPr>
                <w:b/>
                <w:bCs/>
                <w:color w:val="auto"/>
                <w:u w:val="single"/>
              </w:rPr>
              <w:t>地表水</w:t>
            </w:r>
          </w:p>
        </w:tc>
        <w:tc>
          <w:tcPr>
            <w:tcW w:w="1472" w:type="pct"/>
            <w:gridSpan w:val="2"/>
            <w:tcBorders>
              <w:top w:val="single" w:color="000000" w:sz="6" w:space="0"/>
              <w:left w:val="single" w:color="000000" w:sz="6" w:space="0"/>
              <w:bottom w:val="single" w:color="000000" w:sz="6" w:space="0"/>
              <w:right w:val="single" w:color="000000" w:sz="6" w:space="0"/>
            </w:tcBorders>
            <w:vAlign w:val="center"/>
          </w:tcPr>
          <w:p>
            <w:pPr>
              <w:pStyle w:val="182"/>
              <w:spacing w:before="49"/>
              <w:ind w:left="187" w:right="170"/>
              <w:rPr>
                <w:b/>
                <w:bCs/>
                <w:color w:val="auto"/>
                <w:u w:val="single"/>
              </w:rPr>
            </w:pPr>
            <w:r>
              <w:rPr>
                <w:b/>
                <w:bCs/>
                <w:color w:val="auto"/>
                <w:u w:val="single"/>
              </w:rPr>
              <w:t>大沙河</w:t>
            </w:r>
          </w:p>
        </w:tc>
        <w:tc>
          <w:tcPr>
            <w:tcW w:w="735" w:type="pct"/>
            <w:tcBorders>
              <w:top w:val="single" w:color="000000" w:sz="6" w:space="0"/>
              <w:left w:val="single" w:color="000000" w:sz="6" w:space="0"/>
              <w:bottom w:val="single" w:color="000000" w:sz="6" w:space="0"/>
              <w:right w:val="single" w:color="000000" w:sz="6" w:space="0"/>
            </w:tcBorders>
            <w:vAlign w:val="center"/>
          </w:tcPr>
          <w:p>
            <w:pPr>
              <w:pStyle w:val="182"/>
              <w:spacing w:before="49"/>
              <w:ind w:left="16"/>
              <w:rPr>
                <w:b/>
                <w:bCs/>
                <w:color w:val="auto"/>
                <w:u w:val="single"/>
              </w:rPr>
            </w:pPr>
            <w:r>
              <w:rPr>
                <w:b/>
                <w:bCs/>
                <w:color w:val="auto"/>
                <w:u w:val="single"/>
              </w:rPr>
              <w:t>北</w:t>
            </w:r>
          </w:p>
        </w:tc>
        <w:tc>
          <w:tcPr>
            <w:tcW w:w="643" w:type="pct"/>
            <w:tcBorders>
              <w:top w:val="single" w:color="000000" w:sz="6" w:space="0"/>
              <w:left w:val="single" w:color="000000" w:sz="6" w:space="0"/>
              <w:bottom w:val="single" w:color="000000" w:sz="6" w:space="0"/>
              <w:right w:val="single" w:color="000000" w:sz="6" w:space="0"/>
            </w:tcBorders>
            <w:vAlign w:val="center"/>
          </w:tcPr>
          <w:p>
            <w:pPr>
              <w:pStyle w:val="182"/>
              <w:spacing w:before="63"/>
              <w:ind w:left="266" w:right="249"/>
              <w:rPr>
                <w:b/>
                <w:bCs/>
                <w:color w:val="auto"/>
                <w:u w:val="single"/>
              </w:rPr>
            </w:pPr>
            <w:r>
              <w:rPr>
                <w:b/>
                <w:bCs/>
                <w:color w:val="auto"/>
                <w:u w:val="single"/>
              </w:rPr>
              <w:t>1450</w:t>
            </w:r>
          </w:p>
        </w:tc>
        <w:tc>
          <w:tcPr>
            <w:tcW w:w="641" w:type="pct"/>
            <w:tcBorders>
              <w:top w:val="single" w:color="000000" w:sz="6" w:space="0"/>
              <w:left w:val="single" w:color="000000" w:sz="6" w:space="0"/>
              <w:bottom w:val="single" w:color="000000" w:sz="6" w:space="0"/>
            </w:tcBorders>
            <w:vAlign w:val="center"/>
          </w:tcPr>
          <w:p>
            <w:pPr>
              <w:pStyle w:val="182"/>
              <w:spacing w:before="63"/>
              <w:ind w:left="19"/>
              <w:rPr>
                <w:b/>
                <w:bCs/>
                <w:color w:val="auto"/>
                <w:u w:val="single"/>
              </w:rPr>
            </w:pPr>
            <w:r>
              <w:rPr>
                <w:b/>
                <w:bCs/>
                <w:color w:val="auto"/>
                <w:u w:val="single"/>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2" w:hRule="atLeast"/>
          <w:jc w:val="center"/>
        </w:trPr>
        <w:tc>
          <w:tcPr>
            <w:tcW w:w="372" w:type="pct"/>
            <w:tcBorders>
              <w:top w:val="single" w:color="000000" w:sz="6" w:space="0"/>
              <w:right w:val="single" w:color="000000" w:sz="6" w:space="0"/>
            </w:tcBorders>
            <w:vAlign w:val="center"/>
          </w:tcPr>
          <w:p>
            <w:pPr>
              <w:pStyle w:val="182"/>
              <w:spacing w:before="149"/>
              <w:ind w:left="211"/>
              <w:jc w:val="left"/>
              <w:rPr>
                <w:b/>
                <w:bCs/>
                <w:color w:val="auto"/>
                <w:u w:val="single"/>
              </w:rPr>
            </w:pPr>
            <w:r>
              <w:rPr>
                <w:b/>
                <w:bCs/>
                <w:color w:val="auto"/>
                <w:u w:val="single"/>
              </w:rPr>
              <w:t>55</w:t>
            </w:r>
          </w:p>
        </w:tc>
        <w:tc>
          <w:tcPr>
            <w:tcW w:w="1134" w:type="pct"/>
            <w:tcBorders>
              <w:top w:val="single" w:color="000000" w:sz="6" w:space="0"/>
              <w:left w:val="single" w:color="000000" w:sz="6" w:space="0"/>
              <w:right w:val="single" w:color="000000" w:sz="6" w:space="0"/>
            </w:tcBorders>
            <w:vAlign w:val="center"/>
          </w:tcPr>
          <w:p>
            <w:pPr>
              <w:pStyle w:val="182"/>
              <w:spacing w:before="160"/>
              <w:ind w:left="654"/>
              <w:jc w:val="left"/>
              <w:rPr>
                <w:b/>
                <w:bCs/>
                <w:color w:val="auto"/>
                <w:u w:val="single"/>
              </w:rPr>
            </w:pPr>
            <w:r>
              <w:rPr>
                <w:b/>
                <w:bCs/>
                <w:color w:val="auto"/>
                <w:u w:val="single"/>
              </w:rPr>
              <w:t>地下水</w:t>
            </w:r>
          </w:p>
        </w:tc>
        <w:tc>
          <w:tcPr>
            <w:tcW w:w="1472" w:type="pct"/>
            <w:gridSpan w:val="2"/>
            <w:tcBorders>
              <w:top w:val="single" w:color="000000" w:sz="6" w:space="0"/>
              <w:left w:val="single" w:color="000000" w:sz="6" w:space="0"/>
              <w:right w:val="single" w:color="000000" w:sz="6" w:space="0"/>
            </w:tcBorders>
            <w:vAlign w:val="center"/>
          </w:tcPr>
          <w:p>
            <w:pPr>
              <w:pStyle w:val="182"/>
              <w:spacing w:line="267" w:lineRule="exact"/>
              <w:ind w:left="187" w:right="170"/>
              <w:rPr>
                <w:b/>
                <w:bCs/>
                <w:color w:val="auto"/>
                <w:u w:val="single"/>
              </w:rPr>
            </w:pPr>
            <w:r>
              <w:rPr>
                <w:b/>
                <w:bCs/>
                <w:color w:val="auto"/>
                <w:u w:val="single"/>
              </w:rPr>
              <w:t>古固寨镇地下水饮用水源</w:t>
            </w:r>
          </w:p>
        </w:tc>
        <w:tc>
          <w:tcPr>
            <w:tcW w:w="735" w:type="pct"/>
            <w:tcBorders>
              <w:top w:val="single" w:color="000000" w:sz="6" w:space="0"/>
              <w:left w:val="single" w:color="000000" w:sz="6" w:space="0"/>
              <w:right w:val="single" w:color="000000" w:sz="6" w:space="0"/>
            </w:tcBorders>
            <w:vAlign w:val="center"/>
          </w:tcPr>
          <w:p>
            <w:pPr>
              <w:pStyle w:val="182"/>
              <w:spacing w:before="133"/>
              <w:ind w:left="133" w:right="120"/>
              <w:rPr>
                <w:b/>
                <w:bCs/>
                <w:color w:val="auto"/>
                <w:u w:val="single"/>
              </w:rPr>
            </w:pPr>
            <w:r>
              <w:rPr>
                <w:b/>
                <w:bCs/>
                <w:color w:val="auto"/>
                <w:u w:val="single"/>
              </w:rPr>
              <w:t>西南</w:t>
            </w:r>
          </w:p>
        </w:tc>
        <w:tc>
          <w:tcPr>
            <w:tcW w:w="643" w:type="pct"/>
            <w:tcBorders>
              <w:top w:val="single" w:color="000000" w:sz="6" w:space="0"/>
              <w:left w:val="single" w:color="000000" w:sz="6" w:space="0"/>
              <w:right w:val="single" w:color="000000" w:sz="6" w:space="0"/>
            </w:tcBorders>
            <w:vAlign w:val="center"/>
          </w:tcPr>
          <w:p>
            <w:pPr>
              <w:pStyle w:val="182"/>
              <w:spacing w:before="146"/>
              <w:ind w:left="266" w:right="249"/>
              <w:rPr>
                <w:b/>
                <w:bCs/>
                <w:color w:val="auto"/>
                <w:u w:val="single"/>
              </w:rPr>
            </w:pPr>
            <w:r>
              <w:rPr>
                <w:b/>
                <w:bCs/>
                <w:color w:val="auto"/>
                <w:u w:val="single"/>
              </w:rPr>
              <w:t>7200</w:t>
            </w:r>
          </w:p>
        </w:tc>
        <w:tc>
          <w:tcPr>
            <w:tcW w:w="641" w:type="pct"/>
            <w:tcBorders>
              <w:top w:val="single" w:color="000000" w:sz="6" w:space="0"/>
              <w:left w:val="single" w:color="000000" w:sz="6" w:space="0"/>
            </w:tcBorders>
            <w:vAlign w:val="center"/>
          </w:tcPr>
          <w:p>
            <w:pPr>
              <w:pStyle w:val="182"/>
              <w:spacing w:before="146"/>
              <w:ind w:left="19"/>
              <w:rPr>
                <w:b/>
                <w:bCs/>
                <w:color w:val="auto"/>
                <w:u w:val="single"/>
              </w:rPr>
            </w:pPr>
            <w:r>
              <w:rPr>
                <w:b/>
                <w:bCs/>
                <w:color w:val="auto"/>
                <w:u w:val="single"/>
              </w:rPr>
              <w:t>/</w:t>
            </w:r>
          </w:p>
        </w:tc>
      </w:tr>
    </w:tbl>
    <w:p>
      <w:pPr>
        <w:pStyle w:val="9"/>
        <w:rPr>
          <w:rFonts w:hint="eastAsia"/>
          <w:color w:val="auto"/>
        </w:rPr>
      </w:pPr>
      <w:r>
        <w:rPr>
          <w:rFonts w:hint="eastAsia"/>
          <w:color w:val="auto"/>
        </w:rPr>
        <w:t>5.</w:t>
      </w:r>
      <w:r>
        <w:rPr>
          <w:rFonts w:hint="eastAsia"/>
          <w:color w:val="auto"/>
          <w:lang w:val="en-US" w:eastAsia="zh-CN"/>
        </w:rPr>
        <w:t>9</w:t>
      </w:r>
      <w:r>
        <w:rPr>
          <w:rFonts w:hint="eastAsia"/>
          <w:color w:val="auto"/>
        </w:rPr>
        <w:t>.3 环境风险潜势初判</w:t>
      </w:r>
    </w:p>
    <w:p>
      <w:pPr>
        <w:pStyle w:val="10"/>
        <w:rPr>
          <w:rFonts w:hint="eastAsia"/>
          <w:color w:val="auto"/>
        </w:rPr>
      </w:pPr>
      <w:r>
        <w:rPr>
          <w:rFonts w:hint="eastAsia"/>
          <w:color w:val="auto"/>
        </w:rPr>
        <w:t>5.</w:t>
      </w:r>
      <w:r>
        <w:rPr>
          <w:rFonts w:hint="eastAsia"/>
          <w:color w:val="auto"/>
          <w:lang w:val="en-US" w:eastAsia="zh-CN"/>
        </w:rPr>
        <w:t>9</w:t>
      </w:r>
      <w:r>
        <w:rPr>
          <w:rFonts w:hint="eastAsia"/>
          <w:color w:val="auto"/>
        </w:rPr>
        <w:t>.3.1危险物质数量与临界量比值Q</w:t>
      </w:r>
    </w:p>
    <w:p>
      <w:pPr>
        <w:pStyle w:val="181"/>
        <w:rPr>
          <w:rFonts w:hint="default" w:eastAsia="宋体"/>
          <w:color w:val="auto"/>
          <w:lang w:val="en-US" w:eastAsia="zh-CN"/>
        </w:rPr>
      </w:pPr>
      <w:r>
        <w:rPr>
          <w:rFonts w:hint="eastAsia"/>
          <w:color w:val="auto"/>
          <w:lang w:val="en-US" w:eastAsia="zh-CN"/>
        </w:rPr>
        <w:t xml:space="preserve">表5.9-3           </w:t>
      </w:r>
      <w:r>
        <w:rPr>
          <w:rFonts w:hint="eastAsia"/>
          <w:color w:val="auto"/>
        </w:rPr>
        <w:t>风险物质最大存在量</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5"/>
        <w:gridCol w:w="1420"/>
        <w:gridCol w:w="1420"/>
        <w:gridCol w:w="1420"/>
        <w:gridCol w:w="1425"/>
        <w:gridCol w:w="1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vAlign w:val="center"/>
          </w:tcPr>
          <w:p>
            <w:pPr>
              <w:pStyle w:val="182"/>
              <w:rPr>
                <w:rFonts w:hint="eastAsia"/>
                <w:b/>
                <w:bCs/>
                <w:color w:val="auto"/>
                <w:u w:val="single"/>
                <w:lang w:val="en-US" w:eastAsia="zh-CN"/>
              </w:rPr>
            </w:pPr>
            <w:r>
              <w:rPr>
                <w:rFonts w:hint="eastAsia"/>
                <w:b/>
                <w:bCs/>
                <w:color w:val="auto"/>
                <w:u w:val="single"/>
                <w:lang w:val="en-US" w:eastAsia="zh-CN"/>
              </w:rPr>
              <w:t>物质</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最大储存量</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生产最大在线量</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最大存在量</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临界量</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vAlign w:val="center"/>
          </w:tcPr>
          <w:p>
            <w:pPr>
              <w:pStyle w:val="182"/>
              <w:rPr>
                <w:rFonts w:hint="eastAsia"/>
                <w:b/>
                <w:bCs/>
                <w:color w:val="auto"/>
                <w:u w:val="single"/>
              </w:rPr>
            </w:pPr>
            <w:r>
              <w:rPr>
                <w:rFonts w:hint="eastAsia"/>
                <w:b/>
                <w:bCs/>
                <w:color w:val="auto"/>
                <w:u w:val="single"/>
                <w:lang w:val="en-US" w:eastAsia="zh-CN"/>
              </w:rPr>
              <w:t>固体</w:t>
            </w:r>
            <w:r>
              <w:rPr>
                <w:rFonts w:hint="eastAsia"/>
                <w:b/>
                <w:bCs/>
                <w:color w:val="auto"/>
                <w:u w:val="single"/>
              </w:rPr>
              <w:t>二氧化氯</w:t>
            </w:r>
            <w:r>
              <w:rPr>
                <w:rFonts w:hint="eastAsia"/>
                <w:b/>
                <w:bCs/>
                <w:color w:val="auto"/>
                <w:u w:val="single"/>
                <w:lang w:val="en-US" w:eastAsia="zh-CN"/>
              </w:rPr>
              <w:t>释放剂</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0.3</w:t>
            </w:r>
          </w:p>
        </w:tc>
        <w:tc>
          <w:tcPr>
            <w:tcW w:w="833" w:type="pct"/>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0.3</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0.5</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vAlign w:val="center"/>
          </w:tcPr>
          <w:p>
            <w:pPr>
              <w:pStyle w:val="182"/>
              <w:rPr>
                <w:rFonts w:hint="eastAsia"/>
                <w:b/>
                <w:bCs/>
                <w:color w:val="auto"/>
                <w:u w:val="single"/>
              </w:rPr>
            </w:pPr>
            <w:r>
              <w:rPr>
                <w:rFonts w:hint="eastAsia"/>
                <w:b/>
                <w:bCs/>
                <w:color w:val="auto"/>
                <w:u w:val="single"/>
                <w:lang w:val="en-US" w:eastAsia="zh-CN"/>
              </w:rPr>
              <w:t>硫酸</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900</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1.92</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901.92</w:t>
            </w:r>
          </w:p>
        </w:tc>
        <w:tc>
          <w:tcPr>
            <w:tcW w:w="833" w:type="pct"/>
            <w:vAlign w:val="center"/>
          </w:tcPr>
          <w:p>
            <w:pPr>
              <w:pStyle w:val="182"/>
              <w:rPr>
                <w:rFonts w:hint="default"/>
                <w:b/>
                <w:bCs/>
                <w:color w:val="auto"/>
                <w:u w:val="single"/>
                <w:lang w:val="en-US"/>
              </w:rPr>
            </w:pPr>
            <w:r>
              <w:rPr>
                <w:rFonts w:hint="eastAsia"/>
                <w:b/>
                <w:bCs/>
                <w:color w:val="auto"/>
                <w:u w:val="single"/>
                <w:lang w:val="en-US" w:eastAsia="zh-CN"/>
              </w:rPr>
              <w:t>5</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180.384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66" w:type="pct"/>
            <w:gridSpan w:val="5"/>
            <w:vAlign w:val="center"/>
          </w:tcPr>
          <w:p>
            <w:pPr>
              <w:pStyle w:val="182"/>
              <w:rPr>
                <w:rFonts w:hint="default"/>
                <w:b/>
                <w:bCs/>
                <w:color w:val="auto"/>
                <w:u w:val="single"/>
                <w:lang w:val="en-US" w:eastAsia="zh-CN"/>
              </w:rPr>
            </w:pPr>
            <w:r>
              <w:rPr>
                <w:rFonts w:hint="eastAsia"/>
                <w:b/>
                <w:bCs/>
                <w:color w:val="auto"/>
                <w:u w:val="single"/>
                <w:lang w:val="en-US" w:eastAsia="zh-CN"/>
              </w:rPr>
              <w:t>合计</w:t>
            </w:r>
          </w:p>
        </w:tc>
        <w:tc>
          <w:tcPr>
            <w:tcW w:w="833" w:type="pct"/>
            <w:vAlign w:val="center"/>
          </w:tcPr>
          <w:p>
            <w:pPr>
              <w:pStyle w:val="182"/>
              <w:rPr>
                <w:rFonts w:hint="default"/>
                <w:b/>
                <w:bCs/>
                <w:color w:val="auto"/>
                <w:u w:val="single"/>
                <w:lang w:val="en-US" w:eastAsia="zh-CN"/>
              </w:rPr>
            </w:pPr>
            <w:r>
              <w:rPr>
                <w:rFonts w:hint="eastAsia"/>
                <w:b/>
                <w:bCs/>
                <w:color w:val="auto"/>
                <w:u w:val="single"/>
                <w:lang w:val="en-US" w:eastAsia="zh-CN"/>
              </w:rPr>
              <w:t>180.984</w:t>
            </w:r>
          </w:p>
        </w:tc>
      </w:tr>
    </w:tbl>
    <w:p>
      <w:pPr>
        <w:ind w:firstLine="482" w:firstLineChars="200"/>
        <w:rPr>
          <w:rFonts w:hint="eastAsia"/>
          <w:color w:val="auto"/>
        </w:rPr>
      </w:pPr>
      <w:r>
        <w:rPr>
          <w:rFonts w:hint="eastAsia"/>
          <w:b/>
          <w:bCs/>
          <w:color w:val="auto"/>
          <w:u w:val="single"/>
        </w:rPr>
        <w:t>根据上表数据及《建设项目环境风险评价技术导则》（HJ/T169-2018）附录C计算得出，本项目物质总量与临界量比值：Q=</w:t>
      </w:r>
      <w:r>
        <w:rPr>
          <w:rFonts w:hint="eastAsia"/>
          <w:b/>
          <w:bCs/>
          <w:color w:val="auto"/>
          <w:u w:val="single"/>
          <w:lang w:val="en-US" w:eastAsia="zh-CN"/>
        </w:rPr>
        <w:t>180.984</w:t>
      </w:r>
      <w:r>
        <w:rPr>
          <w:rFonts w:hint="eastAsia"/>
          <w:b/>
          <w:bCs/>
          <w:color w:val="auto"/>
          <w:u w:val="single"/>
        </w:rPr>
        <w:t>，Q</w:t>
      </w:r>
      <w:r>
        <w:rPr>
          <w:rFonts w:hint="eastAsia"/>
          <w:b/>
          <w:bCs/>
          <w:color w:val="auto"/>
          <w:u w:val="single"/>
          <w:lang w:val="en-US" w:eastAsia="zh-CN"/>
        </w:rPr>
        <w:t>≥</w:t>
      </w:r>
      <w:r>
        <w:rPr>
          <w:rFonts w:hint="eastAsia"/>
          <w:b/>
          <w:bCs/>
          <w:color w:val="auto"/>
          <w:u w:val="single"/>
        </w:rPr>
        <w:t>100。</w:t>
      </w:r>
    </w:p>
    <w:p>
      <w:pPr>
        <w:pStyle w:val="10"/>
        <w:widowControl/>
        <w:spacing w:before="120" w:beforeLines="50" w:line="500" w:lineRule="exact"/>
        <w:jc w:val="left"/>
        <w:rPr>
          <w:color w:val="auto"/>
        </w:rPr>
      </w:pPr>
      <w:r>
        <w:rPr>
          <w:rFonts w:hint="eastAsia"/>
          <w:color w:val="auto"/>
        </w:rPr>
        <w:t>5.</w:t>
      </w:r>
      <w:r>
        <w:rPr>
          <w:rFonts w:hint="eastAsia"/>
          <w:color w:val="auto"/>
          <w:lang w:val="en-US" w:eastAsia="zh-CN"/>
        </w:rPr>
        <w:t>9</w:t>
      </w:r>
      <w:r>
        <w:rPr>
          <w:rFonts w:hint="eastAsia"/>
          <w:color w:val="auto"/>
        </w:rPr>
        <w:t>.3.2行业及生产工艺</w:t>
      </w:r>
      <w:r>
        <w:rPr>
          <w:color w:val="auto"/>
        </w:rPr>
        <w:t>M</w:t>
      </w:r>
    </w:p>
    <w:p>
      <w:pPr>
        <w:widowControl/>
        <w:tabs>
          <w:tab w:val="left" w:pos="1080"/>
        </w:tabs>
        <w:spacing w:before="120" w:beforeLines="50" w:line="500" w:lineRule="exact"/>
        <w:jc w:val="left"/>
        <w:rPr>
          <w:rFonts w:hint="eastAsia"/>
          <w:b/>
          <w:bCs/>
          <w:color w:val="auto"/>
          <w:u w:val="single"/>
        </w:rPr>
      </w:pPr>
      <w:r>
        <w:rPr>
          <w:rFonts w:hint="eastAsia"/>
          <w:b/>
          <w:bCs/>
          <w:color w:val="auto"/>
          <w:u w:val="single"/>
        </w:rPr>
        <w:t>根据《建设项目环境风险评价技术导则》（HJ/T169-2018）附录C将M划分为（1）M＞20；（2）10＜M≤20；（3）5＜M≤10</w:t>
      </w:r>
      <w:r>
        <w:rPr>
          <w:rFonts w:hint="eastAsia"/>
          <w:b/>
          <w:bCs/>
          <w:color w:val="auto"/>
          <w:u w:val="single"/>
          <w:lang w:eastAsia="zh-CN"/>
        </w:rPr>
        <w:t>；</w:t>
      </w:r>
      <w:r>
        <w:rPr>
          <w:rFonts w:hint="eastAsia"/>
          <w:b/>
          <w:bCs/>
          <w:color w:val="auto"/>
          <w:u w:val="single"/>
        </w:rPr>
        <w:t>（4）M=5，分别以M1、M2、M3和M4表示。</w:t>
      </w:r>
    </w:p>
    <w:p>
      <w:pPr>
        <w:widowControl/>
        <w:tabs>
          <w:tab w:val="left" w:pos="1080"/>
        </w:tabs>
        <w:spacing w:before="120" w:beforeLines="50" w:line="500" w:lineRule="exact"/>
        <w:ind w:firstLine="0" w:firstLineChars="0"/>
        <w:jc w:val="center"/>
        <w:rPr>
          <w:rFonts w:hint="eastAsia"/>
          <w:b/>
          <w:bCs/>
          <w:color w:val="auto"/>
          <w:u w:val="single"/>
        </w:rPr>
      </w:pPr>
      <w:r>
        <w:rPr>
          <w:rFonts w:hint="eastAsia"/>
          <w:b/>
          <w:bCs/>
          <w:color w:val="auto"/>
          <w:u w:val="single"/>
        </w:rPr>
        <w:t>表C.1行业及生产工艺（M）</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6488"/>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24" w:type="dxa"/>
            <w:vAlign w:val="center"/>
          </w:tcPr>
          <w:p>
            <w:pPr>
              <w:pStyle w:val="182"/>
              <w:rPr>
                <w:rFonts w:hint="eastAsia"/>
                <w:b/>
                <w:bCs/>
                <w:color w:val="auto"/>
                <w:u w:val="single"/>
              </w:rPr>
            </w:pPr>
            <w:r>
              <w:rPr>
                <w:rFonts w:hint="eastAsia"/>
                <w:b/>
                <w:bCs/>
                <w:color w:val="auto"/>
                <w:u w:val="single"/>
                <w:lang w:val="en-US" w:eastAsia="zh-CN"/>
              </w:rPr>
              <w:t>行业</w:t>
            </w:r>
          </w:p>
        </w:tc>
        <w:tc>
          <w:tcPr>
            <w:tcW w:w="6912" w:type="dxa"/>
            <w:vAlign w:val="center"/>
          </w:tcPr>
          <w:p>
            <w:pPr>
              <w:pStyle w:val="182"/>
              <w:rPr>
                <w:rFonts w:hint="eastAsia"/>
                <w:b/>
                <w:bCs/>
                <w:color w:val="auto"/>
                <w:u w:val="single"/>
              </w:rPr>
            </w:pPr>
            <w:r>
              <w:rPr>
                <w:rFonts w:hint="eastAsia"/>
                <w:b/>
                <w:bCs/>
                <w:color w:val="auto"/>
                <w:u w:val="single"/>
              </w:rPr>
              <w:t>评估依据</w:t>
            </w:r>
          </w:p>
        </w:tc>
        <w:tc>
          <w:tcPr>
            <w:tcW w:w="968" w:type="dxa"/>
            <w:vAlign w:val="center"/>
          </w:tcPr>
          <w:p>
            <w:pPr>
              <w:pStyle w:val="182"/>
              <w:rPr>
                <w:rFonts w:hint="eastAsia"/>
                <w:b/>
                <w:bCs/>
                <w:color w:val="auto"/>
                <w:u w:val="single"/>
              </w:rPr>
            </w:pPr>
            <w:r>
              <w:rPr>
                <w:rFonts w:hint="eastAsia"/>
                <w:b/>
                <w:bCs/>
                <w:color w:val="auto"/>
                <w:u w:val="single"/>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Merge w:val="restart"/>
            <w:vAlign w:val="center"/>
          </w:tcPr>
          <w:p>
            <w:pPr>
              <w:pStyle w:val="182"/>
              <w:rPr>
                <w:rFonts w:hint="eastAsia"/>
                <w:b/>
                <w:bCs/>
                <w:color w:val="auto"/>
                <w:u w:val="single"/>
              </w:rPr>
            </w:pPr>
            <w:r>
              <w:rPr>
                <w:rFonts w:hint="eastAsia"/>
                <w:b/>
                <w:bCs/>
                <w:color w:val="auto"/>
                <w:u w:val="single"/>
                <w:lang w:val="en-US" w:eastAsia="zh-CN"/>
              </w:rPr>
              <w:t>石化、化工、医药、轻工、化纤、有色冶炼等</w:t>
            </w:r>
          </w:p>
        </w:tc>
        <w:tc>
          <w:tcPr>
            <w:tcW w:w="6912" w:type="dxa"/>
            <w:vAlign w:val="center"/>
          </w:tcPr>
          <w:p>
            <w:pPr>
              <w:pStyle w:val="182"/>
              <w:rPr>
                <w:rFonts w:hint="eastAsia"/>
                <w:b/>
                <w:bCs/>
                <w:color w:val="auto"/>
                <w:u w:val="single"/>
              </w:rPr>
            </w:pPr>
            <w:r>
              <w:rPr>
                <w:rFonts w:hint="eastAsia"/>
                <w:b/>
                <w:bCs/>
                <w:color w:val="auto"/>
                <w:u w:val="single"/>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968" w:type="dxa"/>
            <w:vAlign w:val="center"/>
          </w:tcPr>
          <w:p>
            <w:pPr>
              <w:pStyle w:val="182"/>
              <w:rPr>
                <w:rFonts w:hint="eastAsia"/>
                <w:b/>
                <w:bCs/>
                <w:color w:val="auto"/>
                <w:u w:val="single"/>
              </w:rPr>
            </w:pPr>
            <w:r>
              <w:rPr>
                <w:rFonts w:hint="eastAsia"/>
                <w:b/>
                <w:bCs/>
                <w:color w:val="auto"/>
                <w:u w:val="single"/>
              </w:rPr>
              <w:t>10/套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Merge w:val="continue"/>
            <w:vAlign w:val="center"/>
          </w:tcPr>
          <w:p>
            <w:pPr>
              <w:pStyle w:val="182"/>
              <w:rPr>
                <w:rFonts w:hint="eastAsia"/>
                <w:b/>
                <w:bCs/>
                <w:color w:val="auto"/>
                <w:u w:val="single"/>
              </w:rPr>
            </w:pPr>
          </w:p>
        </w:tc>
        <w:tc>
          <w:tcPr>
            <w:tcW w:w="6912" w:type="dxa"/>
            <w:vAlign w:val="center"/>
          </w:tcPr>
          <w:p>
            <w:pPr>
              <w:pStyle w:val="182"/>
              <w:rPr>
                <w:rFonts w:hint="eastAsia"/>
                <w:b/>
                <w:bCs/>
                <w:color w:val="auto"/>
                <w:u w:val="single"/>
              </w:rPr>
            </w:pPr>
            <w:r>
              <w:rPr>
                <w:rFonts w:hint="eastAsia"/>
                <w:b/>
                <w:bCs/>
                <w:color w:val="auto"/>
                <w:u w:val="single"/>
              </w:rPr>
              <w:t>无机酸制酸工艺、焦化工艺</w:t>
            </w:r>
          </w:p>
        </w:tc>
        <w:tc>
          <w:tcPr>
            <w:tcW w:w="968" w:type="dxa"/>
            <w:vAlign w:val="center"/>
          </w:tcPr>
          <w:p>
            <w:pPr>
              <w:pStyle w:val="182"/>
              <w:rPr>
                <w:rFonts w:hint="eastAsia"/>
                <w:b/>
                <w:bCs/>
                <w:color w:val="auto"/>
                <w:u w:val="single"/>
              </w:rPr>
            </w:pPr>
            <w:r>
              <w:rPr>
                <w:rFonts w:hint="eastAsia"/>
                <w:b/>
                <w:bCs/>
                <w:color w:val="auto"/>
                <w:u w:val="single"/>
              </w:rPr>
              <w:t>5/套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Merge w:val="continue"/>
            <w:vAlign w:val="center"/>
          </w:tcPr>
          <w:p>
            <w:pPr>
              <w:pStyle w:val="182"/>
              <w:rPr>
                <w:rFonts w:hint="eastAsia"/>
                <w:b/>
                <w:bCs/>
                <w:color w:val="auto"/>
                <w:u w:val="single"/>
              </w:rPr>
            </w:pPr>
          </w:p>
        </w:tc>
        <w:tc>
          <w:tcPr>
            <w:tcW w:w="6912" w:type="dxa"/>
            <w:vAlign w:val="center"/>
          </w:tcPr>
          <w:p>
            <w:pPr>
              <w:pStyle w:val="182"/>
              <w:rPr>
                <w:rFonts w:hint="eastAsia"/>
                <w:b/>
                <w:bCs/>
                <w:color w:val="auto"/>
                <w:u w:val="single"/>
              </w:rPr>
            </w:pPr>
            <w:r>
              <w:rPr>
                <w:rFonts w:hint="eastAsia"/>
                <w:b/>
                <w:bCs/>
                <w:color w:val="auto"/>
                <w:u w:val="single"/>
              </w:rPr>
              <w:t>其他高温或高压，且涉及危险物质的工艺过程a、危险物质贮存罐区</w:t>
            </w:r>
          </w:p>
        </w:tc>
        <w:tc>
          <w:tcPr>
            <w:tcW w:w="968" w:type="dxa"/>
            <w:vAlign w:val="center"/>
          </w:tcPr>
          <w:p>
            <w:pPr>
              <w:pStyle w:val="182"/>
              <w:rPr>
                <w:rFonts w:hint="eastAsia"/>
                <w:b/>
                <w:bCs/>
                <w:color w:val="auto"/>
                <w:u w:val="single"/>
              </w:rPr>
            </w:pPr>
            <w:r>
              <w:rPr>
                <w:rFonts w:hint="eastAsia"/>
                <w:b/>
                <w:bCs/>
                <w:color w:val="auto"/>
                <w:u w:val="single"/>
              </w:rPr>
              <w:t>5/套（罐区）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Align w:val="center"/>
          </w:tcPr>
          <w:p>
            <w:pPr>
              <w:pStyle w:val="182"/>
              <w:rPr>
                <w:rFonts w:hint="eastAsia"/>
                <w:b/>
                <w:bCs/>
                <w:color w:val="auto"/>
                <w:u w:val="single"/>
              </w:rPr>
            </w:pPr>
            <w:r>
              <w:rPr>
                <w:rFonts w:hint="eastAsia"/>
                <w:b/>
                <w:bCs/>
                <w:color w:val="auto"/>
                <w:u w:val="single"/>
              </w:rPr>
              <w:t>管道、港口/码头等</w:t>
            </w:r>
          </w:p>
        </w:tc>
        <w:tc>
          <w:tcPr>
            <w:tcW w:w="6912" w:type="dxa"/>
            <w:vAlign w:val="center"/>
          </w:tcPr>
          <w:p>
            <w:pPr>
              <w:pStyle w:val="182"/>
              <w:rPr>
                <w:rFonts w:hint="eastAsia"/>
                <w:b/>
                <w:bCs/>
                <w:color w:val="auto"/>
                <w:u w:val="single"/>
              </w:rPr>
            </w:pPr>
            <w:r>
              <w:rPr>
                <w:rFonts w:hint="eastAsia"/>
                <w:b/>
                <w:bCs/>
                <w:color w:val="auto"/>
                <w:u w:val="single"/>
              </w:rPr>
              <w:t>涉及危险物质管道运输项目、港口/码头等</w:t>
            </w:r>
          </w:p>
        </w:tc>
        <w:tc>
          <w:tcPr>
            <w:tcW w:w="968" w:type="dxa"/>
            <w:vAlign w:val="center"/>
          </w:tcPr>
          <w:p>
            <w:pPr>
              <w:pStyle w:val="182"/>
              <w:rPr>
                <w:rFonts w:hint="default"/>
                <w:b/>
                <w:bCs/>
                <w:color w:val="auto"/>
                <w:u w:val="single"/>
                <w:lang w:val="en-US" w:eastAsia="zh-CN"/>
              </w:rPr>
            </w:pPr>
            <w:r>
              <w:rPr>
                <w:rFonts w:hint="eastAsia"/>
                <w:b/>
                <w:bCs/>
                <w:color w:val="auto"/>
                <w:u w:val="singl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Align w:val="center"/>
          </w:tcPr>
          <w:p>
            <w:pPr>
              <w:pStyle w:val="182"/>
              <w:rPr>
                <w:rFonts w:hint="eastAsia"/>
                <w:b/>
                <w:bCs/>
                <w:color w:val="auto"/>
                <w:u w:val="single"/>
              </w:rPr>
            </w:pPr>
            <w:r>
              <w:rPr>
                <w:rFonts w:hint="eastAsia"/>
                <w:b/>
                <w:bCs/>
                <w:color w:val="auto"/>
                <w:u w:val="single"/>
              </w:rPr>
              <w:t>石油天然气</w:t>
            </w:r>
          </w:p>
        </w:tc>
        <w:tc>
          <w:tcPr>
            <w:tcW w:w="6912" w:type="dxa"/>
            <w:vAlign w:val="center"/>
          </w:tcPr>
          <w:p>
            <w:pPr>
              <w:pStyle w:val="182"/>
              <w:rPr>
                <w:rFonts w:hint="eastAsia"/>
                <w:b/>
                <w:bCs/>
                <w:color w:val="auto"/>
                <w:u w:val="single"/>
              </w:rPr>
            </w:pPr>
            <w:r>
              <w:rPr>
                <w:rFonts w:hint="eastAsia"/>
                <w:b/>
                <w:bCs/>
                <w:color w:val="auto"/>
                <w:u w:val="single"/>
              </w:rPr>
              <w:t>石油、天然气、页岩气开采（含净化），气库（不含加气站的气库），油库（不含加气站的油库）、油气管线b（不含城镇燃气管线）</w:t>
            </w:r>
          </w:p>
        </w:tc>
        <w:tc>
          <w:tcPr>
            <w:tcW w:w="968" w:type="dxa"/>
            <w:vAlign w:val="center"/>
          </w:tcPr>
          <w:p>
            <w:pPr>
              <w:pStyle w:val="182"/>
              <w:rPr>
                <w:rFonts w:hint="default"/>
                <w:b/>
                <w:bCs/>
                <w:color w:val="auto"/>
                <w:u w:val="single"/>
                <w:lang w:val="en-US" w:eastAsia="zh-CN"/>
              </w:rPr>
            </w:pPr>
            <w:r>
              <w:rPr>
                <w:rFonts w:hint="eastAsia"/>
                <w:b/>
                <w:bCs/>
                <w:color w:val="auto"/>
                <w:u w:val="singl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4" w:type="dxa"/>
            <w:vAlign w:val="center"/>
          </w:tcPr>
          <w:p>
            <w:pPr>
              <w:pStyle w:val="182"/>
              <w:rPr>
                <w:rFonts w:hint="eastAsia"/>
                <w:b/>
                <w:bCs/>
                <w:color w:val="auto"/>
                <w:u w:val="single"/>
              </w:rPr>
            </w:pPr>
            <w:r>
              <w:rPr>
                <w:rFonts w:hint="eastAsia"/>
                <w:b/>
                <w:bCs/>
                <w:color w:val="auto"/>
                <w:u w:val="single"/>
              </w:rPr>
              <w:t>其他</w:t>
            </w:r>
          </w:p>
        </w:tc>
        <w:tc>
          <w:tcPr>
            <w:tcW w:w="6912" w:type="dxa"/>
            <w:vAlign w:val="center"/>
          </w:tcPr>
          <w:p>
            <w:pPr>
              <w:pStyle w:val="182"/>
              <w:rPr>
                <w:rFonts w:hint="eastAsia"/>
                <w:b/>
                <w:bCs/>
                <w:color w:val="auto"/>
                <w:u w:val="single"/>
              </w:rPr>
            </w:pPr>
            <w:r>
              <w:rPr>
                <w:rFonts w:hint="eastAsia"/>
                <w:b/>
                <w:bCs/>
                <w:color w:val="auto"/>
                <w:u w:val="single"/>
              </w:rPr>
              <w:t>涉及危险物质使用、贮存的项目</w:t>
            </w:r>
          </w:p>
        </w:tc>
        <w:tc>
          <w:tcPr>
            <w:tcW w:w="968" w:type="dxa"/>
            <w:vAlign w:val="center"/>
          </w:tcPr>
          <w:p>
            <w:pPr>
              <w:pStyle w:val="182"/>
              <w:rPr>
                <w:rFonts w:hint="eastAsia"/>
                <w:b/>
                <w:bCs/>
                <w:color w:val="auto"/>
                <w:u w:val="single"/>
                <w:lang w:val="en-US" w:eastAsia="zh-CN"/>
              </w:rPr>
            </w:pPr>
            <w:r>
              <w:rPr>
                <w:rFonts w:hint="eastAsia"/>
                <w:b/>
                <w:bCs/>
                <w:color w:val="auto"/>
                <w:u w:val="singl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04" w:type="dxa"/>
            <w:gridSpan w:val="3"/>
            <w:vAlign w:val="center"/>
          </w:tcPr>
          <w:p>
            <w:pPr>
              <w:pStyle w:val="182"/>
              <w:rPr>
                <w:rFonts w:hint="eastAsia"/>
                <w:b/>
                <w:bCs/>
                <w:color w:val="auto"/>
                <w:u w:val="single"/>
              </w:rPr>
            </w:pPr>
            <w:r>
              <w:rPr>
                <w:rFonts w:hint="eastAsia"/>
                <w:b/>
                <w:bCs/>
                <w:color w:val="auto"/>
                <w:u w:val="single"/>
              </w:rPr>
              <w:t>a高温指工艺温度≥300℃，高压指压力容器的设计压力（P）≥10.0MPa；b长输管道运输项目应按站场、管线分段进行评价。</w:t>
            </w:r>
          </w:p>
        </w:tc>
      </w:tr>
    </w:tbl>
    <w:p>
      <w:pPr>
        <w:rPr>
          <w:rFonts w:hint="eastAsia"/>
          <w:b/>
          <w:bCs/>
          <w:i w:val="0"/>
          <w:iCs w:val="0"/>
          <w:color w:val="auto"/>
          <w:u w:val="single"/>
        </w:rPr>
      </w:pPr>
      <w:r>
        <w:rPr>
          <w:rFonts w:hint="eastAsia"/>
          <w:b/>
          <w:bCs/>
          <w:i w:val="0"/>
          <w:iCs w:val="0"/>
          <w:color w:val="auto"/>
          <w:u w:val="single"/>
        </w:rPr>
        <w:t>本项目属于化纤行业，根据其生产装置及生产工艺特征，本项目属于涉及危险物质使用、贮存的项目。因此，根据《建设项目环境风险评价技术导则》（HJ/T169-2018）附录C，本项目M值等于5，则项目行业及生产工艺M为M4。</w:t>
      </w:r>
    </w:p>
    <w:p>
      <w:pPr>
        <w:pStyle w:val="10"/>
        <w:widowControl/>
        <w:spacing w:before="120" w:beforeLines="50" w:line="500" w:lineRule="exact"/>
        <w:jc w:val="left"/>
        <w:rPr>
          <w:rFonts w:hint="default" w:eastAsia="宋体"/>
          <w:color w:val="auto"/>
          <w:lang w:val="en-US" w:eastAsia="zh-CN"/>
        </w:rPr>
      </w:pPr>
      <w:r>
        <w:rPr>
          <w:rFonts w:hint="eastAsia"/>
          <w:color w:val="auto"/>
        </w:rPr>
        <w:t>5.</w:t>
      </w:r>
      <w:r>
        <w:rPr>
          <w:rFonts w:hint="eastAsia"/>
          <w:color w:val="auto"/>
          <w:lang w:val="en-US" w:eastAsia="zh-CN"/>
        </w:rPr>
        <w:t>9</w:t>
      </w:r>
      <w:r>
        <w:rPr>
          <w:rFonts w:hint="eastAsia"/>
          <w:color w:val="auto"/>
        </w:rPr>
        <w:t>.3.</w:t>
      </w:r>
      <w:r>
        <w:rPr>
          <w:color w:val="auto"/>
        </w:rPr>
        <w:t>3</w:t>
      </w:r>
      <w:r>
        <w:rPr>
          <w:rFonts w:hint="eastAsia"/>
          <w:color w:val="auto"/>
        </w:rPr>
        <w:t>危险物质及工艺系统危险性</w:t>
      </w:r>
      <w:r>
        <w:rPr>
          <w:rFonts w:hint="eastAsia"/>
          <w:color w:val="auto"/>
          <w:lang w:eastAsia="zh-CN"/>
        </w:rPr>
        <w:t>（</w:t>
      </w:r>
      <w:r>
        <w:rPr>
          <w:rFonts w:hint="eastAsia"/>
          <w:color w:val="auto"/>
        </w:rPr>
        <w:t>P</w:t>
      </w:r>
      <w:r>
        <w:rPr>
          <w:rFonts w:hint="eastAsia"/>
          <w:color w:val="auto"/>
          <w:lang w:eastAsia="zh-CN"/>
        </w:rPr>
        <w:t>）</w:t>
      </w:r>
      <w:r>
        <w:rPr>
          <w:rFonts w:hint="eastAsia"/>
          <w:color w:val="auto"/>
          <w:lang w:val="en-US" w:eastAsia="zh-CN"/>
        </w:rPr>
        <w:t>分级</w:t>
      </w:r>
    </w:p>
    <w:p>
      <w:pPr>
        <w:widowControl/>
        <w:tabs>
          <w:tab w:val="left" w:pos="1080"/>
        </w:tabs>
        <w:spacing w:before="120" w:beforeLines="50" w:line="500" w:lineRule="exact"/>
        <w:jc w:val="left"/>
        <w:rPr>
          <w:rFonts w:hint="eastAsia"/>
          <w:b/>
          <w:bCs/>
          <w:color w:val="auto"/>
          <w:u w:val="single"/>
        </w:rPr>
      </w:pPr>
      <w:r>
        <w:rPr>
          <w:rFonts w:hint="eastAsia"/>
          <w:b/>
          <w:bCs/>
          <w:color w:val="auto"/>
          <w:u w:val="single"/>
        </w:rPr>
        <w:t>根据危险物质数量与临界量比值（Q）和行业及生产工艺（M），按照《建设项目环境风险评价技术导则》（HJ/T169-2018）附录</w:t>
      </w:r>
      <w:r>
        <w:rPr>
          <w:rFonts w:hint="eastAsia"/>
          <w:b/>
          <w:bCs/>
          <w:color w:val="auto"/>
          <w:u w:val="single"/>
          <w:lang w:val="en-US" w:eastAsia="zh-CN"/>
        </w:rPr>
        <w:t>表</w:t>
      </w:r>
      <w:r>
        <w:rPr>
          <w:rFonts w:hint="eastAsia"/>
          <w:b/>
          <w:bCs/>
          <w:color w:val="auto"/>
          <w:u w:val="single"/>
        </w:rPr>
        <w:t>C.2确定危险物质及工艺系统危险性等级（P），分别以P1、P2、P3、P4表示。</w:t>
      </w:r>
    </w:p>
    <w:p>
      <w:pPr>
        <w:pStyle w:val="181"/>
        <w:widowControl/>
        <w:spacing w:before="120" w:beforeLines="50" w:line="500" w:lineRule="exact"/>
        <w:jc w:val="left"/>
        <w:rPr>
          <w:rFonts w:hint="eastAsia"/>
          <w:color w:val="auto"/>
        </w:rPr>
      </w:pPr>
      <w:r>
        <w:rPr>
          <w:rFonts w:hint="eastAsia"/>
          <w:color w:val="auto"/>
        </w:rPr>
        <w:t>表C.2</w:t>
      </w:r>
      <w:r>
        <w:rPr>
          <w:rFonts w:hint="eastAsia"/>
          <w:color w:val="auto"/>
          <w:lang w:val="en-US" w:eastAsia="zh-CN"/>
        </w:rPr>
        <w:t xml:space="preserve">       </w:t>
      </w:r>
      <w:r>
        <w:rPr>
          <w:rFonts w:hint="eastAsia"/>
          <w:color w:val="auto"/>
        </w:rPr>
        <w:t>危险物质及工艺系统危险性等级判断（P）</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705"/>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Merge w:val="restart"/>
            <w:vAlign w:val="center"/>
          </w:tcPr>
          <w:p>
            <w:pPr>
              <w:pStyle w:val="182"/>
              <w:rPr>
                <w:rFonts w:hint="eastAsia"/>
                <w:b/>
                <w:bCs/>
                <w:color w:val="auto"/>
                <w:u w:val="single"/>
              </w:rPr>
            </w:pPr>
            <w:r>
              <w:rPr>
                <w:rFonts w:hint="eastAsia"/>
                <w:b/>
                <w:bCs/>
                <w:color w:val="auto"/>
                <w:u w:val="single"/>
              </w:rPr>
              <w:t>危险物质数量</w:t>
            </w:r>
          </w:p>
          <w:p>
            <w:pPr>
              <w:pStyle w:val="182"/>
              <w:rPr>
                <w:rFonts w:hint="eastAsia"/>
                <w:b/>
                <w:bCs/>
                <w:color w:val="auto"/>
                <w:u w:val="single"/>
              </w:rPr>
            </w:pPr>
            <w:r>
              <w:rPr>
                <w:rFonts w:hint="eastAsia"/>
                <w:b/>
                <w:bCs/>
                <w:color w:val="auto"/>
                <w:u w:val="single"/>
              </w:rPr>
              <w:t>与临界量比值（Q）</w:t>
            </w:r>
          </w:p>
        </w:tc>
        <w:tc>
          <w:tcPr>
            <w:tcW w:w="4000" w:type="pct"/>
            <w:gridSpan w:val="4"/>
            <w:vAlign w:val="center"/>
          </w:tcPr>
          <w:p>
            <w:pPr>
              <w:pStyle w:val="182"/>
              <w:rPr>
                <w:rFonts w:hint="eastAsia"/>
                <w:b/>
                <w:bCs/>
                <w:color w:val="auto"/>
                <w:u w:val="single"/>
              </w:rPr>
            </w:pPr>
            <w:r>
              <w:rPr>
                <w:rFonts w:hint="eastAsia"/>
                <w:b/>
                <w:bCs/>
                <w:color w:val="auto"/>
                <w:u w:val="single"/>
              </w:rPr>
              <w:t>行业及生产工艺（M）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Merge w:val="continue"/>
            <w:vAlign w:val="center"/>
          </w:tcPr>
          <w:p>
            <w:pPr>
              <w:pStyle w:val="182"/>
              <w:rPr>
                <w:rFonts w:hint="eastAsia"/>
                <w:b/>
                <w:bCs/>
                <w:color w:val="auto"/>
                <w:u w:val="single"/>
              </w:rPr>
            </w:pP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M1</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M2</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M3</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M4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rPr>
                <w:rFonts w:hint="eastAsia"/>
                <w:b/>
                <w:bCs/>
                <w:color w:val="auto"/>
                <w:u w:val="single"/>
              </w:rPr>
            </w:pPr>
            <w:r>
              <w:rPr>
                <w:rFonts w:hint="eastAsia"/>
                <w:b/>
                <w:bCs/>
                <w:color w:val="auto"/>
                <w:u w:val="single"/>
              </w:rPr>
              <w:t>Q≥100</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P1</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P1</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P2</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rPr>
                <w:rFonts w:hint="eastAsia"/>
                <w:b/>
                <w:bCs/>
                <w:color w:val="auto"/>
                <w:u w:val="single"/>
              </w:rPr>
            </w:pPr>
            <w:r>
              <w:rPr>
                <w:rFonts w:hint="eastAsia"/>
                <w:b/>
                <w:bCs/>
                <w:color w:val="auto"/>
                <w:u w:val="single"/>
              </w:rPr>
              <w:t>10≤Q＜100</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P1</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P2</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P3</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vAlign w:val="center"/>
          </w:tcPr>
          <w:p>
            <w:pPr>
              <w:pStyle w:val="182"/>
              <w:rPr>
                <w:rFonts w:hint="eastAsia"/>
                <w:b/>
                <w:bCs/>
                <w:color w:val="auto"/>
                <w:u w:val="single"/>
              </w:rPr>
            </w:pPr>
            <w:r>
              <w:rPr>
                <w:rFonts w:hint="eastAsia"/>
                <w:b/>
                <w:bCs/>
                <w:color w:val="auto"/>
                <w:u w:val="single"/>
              </w:rPr>
              <w:t>1≤Q＜10</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P2</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P3</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P4</w:t>
            </w:r>
          </w:p>
        </w:tc>
        <w:tc>
          <w:tcPr>
            <w:tcW w:w="1000" w:type="pct"/>
            <w:vAlign w:val="center"/>
          </w:tcPr>
          <w:p>
            <w:pPr>
              <w:pStyle w:val="182"/>
              <w:rPr>
                <w:rFonts w:hint="default" w:eastAsia="宋体"/>
                <w:b/>
                <w:bCs/>
                <w:color w:val="auto"/>
                <w:u w:val="single"/>
                <w:lang w:val="en-US" w:eastAsia="zh-CN"/>
              </w:rPr>
            </w:pPr>
            <w:r>
              <w:rPr>
                <w:rFonts w:hint="eastAsia"/>
                <w:b/>
                <w:bCs/>
                <w:color w:val="auto"/>
                <w:u w:val="single"/>
                <w:lang w:val="en-US" w:eastAsia="zh-CN"/>
              </w:rPr>
              <w:t>P4</w:t>
            </w:r>
          </w:p>
        </w:tc>
      </w:tr>
    </w:tbl>
    <w:p>
      <w:pPr>
        <w:rPr>
          <w:rFonts w:hint="eastAsia"/>
          <w:b/>
          <w:bCs/>
          <w:color w:val="auto"/>
        </w:rPr>
      </w:pPr>
      <w:r>
        <w:rPr>
          <w:rFonts w:hint="eastAsia"/>
          <w:b/>
          <w:bCs/>
          <w:color w:val="auto"/>
        </w:rPr>
        <w:t>本项目M=5</w:t>
      </w:r>
      <w:r>
        <w:rPr>
          <w:rFonts w:hint="eastAsia"/>
          <w:b/>
          <w:bCs/>
          <w:color w:val="auto"/>
          <w:lang w:eastAsia="zh-CN"/>
        </w:rPr>
        <w:t>，</w:t>
      </w:r>
      <w:r>
        <w:rPr>
          <w:rFonts w:hint="eastAsia"/>
          <w:b/>
          <w:bCs/>
          <w:color w:val="auto"/>
          <w:lang w:val="en-US" w:eastAsia="zh-CN"/>
        </w:rPr>
        <w:t>M为M4</w:t>
      </w:r>
      <w:r>
        <w:rPr>
          <w:rFonts w:hint="eastAsia"/>
          <w:b/>
          <w:bCs/>
          <w:color w:val="auto"/>
        </w:rPr>
        <w:t>，1</w:t>
      </w:r>
      <w:r>
        <w:rPr>
          <w:rFonts w:hint="eastAsia"/>
          <w:b/>
          <w:bCs/>
          <w:color w:val="auto"/>
          <w:lang w:val="en-US" w:eastAsia="zh-CN"/>
        </w:rPr>
        <w:t>0</w:t>
      </w:r>
      <w:r>
        <w:rPr>
          <w:rFonts w:hint="eastAsia"/>
          <w:b/>
          <w:bCs/>
          <w:color w:val="auto"/>
        </w:rPr>
        <w:t>≤Q&lt;10</w:t>
      </w:r>
      <w:r>
        <w:rPr>
          <w:rFonts w:hint="eastAsia"/>
          <w:b/>
          <w:bCs/>
          <w:color w:val="auto"/>
          <w:lang w:val="en-US" w:eastAsia="zh-CN"/>
        </w:rPr>
        <w:t>0</w:t>
      </w:r>
      <w:r>
        <w:rPr>
          <w:rFonts w:hint="eastAsia"/>
          <w:b/>
          <w:bCs/>
          <w:color w:val="auto"/>
        </w:rPr>
        <w:t>，根据《建设项目环境风险评价技术导则》（HJ/T169- 2018）附录C，本项目的P值为P</w:t>
      </w:r>
      <w:r>
        <w:rPr>
          <w:rFonts w:hint="eastAsia"/>
          <w:b/>
          <w:bCs/>
          <w:color w:val="auto"/>
          <w:lang w:val="en-US" w:eastAsia="zh-CN"/>
        </w:rPr>
        <w:t>3</w:t>
      </w:r>
      <w:r>
        <w:rPr>
          <w:rFonts w:hint="eastAsia"/>
          <w:b/>
          <w:bCs/>
          <w:color w:val="auto"/>
        </w:rPr>
        <w:t>。</w:t>
      </w:r>
    </w:p>
    <w:p>
      <w:pPr>
        <w:pStyle w:val="10"/>
        <w:rPr>
          <w:rFonts w:hint="eastAsia"/>
          <w:color w:val="auto"/>
        </w:rPr>
      </w:pPr>
      <w:r>
        <w:rPr>
          <w:rFonts w:hint="eastAsia"/>
          <w:color w:val="auto"/>
        </w:rPr>
        <w:t>5.</w:t>
      </w:r>
      <w:r>
        <w:rPr>
          <w:rFonts w:hint="eastAsia"/>
          <w:color w:val="auto"/>
          <w:lang w:val="en-US" w:eastAsia="zh-CN"/>
        </w:rPr>
        <w:t>9</w:t>
      </w:r>
      <w:r>
        <w:rPr>
          <w:rFonts w:hint="eastAsia"/>
          <w:color w:val="auto"/>
        </w:rPr>
        <w:t>.3.4</w:t>
      </w:r>
      <w:r>
        <w:rPr>
          <w:rFonts w:hint="eastAsia"/>
          <w:color w:val="auto"/>
          <w:lang w:val="en-US" w:eastAsia="zh-CN"/>
        </w:rPr>
        <w:t xml:space="preserve">  </w:t>
      </w:r>
      <w:r>
        <w:rPr>
          <w:rFonts w:hint="eastAsia"/>
          <w:color w:val="auto"/>
        </w:rPr>
        <w:t>环境敏感程度E及评价等级</w:t>
      </w:r>
    </w:p>
    <w:p>
      <w:pPr>
        <w:rPr>
          <w:rFonts w:hint="eastAsia"/>
          <w:b/>
          <w:bCs/>
          <w:color w:val="auto"/>
          <w:u w:val="single"/>
          <w:lang w:eastAsia="zh-CN"/>
        </w:rPr>
      </w:pPr>
      <w:r>
        <w:rPr>
          <w:rFonts w:hint="eastAsia"/>
          <w:b/>
          <w:bCs/>
          <w:color w:val="auto"/>
          <w:u w:val="single"/>
          <w:lang w:eastAsia="zh-CN"/>
        </w:rPr>
        <w:t>（</w:t>
      </w:r>
      <w:r>
        <w:rPr>
          <w:rFonts w:hint="eastAsia"/>
          <w:b/>
          <w:bCs/>
          <w:color w:val="auto"/>
          <w:u w:val="single"/>
          <w:lang w:val="en-US" w:eastAsia="zh-CN"/>
        </w:rPr>
        <w:t>1</w:t>
      </w:r>
      <w:r>
        <w:rPr>
          <w:rFonts w:hint="eastAsia"/>
          <w:b/>
          <w:bCs/>
          <w:color w:val="auto"/>
          <w:u w:val="single"/>
          <w:lang w:eastAsia="zh-CN"/>
        </w:rPr>
        <w:t>）</w:t>
      </w:r>
      <w:r>
        <w:rPr>
          <w:rFonts w:hint="eastAsia"/>
          <w:b/>
          <w:bCs/>
          <w:color w:val="auto"/>
          <w:u w:val="single"/>
        </w:rPr>
        <w:t>大气环境</w:t>
      </w:r>
    </w:p>
    <w:p>
      <w:pPr>
        <w:rPr>
          <w:rFonts w:hint="eastAsia"/>
          <w:b/>
          <w:bCs/>
          <w:color w:val="auto"/>
          <w:u w:val="single"/>
        </w:rPr>
      </w:pPr>
      <w:r>
        <w:rPr>
          <w:rFonts w:hint="eastAsia"/>
          <w:b/>
          <w:bCs/>
          <w:color w:val="auto"/>
          <w:u w:val="single"/>
        </w:rPr>
        <w:t>根据《建设项目环境风险评价技术导则》（HJ/T169- 2018）附录</w:t>
      </w:r>
      <w:r>
        <w:rPr>
          <w:rFonts w:hint="eastAsia"/>
          <w:b/>
          <w:bCs/>
          <w:color w:val="auto"/>
          <w:u w:val="single"/>
          <w:lang w:val="en-US" w:eastAsia="zh-CN"/>
        </w:rPr>
        <w:t>D</w:t>
      </w:r>
      <w:r>
        <w:rPr>
          <w:rFonts w:hint="eastAsia"/>
          <w:b/>
          <w:bCs/>
          <w:color w:val="auto"/>
          <w:u w:val="single"/>
        </w:rPr>
        <w:t>依据环境敏感目标环境敏感性及人口密度划分环境风险受体的敏感性，共分为三种类型，E1为环境高度敏感区，E2为环境中度敏感区，E3为环境低度敏感区，分级原则见表D.1。</w:t>
      </w:r>
    </w:p>
    <w:p>
      <w:pPr>
        <w:pStyle w:val="181"/>
        <w:rPr>
          <w:rFonts w:hint="eastAsia"/>
          <w:color w:val="auto"/>
        </w:rPr>
      </w:pPr>
      <w:r>
        <w:rPr>
          <w:rFonts w:hint="eastAsia"/>
          <w:color w:val="auto"/>
        </w:rPr>
        <w:t xml:space="preserve">表D.1 </w:t>
      </w:r>
      <w:r>
        <w:rPr>
          <w:rFonts w:hint="eastAsia"/>
          <w:color w:val="auto"/>
          <w:lang w:val="en-US" w:eastAsia="zh-CN"/>
        </w:rPr>
        <w:t xml:space="preserve">            </w:t>
      </w:r>
      <w:r>
        <w:rPr>
          <w:rFonts w:hint="eastAsia"/>
          <w:color w:val="auto"/>
        </w:rPr>
        <w:t>大气环境敏感程度分级</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73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vAlign w:val="center"/>
          </w:tcPr>
          <w:p>
            <w:pPr>
              <w:pStyle w:val="182"/>
              <w:rPr>
                <w:rFonts w:hint="default"/>
                <w:b/>
                <w:bCs/>
                <w:color w:val="auto"/>
                <w:vertAlign w:val="baseline"/>
              </w:rPr>
            </w:pPr>
            <w:r>
              <w:rPr>
                <w:rFonts w:hint="default"/>
                <w:b/>
                <w:bCs/>
                <w:color w:val="auto"/>
              </w:rPr>
              <w:t>分级</w:t>
            </w:r>
          </w:p>
        </w:tc>
        <w:tc>
          <w:tcPr>
            <w:tcW w:w="4302" w:type="pct"/>
            <w:vAlign w:val="center"/>
          </w:tcPr>
          <w:p>
            <w:pPr>
              <w:pStyle w:val="182"/>
              <w:rPr>
                <w:rFonts w:hint="default"/>
                <w:b/>
                <w:bCs/>
                <w:color w:val="auto"/>
                <w:vertAlign w:val="baseline"/>
              </w:rPr>
            </w:pPr>
            <w:r>
              <w:rPr>
                <w:rFonts w:hint="default"/>
                <w:b/>
                <w:bCs/>
                <w:color w:val="auto"/>
              </w:rPr>
              <w:t>大气环境敏感性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vAlign w:val="center"/>
          </w:tcPr>
          <w:p>
            <w:pPr>
              <w:pStyle w:val="182"/>
              <w:rPr>
                <w:rFonts w:hint="default" w:eastAsia="宋体"/>
                <w:b/>
                <w:bCs/>
                <w:color w:val="auto"/>
                <w:vertAlign w:val="baseline"/>
                <w:lang w:val="en-US" w:eastAsia="zh-CN"/>
              </w:rPr>
            </w:pPr>
            <w:r>
              <w:rPr>
                <w:rFonts w:hint="default"/>
                <w:b/>
                <w:bCs/>
                <w:color w:val="auto"/>
                <w:vertAlign w:val="baseline"/>
                <w:lang w:val="en-US" w:eastAsia="zh-CN"/>
              </w:rPr>
              <w:t>E1</w:t>
            </w:r>
          </w:p>
        </w:tc>
        <w:tc>
          <w:tcPr>
            <w:tcW w:w="4302" w:type="pct"/>
            <w:vAlign w:val="center"/>
          </w:tcPr>
          <w:p>
            <w:pPr>
              <w:pStyle w:val="182"/>
              <w:rPr>
                <w:rFonts w:hint="default"/>
                <w:b/>
                <w:bCs/>
                <w:color w:val="auto"/>
                <w:vertAlign w:val="baseline"/>
              </w:rPr>
            </w:pPr>
            <w:r>
              <w:rPr>
                <w:rFonts w:hint="default"/>
                <w:b/>
                <w:bCs/>
                <w:color w:val="auto"/>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vAlign w:val="center"/>
          </w:tcPr>
          <w:p>
            <w:pPr>
              <w:pStyle w:val="182"/>
              <w:rPr>
                <w:rFonts w:hint="default" w:eastAsia="宋体"/>
                <w:b/>
                <w:bCs/>
                <w:color w:val="auto"/>
                <w:vertAlign w:val="baseline"/>
                <w:lang w:val="en-US" w:eastAsia="zh-CN"/>
              </w:rPr>
            </w:pPr>
            <w:r>
              <w:rPr>
                <w:rFonts w:hint="default"/>
                <w:b/>
                <w:bCs/>
                <w:color w:val="auto"/>
                <w:vertAlign w:val="baseline"/>
                <w:lang w:val="en-US" w:eastAsia="zh-CN"/>
              </w:rPr>
              <w:t>E2</w:t>
            </w:r>
          </w:p>
        </w:tc>
        <w:tc>
          <w:tcPr>
            <w:tcW w:w="4302" w:type="pct"/>
            <w:vAlign w:val="center"/>
          </w:tcPr>
          <w:p>
            <w:pPr>
              <w:pStyle w:val="182"/>
              <w:rPr>
                <w:rFonts w:hint="default"/>
                <w:b/>
                <w:bCs/>
                <w:color w:val="auto"/>
                <w:vertAlign w:val="baseline"/>
              </w:rPr>
            </w:pPr>
            <w:r>
              <w:rPr>
                <w:rFonts w:hint="default"/>
                <w:b/>
                <w:bCs/>
                <w:color w:val="auto"/>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pct"/>
            <w:vAlign w:val="center"/>
          </w:tcPr>
          <w:p>
            <w:pPr>
              <w:pStyle w:val="182"/>
              <w:rPr>
                <w:rFonts w:hint="default" w:eastAsia="宋体"/>
                <w:b/>
                <w:bCs/>
                <w:color w:val="auto"/>
                <w:vertAlign w:val="baseline"/>
                <w:lang w:val="en-US" w:eastAsia="zh-CN"/>
              </w:rPr>
            </w:pPr>
            <w:r>
              <w:rPr>
                <w:rFonts w:hint="default"/>
                <w:b/>
                <w:bCs/>
                <w:color w:val="auto"/>
                <w:vertAlign w:val="baseline"/>
                <w:lang w:val="en-US" w:eastAsia="zh-CN"/>
              </w:rPr>
              <w:t>E3</w:t>
            </w:r>
          </w:p>
        </w:tc>
        <w:tc>
          <w:tcPr>
            <w:tcW w:w="4302" w:type="pct"/>
            <w:vAlign w:val="center"/>
          </w:tcPr>
          <w:p>
            <w:pPr>
              <w:pStyle w:val="182"/>
              <w:rPr>
                <w:rFonts w:hint="default"/>
                <w:b/>
                <w:bCs/>
                <w:color w:val="auto"/>
                <w:vertAlign w:val="baseline"/>
              </w:rPr>
            </w:pPr>
            <w:r>
              <w:rPr>
                <w:rFonts w:hint="default"/>
                <w:b/>
                <w:bCs/>
                <w:color w:val="auto"/>
              </w:rPr>
              <w:t>周边</w:t>
            </w:r>
            <w:r>
              <w:rPr>
                <w:rFonts w:hint="default"/>
                <w:b/>
                <w:bCs/>
                <w:color w:val="auto"/>
                <w:lang w:val="en-US" w:eastAsia="zh-CN"/>
              </w:rPr>
              <w:t>5</w:t>
            </w:r>
            <w:r>
              <w:rPr>
                <w:rFonts w:hint="default"/>
                <w:b/>
                <w:bCs/>
                <w:color w:val="auto"/>
              </w:rPr>
              <w:t>km范围内居住区、医疗卫生、文化教育、科研、行政办公等机构人口总数小于1万人；或周边500m范围内人口总数小于500人；油气、化学品输送管线管段周边200m范围内，每千米管段人口数小于100人</w:t>
            </w:r>
          </w:p>
        </w:tc>
      </w:tr>
    </w:tbl>
    <w:p>
      <w:pPr>
        <w:rPr>
          <w:rFonts w:hint="eastAsia"/>
          <w:b/>
          <w:bCs/>
          <w:color w:val="auto"/>
          <w:u w:val="single"/>
          <w:lang w:eastAsia="zh-CN"/>
        </w:rPr>
      </w:pPr>
      <w:r>
        <w:rPr>
          <w:rFonts w:hint="eastAsia"/>
          <w:b/>
          <w:bCs/>
          <w:color w:val="auto"/>
          <w:u w:val="single"/>
        </w:rPr>
        <w:t>项目周边5 km范围内总人口数为</w:t>
      </w:r>
      <w:r>
        <w:rPr>
          <w:rFonts w:hint="eastAsia"/>
          <w:b/>
          <w:bCs/>
          <w:color w:val="auto"/>
          <w:u w:val="single"/>
          <w:lang w:val="en-US" w:eastAsia="zh-CN"/>
        </w:rPr>
        <w:t>137216</w:t>
      </w:r>
      <w:r>
        <w:rPr>
          <w:rFonts w:hint="eastAsia"/>
          <w:b/>
          <w:bCs/>
          <w:color w:val="auto"/>
          <w:u w:val="single"/>
        </w:rPr>
        <w:t>人，大于5万人，项目大气环境敏感程度为环境高度敏感区E1</w:t>
      </w:r>
      <w:r>
        <w:rPr>
          <w:rFonts w:hint="eastAsia"/>
          <w:b/>
          <w:bCs/>
          <w:color w:val="auto"/>
          <w:u w:val="single"/>
          <w:lang w:eastAsia="zh-CN"/>
        </w:rPr>
        <w:t>。</w:t>
      </w:r>
    </w:p>
    <w:p>
      <w:pPr>
        <w:ind w:firstLine="482" w:firstLineChars="200"/>
        <w:rPr>
          <w:rFonts w:hint="eastAsia"/>
          <w:color w:val="auto"/>
          <w:lang w:eastAsia="zh-CN"/>
        </w:rPr>
      </w:pPr>
      <w:r>
        <w:rPr>
          <w:rFonts w:hint="eastAsia"/>
          <w:b/>
          <w:bCs/>
          <w:color w:val="auto"/>
          <w:u w:val="single"/>
        </w:rPr>
        <w:t>根据建设项目涉及的物质和工艺系统的危险性及其所在地的环境敏感程度，结合事故情形下环境影响途径，对建设项目潜在环境危害程度进行概化分析，按照《建设项目环境风险评价技术导则》（HJ/T169- 2018）表2确定环境风险潜势。</w:t>
      </w:r>
    </w:p>
    <w:p>
      <w:pPr>
        <w:pStyle w:val="181"/>
        <w:rPr>
          <w:rFonts w:hint="eastAsia"/>
          <w:color w:val="auto"/>
        </w:rPr>
      </w:pPr>
      <w:r>
        <w:rPr>
          <w:rFonts w:hint="eastAsia"/>
          <w:color w:val="auto"/>
        </w:rPr>
        <w:t xml:space="preserve">表2 </w:t>
      </w:r>
      <w:r>
        <w:rPr>
          <w:rFonts w:hint="eastAsia"/>
          <w:color w:val="auto"/>
          <w:lang w:val="en-US" w:eastAsia="zh-CN"/>
        </w:rPr>
        <w:t xml:space="preserve">             </w:t>
      </w:r>
      <w:r>
        <w:rPr>
          <w:rFonts w:hint="eastAsia"/>
          <w:color w:val="auto"/>
        </w:rPr>
        <w:t>建设项目环境风险潜势划分</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Merge w:val="restart"/>
            <w:vAlign w:val="center"/>
          </w:tcPr>
          <w:p>
            <w:pPr>
              <w:pStyle w:val="182"/>
              <w:rPr>
                <w:rFonts w:hint="eastAsia"/>
                <w:b/>
                <w:bCs/>
                <w:color w:val="auto"/>
                <w:u w:val="single"/>
              </w:rPr>
            </w:pPr>
            <w:r>
              <w:rPr>
                <w:rFonts w:hint="eastAsia"/>
                <w:b/>
                <w:bCs/>
                <w:color w:val="auto"/>
                <w:u w:val="single"/>
              </w:rPr>
              <w:t>环境敏感程度（E）</w:t>
            </w:r>
          </w:p>
        </w:tc>
        <w:tc>
          <w:tcPr>
            <w:tcW w:w="7204" w:type="dxa"/>
            <w:gridSpan w:val="4"/>
            <w:vAlign w:val="center"/>
          </w:tcPr>
          <w:p>
            <w:pPr>
              <w:pStyle w:val="182"/>
              <w:rPr>
                <w:rFonts w:hint="eastAsia"/>
                <w:b/>
                <w:bCs/>
                <w:color w:val="auto"/>
                <w:u w:val="single"/>
              </w:rPr>
            </w:pPr>
            <w:r>
              <w:rPr>
                <w:rFonts w:hint="eastAsia"/>
                <w:b/>
                <w:bCs/>
                <w:color w:val="auto"/>
                <w:u w:val="single"/>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Merge w:val="continue"/>
            <w:vAlign w:val="center"/>
          </w:tcPr>
          <w:p>
            <w:pPr>
              <w:pStyle w:val="182"/>
              <w:rPr>
                <w:rFonts w:hint="eastAsia"/>
                <w:b/>
                <w:bCs/>
                <w:color w:val="auto"/>
                <w:u w:val="single"/>
              </w:rPr>
            </w:pPr>
          </w:p>
        </w:tc>
        <w:tc>
          <w:tcPr>
            <w:tcW w:w="1801" w:type="dxa"/>
            <w:vAlign w:val="center"/>
          </w:tcPr>
          <w:p>
            <w:pPr>
              <w:pStyle w:val="182"/>
              <w:rPr>
                <w:rFonts w:hint="eastAsia"/>
                <w:b/>
                <w:bCs/>
                <w:color w:val="auto"/>
                <w:u w:val="single"/>
              </w:rPr>
            </w:pPr>
            <w:r>
              <w:rPr>
                <w:rFonts w:hint="eastAsia"/>
                <w:b/>
                <w:bCs/>
                <w:color w:val="auto"/>
                <w:u w:val="single"/>
              </w:rPr>
              <w:t>极高危害（P1）</w:t>
            </w:r>
          </w:p>
        </w:tc>
        <w:tc>
          <w:tcPr>
            <w:tcW w:w="1801" w:type="dxa"/>
            <w:vAlign w:val="center"/>
          </w:tcPr>
          <w:p>
            <w:pPr>
              <w:pStyle w:val="182"/>
              <w:rPr>
                <w:rFonts w:hint="eastAsia"/>
                <w:b/>
                <w:bCs/>
                <w:color w:val="auto"/>
                <w:u w:val="single"/>
              </w:rPr>
            </w:pPr>
            <w:r>
              <w:rPr>
                <w:rFonts w:hint="eastAsia"/>
                <w:b/>
                <w:bCs/>
                <w:color w:val="auto"/>
                <w:u w:val="single"/>
              </w:rPr>
              <w:t>高度危害（P2）</w:t>
            </w:r>
          </w:p>
        </w:tc>
        <w:tc>
          <w:tcPr>
            <w:tcW w:w="1801" w:type="dxa"/>
            <w:vAlign w:val="center"/>
          </w:tcPr>
          <w:p>
            <w:pPr>
              <w:pStyle w:val="182"/>
              <w:rPr>
                <w:rFonts w:hint="eastAsia"/>
                <w:b/>
                <w:bCs/>
                <w:color w:val="auto"/>
                <w:u w:val="single"/>
              </w:rPr>
            </w:pPr>
            <w:r>
              <w:rPr>
                <w:rFonts w:hint="eastAsia"/>
                <w:b/>
                <w:bCs/>
                <w:color w:val="auto"/>
                <w:u w:val="single"/>
              </w:rPr>
              <w:t>中度危害（P3）</w:t>
            </w:r>
          </w:p>
        </w:tc>
        <w:tc>
          <w:tcPr>
            <w:tcW w:w="1801" w:type="dxa"/>
            <w:vAlign w:val="center"/>
          </w:tcPr>
          <w:p>
            <w:pPr>
              <w:pStyle w:val="182"/>
              <w:rPr>
                <w:rFonts w:hint="eastAsia"/>
                <w:b/>
                <w:bCs/>
                <w:color w:val="auto"/>
                <w:u w:val="single"/>
              </w:rPr>
            </w:pPr>
            <w:r>
              <w:rPr>
                <w:rFonts w:hint="eastAsia"/>
                <w:b/>
                <w:bCs/>
                <w:color w:val="auto"/>
                <w:u w:val="single"/>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Align w:val="center"/>
          </w:tcPr>
          <w:p>
            <w:pPr>
              <w:pStyle w:val="182"/>
              <w:rPr>
                <w:rFonts w:hint="eastAsia"/>
                <w:b/>
                <w:bCs/>
                <w:color w:val="auto"/>
                <w:u w:val="single"/>
              </w:rPr>
            </w:pPr>
            <w:r>
              <w:rPr>
                <w:rFonts w:hint="eastAsia"/>
                <w:b/>
                <w:bCs/>
                <w:color w:val="auto"/>
                <w:u w:val="single"/>
              </w:rPr>
              <w:t>环境高度敏感区（E1）</w:t>
            </w:r>
          </w:p>
        </w:tc>
        <w:tc>
          <w:tcPr>
            <w:tcW w:w="1801" w:type="dxa"/>
            <w:vAlign w:val="center"/>
          </w:tcPr>
          <w:p>
            <w:pPr>
              <w:pStyle w:val="182"/>
              <w:rPr>
                <w:rFonts w:hint="eastAsia"/>
                <w:b/>
                <w:bCs/>
                <w:color w:val="auto"/>
                <w:u w:val="single"/>
                <w:lang w:val="en-US" w:eastAsia="zh-CN"/>
              </w:rPr>
            </w:pPr>
            <w:r>
              <w:rPr>
                <w:rFonts w:hint="eastAsia"/>
                <w:b/>
                <w:bCs/>
                <w:color w:val="auto"/>
                <w:u w:val="single"/>
              </w:rPr>
              <w:t>Ⅳ</w:t>
            </w:r>
            <w:r>
              <w:rPr>
                <w:rFonts w:hint="eastAsia"/>
                <w:b/>
                <w:bCs/>
                <w:color w:val="auto"/>
                <w:u w:val="single"/>
                <w:lang w:val="en-US" w:eastAsia="zh-CN"/>
              </w:rPr>
              <w:t>+</w:t>
            </w:r>
          </w:p>
        </w:tc>
        <w:tc>
          <w:tcPr>
            <w:tcW w:w="1801" w:type="dxa"/>
            <w:vAlign w:val="center"/>
          </w:tcPr>
          <w:p>
            <w:pPr>
              <w:pStyle w:val="182"/>
              <w:rPr>
                <w:rFonts w:hint="eastAsia"/>
                <w:b/>
                <w:bCs/>
                <w:color w:val="auto"/>
                <w:u w:val="single"/>
              </w:rPr>
            </w:pPr>
            <w:r>
              <w:rPr>
                <w:rFonts w:hint="eastAsia"/>
                <w:b/>
                <w:bCs/>
                <w:color w:val="auto"/>
                <w:u w:val="single"/>
              </w:rPr>
              <w:t>Ⅳ</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Align w:val="center"/>
          </w:tcPr>
          <w:p>
            <w:pPr>
              <w:pStyle w:val="182"/>
              <w:rPr>
                <w:rFonts w:hint="eastAsia"/>
                <w:b/>
                <w:bCs/>
                <w:color w:val="auto"/>
                <w:u w:val="single"/>
              </w:rPr>
            </w:pPr>
            <w:r>
              <w:rPr>
                <w:rFonts w:hint="eastAsia"/>
                <w:b/>
                <w:bCs/>
                <w:color w:val="auto"/>
                <w:u w:val="single"/>
              </w:rPr>
              <w:t>环境中度敏感区（E2）</w:t>
            </w:r>
          </w:p>
        </w:tc>
        <w:tc>
          <w:tcPr>
            <w:tcW w:w="1801" w:type="dxa"/>
            <w:vAlign w:val="center"/>
          </w:tcPr>
          <w:p>
            <w:pPr>
              <w:pStyle w:val="182"/>
              <w:rPr>
                <w:rFonts w:hint="eastAsia"/>
                <w:b/>
                <w:bCs/>
                <w:color w:val="auto"/>
                <w:u w:val="single"/>
              </w:rPr>
            </w:pPr>
            <w:r>
              <w:rPr>
                <w:rFonts w:hint="eastAsia"/>
                <w:b/>
                <w:bCs/>
                <w:color w:val="auto"/>
                <w:u w:val="single"/>
              </w:rPr>
              <w:t>Ⅳ</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0" w:type="dxa"/>
            <w:vAlign w:val="center"/>
          </w:tcPr>
          <w:p>
            <w:pPr>
              <w:pStyle w:val="182"/>
              <w:rPr>
                <w:rFonts w:hint="eastAsia"/>
                <w:b/>
                <w:bCs/>
                <w:color w:val="auto"/>
                <w:u w:val="single"/>
              </w:rPr>
            </w:pPr>
            <w:r>
              <w:rPr>
                <w:rFonts w:hint="eastAsia"/>
                <w:b/>
                <w:bCs/>
                <w:color w:val="auto"/>
                <w:u w:val="single"/>
              </w:rPr>
              <w:t>环境低度敏感区（E3）</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Ⅱ</w:t>
            </w:r>
          </w:p>
        </w:tc>
        <w:tc>
          <w:tcPr>
            <w:tcW w:w="1801" w:type="dxa"/>
            <w:vAlign w:val="center"/>
          </w:tcPr>
          <w:p>
            <w:pPr>
              <w:pStyle w:val="182"/>
              <w:rPr>
                <w:rFonts w:hint="default"/>
                <w:b/>
                <w:bCs/>
                <w:color w:val="auto"/>
                <w:u w:val="single"/>
                <w:vertAlign w:val="baseline"/>
              </w:rPr>
            </w:pPr>
            <w:r>
              <w:rPr>
                <w:rFonts w:hint="eastAsia"/>
                <w:b/>
                <w:bCs/>
                <w:color w:val="auto"/>
                <w:u w:val="singl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04" w:type="dxa"/>
            <w:gridSpan w:val="5"/>
            <w:vAlign w:val="center"/>
          </w:tcPr>
          <w:p>
            <w:pPr>
              <w:pStyle w:val="182"/>
              <w:rPr>
                <w:rFonts w:hint="eastAsia"/>
                <w:b/>
                <w:bCs/>
                <w:color w:val="auto"/>
                <w:u w:val="single"/>
              </w:rPr>
            </w:pPr>
            <w:r>
              <w:rPr>
                <w:rFonts w:hint="eastAsia"/>
                <w:b/>
                <w:bCs/>
                <w:color w:val="auto"/>
                <w:u w:val="single"/>
              </w:rPr>
              <w:t>注：Ⅳ+为极高环境风险。</w:t>
            </w:r>
          </w:p>
        </w:tc>
      </w:tr>
    </w:tbl>
    <w:p>
      <w:pPr>
        <w:rPr>
          <w:rFonts w:hint="eastAsia"/>
          <w:b/>
          <w:bCs/>
          <w:color w:val="auto"/>
          <w:u w:val="single"/>
        </w:rPr>
      </w:pPr>
      <w:r>
        <w:rPr>
          <w:rFonts w:hint="eastAsia"/>
          <w:b/>
          <w:bCs/>
          <w:color w:val="auto"/>
          <w:u w:val="single"/>
        </w:rPr>
        <w:t>评价工作等级划分</w:t>
      </w:r>
      <w:r>
        <w:rPr>
          <w:rFonts w:hint="eastAsia"/>
          <w:b/>
          <w:bCs/>
          <w:color w:val="auto"/>
          <w:u w:val="single"/>
          <w:lang w:eastAsia="zh-CN"/>
        </w:rPr>
        <w:t>：</w:t>
      </w:r>
      <w:r>
        <w:rPr>
          <w:rFonts w:hint="eastAsia"/>
          <w:b/>
          <w:bCs/>
          <w:color w:val="auto"/>
          <w:u w:val="single"/>
        </w:rPr>
        <w:t>风险潜势为Ⅳ及以上，进行一级评价；风险潜势为Ⅲ，进行二级评价；风险潜势为Ⅱ，进行三级评价；风险潜势为Ⅰ,可开展简单分析。</w:t>
      </w:r>
    </w:p>
    <w:p>
      <w:pPr>
        <w:pStyle w:val="181"/>
        <w:rPr>
          <w:rFonts w:hint="eastAsia"/>
          <w:color w:val="auto"/>
          <w:u w:val="single"/>
        </w:rPr>
      </w:pPr>
      <w:r>
        <w:rPr>
          <w:rFonts w:hint="eastAsia"/>
          <w:color w:val="auto"/>
          <w:u w:val="single"/>
        </w:rPr>
        <w:t xml:space="preserve">表1 </w:t>
      </w:r>
      <w:r>
        <w:rPr>
          <w:rFonts w:hint="eastAsia"/>
          <w:color w:val="auto"/>
          <w:u w:val="single"/>
          <w:lang w:val="en-US" w:eastAsia="zh-CN"/>
        </w:rPr>
        <w:t xml:space="preserve">                    </w:t>
      </w:r>
      <w:r>
        <w:rPr>
          <w:rFonts w:hint="eastAsia"/>
          <w:color w:val="auto"/>
          <w:u w:val="single"/>
        </w:rPr>
        <w:t>评价工作等级划分</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0"/>
        <w:gridCol w:w="1717"/>
        <w:gridCol w:w="1702"/>
        <w:gridCol w:w="1702"/>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00" w:type="dxa"/>
            <w:vAlign w:val="center"/>
          </w:tcPr>
          <w:p>
            <w:pPr>
              <w:pStyle w:val="182"/>
              <w:rPr>
                <w:rFonts w:hint="eastAsia"/>
                <w:b/>
                <w:bCs/>
                <w:color w:val="auto"/>
                <w:u w:val="single"/>
              </w:rPr>
            </w:pPr>
            <w:r>
              <w:rPr>
                <w:rFonts w:hint="eastAsia"/>
                <w:b/>
                <w:bCs/>
                <w:color w:val="auto"/>
                <w:u w:val="single"/>
              </w:rPr>
              <w:t>环境风险潜势</w:t>
            </w:r>
          </w:p>
        </w:tc>
        <w:tc>
          <w:tcPr>
            <w:tcW w:w="1801" w:type="dxa"/>
            <w:vAlign w:val="center"/>
          </w:tcPr>
          <w:p>
            <w:pPr>
              <w:pStyle w:val="182"/>
              <w:rPr>
                <w:rFonts w:hint="eastAsia" w:eastAsia="宋体"/>
                <w:b/>
                <w:bCs/>
                <w:color w:val="auto"/>
                <w:u w:val="single"/>
                <w:lang w:eastAsia="zh-CN"/>
              </w:rPr>
            </w:pPr>
            <w:r>
              <w:rPr>
                <w:rFonts w:hint="eastAsia"/>
                <w:b/>
                <w:bCs/>
                <w:color w:val="auto"/>
                <w:u w:val="single"/>
              </w:rPr>
              <w:t>Ⅳ、Ⅳ</w:t>
            </w:r>
            <w:r>
              <w:rPr>
                <w:rFonts w:hint="eastAsia"/>
                <w:b/>
                <w:bCs/>
                <w:color w:val="auto"/>
                <w:u w:val="single"/>
                <w:vertAlign w:val="superscript"/>
                <w:lang w:val="en-US" w:eastAsia="zh-CN"/>
              </w:rPr>
              <w:t>+</w:t>
            </w:r>
          </w:p>
        </w:tc>
        <w:tc>
          <w:tcPr>
            <w:tcW w:w="1801" w:type="dxa"/>
            <w:vAlign w:val="center"/>
          </w:tcPr>
          <w:p>
            <w:pPr>
              <w:pStyle w:val="182"/>
              <w:rPr>
                <w:rFonts w:hint="eastAsia"/>
                <w:b/>
                <w:bCs/>
                <w:color w:val="auto"/>
                <w:u w:val="single"/>
              </w:rPr>
            </w:pPr>
            <w:r>
              <w:rPr>
                <w:rFonts w:hint="eastAsia"/>
                <w:b/>
                <w:bCs/>
                <w:color w:val="auto"/>
                <w:u w:val="single"/>
              </w:rPr>
              <w:t>Ⅲ</w:t>
            </w:r>
          </w:p>
        </w:tc>
        <w:tc>
          <w:tcPr>
            <w:tcW w:w="1801" w:type="dxa"/>
            <w:vAlign w:val="center"/>
          </w:tcPr>
          <w:p>
            <w:pPr>
              <w:pStyle w:val="182"/>
              <w:rPr>
                <w:rFonts w:hint="eastAsia"/>
                <w:b/>
                <w:bCs/>
                <w:color w:val="auto"/>
                <w:u w:val="single"/>
              </w:rPr>
            </w:pPr>
            <w:r>
              <w:rPr>
                <w:rFonts w:hint="eastAsia"/>
                <w:b/>
                <w:bCs/>
                <w:color w:val="auto"/>
                <w:u w:val="single"/>
              </w:rPr>
              <w:t>Ⅱ</w:t>
            </w:r>
          </w:p>
        </w:tc>
        <w:tc>
          <w:tcPr>
            <w:tcW w:w="1801" w:type="dxa"/>
            <w:vAlign w:val="center"/>
          </w:tcPr>
          <w:p>
            <w:pPr>
              <w:pStyle w:val="182"/>
              <w:rPr>
                <w:rFonts w:hint="eastAsia"/>
                <w:b/>
                <w:bCs/>
                <w:color w:val="auto"/>
                <w:u w:val="single"/>
              </w:rPr>
            </w:pPr>
            <w:r>
              <w:rPr>
                <w:rFonts w:hint="eastAsia"/>
                <w:b/>
                <w:bCs/>
                <w:color w:val="auto"/>
                <w:u w:val="singl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00" w:type="dxa"/>
            <w:vAlign w:val="center"/>
          </w:tcPr>
          <w:p>
            <w:pPr>
              <w:pStyle w:val="182"/>
              <w:rPr>
                <w:rFonts w:hint="eastAsia"/>
                <w:b/>
                <w:bCs/>
                <w:color w:val="auto"/>
                <w:u w:val="single"/>
              </w:rPr>
            </w:pPr>
            <w:r>
              <w:rPr>
                <w:rFonts w:hint="eastAsia"/>
                <w:b/>
                <w:bCs/>
                <w:color w:val="auto"/>
                <w:u w:val="single"/>
              </w:rPr>
              <w:t>评价工作等级</w:t>
            </w:r>
          </w:p>
        </w:tc>
        <w:tc>
          <w:tcPr>
            <w:tcW w:w="1801" w:type="dxa"/>
            <w:vAlign w:val="center"/>
          </w:tcPr>
          <w:p>
            <w:pPr>
              <w:pStyle w:val="182"/>
              <w:rPr>
                <w:rFonts w:hint="eastAsia"/>
                <w:b/>
                <w:bCs/>
                <w:color w:val="auto"/>
                <w:u w:val="single"/>
                <w:lang w:val="en-US" w:eastAsia="zh-CN"/>
              </w:rPr>
            </w:pPr>
            <w:r>
              <w:rPr>
                <w:rFonts w:hint="eastAsia"/>
                <w:b/>
                <w:bCs/>
                <w:color w:val="auto"/>
                <w:u w:val="single"/>
                <w:lang w:val="en-US" w:eastAsia="zh-CN"/>
              </w:rPr>
              <w:t>一</w:t>
            </w:r>
          </w:p>
        </w:tc>
        <w:tc>
          <w:tcPr>
            <w:tcW w:w="1801" w:type="dxa"/>
            <w:vAlign w:val="center"/>
          </w:tcPr>
          <w:p>
            <w:pPr>
              <w:pStyle w:val="182"/>
              <w:rPr>
                <w:rFonts w:hint="eastAsia"/>
                <w:b/>
                <w:bCs/>
                <w:color w:val="auto"/>
                <w:u w:val="single"/>
                <w:lang w:val="en-US" w:eastAsia="zh-CN"/>
              </w:rPr>
            </w:pPr>
            <w:r>
              <w:rPr>
                <w:rFonts w:hint="eastAsia"/>
                <w:b/>
                <w:bCs/>
                <w:color w:val="auto"/>
                <w:u w:val="single"/>
                <w:lang w:val="en-US" w:eastAsia="zh-CN"/>
              </w:rPr>
              <w:t>二</w:t>
            </w:r>
          </w:p>
        </w:tc>
        <w:tc>
          <w:tcPr>
            <w:tcW w:w="1801" w:type="dxa"/>
            <w:vAlign w:val="center"/>
          </w:tcPr>
          <w:p>
            <w:pPr>
              <w:pStyle w:val="182"/>
              <w:rPr>
                <w:rFonts w:hint="eastAsia"/>
                <w:b/>
                <w:bCs/>
                <w:color w:val="auto"/>
                <w:u w:val="single"/>
                <w:lang w:val="en-US" w:eastAsia="zh-CN"/>
              </w:rPr>
            </w:pPr>
            <w:r>
              <w:rPr>
                <w:rFonts w:hint="eastAsia"/>
                <w:b/>
                <w:bCs/>
                <w:color w:val="auto"/>
                <w:u w:val="single"/>
                <w:lang w:val="en-US" w:eastAsia="zh-CN"/>
              </w:rPr>
              <w:t>三</w:t>
            </w:r>
          </w:p>
        </w:tc>
        <w:tc>
          <w:tcPr>
            <w:tcW w:w="1801" w:type="dxa"/>
            <w:vAlign w:val="center"/>
          </w:tcPr>
          <w:p>
            <w:pPr>
              <w:pStyle w:val="182"/>
              <w:rPr>
                <w:rFonts w:hint="eastAsia"/>
                <w:b/>
                <w:bCs/>
                <w:color w:val="auto"/>
                <w:u w:val="single"/>
                <w:lang w:val="en-US" w:eastAsia="zh-CN"/>
              </w:rPr>
            </w:pPr>
            <w:r>
              <w:rPr>
                <w:rFonts w:hint="eastAsia"/>
                <w:b/>
                <w:bCs/>
                <w:color w:val="auto"/>
                <w:u w:val="single"/>
                <w:lang w:val="en-US" w:eastAsia="zh-CN"/>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004" w:type="dxa"/>
            <w:gridSpan w:val="5"/>
            <w:vAlign w:val="center"/>
          </w:tcPr>
          <w:p>
            <w:pPr>
              <w:pStyle w:val="182"/>
              <w:rPr>
                <w:rFonts w:hint="eastAsia"/>
                <w:b/>
                <w:bCs/>
                <w:color w:val="auto"/>
                <w:u w:val="single"/>
              </w:rPr>
            </w:pPr>
            <w:r>
              <w:rPr>
                <w:rFonts w:hint="eastAsia"/>
                <w:b/>
                <w:bCs/>
                <w:color w:val="auto"/>
                <w:u w:val="single"/>
              </w:rPr>
              <w:t>a是相对于详细评价工作内容而言，在描述危险物质、环境影响途径、环境危害后果、风险防范措施等方面给出定性的说明。见附录A。</w:t>
            </w:r>
          </w:p>
        </w:tc>
      </w:tr>
    </w:tbl>
    <w:p>
      <w:pPr>
        <w:ind w:firstLine="482"/>
        <w:rPr>
          <w:rFonts w:hint="eastAsia"/>
          <w:b/>
          <w:bCs/>
          <w:color w:val="auto"/>
          <w:u w:val="single"/>
        </w:rPr>
      </w:pPr>
      <w:r>
        <w:rPr>
          <w:rFonts w:hint="eastAsia"/>
          <w:b/>
          <w:bCs/>
          <w:color w:val="auto"/>
          <w:u w:val="single"/>
        </w:rPr>
        <w:t>本</w:t>
      </w:r>
      <w:r>
        <w:rPr>
          <w:rFonts w:hint="eastAsia"/>
          <w:b/>
          <w:bCs/>
          <w:color w:val="auto"/>
          <w:u w:val="single"/>
          <w:lang w:val="en-US" w:eastAsia="zh-CN"/>
        </w:rPr>
        <w:t>项目</w:t>
      </w:r>
      <w:r>
        <w:rPr>
          <w:rFonts w:hint="eastAsia"/>
          <w:b/>
          <w:bCs/>
          <w:color w:val="auto"/>
          <w:u w:val="single"/>
        </w:rPr>
        <w:t>P值为P</w:t>
      </w:r>
      <w:r>
        <w:rPr>
          <w:rFonts w:hint="eastAsia"/>
          <w:b/>
          <w:bCs/>
          <w:color w:val="auto"/>
          <w:u w:val="single"/>
          <w:lang w:val="en-US" w:eastAsia="zh-CN"/>
        </w:rPr>
        <w:t>3</w:t>
      </w:r>
      <w:r>
        <w:rPr>
          <w:rFonts w:hint="eastAsia"/>
          <w:b/>
          <w:bCs/>
          <w:color w:val="auto"/>
          <w:u w:val="single"/>
        </w:rPr>
        <w:t>，大气环境敏感程度为环境高度敏感区E1</w:t>
      </w:r>
      <w:r>
        <w:rPr>
          <w:rFonts w:hint="eastAsia"/>
          <w:b/>
          <w:bCs/>
          <w:color w:val="auto"/>
          <w:u w:val="single"/>
          <w:lang w:eastAsia="zh-CN"/>
        </w:rPr>
        <w:t>，</w:t>
      </w:r>
      <w:r>
        <w:rPr>
          <w:rFonts w:hint="eastAsia"/>
          <w:b/>
          <w:bCs/>
          <w:color w:val="auto"/>
          <w:u w:val="single"/>
        </w:rPr>
        <w:t>本项目大气环境风险潜势划分等级为Ⅲ，大气环境风险评价工作等级为二级。</w:t>
      </w:r>
    </w:p>
    <w:p>
      <w:pPr>
        <w:numPr>
          <w:ilvl w:val="0"/>
          <w:numId w:val="0"/>
        </w:numPr>
        <w:spacing w:before="1" w:after="0" w:line="240" w:lineRule="auto"/>
        <w:ind w:leftChars="200" w:right="0" w:rightChars="0"/>
        <w:jc w:val="left"/>
        <w:rPr>
          <w:b/>
          <w:bCs/>
          <w:color w:val="auto"/>
          <w:u w:val="single"/>
        </w:rPr>
      </w:pPr>
      <w:r>
        <w:rPr>
          <w:rFonts w:hint="eastAsia"/>
          <w:b/>
          <w:bCs/>
          <w:color w:val="auto"/>
          <w:u w:val="single"/>
          <w:lang w:eastAsia="zh-CN"/>
        </w:rPr>
        <w:t>（</w:t>
      </w:r>
      <w:r>
        <w:rPr>
          <w:rFonts w:hint="eastAsia"/>
          <w:b/>
          <w:bCs/>
          <w:color w:val="auto"/>
          <w:u w:val="single"/>
          <w:lang w:val="en-US" w:eastAsia="zh-CN"/>
        </w:rPr>
        <w:t>2</w:t>
      </w:r>
      <w:r>
        <w:rPr>
          <w:rFonts w:hint="eastAsia"/>
          <w:b/>
          <w:bCs/>
          <w:color w:val="auto"/>
          <w:u w:val="single"/>
          <w:lang w:eastAsia="zh-CN"/>
        </w:rPr>
        <w:t>）</w:t>
      </w:r>
      <w:r>
        <w:rPr>
          <w:b/>
          <w:bCs/>
          <w:color w:val="auto"/>
          <w:u w:val="single"/>
        </w:rPr>
        <w:t>地表水环境</w:t>
      </w:r>
    </w:p>
    <w:p>
      <w:pPr>
        <w:rPr>
          <w:rFonts w:hint="eastAsia"/>
          <w:b/>
          <w:bCs/>
          <w:color w:val="auto"/>
          <w:u w:val="single"/>
        </w:rPr>
      </w:pPr>
      <w:r>
        <w:rPr>
          <w:rFonts w:hint="eastAsia"/>
          <w:b/>
          <w:bCs/>
          <w:color w:val="auto"/>
          <w:u w:val="single"/>
        </w:rPr>
        <w:t>项目厂区污水经处理达标后经管网排入小店污水处理厂，不直接进入地表水体，且项目周边1km范围内没有地表径流，不存在项目事故情况下发生危险物质泄漏到水体的情况。因此，本项目地表水功能敏感程度属于低敏感F3，环境敏感目标属于S3，则项地表水环境敏感程度分级为E3。根据导则，本项目的地表水环境风险潜势为Ⅰ，因此地表水评价工作等级为简单分析。</w:t>
      </w:r>
    </w:p>
    <w:p>
      <w:pPr>
        <w:numPr>
          <w:ilvl w:val="0"/>
          <w:numId w:val="0"/>
        </w:numPr>
        <w:ind w:firstLine="482" w:firstLineChars="200"/>
        <w:rPr>
          <w:rFonts w:hint="eastAsia"/>
          <w:b/>
          <w:bCs/>
          <w:color w:val="auto"/>
          <w:u w:val="single"/>
        </w:rPr>
      </w:pPr>
      <w:r>
        <w:rPr>
          <w:rFonts w:hint="eastAsia"/>
          <w:b/>
          <w:bCs/>
          <w:color w:val="auto"/>
          <w:u w:val="single"/>
          <w:lang w:eastAsia="zh-CN"/>
        </w:rPr>
        <w:t>（</w:t>
      </w:r>
      <w:r>
        <w:rPr>
          <w:rFonts w:hint="eastAsia"/>
          <w:b/>
          <w:bCs/>
          <w:color w:val="auto"/>
          <w:u w:val="single"/>
          <w:lang w:val="en-US" w:eastAsia="zh-CN"/>
        </w:rPr>
        <w:t>3）</w:t>
      </w:r>
      <w:r>
        <w:rPr>
          <w:rFonts w:hint="eastAsia"/>
          <w:b/>
          <w:bCs/>
          <w:color w:val="auto"/>
          <w:u w:val="single"/>
        </w:rPr>
        <w:t>地下水环境</w:t>
      </w:r>
    </w:p>
    <w:p>
      <w:pPr>
        <w:rPr>
          <w:rFonts w:hint="eastAsia"/>
          <w:b/>
          <w:bCs/>
          <w:color w:val="auto"/>
          <w:u w:val="single"/>
        </w:rPr>
      </w:pPr>
      <w:r>
        <w:rPr>
          <w:rFonts w:hint="eastAsia"/>
          <w:b/>
          <w:bCs/>
          <w:color w:val="auto"/>
          <w:u w:val="single"/>
        </w:rPr>
        <w:t>项目储罐区的地面均采取了防渗措施，在发生泄漏风险事故的情况下，风险物质均可及时回收进入备用罐内，液体与地面接触时间较短，不存在可以短时间内进入包气带的可能性。</w:t>
      </w:r>
    </w:p>
    <w:p>
      <w:pPr>
        <w:rPr>
          <w:rFonts w:hint="eastAsia"/>
          <w:b/>
          <w:bCs/>
          <w:color w:val="auto"/>
          <w:u w:val="single"/>
        </w:rPr>
      </w:pPr>
      <w:r>
        <w:rPr>
          <w:rFonts w:hint="eastAsia"/>
          <w:b/>
          <w:bCs/>
          <w:color w:val="auto"/>
          <w:u w:val="single"/>
        </w:rPr>
        <w:t>本项目所在区域不存在集中式饮用水源地及保护区，项目下游2km范围内也不存在分散式饮用水源，因此本项目地下水功能敏感性分区为不敏感G3。</w:t>
      </w:r>
    </w:p>
    <w:p>
      <w:pPr>
        <w:rPr>
          <w:rFonts w:hint="eastAsia"/>
          <w:b/>
          <w:bCs/>
          <w:color w:val="auto"/>
          <w:u w:val="single"/>
        </w:rPr>
      </w:pPr>
      <w:r>
        <w:rPr>
          <w:rFonts w:hint="eastAsia"/>
          <w:b/>
          <w:bCs/>
          <w:color w:val="auto"/>
          <w:u w:val="single"/>
        </w:rPr>
        <w:t>本项目厂区表层土为粉土，平均厚度1.77m且分布连续、稳定；根据《黄河沉积粉土渗透系数变化研究》（陈勇，单红仙，贾永刚），粉土的垂向渗透系数为1.45×10</w:t>
      </w:r>
      <w:r>
        <w:rPr>
          <w:rFonts w:hint="eastAsia"/>
          <w:b/>
          <w:bCs/>
          <w:color w:val="auto"/>
          <w:u w:val="single"/>
          <w:vertAlign w:val="superscript"/>
        </w:rPr>
        <w:t>-6</w:t>
      </w:r>
      <w:r>
        <w:rPr>
          <w:rFonts w:hint="eastAsia"/>
          <w:b/>
          <w:bCs/>
          <w:color w:val="auto"/>
          <w:u w:val="single"/>
        </w:rPr>
        <w:t>~16.42×10</w:t>
      </w:r>
      <w:r>
        <w:rPr>
          <w:rFonts w:hint="eastAsia"/>
          <w:b/>
          <w:bCs/>
          <w:color w:val="auto"/>
          <w:u w:val="single"/>
          <w:vertAlign w:val="superscript"/>
        </w:rPr>
        <w:t>-6</w:t>
      </w:r>
      <w:r>
        <w:rPr>
          <w:rFonts w:hint="eastAsia"/>
          <w:b/>
          <w:bCs/>
          <w:color w:val="auto"/>
          <w:u w:val="single"/>
        </w:rPr>
        <w:t>，即渗透系数1×10</w:t>
      </w:r>
      <w:r>
        <w:rPr>
          <w:rFonts w:hint="eastAsia"/>
          <w:b/>
          <w:bCs/>
          <w:color w:val="auto"/>
          <w:u w:val="single"/>
          <w:vertAlign w:val="superscript"/>
        </w:rPr>
        <w:t>-6</w:t>
      </w:r>
      <w:r>
        <w:rPr>
          <w:rFonts w:hint="eastAsia"/>
          <w:b/>
          <w:bCs/>
          <w:color w:val="auto"/>
          <w:u w:val="single"/>
        </w:rPr>
        <w:t>&lt;K≤1×10</w:t>
      </w:r>
      <w:r>
        <w:rPr>
          <w:rFonts w:hint="eastAsia"/>
          <w:b/>
          <w:bCs/>
          <w:color w:val="auto"/>
          <w:u w:val="single"/>
          <w:vertAlign w:val="superscript"/>
        </w:rPr>
        <w:t>-4</w:t>
      </w:r>
      <w:r>
        <w:rPr>
          <w:rFonts w:hint="eastAsia"/>
          <w:b/>
          <w:bCs/>
          <w:color w:val="auto"/>
          <w:u w:val="single"/>
        </w:rPr>
        <w:t>，因此本项目包气带防污性能分级属于D2。</w:t>
      </w:r>
    </w:p>
    <w:p>
      <w:pPr>
        <w:rPr>
          <w:rFonts w:hint="eastAsia"/>
          <w:b/>
          <w:bCs/>
          <w:color w:val="auto"/>
          <w:u w:val="single"/>
        </w:rPr>
      </w:pPr>
      <w:r>
        <w:rPr>
          <w:rFonts w:hint="eastAsia"/>
          <w:b/>
          <w:bCs/>
          <w:color w:val="auto"/>
          <w:u w:val="single"/>
        </w:rPr>
        <w:t>综上所述，根据《建设项目环境风险评价技术导则》（HJ169-2018）中的分级判定要求，项目地下水功能敏感分区为不敏感G3，包气带防污性能为D2，则地下水E值为E3，根据要求判定本项目地下水环境风险潜势为I级，地下水环境风险评价等级为简单分析。</w:t>
      </w:r>
    </w:p>
    <w:p>
      <w:pPr>
        <w:pStyle w:val="9"/>
        <w:spacing w:before="0"/>
        <w:ind w:left="0" w:firstLine="0"/>
        <w:rPr>
          <w:color w:val="auto"/>
          <w:u w:val="single"/>
        </w:rPr>
      </w:pPr>
      <w:r>
        <w:rPr>
          <w:color w:val="auto"/>
          <w:u w:val="single"/>
        </w:rPr>
        <w:t>5.</w:t>
      </w:r>
      <w:r>
        <w:rPr>
          <w:rFonts w:hint="eastAsia"/>
          <w:color w:val="auto"/>
          <w:u w:val="single"/>
          <w:lang w:val="en-US" w:eastAsia="zh-CN"/>
        </w:rPr>
        <w:t>9</w:t>
      </w:r>
      <w:r>
        <w:rPr>
          <w:color w:val="auto"/>
          <w:u w:val="single"/>
        </w:rPr>
        <w:t>.4</w:t>
      </w:r>
      <w:bookmarkStart w:id="332" w:name="5.7.4环境风险识别"/>
      <w:bookmarkEnd w:id="332"/>
      <w:r>
        <w:rPr>
          <w:color w:val="auto"/>
          <w:u w:val="single"/>
        </w:rPr>
        <w:t xml:space="preserve"> 环境风险识别</w:t>
      </w:r>
    </w:p>
    <w:p>
      <w:pPr>
        <w:pStyle w:val="10"/>
        <w:rPr>
          <w:rFonts w:hint="eastAsia"/>
          <w:bCs/>
          <w:color w:val="auto"/>
          <w:u w:val="single"/>
        </w:rPr>
      </w:pPr>
      <w:r>
        <w:rPr>
          <w:rFonts w:hint="eastAsia"/>
          <w:bCs/>
          <w:color w:val="auto"/>
          <w:u w:val="single"/>
          <w:lang w:val="en-US" w:eastAsia="zh-CN"/>
        </w:rPr>
        <w:t xml:space="preserve">5.9.4.1 </w:t>
      </w:r>
      <w:r>
        <w:rPr>
          <w:rFonts w:hint="eastAsia"/>
          <w:bCs/>
          <w:color w:val="auto"/>
          <w:u w:val="single"/>
        </w:rPr>
        <w:t>物质危险性识别</w:t>
      </w:r>
    </w:p>
    <w:p>
      <w:pPr>
        <w:rPr>
          <w:rFonts w:hint="default" w:eastAsia="宋体"/>
          <w:b/>
          <w:bCs/>
          <w:color w:val="auto"/>
          <w:u w:val="single"/>
          <w:lang w:val="en-US" w:eastAsia="zh-CN"/>
        </w:rPr>
      </w:pPr>
      <w:r>
        <w:rPr>
          <w:rFonts w:hint="eastAsia"/>
          <w:b/>
          <w:bCs/>
          <w:color w:val="auto"/>
          <w:u w:val="single"/>
        </w:rPr>
        <w:t>企业生产过程中涉及的风险物质为</w:t>
      </w:r>
      <w:r>
        <w:rPr>
          <w:rFonts w:hint="eastAsia"/>
          <w:b/>
          <w:bCs/>
          <w:color w:val="auto"/>
          <w:u w:val="single"/>
          <w:lang w:val="en-US" w:eastAsia="zh-CN"/>
        </w:rPr>
        <w:t>固体</w:t>
      </w:r>
      <w:r>
        <w:rPr>
          <w:rFonts w:hint="eastAsia"/>
          <w:b/>
          <w:bCs/>
          <w:color w:val="auto"/>
          <w:u w:val="single"/>
        </w:rPr>
        <w:t>二氧化氯</w:t>
      </w:r>
      <w:r>
        <w:rPr>
          <w:rFonts w:hint="eastAsia"/>
          <w:b/>
          <w:bCs/>
          <w:color w:val="auto"/>
          <w:u w:val="single"/>
          <w:lang w:val="en-US" w:eastAsia="zh-CN"/>
        </w:rPr>
        <w:t>释放剂</w:t>
      </w:r>
      <w:r>
        <w:rPr>
          <w:rFonts w:hint="eastAsia"/>
          <w:b/>
          <w:bCs/>
          <w:color w:val="auto"/>
          <w:u w:val="single"/>
        </w:rPr>
        <w:t>、</w:t>
      </w:r>
      <w:r>
        <w:rPr>
          <w:rFonts w:hint="eastAsia"/>
          <w:b/>
          <w:bCs/>
          <w:color w:val="auto"/>
          <w:u w:val="single"/>
          <w:lang w:val="en-US" w:eastAsia="zh-CN"/>
        </w:rPr>
        <w:t>浓硫酸</w:t>
      </w:r>
      <w:r>
        <w:rPr>
          <w:rFonts w:hint="eastAsia"/>
          <w:b/>
          <w:bCs/>
          <w:color w:val="auto"/>
          <w:u w:val="single"/>
        </w:rPr>
        <w:t>，其物理性质和毒理性质见表</w:t>
      </w:r>
      <w:r>
        <w:rPr>
          <w:rFonts w:hint="eastAsia"/>
          <w:b/>
          <w:bCs/>
          <w:color w:val="auto"/>
          <w:u w:val="single"/>
          <w:lang w:val="en-US" w:eastAsia="zh-CN"/>
        </w:rPr>
        <w:t>5.9-1~5.9-2。</w:t>
      </w:r>
    </w:p>
    <w:p>
      <w:pPr>
        <w:pStyle w:val="181"/>
        <w:bidi w:val="0"/>
        <w:ind w:left="0" w:leftChars="0" w:firstLine="0" w:firstLineChars="0"/>
        <w:jc w:val="center"/>
        <w:rPr>
          <w:color w:val="auto"/>
        </w:rPr>
      </w:pPr>
      <w:r>
        <w:rPr>
          <w:color w:val="auto"/>
        </w:rPr>
        <w:t>表5.</w:t>
      </w:r>
      <w:r>
        <w:rPr>
          <w:rFonts w:hint="eastAsia"/>
          <w:color w:val="auto"/>
          <w:lang w:val="en-US" w:eastAsia="zh-CN"/>
        </w:rPr>
        <w:t>9</w:t>
      </w:r>
      <w:r>
        <w:rPr>
          <w:rFonts w:hint="eastAsia"/>
          <w:color w:val="auto"/>
        </w:rPr>
        <w:t>-</w:t>
      </w:r>
      <w:r>
        <w:rPr>
          <w:rFonts w:hint="eastAsia"/>
          <w:color w:val="auto"/>
          <w:lang w:val="en-US" w:eastAsia="zh-CN"/>
        </w:rPr>
        <w:t>4</w:t>
      </w:r>
      <w:r>
        <w:rPr>
          <w:color w:val="auto"/>
        </w:rPr>
        <w:t xml:space="preserve">  </w:t>
      </w:r>
      <w:r>
        <w:rPr>
          <w:rFonts w:hint="eastAsia"/>
          <w:color w:val="auto"/>
          <w:lang w:val="en-US" w:eastAsia="zh-CN"/>
        </w:rPr>
        <w:t xml:space="preserve">         </w:t>
      </w:r>
      <w:r>
        <w:rPr>
          <w:rFonts w:hint="eastAsia"/>
          <w:color w:val="auto"/>
        </w:rPr>
        <w:t>二氧化氯</w:t>
      </w:r>
      <w:r>
        <w:rPr>
          <w:color w:val="auto"/>
        </w:rPr>
        <w:t>的理化性质及危险特性表</w:t>
      </w:r>
    </w:p>
    <w:tbl>
      <w:tblPr>
        <w:tblStyle w:val="32"/>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36"/>
        <w:gridCol w:w="1075"/>
        <w:gridCol w:w="939"/>
        <w:gridCol w:w="885"/>
        <w:gridCol w:w="769"/>
        <w:gridCol w:w="983"/>
        <w:gridCol w:w="679"/>
        <w:gridCol w:w="373"/>
        <w:gridCol w:w="304"/>
        <w:gridCol w:w="689"/>
        <w:gridCol w:w="141"/>
        <w:gridCol w:w="105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restart"/>
            <w:vAlign w:val="center"/>
          </w:tcPr>
          <w:p>
            <w:pPr>
              <w:pStyle w:val="182"/>
              <w:bidi w:val="0"/>
              <w:rPr>
                <w:color w:val="auto"/>
              </w:rPr>
            </w:pPr>
            <w:r>
              <w:rPr>
                <w:rFonts w:hint="eastAsia"/>
                <w:color w:val="auto"/>
              </w:rPr>
              <w:t>标</w:t>
            </w:r>
          </w:p>
          <w:p>
            <w:pPr>
              <w:pStyle w:val="182"/>
              <w:bidi w:val="0"/>
              <w:rPr>
                <w:color w:val="auto"/>
              </w:rPr>
            </w:pPr>
            <w:r>
              <w:rPr>
                <w:rFonts w:hint="eastAsia"/>
                <w:color w:val="auto"/>
              </w:rPr>
              <w:t>识</w:t>
            </w:r>
          </w:p>
        </w:tc>
        <w:tc>
          <w:tcPr>
            <w:tcW w:w="631" w:type="pct"/>
            <w:vAlign w:val="center"/>
          </w:tcPr>
          <w:p>
            <w:pPr>
              <w:pStyle w:val="182"/>
              <w:bidi w:val="0"/>
              <w:rPr>
                <w:color w:val="auto"/>
              </w:rPr>
            </w:pPr>
            <w:r>
              <w:rPr>
                <w:rFonts w:hint="eastAsia"/>
                <w:color w:val="auto"/>
              </w:rPr>
              <w:t>中文名</w:t>
            </w:r>
          </w:p>
        </w:tc>
        <w:tc>
          <w:tcPr>
            <w:tcW w:w="551" w:type="pct"/>
            <w:vAlign w:val="center"/>
          </w:tcPr>
          <w:p>
            <w:pPr>
              <w:pStyle w:val="182"/>
              <w:bidi w:val="0"/>
              <w:rPr>
                <w:color w:val="auto"/>
              </w:rPr>
            </w:pPr>
            <w:r>
              <w:rPr>
                <w:rFonts w:hint="eastAsia"/>
                <w:color w:val="auto"/>
              </w:rPr>
              <w:t>二氧化氯</w:t>
            </w:r>
          </w:p>
        </w:tc>
        <w:tc>
          <w:tcPr>
            <w:tcW w:w="519" w:type="pct"/>
            <w:vAlign w:val="center"/>
          </w:tcPr>
          <w:p>
            <w:pPr>
              <w:pStyle w:val="182"/>
              <w:bidi w:val="0"/>
              <w:rPr>
                <w:color w:val="auto"/>
              </w:rPr>
            </w:pPr>
            <w:r>
              <w:rPr>
                <w:rFonts w:hint="eastAsia"/>
                <w:color w:val="auto"/>
              </w:rPr>
              <w:t>英文名</w:t>
            </w:r>
          </w:p>
        </w:tc>
        <w:tc>
          <w:tcPr>
            <w:tcW w:w="1028" w:type="pct"/>
            <w:gridSpan w:val="2"/>
            <w:vAlign w:val="center"/>
          </w:tcPr>
          <w:p>
            <w:pPr>
              <w:pStyle w:val="182"/>
              <w:bidi w:val="0"/>
              <w:rPr>
                <w:color w:val="auto"/>
              </w:rPr>
            </w:pPr>
            <w:r>
              <w:rPr>
                <w:rFonts w:hint="eastAsia"/>
                <w:color w:val="auto"/>
              </w:rPr>
              <w:t>C</w:t>
            </w:r>
            <w:r>
              <w:rPr>
                <w:color w:val="auto"/>
              </w:rPr>
              <w:t>h</w:t>
            </w:r>
            <w:r>
              <w:rPr>
                <w:rFonts w:hint="eastAsia"/>
                <w:color w:val="auto"/>
              </w:rPr>
              <w:t>lorine</w:t>
            </w:r>
            <w:r>
              <w:rPr>
                <w:color w:val="auto"/>
              </w:rPr>
              <w:t>dioxide</w:t>
            </w:r>
          </w:p>
        </w:tc>
        <w:tc>
          <w:tcPr>
            <w:tcW w:w="1199" w:type="pct"/>
            <w:gridSpan w:val="4"/>
            <w:vAlign w:val="center"/>
          </w:tcPr>
          <w:p>
            <w:pPr>
              <w:pStyle w:val="182"/>
              <w:bidi w:val="0"/>
              <w:rPr>
                <w:color w:val="auto"/>
              </w:rPr>
            </w:pPr>
            <w:r>
              <w:rPr>
                <w:rFonts w:hint="eastAsia"/>
                <w:color w:val="auto"/>
              </w:rPr>
              <w:t>危险货物编号</w:t>
            </w:r>
          </w:p>
        </w:tc>
        <w:tc>
          <w:tcPr>
            <w:tcW w:w="699" w:type="pct"/>
            <w:gridSpan w:val="2"/>
            <w:vAlign w:val="center"/>
          </w:tcPr>
          <w:p>
            <w:pPr>
              <w:pStyle w:val="182"/>
              <w:bidi w:val="0"/>
              <w:rPr>
                <w:color w:val="auto"/>
              </w:rPr>
            </w:pPr>
            <w:r>
              <w:rPr>
                <w:color w:val="auto"/>
              </w:rPr>
              <w:t>640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分子式</w:t>
            </w:r>
          </w:p>
        </w:tc>
        <w:tc>
          <w:tcPr>
            <w:tcW w:w="551" w:type="pct"/>
            <w:vAlign w:val="center"/>
          </w:tcPr>
          <w:p>
            <w:pPr>
              <w:pStyle w:val="182"/>
              <w:bidi w:val="0"/>
              <w:rPr>
                <w:color w:val="auto"/>
              </w:rPr>
            </w:pPr>
            <w:r>
              <w:rPr>
                <w:color w:val="auto"/>
              </w:rPr>
              <w:t>Cl</w:t>
            </w:r>
            <w:r>
              <w:rPr>
                <w:rFonts w:hint="eastAsia"/>
                <w:color w:val="auto"/>
              </w:rPr>
              <w:t>O</w:t>
            </w:r>
            <w:r>
              <w:rPr>
                <w:color w:val="auto"/>
                <w:vertAlign w:val="subscript"/>
              </w:rPr>
              <w:t>2</w:t>
            </w:r>
          </w:p>
        </w:tc>
        <w:tc>
          <w:tcPr>
            <w:tcW w:w="519" w:type="pct"/>
            <w:vAlign w:val="center"/>
          </w:tcPr>
          <w:p>
            <w:pPr>
              <w:pStyle w:val="182"/>
              <w:bidi w:val="0"/>
              <w:rPr>
                <w:color w:val="auto"/>
              </w:rPr>
            </w:pPr>
            <w:r>
              <w:rPr>
                <w:rFonts w:hint="eastAsia"/>
                <w:color w:val="auto"/>
              </w:rPr>
              <w:t>分子量</w:t>
            </w:r>
          </w:p>
        </w:tc>
        <w:tc>
          <w:tcPr>
            <w:tcW w:w="451" w:type="pct"/>
            <w:vAlign w:val="center"/>
          </w:tcPr>
          <w:p>
            <w:pPr>
              <w:pStyle w:val="182"/>
              <w:bidi w:val="0"/>
              <w:rPr>
                <w:color w:val="auto"/>
              </w:rPr>
            </w:pPr>
            <w:r>
              <w:rPr>
                <w:color w:val="auto"/>
              </w:rPr>
              <w:t>67.45</w:t>
            </w:r>
          </w:p>
        </w:tc>
        <w:tc>
          <w:tcPr>
            <w:tcW w:w="577" w:type="pct"/>
            <w:vAlign w:val="center"/>
          </w:tcPr>
          <w:p>
            <w:pPr>
              <w:pStyle w:val="182"/>
              <w:bidi w:val="0"/>
              <w:rPr>
                <w:color w:val="auto"/>
              </w:rPr>
            </w:pPr>
            <w:r>
              <w:rPr>
                <w:rFonts w:hint="eastAsia"/>
                <w:color w:val="auto"/>
              </w:rPr>
              <w:t>UN编号</w:t>
            </w:r>
          </w:p>
        </w:tc>
        <w:tc>
          <w:tcPr>
            <w:tcW w:w="398" w:type="pct"/>
            <w:vAlign w:val="center"/>
          </w:tcPr>
          <w:p>
            <w:pPr>
              <w:pStyle w:val="182"/>
              <w:bidi w:val="0"/>
              <w:rPr>
                <w:color w:val="auto"/>
              </w:rPr>
            </w:pPr>
            <w:r>
              <w:rPr>
                <w:color w:val="auto"/>
              </w:rPr>
              <w:t>9191</w:t>
            </w:r>
          </w:p>
        </w:tc>
        <w:tc>
          <w:tcPr>
            <w:tcW w:w="801" w:type="pct"/>
            <w:gridSpan w:val="3"/>
            <w:vAlign w:val="center"/>
          </w:tcPr>
          <w:p>
            <w:pPr>
              <w:pStyle w:val="182"/>
              <w:bidi w:val="0"/>
              <w:rPr>
                <w:color w:val="auto"/>
              </w:rPr>
            </w:pPr>
            <w:r>
              <w:rPr>
                <w:rFonts w:hint="eastAsia"/>
                <w:color w:val="auto"/>
              </w:rPr>
              <w:t>CAS编号</w:t>
            </w:r>
          </w:p>
        </w:tc>
        <w:tc>
          <w:tcPr>
            <w:tcW w:w="699" w:type="pct"/>
            <w:gridSpan w:val="2"/>
            <w:vAlign w:val="center"/>
          </w:tcPr>
          <w:p>
            <w:pPr>
              <w:pStyle w:val="182"/>
              <w:bidi w:val="0"/>
              <w:rPr>
                <w:color w:val="auto"/>
              </w:rPr>
            </w:pPr>
            <w:r>
              <w:rPr>
                <w:color w:val="auto"/>
              </w:rPr>
              <w:t>10049-04-4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危险类别</w:t>
            </w:r>
          </w:p>
        </w:tc>
        <w:tc>
          <w:tcPr>
            <w:tcW w:w="3996" w:type="pct"/>
            <w:gridSpan w:val="10"/>
            <w:vAlign w:val="center"/>
          </w:tcPr>
          <w:p>
            <w:pPr>
              <w:pStyle w:val="182"/>
              <w:bidi w:val="0"/>
              <w:rPr>
                <w:color w:val="auto"/>
              </w:rPr>
            </w:pPr>
            <w:r>
              <w:rPr>
                <w:rFonts w:hint="eastAsia"/>
                <w:color w:val="auto"/>
              </w:rPr>
              <w:t>第8.3类其他腐蚀品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restart"/>
            <w:vAlign w:val="center"/>
          </w:tcPr>
          <w:p>
            <w:pPr>
              <w:pStyle w:val="182"/>
              <w:bidi w:val="0"/>
              <w:rPr>
                <w:color w:val="auto"/>
              </w:rPr>
            </w:pPr>
            <w:r>
              <w:rPr>
                <w:rFonts w:hint="eastAsia"/>
                <w:color w:val="auto"/>
              </w:rPr>
              <w:t>理</w:t>
            </w:r>
          </w:p>
          <w:p>
            <w:pPr>
              <w:pStyle w:val="182"/>
              <w:bidi w:val="0"/>
              <w:rPr>
                <w:color w:val="auto"/>
              </w:rPr>
            </w:pPr>
            <w:r>
              <w:rPr>
                <w:rFonts w:hint="eastAsia"/>
                <w:color w:val="auto"/>
              </w:rPr>
              <w:t>化</w:t>
            </w:r>
          </w:p>
          <w:p>
            <w:pPr>
              <w:pStyle w:val="182"/>
              <w:bidi w:val="0"/>
              <w:rPr>
                <w:color w:val="auto"/>
              </w:rPr>
            </w:pPr>
            <w:r>
              <w:rPr>
                <w:rFonts w:hint="eastAsia"/>
                <w:color w:val="auto"/>
              </w:rPr>
              <w:t>性</w:t>
            </w:r>
          </w:p>
          <w:p>
            <w:pPr>
              <w:pStyle w:val="182"/>
              <w:bidi w:val="0"/>
              <w:rPr>
                <w:color w:val="auto"/>
              </w:rPr>
            </w:pPr>
            <w:r>
              <w:rPr>
                <w:rFonts w:hint="eastAsia"/>
                <w:color w:val="auto"/>
              </w:rPr>
              <w:t>质</w:t>
            </w:r>
          </w:p>
        </w:tc>
        <w:tc>
          <w:tcPr>
            <w:tcW w:w="631" w:type="pct"/>
            <w:vAlign w:val="center"/>
          </w:tcPr>
          <w:p>
            <w:pPr>
              <w:pStyle w:val="182"/>
              <w:bidi w:val="0"/>
              <w:rPr>
                <w:color w:val="auto"/>
              </w:rPr>
            </w:pPr>
            <w:r>
              <w:rPr>
                <w:rFonts w:hint="eastAsia"/>
                <w:color w:val="auto"/>
              </w:rPr>
              <w:t>性状</w:t>
            </w:r>
          </w:p>
        </w:tc>
        <w:tc>
          <w:tcPr>
            <w:tcW w:w="3996" w:type="pct"/>
            <w:gridSpan w:val="10"/>
            <w:vAlign w:val="center"/>
          </w:tcPr>
          <w:p>
            <w:pPr>
              <w:pStyle w:val="182"/>
              <w:bidi w:val="0"/>
              <w:rPr>
                <w:color w:val="auto"/>
              </w:rPr>
            </w:pPr>
            <w:r>
              <w:rPr>
                <w:rFonts w:hint="eastAsia"/>
                <w:color w:val="auto"/>
              </w:rPr>
              <w:t>黄绿色或黄红色气体。有类似氯气和硝酸的特殊刺激臭味。液体为红褐色，固体为橙红色。</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熔点（℃）</w:t>
            </w:r>
          </w:p>
        </w:tc>
        <w:tc>
          <w:tcPr>
            <w:tcW w:w="1521" w:type="pct"/>
            <w:gridSpan w:val="3"/>
            <w:vAlign w:val="center"/>
          </w:tcPr>
          <w:p>
            <w:pPr>
              <w:pStyle w:val="182"/>
              <w:bidi w:val="0"/>
              <w:rPr>
                <w:color w:val="auto"/>
              </w:rPr>
            </w:pPr>
            <w:r>
              <w:rPr>
                <w:rFonts w:hint="eastAsia"/>
                <w:color w:val="auto"/>
              </w:rPr>
              <w:t>-</w:t>
            </w:r>
            <w:r>
              <w:rPr>
                <w:color w:val="auto"/>
              </w:rPr>
              <w:t>59</w:t>
            </w:r>
          </w:p>
        </w:tc>
        <w:tc>
          <w:tcPr>
            <w:tcW w:w="1372" w:type="pct"/>
            <w:gridSpan w:val="4"/>
            <w:vAlign w:val="center"/>
          </w:tcPr>
          <w:p>
            <w:pPr>
              <w:pStyle w:val="182"/>
              <w:bidi w:val="0"/>
              <w:rPr>
                <w:color w:val="auto"/>
              </w:rPr>
            </w:pPr>
            <w:r>
              <w:rPr>
                <w:rFonts w:hint="eastAsia"/>
                <w:color w:val="auto"/>
              </w:rPr>
              <w:t>临界压力（Mpa）</w:t>
            </w:r>
          </w:p>
        </w:tc>
        <w:tc>
          <w:tcPr>
            <w:tcW w:w="1103" w:type="pct"/>
            <w:gridSpan w:val="3"/>
            <w:vAlign w:val="center"/>
          </w:tcPr>
          <w:p>
            <w:pPr>
              <w:pStyle w:val="182"/>
              <w:bidi w:val="0"/>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沸点（℃）</w:t>
            </w:r>
          </w:p>
        </w:tc>
        <w:tc>
          <w:tcPr>
            <w:tcW w:w="1521" w:type="pct"/>
            <w:gridSpan w:val="3"/>
            <w:vAlign w:val="center"/>
          </w:tcPr>
          <w:p>
            <w:pPr>
              <w:pStyle w:val="182"/>
              <w:bidi w:val="0"/>
              <w:rPr>
                <w:color w:val="auto"/>
              </w:rPr>
            </w:pPr>
            <w:r>
              <w:rPr>
                <w:color w:val="auto"/>
              </w:rPr>
              <w:t>9.9</w:t>
            </w:r>
          </w:p>
        </w:tc>
        <w:tc>
          <w:tcPr>
            <w:tcW w:w="1372" w:type="pct"/>
            <w:gridSpan w:val="4"/>
            <w:vAlign w:val="center"/>
          </w:tcPr>
          <w:p>
            <w:pPr>
              <w:pStyle w:val="182"/>
              <w:bidi w:val="0"/>
              <w:rPr>
                <w:color w:val="auto"/>
              </w:rPr>
            </w:pPr>
            <w:r>
              <w:rPr>
                <w:rFonts w:hint="eastAsia"/>
                <w:color w:val="auto"/>
              </w:rPr>
              <w:t>相对密度（水＝1）</w:t>
            </w:r>
          </w:p>
        </w:tc>
        <w:tc>
          <w:tcPr>
            <w:tcW w:w="1103" w:type="pct"/>
            <w:gridSpan w:val="3"/>
            <w:vAlign w:val="center"/>
          </w:tcPr>
          <w:p>
            <w:pPr>
              <w:pStyle w:val="182"/>
              <w:bidi w:val="0"/>
              <w:rPr>
                <w:color w:val="auto"/>
              </w:rPr>
            </w:pPr>
            <w:r>
              <w:rPr>
                <w:color w:val="auto"/>
              </w:rPr>
              <w:t>3.09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饱和蒸汽压（kpa）</w:t>
            </w:r>
          </w:p>
        </w:tc>
        <w:tc>
          <w:tcPr>
            <w:tcW w:w="1521" w:type="pct"/>
            <w:gridSpan w:val="3"/>
            <w:vAlign w:val="center"/>
          </w:tcPr>
          <w:p>
            <w:pPr>
              <w:pStyle w:val="182"/>
              <w:bidi w:val="0"/>
              <w:rPr>
                <w:color w:val="auto"/>
              </w:rPr>
            </w:pPr>
            <w:r>
              <w:rPr>
                <w:color w:val="auto"/>
              </w:rPr>
              <w:t>/</w:t>
            </w:r>
          </w:p>
        </w:tc>
        <w:tc>
          <w:tcPr>
            <w:tcW w:w="1372" w:type="pct"/>
            <w:gridSpan w:val="4"/>
            <w:vAlign w:val="center"/>
          </w:tcPr>
          <w:p>
            <w:pPr>
              <w:pStyle w:val="182"/>
              <w:bidi w:val="0"/>
              <w:rPr>
                <w:color w:val="auto"/>
              </w:rPr>
            </w:pPr>
            <w:r>
              <w:rPr>
                <w:rFonts w:hint="eastAsia"/>
                <w:color w:val="auto"/>
              </w:rPr>
              <w:t>相对密度（空气＝1）</w:t>
            </w:r>
          </w:p>
        </w:tc>
        <w:tc>
          <w:tcPr>
            <w:tcW w:w="1103" w:type="pct"/>
            <w:gridSpan w:val="3"/>
            <w:vAlign w:val="center"/>
          </w:tcPr>
          <w:p>
            <w:pPr>
              <w:pStyle w:val="182"/>
              <w:bidi w:val="0"/>
              <w:rPr>
                <w:color w:val="auto"/>
              </w:rPr>
            </w:pPr>
            <w:r>
              <w:rPr>
                <w:color w:val="auto"/>
              </w:rPr>
              <w:t>2.3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溶解性</w:t>
            </w:r>
          </w:p>
        </w:tc>
        <w:tc>
          <w:tcPr>
            <w:tcW w:w="3996" w:type="pct"/>
            <w:gridSpan w:val="10"/>
            <w:vAlign w:val="center"/>
          </w:tcPr>
          <w:p>
            <w:pPr>
              <w:pStyle w:val="182"/>
              <w:bidi w:val="0"/>
              <w:rPr>
                <w:color w:val="auto"/>
              </w:rPr>
            </w:pPr>
            <w:r>
              <w:rPr>
                <w:rFonts w:hint="eastAsia"/>
                <w:color w:val="auto"/>
              </w:rPr>
              <w:t>不溶于水</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restart"/>
            <w:vAlign w:val="center"/>
          </w:tcPr>
          <w:p>
            <w:pPr>
              <w:pStyle w:val="182"/>
              <w:bidi w:val="0"/>
              <w:rPr>
                <w:color w:val="auto"/>
              </w:rPr>
            </w:pPr>
            <w:r>
              <w:rPr>
                <w:rFonts w:hint="eastAsia"/>
                <w:color w:val="auto"/>
              </w:rPr>
              <w:t>燃</w:t>
            </w:r>
          </w:p>
          <w:p>
            <w:pPr>
              <w:pStyle w:val="182"/>
              <w:bidi w:val="0"/>
              <w:rPr>
                <w:color w:val="auto"/>
              </w:rPr>
            </w:pPr>
            <w:r>
              <w:rPr>
                <w:rFonts w:hint="eastAsia"/>
                <w:color w:val="auto"/>
              </w:rPr>
              <w:t>烧</w:t>
            </w:r>
          </w:p>
          <w:p>
            <w:pPr>
              <w:pStyle w:val="182"/>
              <w:bidi w:val="0"/>
              <w:rPr>
                <w:color w:val="auto"/>
              </w:rPr>
            </w:pPr>
            <w:r>
              <w:rPr>
                <w:rFonts w:hint="eastAsia"/>
                <w:color w:val="auto"/>
              </w:rPr>
              <w:t>爆</w:t>
            </w:r>
          </w:p>
          <w:p>
            <w:pPr>
              <w:pStyle w:val="182"/>
              <w:bidi w:val="0"/>
              <w:rPr>
                <w:color w:val="auto"/>
              </w:rPr>
            </w:pPr>
            <w:r>
              <w:rPr>
                <w:rFonts w:hint="eastAsia"/>
                <w:color w:val="auto"/>
              </w:rPr>
              <w:t>炸</w:t>
            </w:r>
          </w:p>
          <w:p>
            <w:pPr>
              <w:pStyle w:val="182"/>
              <w:bidi w:val="0"/>
              <w:rPr>
                <w:color w:val="auto"/>
              </w:rPr>
            </w:pPr>
            <w:r>
              <w:rPr>
                <w:rFonts w:hint="eastAsia"/>
                <w:color w:val="auto"/>
              </w:rPr>
              <w:t>危</w:t>
            </w:r>
          </w:p>
          <w:p>
            <w:pPr>
              <w:pStyle w:val="182"/>
              <w:bidi w:val="0"/>
              <w:rPr>
                <w:color w:val="auto"/>
              </w:rPr>
            </w:pPr>
            <w:r>
              <w:rPr>
                <w:rFonts w:hint="eastAsia"/>
                <w:color w:val="auto"/>
              </w:rPr>
              <w:t>险</w:t>
            </w:r>
          </w:p>
          <w:p>
            <w:pPr>
              <w:pStyle w:val="182"/>
              <w:bidi w:val="0"/>
              <w:rPr>
                <w:color w:val="auto"/>
              </w:rPr>
            </w:pPr>
            <w:r>
              <w:rPr>
                <w:rFonts w:hint="eastAsia"/>
                <w:color w:val="auto"/>
              </w:rPr>
              <w:t>性</w:t>
            </w:r>
          </w:p>
        </w:tc>
        <w:tc>
          <w:tcPr>
            <w:tcW w:w="631" w:type="pct"/>
            <w:vAlign w:val="center"/>
          </w:tcPr>
          <w:p>
            <w:pPr>
              <w:pStyle w:val="182"/>
              <w:bidi w:val="0"/>
              <w:rPr>
                <w:color w:val="auto"/>
              </w:rPr>
            </w:pPr>
            <w:r>
              <w:rPr>
                <w:rFonts w:hint="eastAsia"/>
                <w:color w:val="auto"/>
              </w:rPr>
              <w:t>燃烧性</w:t>
            </w:r>
          </w:p>
        </w:tc>
        <w:tc>
          <w:tcPr>
            <w:tcW w:w="1521" w:type="pct"/>
            <w:gridSpan w:val="3"/>
            <w:vAlign w:val="center"/>
          </w:tcPr>
          <w:p>
            <w:pPr>
              <w:pStyle w:val="182"/>
              <w:bidi w:val="0"/>
              <w:rPr>
                <w:color w:val="auto"/>
              </w:rPr>
            </w:pPr>
            <w:r>
              <w:rPr>
                <w:rFonts w:hint="eastAsia"/>
                <w:color w:val="auto"/>
              </w:rPr>
              <w:t>助燃</w:t>
            </w:r>
          </w:p>
        </w:tc>
        <w:tc>
          <w:tcPr>
            <w:tcW w:w="1372" w:type="pct"/>
            <w:gridSpan w:val="4"/>
            <w:vAlign w:val="center"/>
          </w:tcPr>
          <w:p>
            <w:pPr>
              <w:pStyle w:val="182"/>
              <w:bidi w:val="0"/>
              <w:rPr>
                <w:color w:val="auto"/>
              </w:rPr>
            </w:pPr>
            <w:r>
              <w:rPr>
                <w:rFonts w:hint="eastAsia"/>
                <w:color w:val="auto"/>
              </w:rPr>
              <w:t>闪点（℃）</w:t>
            </w:r>
          </w:p>
        </w:tc>
        <w:tc>
          <w:tcPr>
            <w:tcW w:w="1103" w:type="pct"/>
            <w:gridSpan w:val="3"/>
            <w:vAlign w:val="center"/>
          </w:tcPr>
          <w:p>
            <w:pPr>
              <w:pStyle w:val="182"/>
              <w:bidi w:val="0"/>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危险特性</w:t>
            </w:r>
          </w:p>
        </w:tc>
        <w:tc>
          <w:tcPr>
            <w:tcW w:w="3996" w:type="pct"/>
            <w:gridSpan w:val="10"/>
            <w:vAlign w:val="center"/>
          </w:tcPr>
          <w:p>
            <w:pPr>
              <w:pStyle w:val="182"/>
              <w:bidi w:val="0"/>
              <w:rPr>
                <w:color w:val="auto"/>
              </w:rPr>
            </w:pPr>
            <w:r>
              <w:rPr>
                <w:rFonts w:hint="eastAsia"/>
                <w:color w:val="auto"/>
              </w:rPr>
              <w:t>具有强氧化性，能与许多化学物质发生爆炸性反应，对热、</w:t>
            </w:r>
            <w:r>
              <w:rPr>
                <w:rFonts w:hint="eastAsia"/>
                <w:color w:val="auto"/>
                <w:lang w:eastAsia="zh-CN"/>
              </w:rPr>
              <w:t>振动</w:t>
            </w:r>
            <w:r>
              <w:rPr>
                <w:rFonts w:hint="eastAsia"/>
                <w:color w:val="auto"/>
              </w:rPr>
              <w:t>、撞击和摩擦相当敏感，极易分解发生爆炸。</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灭火方法</w:t>
            </w:r>
          </w:p>
        </w:tc>
        <w:tc>
          <w:tcPr>
            <w:tcW w:w="3996" w:type="pct"/>
            <w:gridSpan w:val="10"/>
            <w:vAlign w:val="center"/>
          </w:tcPr>
          <w:p>
            <w:pPr>
              <w:pStyle w:val="182"/>
              <w:bidi w:val="0"/>
              <w:rPr>
                <w:color w:val="auto"/>
              </w:rPr>
            </w:pPr>
            <w:r>
              <w:rPr>
                <w:rFonts w:hint="eastAsia"/>
                <w:color w:val="auto"/>
              </w:rPr>
              <w:t>消防人员必须佩戴过滤式防毒面具</w:t>
            </w:r>
            <w:r>
              <w:rPr>
                <w:rFonts w:hint="eastAsia"/>
                <w:color w:val="auto"/>
                <w:lang w:eastAsia="zh-CN"/>
              </w:rPr>
              <w:t>（</w:t>
            </w:r>
            <w:r>
              <w:rPr>
                <w:rFonts w:hint="eastAsia"/>
                <w:color w:val="auto"/>
              </w:rPr>
              <w:t>全面罩</w:t>
            </w:r>
            <w:r>
              <w:rPr>
                <w:rFonts w:hint="eastAsia"/>
                <w:color w:val="auto"/>
                <w:lang w:eastAsia="zh-CN"/>
              </w:rPr>
              <w:t>）</w:t>
            </w:r>
            <w:r>
              <w:rPr>
                <w:rFonts w:hint="eastAsia"/>
                <w:color w:val="auto"/>
              </w:rPr>
              <w:t>或隔离式呼吸器、穿全身防火防毒服，在上风向灭火。迅速切断气源，用水喷淋保护切断气源的人员，然后根据着火原因选择适当灭火剂灭火，包括泡沫、干粉、二氧化碳。尽可能将容器从火场移至空旷处。喷水保持火场容器冷却，直至灭火结束。注意尽量从远处灭火。</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禁忌物</w:t>
            </w:r>
          </w:p>
        </w:tc>
        <w:tc>
          <w:tcPr>
            <w:tcW w:w="2715" w:type="pct"/>
            <w:gridSpan w:val="6"/>
            <w:vAlign w:val="center"/>
          </w:tcPr>
          <w:p>
            <w:pPr>
              <w:pStyle w:val="182"/>
              <w:bidi w:val="0"/>
              <w:rPr>
                <w:color w:val="auto"/>
              </w:rPr>
            </w:pPr>
            <w:r>
              <w:rPr>
                <w:rFonts w:hint="eastAsia"/>
                <w:color w:val="auto"/>
              </w:rPr>
              <w:t>还原剂、易燃或可燃物、活性金属粉末</w:t>
            </w:r>
          </w:p>
        </w:tc>
        <w:tc>
          <w:tcPr>
            <w:tcW w:w="665" w:type="pct"/>
            <w:gridSpan w:val="3"/>
            <w:vAlign w:val="center"/>
          </w:tcPr>
          <w:p>
            <w:pPr>
              <w:pStyle w:val="182"/>
              <w:bidi w:val="0"/>
              <w:rPr>
                <w:color w:val="auto"/>
              </w:rPr>
            </w:pPr>
            <w:r>
              <w:rPr>
                <w:rFonts w:hint="eastAsia"/>
                <w:color w:val="auto"/>
              </w:rPr>
              <w:t>稳定性</w:t>
            </w:r>
          </w:p>
        </w:tc>
        <w:tc>
          <w:tcPr>
            <w:tcW w:w="616" w:type="pct"/>
            <w:vAlign w:val="center"/>
          </w:tcPr>
          <w:p>
            <w:pPr>
              <w:pStyle w:val="182"/>
              <w:bidi w:val="0"/>
              <w:rPr>
                <w:color w:val="auto"/>
              </w:rPr>
            </w:pPr>
            <w:r>
              <w:rPr>
                <w:rFonts w:hint="eastAsia"/>
                <w:color w:val="auto"/>
              </w:rPr>
              <w:t>稳定</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燃烧产物</w:t>
            </w:r>
          </w:p>
        </w:tc>
        <w:tc>
          <w:tcPr>
            <w:tcW w:w="2715" w:type="pct"/>
            <w:gridSpan w:val="6"/>
            <w:vAlign w:val="center"/>
          </w:tcPr>
          <w:p>
            <w:pPr>
              <w:pStyle w:val="182"/>
              <w:bidi w:val="0"/>
              <w:rPr>
                <w:color w:val="auto"/>
              </w:rPr>
            </w:pPr>
            <w:r>
              <w:rPr>
                <w:rFonts w:hint="eastAsia"/>
                <w:color w:val="auto"/>
              </w:rPr>
              <w:t>氯化氢</w:t>
            </w:r>
          </w:p>
        </w:tc>
        <w:tc>
          <w:tcPr>
            <w:tcW w:w="665" w:type="pct"/>
            <w:gridSpan w:val="3"/>
            <w:vAlign w:val="center"/>
          </w:tcPr>
          <w:p>
            <w:pPr>
              <w:pStyle w:val="182"/>
              <w:bidi w:val="0"/>
              <w:rPr>
                <w:color w:val="auto"/>
              </w:rPr>
            </w:pPr>
            <w:r>
              <w:rPr>
                <w:rFonts w:hint="eastAsia"/>
                <w:color w:val="auto"/>
              </w:rPr>
              <w:t>聚合危害</w:t>
            </w:r>
          </w:p>
        </w:tc>
        <w:tc>
          <w:tcPr>
            <w:tcW w:w="616" w:type="pct"/>
            <w:vAlign w:val="center"/>
          </w:tcPr>
          <w:p>
            <w:pPr>
              <w:pStyle w:val="182"/>
              <w:bidi w:val="0"/>
              <w:rPr>
                <w:color w:val="auto"/>
              </w:rPr>
            </w:pPr>
            <w:r>
              <w:rPr>
                <w:rFonts w:hint="eastAsia"/>
                <w:color w:val="auto"/>
              </w:rPr>
              <w:t>不聚合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restart"/>
            <w:vAlign w:val="center"/>
          </w:tcPr>
          <w:p>
            <w:pPr>
              <w:pStyle w:val="182"/>
              <w:bidi w:val="0"/>
              <w:rPr>
                <w:color w:val="auto"/>
              </w:rPr>
            </w:pPr>
            <w:r>
              <w:rPr>
                <w:rFonts w:hint="eastAsia"/>
                <w:color w:val="auto"/>
              </w:rPr>
              <w:t>毒性及健康危害</w:t>
            </w:r>
          </w:p>
        </w:tc>
        <w:tc>
          <w:tcPr>
            <w:tcW w:w="631" w:type="pct"/>
            <w:vAlign w:val="center"/>
          </w:tcPr>
          <w:p>
            <w:pPr>
              <w:pStyle w:val="182"/>
              <w:bidi w:val="0"/>
              <w:rPr>
                <w:color w:val="auto"/>
              </w:rPr>
            </w:pPr>
            <w:r>
              <w:rPr>
                <w:rFonts w:hint="eastAsia"/>
                <w:color w:val="auto"/>
              </w:rPr>
              <w:t>急性毒性</w:t>
            </w:r>
          </w:p>
        </w:tc>
        <w:tc>
          <w:tcPr>
            <w:tcW w:w="3996" w:type="pct"/>
            <w:gridSpan w:val="10"/>
            <w:vAlign w:val="center"/>
          </w:tcPr>
          <w:p>
            <w:pPr>
              <w:pStyle w:val="182"/>
              <w:bidi w:val="0"/>
              <w:rPr>
                <w:color w:val="auto"/>
              </w:rPr>
            </w:pPr>
            <w:r>
              <w:rPr>
                <w:rFonts w:hint="eastAsia"/>
                <w:color w:val="auto"/>
              </w:rPr>
              <w:t>LD50（mg/kg，大鼠经口）：</w:t>
            </w:r>
            <w:r>
              <w:rPr>
                <w:color w:val="auto"/>
              </w:rPr>
              <w:t>292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386" w:hRule="atLeast"/>
        </w:trPr>
        <w:tc>
          <w:tcPr>
            <w:tcW w:w="373" w:type="pct"/>
            <w:vMerge w:val="continue"/>
            <w:vAlign w:val="center"/>
          </w:tcPr>
          <w:p>
            <w:pPr>
              <w:pStyle w:val="182"/>
              <w:bidi w:val="0"/>
              <w:rPr>
                <w:color w:val="auto"/>
              </w:rPr>
            </w:pPr>
          </w:p>
        </w:tc>
        <w:tc>
          <w:tcPr>
            <w:tcW w:w="631" w:type="pct"/>
            <w:vAlign w:val="center"/>
          </w:tcPr>
          <w:p>
            <w:pPr>
              <w:pStyle w:val="182"/>
              <w:bidi w:val="0"/>
              <w:rPr>
                <w:color w:val="auto"/>
              </w:rPr>
            </w:pPr>
            <w:r>
              <w:rPr>
                <w:rFonts w:hint="eastAsia"/>
                <w:color w:val="auto"/>
              </w:rPr>
              <w:t>健康危害</w:t>
            </w:r>
          </w:p>
        </w:tc>
        <w:tc>
          <w:tcPr>
            <w:tcW w:w="3996" w:type="pct"/>
            <w:gridSpan w:val="10"/>
            <w:vAlign w:val="center"/>
          </w:tcPr>
          <w:p>
            <w:pPr>
              <w:pStyle w:val="182"/>
              <w:bidi w:val="0"/>
              <w:rPr>
                <w:color w:val="auto"/>
              </w:rPr>
            </w:pPr>
            <w:r>
              <w:rPr>
                <w:rFonts w:hint="eastAsia"/>
                <w:color w:val="auto"/>
              </w:rPr>
              <w:t>具有强烈刺激性。接触后主要引起眼和呼吸道刺激</w:t>
            </w:r>
            <w:r>
              <w:rPr>
                <w:rFonts w:hint="eastAsia"/>
                <w:color w:val="auto"/>
                <w:lang w:eastAsia="zh-CN"/>
              </w:rPr>
              <w:t>，</w:t>
            </w:r>
            <w:r>
              <w:rPr>
                <w:rFonts w:hint="eastAsia"/>
                <w:color w:val="auto"/>
              </w:rPr>
              <w:t>引起咳嗽、喷嚏、气急、胸闷以及流涕、流泪等眼、鼻、咽喉部</w:t>
            </w:r>
            <w:r>
              <w:rPr>
                <w:rFonts w:hint="eastAsia"/>
                <w:color w:val="auto"/>
                <w:lang w:eastAsia="zh-CN"/>
              </w:rPr>
              <w:t>刺激症状</w:t>
            </w:r>
            <w:r>
              <w:rPr>
                <w:rFonts w:hint="eastAsia"/>
                <w:color w:val="auto"/>
              </w:rPr>
              <w:t>及体征。吸入高浓度可发生肺水肿。长期接触可导致慢性支气管炎。皮肤接触高浓度溶液，可引起强烈刺激和腐蚀。</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Align w:val="center"/>
          </w:tcPr>
          <w:p>
            <w:pPr>
              <w:pStyle w:val="182"/>
              <w:bidi w:val="0"/>
              <w:rPr>
                <w:color w:val="auto"/>
              </w:rPr>
            </w:pPr>
            <w:r>
              <w:rPr>
                <w:rFonts w:hint="eastAsia"/>
                <w:color w:val="auto"/>
              </w:rPr>
              <w:t>急救</w:t>
            </w:r>
          </w:p>
        </w:tc>
        <w:tc>
          <w:tcPr>
            <w:tcW w:w="4627" w:type="pct"/>
            <w:gridSpan w:val="11"/>
            <w:vAlign w:val="center"/>
          </w:tcPr>
          <w:p>
            <w:pPr>
              <w:pStyle w:val="182"/>
              <w:bidi w:val="0"/>
              <w:rPr>
                <w:color w:val="auto"/>
              </w:rPr>
            </w:pPr>
            <w:r>
              <w:rPr>
                <w:rFonts w:hint="eastAsia"/>
                <w:color w:val="auto"/>
              </w:rPr>
              <w:t>食入：用水漱口，给饮牛奶或蛋清。就医。</w:t>
            </w:r>
          </w:p>
          <w:p>
            <w:pPr>
              <w:pStyle w:val="182"/>
              <w:bidi w:val="0"/>
              <w:rPr>
                <w:color w:val="auto"/>
              </w:rPr>
            </w:pPr>
            <w:r>
              <w:rPr>
                <w:rFonts w:hint="eastAsia"/>
                <w:color w:val="auto"/>
              </w:rPr>
              <w:t>眼睛接触：立即提起眼睑，用大量流动清水或生理盐水彻底冲洗至少15分钟。就医。</w:t>
            </w:r>
          </w:p>
          <w:p>
            <w:pPr>
              <w:pStyle w:val="182"/>
              <w:bidi w:val="0"/>
              <w:rPr>
                <w:color w:val="auto"/>
              </w:rPr>
            </w:pPr>
            <w:r>
              <w:rPr>
                <w:rFonts w:hint="eastAsia"/>
                <w:color w:val="auto"/>
              </w:rPr>
              <w:t>皮肤接触：立即脱去污染的衣着，用大量流动清水冲洗至少15分钟。就医。</w:t>
            </w:r>
          </w:p>
          <w:p>
            <w:pPr>
              <w:pStyle w:val="182"/>
              <w:bidi w:val="0"/>
              <w:rPr>
                <w:color w:val="auto"/>
              </w:rPr>
            </w:pPr>
            <w:r>
              <w:rPr>
                <w:rFonts w:hint="eastAsia"/>
                <w:color w:val="auto"/>
              </w:rPr>
              <w:t>吸入：迅速脱离现场至空气新鲜处。保持呼吸道通畅。如呼吸困难，给输氧。如呼吸停止，立即进行人工呼吸。就医。明显中毒者必须卧床休息，密切观察，注意防治肺水肿。</w:t>
            </w:r>
          </w:p>
          <w:p>
            <w:pPr>
              <w:pStyle w:val="182"/>
              <w:bidi w:val="0"/>
              <w:rPr>
                <w:color w:val="auto"/>
              </w:rPr>
            </w:pPr>
            <w:r>
              <w:rPr>
                <w:rFonts w:hint="eastAsia"/>
                <w:color w:val="auto"/>
              </w:rPr>
              <w:t>皮肤接触：用大量流动清水冲洗，至少15分钟，就医。</w:t>
            </w:r>
          </w:p>
          <w:p>
            <w:pPr>
              <w:pStyle w:val="182"/>
              <w:bidi w:val="0"/>
              <w:rPr>
                <w:color w:val="auto"/>
              </w:rPr>
            </w:pPr>
            <w:r>
              <w:rPr>
                <w:rFonts w:hint="eastAsia"/>
                <w:color w:val="auto"/>
              </w:rPr>
              <w:t>眼睛接触：立即提起眼帘，用大量流动清水或生理盐水彻底冲洗至少15分钟，就医。</w:t>
            </w:r>
          </w:p>
          <w:p>
            <w:pPr>
              <w:pStyle w:val="182"/>
              <w:bidi w:val="0"/>
              <w:rPr>
                <w:color w:val="auto"/>
              </w:rPr>
            </w:pPr>
            <w:r>
              <w:rPr>
                <w:rFonts w:hint="eastAsia"/>
                <w:color w:val="auto"/>
              </w:rPr>
              <w:t>吸入：迅速脱离现场至空气新鲜处。保持呼吸道通畅。如呼吸困难，输氧。如呼吸停止，立即进行人工呼吸，就医。</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Align w:val="center"/>
          </w:tcPr>
          <w:p>
            <w:pPr>
              <w:pStyle w:val="182"/>
              <w:bidi w:val="0"/>
              <w:rPr>
                <w:color w:val="auto"/>
              </w:rPr>
            </w:pPr>
            <w:r>
              <w:rPr>
                <w:rFonts w:hint="eastAsia"/>
                <w:color w:val="auto"/>
              </w:rPr>
              <w:t>防护</w:t>
            </w:r>
          </w:p>
        </w:tc>
        <w:tc>
          <w:tcPr>
            <w:tcW w:w="4627" w:type="pct"/>
            <w:gridSpan w:val="11"/>
            <w:vAlign w:val="center"/>
          </w:tcPr>
          <w:p>
            <w:pPr>
              <w:pStyle w:val="182"/>
              <w:bidi w:val="0"/>
              <w:rPr>
                <w:color w:val="auto"/>
              </w:rPr>
            </w:pPr>
            <w:r>
              <w:rPr>
                <w:rFonts w:hint="eastAsia"/>
                <w:color w:val="auto"/>
              </w:rPr>
              <w:t>工程控制：生产过程密闭，全面通风。</w:t>
            </w:r>
          </w:p>
          <w:p>
            <w:pPr>
              <w:pStyle w:val="182"/>
              <w:bidi w:val="0"/>
              <w:rPr>
                <w:color w:val="auto"/>
              </w:rPr>
            </w:pPr>
            <w:r>
              <w:rPr>
                <w:rFonts w:hint="eastAsia"/>
                <w:color w:val="auto"/>
              </w:rPr>
              <w:t>呼吸系统防护：可能接触其蒸气时，应该</w:t>
            </w:r>
            <w:r>
              <w:rPr>
                <w:rFonts w:hint="eastAsia"/>
                <w:color w:val="auto"/>
                <w:lang w:eastAsia="zh-CN"/>
              </w:rPr>
              <w:t>佩戴</w:t>
            </w:r>
            <w:r>
              <w:rPr>
                <w:rFonts w:hint="eastAsia"/>
                <w:color w:val="auto"/>
              </w:rPr>
              <w:t>过滤式</w:t>
            </w:r>
            <w:r>
              <w:rPr>
                <w:rFonts w:hint="eastAsia"/>
                <w:color w:val="auto"/>
                <w:lang w:eastAsia="zh-CN"/>
              </w:rPr>
              <w:t>防毒面具</w:t>
            </w:r>
            <w:r>
              <w:rPr>
                <w:rFonts w:hint="eastAsia"/>
                <w:color w:val="auto"/>
              </w:rPr>
              <w:t>（半面罩）。</w:t>
            </w:r>
          </w:p>
          <w:p>
            <w:pPr>
              <w:pStyle w:val="182"/>
              <w:bidi w:val="0"/>
              <w:rPr>
                <w:color w:val="auto"/>
              </w:rPr>
            </w:pPr>
            <w:r>
              <w:rPr>
                <w:rFonts w:hint="eastAsia"/>
                <w:color w:val="auto"/>
              </w:rPr>
              <w:t>眼睛防护：戴化学安全防护眼镜。</w:t>
            </w:r>
          </w:p>
          <w:p>
            <w:pPr>
              <w:pStyle w:val="182"/>
              <w:bidi w:val="0"/>
              <w:rPr>
                <w:color w:val="auto"/>
              </w:rPr>
            </w:pPr>
            <w:r>
              <w:rPr>
                <w:rFonts w:hint="eastAsia"/>
                <w:color w:val="auto"/>
              </w:rPr>
              <w:t>身体防护：穿聚乙烯防毒服。</w:t>
            </w:r>
          </w:p>
          <w:p>
            <w:pPr>
              <w:pStyle w:val="182"/>
              <w:bidi w:val="0"/>
              <w:rPr>
                <w:color w:val="auto"/>
              </w:rPr>
            </w:pPr>
            <w:r>
              <w:rPr>
                <w:rFonts w:hint="eastAsia"/>
                <w:color w:val="auto"/>
              </w:rPr>
              <w:t>手防护：戴防护手套。</w:t>
            </w:r>
          </w:p>
          <w:p>
            <w:pPr>
              <w:pStyle w:val="182"/>
              <w:bidi w:val="0"/>
              <w:rPr>
                <w:color w:val="auto"/>
              </w:rPr>
            </w:pPr>
            <w:r>
              <w:rPr>
                <w:rFonts w:hint="eastAsia"/>
                <w:color w:val="auto"/>
              </w:rPr>
              <w:t>其他：工作现场严禁吸烟，不得进食和饮水。</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Align w:val="center"/>
          </w:tcPr>
          <w:p>
            <w:pPr>
              <w:pStyle w:val="182"/>
              <w:bidi w:val="0"/>
              <w:rPr>
                <w:color w:val="auto"/>
              </w:rPr>
            </w:pPr>
            <w:r>
              <w:rPr>
                <w:rFonts w:hint="eastAsia"/>
                <w:color w:val="auto"/>
              </w:rPr>
              <w:t>泄漏处理</w:t>
            </w:r>
          </w:p>
        </w:tc>
        <w:tc>
          <w:tcPr>
            <w:tcW w:w="4627" w:type="pct"/>
            <w:gridSpan w:val="11"/>
            <w:vAlign w:val="center"/>
          </w:tcPr>
          <w:p>
            <w:pPr>
              <w:pStyle w:val="182"/>
              <w:bidi w:val="0"/>
              <w:rPr>
                <w:color w:val="auto"/>
              </w:rPr>
            </w:pPr>
            <w:r>
              <w:rPr>
                <w:rFonts w:hint="eastAsia"/>
                <w:color w:val="auto"/>
              </w:rPr>
              <w:t>迅速撤离泄漏污染区人员至上风处，并进行隔离，严格限制出入。消除火花、着火源或火源；建议应急处理人员戴自给正压式呼吸器，穿防毒服，从上风处进入现场。如果不会造成人员伤害，尽可能切断泄漏源，用工业覆盖层或吸附/ 吸收剂盖住泄漏点附近的下水道等地方，防止进入水体或水源。喷雾状水稀释。发生漏气的容器要妥善处理，修复、检验后再用。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Align w:val="center"/>
          </w:tcPr>
          <w:p>
            <w:pPr>
              <w:pStyle w:val="182"/>
              <w:bidi w:val="0"/>
              <w:rPr>
                <w:color w:val="auto"/>
              </w:rPr>
            </w:pPr>
            <w:r>
              <w:rPr>
                <w:rFonts w:hint="eastAsia"/>
                <w:color w:val="auto"/>
              </w:rPr>
              <w:t>储运</w:t>
            </w:r>
          </w:p>
        </w:tc>
        <w:tc>
          <w:tcPr>
            <w:tcW w:w="4627" w:type="pct"/>
            <w:gridSpan w:val="11"/>
            <w:vAlign w:val="center"/>
          </w:tcPr>
          <w:p>
            <w:pPr>
              <w:pStyle w:val="182"/>
              <w:bidi w:val="0"/>
              <w:rPr>
                <w:color w:val="auto"/>
              </w:rPr>
            </w:pPr>
            <w:r>
              <w:rPr>
                <w:rFonts w:hint="eastAsia"/>
                <w:color w:val="auto"/>
              </w:rPr>
              <w:t>储存于阴凉、通风的库房，远离火种、热源。保持容器密封。应与易（可）燃物、还原剂、食品容器等分开存放，切忌混储。采用防爆型照明、通风设施。禁止使用易产生火花的机械设备和工具。储存区应备有泄漏应急处理设备和合适的收容材料。禁止</w:t>
            </w:r>
            <w:r>
              <w:rPr>
                <w:rFonts w:hint="eastAsia"/>
                <w:color w:val="auto"/>
                <w:lang w:eastAsia="zh-CN"/>
              </w:rPr>
              <w:t>振动</w:t>
            </w:r>
            <w:r>
              <w:rPr>
                <w:rFonts w:hint="eastAsia"/>
                <w:color w:val="auto"/>
              </w:rPr>
              <w:t>、撞击和摩擦，预防容器发生物理损害、摩擦或打击，定期检查容器漏洞。</w:t>
            </w:r>
          </w:p>
          <w:p>
            <w:pPr>
              <w:pStyle w:val="182"/>
              <w:bidi w:val="0"/>
              <w:rPr>
                <w:color w:val="auto"/>
              </w:rPr>
            </w:pPr>
            <w:r>
              <w:rPr>
                <w:rFonts w:hint="eastAsia"/>
                <w:color w:val="auto"/>
              </w:rPr>
              <w:t>铁路运输时应严格按照铁道部《危险货物运输规则》中的危险货物配装表进行配装。采用</w:t>
            </w:r>
            <w:r>
              <w:rPr>
                <w:rFonts w:hint="eastAsia"/>
                <w:color w:val="auto"/>
                <w:lang w:eastAsia="zh-CN"/>
              </w:rPr>
              <w:t>钢瓶</w:t>
            </w:r>
            <w:r>
              <w:rPr>
                <w:rFonts w:hint="eastAsia"/>
                <w:color w:val="auto"/>
              </w:rPr>
              <w:t>运输时必须戴好钢瓶上的安全帽。钢瓶一般平放，并应将瓶口朝同一方向，不可交叉；高度不得超过车辆的防护栏板，并用三角木垫卡牢，防止滚动。严禁与易燃物或可燃物、还原剂、食用化学品等混装混运。夏季应早晚运输，防止日光曝晒。公路运输时要按规定路线行驶，禁止在居民区和人口稠密区停留。铁路运输时要禁止溜放。</w:t>
            </w:r>
          </w:p>
          <w:p>
            <w:pPr>
              <w:pStyle w:val="182"/>
              <w:bidi w:val="0"/>
              <w:rPr>
                <w:color w:val="auto"/>
              </w:rPr>
            </w:pPr>
            <w:r>
              <w:rPr>
                <w:rFonts w:hint="eastAsia"/>
                <w:color w:val="auto"/>
              </w:rPr>
              <w:t>应使用危险品运输车辆运输。运输时运输车辆手续证件齐全，符合国家标准或法律法规对安全的要求；运输和押送人员应进行相应的专业技术、安全知识和应急救援的培训，要了解所运载危险品的性质、危害性和发生意外时的应急措施。保证运输过程中不因温度、湿度或者压力的变化而发生任何渗（洒）漏。运输车辆装卸前后，均应彻底清扫、洗净，严禁混入有机物、易燃物等杂质。</w:t>
            </w:r>
          </w:p>
        </w:tc>
      </w:tr>
    </w:tbl>
    <w:p>
      <w:pPr>
        <w:pStyle w:val="181"/>
        <w:bidi w:val="0"/>
        <w:ind w:left="0" w:leftChars="0" w:firstLine="0" w:firstLineChars="0"/>
        <w:jc w:val="center"/>
        <w:rPr>
          <w:color w:val="auto"/>
        </w:rPr>
      </w:pPr>
      <w:r>
        <w:rPr>
          <w:color w:val="auto"/>
        </w:rPr>
        <w:t>表5.</w:t>
      </w:r>
      <w:r>
        <w:rPr>
          <w:rFonts w:hint="eastAsia"/>
          <w:color w:val="auto"/>
          <w:lang w:val="en-US" w:eastAsia="zh-CN"/>
        </w:rPr>
        <w:t>9</w:t>
      </w:r>
      <w:r>
        <w:rPr>
          <w:rFonts w:hint="eastAsia"/>
          <w:color w:val="auto"/>
        </w:rPr>
        <w:t>-</w:t>
      </w:r>
      <w:r>
        <w:rPr>
          <w:rFonts w:hint="eastAsia"/>
          <w:color w:val="auto"/>
          <w:lang w:val="en-US" w:eastAsia="zh-CN"/>
        </w:rPr>
        <w:t>5</w:t>
      </w:r>
      <w:r>
        <w:rPr>
          <w:color w:val="auto"/>
        </w:rPr>
        <w:t xml:space="preserve">  </w:t>
      </w:r>
      <w:r>
        <w:rPr>
          <w:rFonts w:hint="eastAsia"/>
          <w:color w:val="auto"/>
          <w:lang w:val="en-US" w:eastAsia="zh-CN"/>
        </w:rPr>
        <w:t xml:space="preserve">         硫酸</w:t>
      </w:r>
      <w:r>
        <w:rPr>
          <w:color w:val="auto"/>
        </w:rPr>
        <w:t>的理化性质及危险特性表</w:t>
      </w:r>
    </w:p>
    <w:tbl>
      <w:tblPr>
        <w:tblStyle w:val="32"/>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36"/>
        <w:gridCol w:w="1075"/>
        <w:gridCol w:w="939"/>
        <w:gridCol w:w="885"/>
        <w:gridCol w:w="769"/>
        <w:gridCol w:w="983"/>
        <w:gridCol w:w="679"/>
        <w:gridCol w:w="677"/>
        <w:gridCol w:w="689"/>
        <w:gridCol w:w="119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restart"/>
            <w:vAlign w:val="center"/>
          </w:tcPr>
          <w:p>
            <w:pPr>
              <w:pStyle w:val="182"/>
              <w:bidi w:val="0"/>
              <w:rPr>
                <w:color w:val="auto"/>
              </w:rPr>
            </w:pPr>
            <w:r>
              <w:rPr>
                <w:rFonts w:hint="eastAsia"/>
                <w:color w:val="auto"/>
              </w:rPr>
              <w:t>标</w:t>
            </w:r>
          </w:p>
          <w:p>
            <w:pPr>
              <w:pStyle w:val="182"/>
              <w:bidi w:val="0"/>
              <w:rPr>
                <w:color w:val="auto"/>
              </w:rPr>
            </w:pPr>
            <w:r>
              <w:rPr>
                <w:rFonts w:hint="eastAsia"/>
                <w:color w:val="auto"/>
              </w:rPr>
              <w:t>识</w:t>
            </w:r>
          </w:p>
        </w:tc>
        <w:tc>
          <w:tcPr>
            <w:tcW w:w="630" w:type="pct"/>
            <w:vAlign w:val="center"/>
          </w:tcPr>
          <w:p>
            <w:pPr>
              <w:pStyle w:val="182"/>
              <w:bidi w:val="0"/>
              <w:rPr>
                <w:color w:val="auto"/>
              </w:rPr>
            </w:pPr>
            <w:r>
              <w:rPr>
                <w:rFonts w:hint="eastAsia"/>
                <w:color w:val="auto"/>
              </w:rPr>
              <w:t>中文名</w:t>
            </w:r>
          </w:p>
        </w:tc>
        <w:tc>
          <w:tcPr>
            <w:tcW w:w="550" w:type="pct"/>
            <w:vAlign w:val="center"/>
          </w:tcPr>
          <w:p>
            <w:pPr>
              <w:pStyle w:val="182"/>
              <w:bidi w:val="0"/>
              <w:rPr>
                <w:rFonts w:hint="eastAsia" w:eastAsia="宋体"/>
                <w:color w:val="auto"/>
                <w:lang w:eastAsia="zh-CN"/>
              </w:rPr>
            </w:pPr>
            <w:r>
              <w:rPr>
                <w:rFonts w:hint="eastAsia"/>
                <w:color w:val="auto"/>
                <w:lang w:val="en-US" w:eastAsia="zh-CN"/>
              </w:rPr>
              <w:t>硫酸</w:t>
            </w:r>
          </w:p>
        </w:tc>
        <w:tc>
          <w:tcPr>
            <w:tcW w:w="519" w:type="pct"/>
            <w:vAlign w:val="center"/>
          </w:tcPr>
          <w:p>
            <w:pPr>
              <w:pStyle w:val="182"/>
              <w:bidi w:val="0"/>
              <w:rPr>
                <w:color w:val="auto"/>
              </w:rPr>
            </w:pPr>
            <w:r>
              <w:rPr>
                <w:rFonts w:hint="eastAsia"/>
                <w:color w:val="auto"/>
              </w:rPr>
              <w:t>英文名</w:t>
            </w:r>
          </w:p>
        </w:tc>
        <w:tc>
          <w:tcPr>
            <w:tcW w:w="1027" w:type="pct"/>
            <w:gridSpan w:val="2"/>
            <w:vAlign w:val="center"/>
          </w:tcPr>
          <w:p>
            <w:pPr>
              <w:pStyle w:val="182"/>
              <w:bidi w:val="0"/>
              <w:rPr>
                <w:rFonts w:hint="default" w:eastAsia="宋体"/>
                <w:color w:val="auto"/>
                <w:lang w:val="en-US" w:eastAsia="zh-CN"/>
              </w:rPr>
            </w:pPr>
            <w:r>
              <w:rPr>
                <w:rFonts w:hint="eastAsia"/>
                <w:color w:val="auto"/>
                <w:lang w:val="en-US" w:eastAsia="zh-CN"/>
              </w:rPr>
              <w:t>Sulfuric acid</w:t>
            </w:r>
          </w:p>
        </w:tc>
        <w:tc>
          <w:tcPr>
            <w:tcW w:w="1199" w:type="pct"/>
            <w:gridSpan w:val="3"/>
            <w:vAlign w:val="center"/>
          </w:tcPr>
          <w:p>
            <w:pPr>
              <w:pStyle w:val="182"/>
              <w:bidi w:val="0"/>
              <w:rPr>
                <w:color w:val="auto"/>
              </w:rPr>
            </w:pPr>
            <w:r>
              <w:rPr>
                <w:rFonts w:hint="eastAsia"/>
                <w:color w:val="auto"/>
              </w:rPr>
              <w:t>危险货物编号</w:t>
            </w:r>
          </w:p>
        </w:tc>
        <w:tc>
          <w:tcPr>
            <w:tcW w:w="698" w:type="pct"/>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分子式</w:t>
            </w:r>
          </w:p>
        </w:tc>
        <w:tc>
          <w:tcPr>
            <w:tcW w:w="550" w:type="pct"/>
            <w:vAlign w:val="center"/>
          </w:tcPr>
          <w:p>
            <w:pPr>
              <w:pStyle w:val="182"/>
              <w:bidi w:val="0"/>
              <w:rPr>
                <w:rFonts w:hint="default" w:eastAsia="宋体"/>
                <w:color w:val="auto"/>
                <w:lang w:val="en-US" w:eastAsia="zh-CN"/>
              </w:rPr>
            </w:pPr>
            <w:r>
              <w:rPr>
                <w:rFonts w:hint="eastAsia"/>
                <w:color w:val="auto"/>
                <w:lang w:val="en-US" w:eastAsia="zh-CN"/>
              </w:rPr>
              <w:t>H</w:t>
            </w:r>
            <w:r>
              <w:rPr>
                <w:rFonts w:hint="eastAsia"/>
                <w:color w:val="auto"/>
                <w:vertAlign w:val="subscript"/>
                <w:lang w:val="en-US" w:eastAsia="zh-CN"/>
              </w:rPr>
              <w:t>2</w:t>
            </w:r>
            <w:r>
              <w:rPr>
                <w:rFonts w:hint="eastAsia"/>
                <w:color w:val="auto"/>
                <w:lang w:val="en-US" w:eastAsia="zh-CN"/>
              </w:rPr>
              <w:t>SO</w:t>
            </w:r>
            <w:r>
              <w:rPr>
                <w:rFonts w:hint="eastAsia"/>
                <w:color w:val="auto"/>
                <w:vertAlign w:val="subscript"/>
                <w:lang w:val="en-US" w:eastAsia="zh-CN"/>
              </w:rPr>
              <w:t>4</w:t>
            </w:r>
          </w:p>
        </w:tc>
        <w:tc>
          <w:tcPr>
            <w:tcW w:w="519" w:type="pct"/>
            <w:vAlign w:val="center"/>
          </w:tcPr>
          <w:p>
            <w:pPr>
              <w:pStyle w:val="182"/>
              <w:bidi w:val="0"/>
              <w:rPr>
                <w:color w:val="auto"/>
              </w:rPr>
            </w:pPr>
            <w:r>
              <w:rPr>
                <w:rFonts w:hint="eastAsia"/>
                <w:color w:val="auto"/>
              </w:rPr>
              <w:t>分子量</w:t>
            </w:r>
          </w:p>
        </w:tc>
        <w:tc>
          <w:tcPr>
            <w:tcW w:w="450" w:type="pct"/>
            <w:vAlign w:val="center"/>
          </w:tcPr>
          <w:p>
            <w:pPr>
              <w:pStyle w:val="182"/>
              <w:bidi w:val="0"/>
              <w:rPr>
                <w:rFonts w:hint="default" w:eastAsia="宋体"/>
                <w:color w:val="auto"/>
                <w:lang w:val="en-US" w:eastAsia="zh-CN"/>
              </w:rPr>
            </w:pPr>
            <w:r>
              <w:rPr>
                <w:rFonts w:hint="eastAsia"/>
                <w:color w:val="auto"/>
                <w:lang w:val="en-US" w:eastAsia="zh-CN"/>
              </w:rPr>
              <w:t>98.08</w:t>
            </w:r>
          </w:p>
        </w:tc>
        <w:tc>
          <w:tcPr>
            <w:tcW w:w="576" w:type="pct"/>
            <w:vAlign w:val="center"/>
          </w:tcPr>
          <w:p>
            <w:pPr>
              <w:pStyle w:val="182"/>
              <w:bidi w:val="0"/>
              <w:rPr>
                <w:color w:val="auto"/>
              </w:rPr>
            </w:pPr>
            <w:r>
              <w:rPr>
                <w:rFonts w:hint="eastAsia"/>
                <w:color w:val="auto"/>
              </w:rPr>
              <w:t>UN编号</w:t>
            </w:r>
          </w:p>
        </w:tc>
        <w:tc>
          <w:tcPr>
            <w:tcW w:w="398" w:type="pct"/>
            <w:vAlign w:val="center"/>
          </w:tcPr>
          <w:p>
            <w:pPr>
              <w:pStyle w:val="182"/>
              <w:bidi w:val="0"/>
              <w:rPr>
                <w:rFonts w:hint="default" w:eastAsia="宋体"/>
                <w:color w:val="auto"/>
                <w:lang w:val="en-US" w:eastAsia="zh-CN"/>
              </w:rPr>
            </w:pPr>
            <w:r>
              <w:rPr>
                <w:rFonts w:hint="eastAsia"/>
                <w:color w:val="auto"/>
                <w:lang w:val="en-US" w:eastAsia="zh-CN"/>
              </w:rPr>
              <w:t>1830</w:t>
            </w:r>
          </w:p>
        </w:tc>
        <w:tc>
          <w:tcPr>
            <w:tcW w:w="801" w:type="pct"/>
            <w:gridSpan w:val="2"/>
            <w:vAlign w:val="center"/>
          </w:tcPr>
          <w:p>
            <w:pPr>
              <w:pStyle w:val="182"/>
              <w:bidi w:val="0"/>
              <w:rPr>
                <w:color w:val="auto"/>
              </w:rPr>
            </w:pPr>
            <w:r>
              <w:rPr>
                <w:rFonts w:hint="eastAsia"/>
                <w:color w:val="auto"/>
              </w:rPr>
              <w:t>CAS编号</w:t>
            </w:r>
          </w:p>
        </w:tc>
        <w:tc>
          <w:tcPr>
            <w:tcW w:w="698" w:type="pct"/>
            <w:vAlign w:val="center"/>
          </w:tcPr>
          <w:p>
            <w:pPr>
              <w:pStyle w:val="182"/>
              <w:bidi w:val="0"/>
              <w:rPr>
                <w:rFonts w:hint="eastAsia" w:eastAsia="宋体"/>
                <w:color w:val="auto"/>
                <w:lang w:val="en-US" w:eastAsia="zh-CN"/>
              </w:rPr>
            </w:pPr>
            <w:r>
              <w:rPr>
                <w:rFonts w:hint="eastAsia"/>
                <w:color w:val="auto"/>
                <w:lang w:val="en-US" w:eastAsia="zh-CN"/>
              </w:rPr>
              <w:t>7664</w:t>
            </w:r>
            <w:r>
              <w:rPr>
                <w:color w:val="auto"/>
              </w:rPr>
              <w:t>-</w:t>
            </w:r>
            <w:r>
              <w:rPr>
                <w:rFonts w:hint="eastAsia"/>
                <w:color w:val="auto"/>
                <w:lang w:val="en-US" w:eastAsia="zh-CN"/>
              </w:rPr>
              <w:t>93</w:t>
            </w:r>
            <w:r>
              <w:rPr>
                <w:color w:val="auto"/>
              </w:rPr>
              <w:t>-</w:t>
            </w:r>
            <w:r>
              <w:rPr>
                <w:rFonts w:hint="eastAsia"/>
                <w:color w:val="auto"/>
                <w:lang w:val="en-US" w:eastAsia="zh-CN"/>
              </w:rPr>
              <w:t>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危险类别</w:t>
            </w:r>
          </w:p>
        </w:tc>
        <w:tc>
          <w:tcPr>
            <w:tcW w:w="3996" w:type="pct"/>
            <w:gridSpan w:val="8"/>
            <w:vAlign w:val="center"/>
          </w:tcPr>
          <w:p>
            <w:pPr>
              <w:pStyle w:val="182"/>
              <w:bidi w:val="0"/>
              <w:rPr>
                <w:color w:val="auto"/>
              </w:rPr>
            </w:pPr>
            <w:r>
              <w:rPr>
                <w:rFonts w:hint="eastAsia"/>
                <w:color w:val="auto"/>
              </w:rPr>
              <w:t>第8.</w:t>
            </w:r>
            <w:r>
              <w:rPr>
                <w:rFonts w:hint="eastAsia"/>
                <w:color w:val="auto"/>
                <w:lang w:val="en-US" w:eastAsia="zh-CN"/>
              </w:rPr>
              <w:t>1</w:t>
            </w:r>
            <w:r>
              <w:rPr>
                <w:rFonts w:hint="eastAsia"/>
                <w:color w:val="auto"/>
              </w:rPr>
              <w:t>类其他腐蚀品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restart"/>
            <w:vAlign w:val="center"/>
          </w:tcPr>
          <w:p>
            <w:pPr>
              <w:pStyle w:val="182"/>
              <w:bidi w:val="0"/>
              <w:rPr>
                <w:color w:val="auto"/>
              </w:rPr>
            </w:pPr>
            <w:r>
              <w:rPr>
                <w:rFonts w:hint="eastAsia"/>
                <w:color w:val="auto"/>
              </w:rPr>
              <w:t>理</w:t>
            </w:r>
          </w:p>
          <w:p>
            <w:pPr>
              <w:pStyle w:val="182"/>
              <w:bidi w:val="0"/>
              <w:rPr>
                <w:color w:val="auto"/>
              </w:rPr>
            </w:pPr>
            <w:r>
              <w:rPr>
                <w:rFonts w:hint="eastAsia"/>
                <w:color w:val="auto"/>
              </w:rPr>
              <w:t>化</w:t>
            </w:r>
          </w:p>
          <w:p>
            <w:pPr>
              <w:pStyle w:val="182"/>
              <w:bidi w:val="0"/>
              <w:rPr>
                <w:color w:val="auto"/>
              </w:rPr>
            </w:pPr>
            <w:r>
              <w:rPr>
                <w:rFonts w:hint="eastAsia"/>
                <w:color w:val="auto"/>
              </w:rPr>
              <w:t>性</w:t>
            </w:r>
          </w:p>
          <w:p>
            <w:pPr>
              <w:pStyle w:val="182"/>
              <w:bidi w:val="0"/>
              <w:rPr>
                <w:color w:val="auto"/>
              </w:rPr>
            </w:pPr>
            <w:r>
              <w:rPr>
                <w:rFonts w:hint="eastAsia"/>
                <w:color w:val="auto"/>
              </w:rPr>
              <w:t>质</w:t>
            </w:r>
          </w:p>
        </w:tc>
        <w:tc>
          <w:tcPr>
            <w:tcW w:w="630" w:type="pct"/>
            <w:vAlign w:val="center"/>
          </w:tcPr>
          <w:p>
            <w:pPr>
              <w:pStyle w:val="182"/>
              <w:bidi w:val="0"/>
              <w:rPr>
                <w:color w:val="auto"/>
              </w:rPr>
            </w:pPr>
            <w:r>
              <w:rPr>
                <w:rFonts w:hint="eastAsia"/>
                <w:color w:val="auto"/>
              </w:rPr>
              <w:t>性状</w:t>
            </w:r>
          </w:p>
        </w:tc>
        <w:tc>
          <w:tcPr>
            <w:tcW w:w="3996" w:type="pct"/>
            <w:gridSpan w:val="8"/>
            <w:vAlign w:val="center"/>
          </w:tcPr>
          <w:p>
            <w:pPr>
              <w:pStyle w:val="182"/>
              <w:bidi w:val="0"/>
              <w:rPr>
                <w:rFonts w:hint="default" w:eastAsia="宋体"/>
                <w:color w:val="auto"/>
                <w:lang w:val="en-US" w:eastAsia="zh-CN"/>
              </w:rPr>
            </w:pPr>
            <w:r>
              <w:rPr>
                <w:rFonts w:hint="eastAsia"/>
                <w:color w:val="auto"/>
                <w:lang w:val="en-US" w:eastAsia="zh-CN"/>
              </w:rPr>
              <w:t>外观与性状：纯品为无色透明油状液体，无嗅。</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熔点（℃）</w:t>
            </w:r>
          </w:p>
        </w:tc>
        <w:tc>
          <w:tcPr>
            <w:tcW w:w="1520" w:type="pct"/>
            <w:gridSpan w:val="3"/>
            <w:vAlign w:val="center"/>
          </w:tcPr>
          <w:p>
            <w:pPr>
              <w:pStyle w:val="182"/>
              <w:bidi w:val="0"/>
              <w:rPr>
                <w:rFonts w:hint="default" w:eastAsia="宋体"/>
                <w:color w:val="auto"/>
                <w:lang w:val="en-US" w:eastAsia="zh-CN"/>
              </w:rPr>
            </w:pPr>
            <w:r>
              <w:rPr>
                <w:rFonts w:hint="eastAsia"/>
                <w:color w:val="auto"/>
                <w:lang w:val="en-US" w:eastAsia="zh-CN"/>
              </w:rPr>
              <w:t>10.5</w:t>
            </w:r>
          </w:p>
        </w:tc>
        <w:tc>
          <w:tcPr>
            <w:tcW w:w="1372" w:type="pct"/>
            <w:gridSpan w:val="3"/>
            <w:vAlign w:val="center"/>
          </w:tcPr>
          <w:p>
            <w:pPr>
              <w:pStyle w:val="182"/>
              <w:bidi w:val="0"/>
              <w:rPr>
                <w:color w:val="auto"/>
              </w:rPr>
            </w:pPr>
            <w:r>
              <w:rPr>
                <w:rFonts w:hint="eastAsia"/>
                <w:color w:val="auto"/>
              </w:rPr>
              <w:t>临界压力（Mpa）</w:t>
            </w:r>
          </w:p>
        </w:tc>
        <w:tc>
          <w:tcPr>
            <w:tcW w:w="1102" w:type="pct"/>
            <w:gridSpan w:val="2"/>
            <w:vAlign w:val="center"/>
          </w:tcPr>
          <w:p>
            <w:pPr>
              <w:pStyle w:val="182"/>
              <w:bidi w:val="0"/>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沸点（℃）</w:t>
            </w:r>
          </w:p>
        </w:tc>
        <w:tc>
          <w:tcPr>
            <w:tcW w:w="1520" w:type="pct"/>
            <w:gridSpan w:val="3"/>
            <w:vAlign w:val="center"/>
          </w:tcPr>
          <w:p>
            <w:pPr>
              <w:pStyle w:val="182"/>
              <w:bidi w:val="0"/>
              <w:rPr>
                <w:rFonts w:hint="default" w:eastAsia="宋体"/>
                <w:color w:val="auto"/>
                <w:lang w:val="en-US" w:eastAsia="zh-CN"/>
              </w:rPr>
            </w:pPr>
            <w:r>
              <w:rPr>
                <w:rFonts w:hint="eastAsia"/>
                <w:color w:val="auto"/>
                <w:lang w:val="en-US" w:eastAsia="zh-CN"/>
              </w:rPr>
              <w:t>330.0</w:t>
            </w:r>
          </w:p>
        </w:tc>
        <w:tc>
          <w:tcPr>
            <w:tcW w:w="1372" w:type="pct"/>
            <w:gridSpan w:val="3"/>
            <w:vAlign w:val="center"/>
          </w:tcPr>
          <w:p>
            <w:pPr>
              <w:pStyle w:val="182"/>
              <w:bidi w:val="0"/>
              <w:rPr>
                <w:color w:val="auto"/>
              </w:rPr>
            </w:pPr>
            <w:r>
              <w:rPr>
                <w:rFonts w:hint="eastAsia"/>
                <w:color w:val="auto"/>
              </w:rPr>
              <w:t>相对密度（水＝1）</w:t>
            </w:r>
          </w:p>
        </w:tc>
        <w:tc>
          <w:tcPr>
            <w:tcW w:w="1102" w:type="pct"/>
            <w:gridSpan w:val="2"/>
            <w:vAlign w:val="center"/>
          </w:tcPr>
          <w:p>
            <w:pPr>
              <w:pStyle w:val="182"/>
              <w:bidi w:val="0"/>
              <w:rPr>
                <w:rFonts w:hint="default" w:eastAsia="宋体"/>
                <w:color w:val="auto"/>
                <w:lang w:val="en-US" w:eastAsia="zh-CN"/>
              </w:rPr>
            </w:pPr>
            <w:r>
              <w:rPr>
                <w:rFonts w:hint="eastAsia"/>
                <w:color w:val="auto"/>
                <w:lang w:val="en-US" w:eastAsia="zh-CN"/>
              </w:rPr>
              <w:t>1.83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饱和蒸汽压（kpa）</w:t>
            </w:r>
          </w:p>
        </w:tc>
        <w:tc>
          <w:tcPr>
            <w:tcW w:w="1520" w:type="pct"/>
            <w:gridSpan w:val="3"/>
            <w:vAlign w:val="center"/>
          </w:tcPr>
          <w:p>
            <w:pPr>
              <w:pStyle w:val="182"/>
              <w:bidi w:val="0"/>
              <w:rPr>
                <w:color w:val="auto"/>
              </w:rPr>
            </w:pPr>
            <w:r>
              <w:rPr>
                <w:color w:val="auto"/>
              </w:rPr>
              <w:t>/</w:t>
            </w:r>
          </w:p>
        </w:tc>
        <w:tc>
          <w:tcPr>
            <w:tcW w:w="1372" w:type="pct"/>
            <w:gridSpan w:val="3"/>
            <w:vAlign w:val="center"/>
          </w:tcPr>
          <w:p>
            <w:pPr>
              <w:pStyle w:val="182"/>
              <w:bidi w:val="0"/>
              <w:rPr>
                <w:color w:val="auto"/>
              </w:rPr>
            </w:pPr>
            <w:r>
              <w:rPr>
                <w:rFonts w:hint="eastAsia"/>
                <w:color w:val="auto"/>
              </w:rPr>
              <w:t>相对密度（空气＝1）</w:t>
            </w:r>
          </w:p>
        </w:tc>
        <w:tc>
          <w:tcPr>
            <w:tcW w:w="1102" w:type="pct"/>
            <w:gridSpan w:val="2"/>
            <w:vAlign w:val="center"/>
          </w:tcPr>
          <w:p>
            <w:pPr>
              <w:pStyle w:val="182"/>
              <w:bidi w:val="0"/>
              <w:rPr>
                <w:rFonts w:hint="default" w:eastAsia="宋体"/>
                <w:color w:val="auto"/>
                <w:lang w:val="en-US" w:eastAsia="zh-CN"/>
              </w:rPr>
            </w:pPr>
            <w:r>
              <w:rPr>
                <w:rFonts w:hint="eastAsia"/>
                <w:color w:val="auto"/>
                <w:lang w:val="en-US" w:eastAsia="zh-CN"/>
              </w:rPr>
              <w:t>3.4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溶解性</w:t>
            </w:r>
          </w:p>
        </w:tc>
        <w:tc>
          <w:tcPr>
            <w:tcW w:w="3996" w:type="pct"/>
            <w:gridSpan w:val="8"/>
            <w:vAlign w:val="center"/>
          </w:tcPr>
          <w:p>
            <w:pPr>
              <w:pStyle w:val="182"/>
              <w:bidi w:val="0"/>
              <w:rPr>
                <w:rFonts w:hint="eastAsia" w:eastAsia="宋体"/>
                <w:color w:val="auto"/>
                <w:lang w:eastAsia="zh-CN"/>
              </w:rPr>
            </w:pPr>
            <w:r>
              <w:rPr>
                <w:rFonts w:hint="eastAsia"/>
                <w:color w:val="auto"/>
                <w:lang w:val="en-US" w:eastAsia="zh-CN"/>
              </w:rPr>
              <w:t>与水混溶</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restart"/>
            <w:vAlign w:val="center"/>
          </w:tcPr>
          <w:p>
            <w:pPr>
              <w:pStyle w:val="182"/>
              <w:bidi w:val="0"/>
              <w:rPr>
                <w:color w:val="auto"/>
              </w:rPr>
            </w:pPr>
            <w:r>
              <w:rPr>
                <w:rFonts w:hint="eastAsia"/>
                <w:color w:val="auto"/>
              </w:rPr>
              <w:t>燃</w:t>
            </w:r>
          </w:p>
          <w:p>
            <w:pPr>
              <w:pStyle w:val="182"/>
              <w:bidi w:val="0"/>
              <w:rPr>
                <w:color w:val="auto"/>
              </w:rPr>
            </w:pPr>
            <w:r>
              <w:rPr>
                <w:rFonts w:hint="eastAsia"/>
                <w:color w:val="auto"/>
              </w:rPr>
              <w:t>烧</w:t>
            </w:r>
          </w:p>
          <w:p>
            <w:pPr>
              <w:pStyle w:val="182"/>
              <w:bidi w:val="0"/>
              <w:rPr>
                <w:color w:val="auto"/>
              </w:rPr>
            </w:pPr>
            <w:r>
              <w:rPr>
                <w:rFonts w:hint="eastAsia"/>
                <w:color w:val="auto"/>
              </w:rPr>
              <w:t>爆</w:t>
            </w:r>
          </w:p>
          <w:p>
            <w:pPr>
              <w:pStyle w:val="182"/>
              <w:bidi w:val="0"/>
              <w:rPr>
                <w:color w:val="auto"/>
              </w:rPr>
            </w:pPr>
            <w:r>
              <w:rPr>
                <w:rFonts w:hint="eastAsia"/>
                <w:color w:val="auto"/>
              </w:rPr>
              <w:t>炸</w:t>
            </w:r>
          </w:p>
          <w:p>
            <w:pPr>
              <w:pStyle w:val="182"/>
              <w:bidi w:val="0"/>
              <w:rPr>
                <w:color w:val="auto"/>
              </w:rPr>
            </w:pPr>
            <w:r>
              <w:rPr>
                <w:rFonts w:hint="eastAsia"/>
                <w:color w:val="auto"/>
              </w:rPr>
              <w:t>危</w:t>
            </w:r>
          </w:p>
          <w:p>
            <w:pPr>
              <w:pStyle w:val="182"/>
              <w:bidi w:val="0"/>
              <w:rPr>
                <w:color w:val="auto"/>
              </w:rPr>
            </w:pPr>
            <w:r>
              <w:rPr>
                <w:rFonts w:hint="eastAsia"/>
                <w:color w:val="auto"/>
              </w:rPr>
              <w:t>险</w:t>
            </w:r>
          </w:p>
          <w:p>
            <w:pPr>
              <w:pStyle w:val="182"/>
              <w:bidi w:val="0"/>
              <w:rPr>
                <w:color w:val="auto"/>
              </w:rPr>
            </w:pPr>
            <w:r>
              <w:rPr>
                <w:rFonts w:hint="eastAsia"/>
                <w:color w:val="auto"/>
              </w:rPr>
              <w:t>性</w:t>
            </w:r>
          </w:p>
        </w:tc>
        <w:tc>
          <w:tcPr>
            <w:tcW w:w="630" w:type="pct"/>
            <w:vAlign w:val="center"/>
          </w:tcPr>
          <w:p>
            <w:pPr>
              <w:pStyle w:val="182"/>
              <w:bidi w:val="0"/>
              <w:rPr>
                <w:color w:val="auto"/>
              </w:rPr>
            </w:pPr>
            <w:r>
              <w:rPr>
                <w:rFonts w:hint="eastAsia"/>
                <w:color w:val="auto"/>
              </w:rPr>
              <w:t>燃烧性</w:t>
            </w:r>
          </w:p>
        </w:tc>
        <w:tc>
          <w:tcPr>
            <w:tcW w:w="1520" w:type="pct"/>
            <w:gridSpan w:val="3"/>
            <w:vAlign w:val="center"/>
          </w:tcPr>
          <w:p>
            <w:pPr>
              <w:pStyle w:val="182"/>
              <w:bidi w:val="0"/>
              <w:rPr>
                <w:color w:val="auto"/>
              </w:rPr>
            </w:pPr>
            <w:r>
              <w:rPr>
                <w:rFonts w:hint="eastAsia"/>
                <w:color w:val="auto"/>
              </w:rPr>
              <w:t>助燃</w:t>
            </w:r>
          </w:p>
        </w:tc>
        <w:tc>
          <w:tcPr>
            <w:tcW w:w="1372" w:type="pct"/>
            <w:gridSpan w:val="3"/>
            <w:vAlign w:val="center"/>
          </w:tcPr>
          <w:p>
            <w:pPr>
              <w:pStyle w:val="182"/>
              <w:bidi w:val="0"/>
              <w:rPr>
                <w:color w:val="auto"/>
              </w:rPr>
            </w:pPr>
            <w:r>
              <w:rPr>
                <w:rFonts w:hint="eastAsia"/>
                <w:color w:val="auto"/>
              </w:rPr>
              <w:t>闪点（℃）</w:t>
            </w:r>
          </w:p>
        </w:tc>
        <w:tc>
          <w:tcPr>
            <w:tcW w:w="1102" w:type="pct"/>
            <w:gridSpan w:val="2"/>
            <w:vAlign w:val="center"/>
          </w:tcPr>
          <w:p>
            <w:pPr>
              <w:pStyle w:val="182"/>
              <w:bidi w:val="0"/>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危险特性</w:t>
            </w:r>
          </w:p>
        </w:tc>
        <w:tc>
          <w:tcPr>
            <w:tcW w:w="3996" w:type="pct"/>
            <w:gridSpan w:val="8"/>
            <w:vAlign w:val="center"/>
          </w:tcPr>
          <w:p>
            <w:pPr>
              <w:pStyle w:val="182"/>
              <w:bidi w:val="0"/>
              <w:rPr>
                <w:color w:val="auto"/>
              </w:rPr>
            </w:pPr>
            <w:r>
              <w:rPr>
                <w:rFonts w:hint="eastAsia"/>
                <w:color w:val="auto"/>
              </w:rPr>
              <w:t>遇水大量放热，可发生沸溅。与易燃物</w:t>
            </w:r>
            <w:r>
              <w:rPr>
                <w:rFonts w:hint="eastAsia"/>
                <w:color w:val="auto"/>
                <w:lang w:eastAsia="zh-CN"/>
              </w:rPr>
              <w:t>（</w:t>
            </w:r>
            <w:r>
              <w:rPr>
                <w:rFonts w:hint="eastAsia"/>
                <w:color w:val="auto"/>
              </w:rPr>
              <w:t>如苯</w:t>
            </w:r>
            <w:r>
              <w:rPr>
                <w:rFonts w:hint="eastAsia"/>
                <w:color w:val="auto"/>
                <w:lang w:eastAsia="zh-CN"/>
              </w:rPr>
              <w:t>）</w:t>
            </w:r>
            <w:r>
              <w:rPr>
                <w:rFonts w:hint="eastAsia"/>
                <w:color w:val="auto"/>
              </w:rPr>
              <w:t>和可燃物如糖、纤维素等</w:t>
            </w:r>
            <w:r>
              <w:rPr>
                <w:rFonts w:hint="eastAsia"/>
                <w:color w:val="auto"/>
                <w:lang w:eastAsia="zh-CN"/>
              </w:rPr>
              <w:t>）</w:t>
            </w:r>
            <w:r>
              <w:rPr>
                <w:rFonts w:hint="eastAsia"/>
                <w:color w:val="auto"/>
              </w:rPr>
              <w:t>接触会发生剧烈反应，甚至引起燃烧。遇电石、高氯酸盐、雷酸盐、硝酸盐、苦味酸盐、金属粉末等猛烈反应，发生爆炸或燃烧。有强烈的腐蚀性和吸水性。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灭火方法</w:t>
            </w:r>
          </w:p>
        </w:tc>
        <w:tc>
          <w:tcPr>
            <w:tcW w:w="3996" w:type="pct"/>
            <w:gridSpan w:val="8"/>
            <w:vAlign w:val="center"/>
          </w:tcPr>
          <w:p>
            <w:pPr>
              <w:pStyle w:val="182"/>
              <w:bidi w:val="0"/>
              <w:rPr>
                <w:color w:val="auto"/>
              </w:rPr>
            </w:pPr>
            <w:r>
              <w:rPr>
                <w:rFonts w:hint="eastAsia"/>
                <w:color w:val="auto"/>
              </w:rPr>
              <w:t>灭火方法</w:t>
            </w:r>
            <w:r>
              <w:rPr>
                <w:rFonts w:hint="eastAsia"/>
                <w:color w:val="auto"/>
                <w:lang w:eastAsia="zh-CN"/>
              </w:rPr>
              <w:t>：</w:t>
            </w:r>
            <w:r>
              <w:rPr>
                <w:rFonts w:hint="eastAsia"/>
                <w:color w:val="auto"/>
              </w:rPr>
              <w:t>消防人员必须穿全身耐酸碱消防服。灭火剂</w:t>
            </w:r>
            <w:r>
              <w:rPr>
                <w:rFonts w:hint="eastAsia"/>
                <w:color w:val="auto"/>
                <w:lang w:eastAsia="zh-CN"/>
              </w:rPr>
              <w:t>：</w:t>
            </w:r>
            <w:r>
              <w:rPr>
                <w:rFonts w:hint="eastAsia"/>
                <w:color w:val="auto"/>
              </w:rPr>
              <w:t>干粉、二氧化碳、砂土避免水流冲击物品，以免遇水会放出大量热量发生喷溅而灼伤皮肤。</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禁忌物</w:t>
            </w:r>
          </w:p>
        </w:tc>
        <w:tc>
          <w:tcPr>
            <w:tcW w:w="3996" w:type="pct"/>
            <w:gridSpan w:val="8"/>
            <w:vAlign w:val="center"/>
          </w:tcPr>
          <w:p>
            <w:pPr>
              <w:pStyle w:val="182"/>
              <w:bidi w:val="0"/>
              <w:rPr>
                <w:color w:val="auto"/>
              </w:rPr>
            </w:pPr>
            <w:r>
              <w:rPr>
                <w:rFonts w:hint="eastAsia"/>
                <w:color w:val="auto"/>
              </w:rPr>
              <w:t>碱类、碱金属、水、强还原剂、易燃或可燃物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Merge w:val="restart"/>
            <w:vAlign w:val="center"/>
          </w:tcPr>
          <w:p>
            <w:pPr>
              <w:pStyle w:val="182"/>
              <w:bidi w:val="0"/>
              <w:rPr>
                <w:color w:val="auto"/>
              </w:rPr>
            </w:pPr>
            <w:r>
              <w:rPr>
                <w:rFonts w:hint="eastAsia"/>
                <w:color w:val="auto"/>
              </w:rPr>
              <w:t>毒性及健康危害</w:t>
            </w:r>
          </w:p>
        </w:tc>
        <w:tc>
          <w:tcPr>
            <w:tcW w:w="630" w:type="pct"/>
            <w:vAlign w:val="center"/>
          </w:tcPr>
          <w:p>
            <w:pPr>
              <w:pStyle w:val="182"/>
              <w:bidi w:val="0"/>
              <w:rPr>
                <w:color w:val="auto"/>
              </w:rPr>
            </w:pPr>
            <w:r>
              <w:rPr>
                <w:rFonts w:hint="eastAsia"/>
                <w:color w:val="auto"/>
              </w:rPr>
              <w:t>急性毒性</w:t>
            </w:r>
          </w:p>
        </w:tc>
        <w:tc>
          <w:tcPr>
            <w:tcW w:w="3996" w:type="pct"/>
            <w:gridSpan w:val="8"/>
            <w:vAlign w:val="center"/>
          </w:tcPr>
          <w:p>
            <w:pPr>
              <w:pStyle w:val="182"/>
              <w:bidi w:val="0"/>
              <w:rPr>
                <w:rFonts w:hint="default" w:eastAsia="宋体"/>
                <w:color w:val="auto"/>
                <w:lang w:val="en-US" w:eastAsia="zh-CN"/>
              </w:rPr>
            </w:pPr>
            <w:r>
              <w:rPr>
                <w:rFonts w:hint="eastAsia"/>
                <w:color w:val="auto"/>
              </w:rPr>
              <w:t>LD50（mg/kg，大鼠经口）：</w:t>
            </w:r>
            <w:r>
              <w:rPr>
                <w:rFonts w:hint="eastAsia"/>
                <w:color w:val="auto"/>
                <w:lang w:val="en-US" w:eastAsia="zh-CN"/>
              </w:rPr>
              <w:t>2140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386" w:hRule="atLeast"/>
        </w:trPr>
        <w:tc>
          <w:tcPr>
            <w:tcW w:w="373" w:type="pct"/>
            <w:vMerge w:val="continue"/>
            <w:vAlign w:val="center"/>
          </w:tcPr>
          <w:p>
            <w:pPr>
              <w:pStyle w:val="182"/>
              <w:bidi w:val="0"/>
              <w:rPr>
                <w:color w:val="auto"/>
              </w:rPr>
            </w:pPr>
          </w:p>
        </w:tc>
        <w:tc>
          <w:tcPr>
            <w:tcW w:w="630" w:type="pct"/>
            <w:vAlign w:val="center"/>
          </w:tcPr>
          <w:p>
            <w:pPr>
              <w:pStyle w:val="182"/>
              <w:bidi w:val="0"/>
              <w:rPr>
                <w:color w:val="auto"/>
              </w:rPr>
            </w:pPr>
            <w:r>
              <w:rPr>
                <w:rFonts w:hint="eastAsia"/>
                <w:color w:val="auto"/>
              </w:rPr>
              <w:t>健康危害</w:t>
            </w:r>
          </w:p>
        </w:tc>
        <w:tc>
          <w:tcPr>
            <w:tcW w:w="3996" w:type="pct"/>
            <w:gridSpan w:val="8"/>
            <w:vAlign w:val="center"/>
          </w:tcPr>
          <w:p>
            <w:pPr>
              <w:pStyle w:val="182"/>
              <w:bidi w:val="0"/>
              <w:rPr>
                <w:color w:val="auto"/>
              </w:rPr>
            </w:pPr>
            <w:r>
              <w:rPr>
                <w:rFonts w:hint="eastAsia"/>
                <w:color w:val="auto"/>
              </w:rPr>
              <w:t>对皮肤、</w:t>
            </w:r>
            <w:r>
              <w:rPr>
                <w:rFonts w:hint="eastAsia"/>
                <w:color w:val="auto"/>
                <w:lang w:eastAsia="zh-CN"/>
              </w:rPr>
              <w:t>黏膜</w:t>
            </w:r>
            <w:r>
              <w:rPr>
                <w:rFonts w:hint="eastAsia"/>
                <w:color w:val="auto"/>
              </w:rPr>
              <w:t>等组织有强烈的刺激和腐蚀作用。蒸气或雾可引起结膜炎、结膜水肿、角膜混浊，以致失明</w:t>
            </w:r>
            <w:r>
              <w:rPr>
                <w:rFonts w:hint="eastAsia"/>
                <w:color w:val="auto"/>
                <w:lang w:eastAsia="zh-CN"/>
              </w:rPr>
              <w:t>；</w:t>
            </w:r>
            <w:r>
              <w:rPr>
                <w:rFonts w:hint="eastAsia"/>
                <w:color w:val="auto"/>
              </w:rPr>
              <w:t>引起呼吸道刺激，重者发生呼吸困难和肺水肿</w:t>
            </w:r>
            <w:r>
              <w:rPr>
                <w:rFonts w:hint="eastAsia"/>
                <w:color w:val="auto"/>
                <w:lang w:eastAsia="zh-CN"/>
              </w:rPr>
              <w:t>；</w:t>
            </w:r>
            <w:r>
              <w:rPr>
                <w:rFonts w:hint="eastAsia"/>
                <w:color w:val="auto"/>
              </w:rPr>
              <w:t>高浓度引起喉痉挛或声门水肿而</w:t>
            </w:r>
            <w:r>
              <w:rPr>
                <w:rFonts w:hint="eastAsia"/>
                <w:color w:val="auto"/>
                <w:lang w:eastAsia="zh-CN"/>
              </w:rPr>
              <w:t>窒息死亡</w:t>
            </w:r>
            <w:r>
              <w:rPr>
                <w:rFonts w:hint="eastAsia"/>
                <w:color w:val="auto"/>
              </w:rPr>
              <w:t>。口服后引起消化道烧伤以致溃疡形成</w:t>
            </w:r>
            <w:r>
              <w:rPr>
                <w:rFonts w:hint="eastAsia"/>
                <w:color w:val="auto"/>
                <w:lang w:eastAsia="zh-CN"/>
              </w:rPr>
              <w:t>；</w:t>
            </w:r>
            <w:r>
              <w:rPr>
                <w:rFonts w:hint="eastAsia"/>
                <w:color w:val="auto"/>
              </w:rPr>
              <w:t>严重者可能有胃穿孔、腹膜炎、肾损害、休克等。皮肤灼伤轻者出现红斑、重者形成溃疡，愈后痴痕收缩影响功能。溅入眼内可造成灼伤，甚至角膜穿孔、全眼炎以至失明。慢性影响</w:t>
            </w:r>
            <w:r>
              <w:rPr>
                <w:rFonts w:hint="eastAsia"/>
                <w:color w:val="auto"/>
                <w:lang w:eastAsia="zh-CN"/>
              </w:rPr>
              <w:t>：</w:t>
            </w:r>
            <w:r>
              <w:rPr>
                <w:rFonts w:hint="eastAsia"/>
                <w:color w:val="auto"/>
              </w:rPr>
              <w:t>牙齿酸蚀症、慢性支气管炎、肺气肿和肺硬化。</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Align w:val="center"/>
          </w:tcPr>
          <w:p>
            <w:pPr>
              <w:pStyle w:val="182"/>
              <w:bidi w:val="0"/>
              <w:rPr>
                <w:color w:val="auto"/>
              </w:rPr>
            </w:pPr>
            <w:r>
              <w:rPr>
                <w:rFonts w:hint="eastAsia"/>
                <w:color w:val="auto"/>
              </w:rPr>
              <w:t>急救</w:t>
            </w:r>
          </w:p>
        </w:tc>
        <w:tc>
          <w:tcPr>
            <w:tcW w:w="4626" w:type="pct"/>
            <w:gridSpan w:val="9"/>
            <w:vAlign w:val="center"/>
          </w:tcPr>
          <w:p>
            <w:pPr>
              <w:pStyle w:val="182"/>
              <w:bidi w:val="0"/>
              <w:rPr>
                <w:color w:val="auto"/>
              </w:rPr>
            </w:pPr>
            <w:r>
              <w:rPr>
                <w:rFonts w:hint="eastAsia"/>
                <w:color w:val="auto"/>
              </w:rPr>
              <w:t>皮肤接触</w:t>
            </w:r>
            <w:r>
              <w:rPr>
                <w:rFonts w:hint="eastAsia"/>
                <w:color w:val="auto"/>
                <w:lang w:eastAsia="zh-CN"/>
              </w:rPr>
              <w:t>：</w:t>
            </w:r>
            <w:r>
              <w:rPr>
                <w:rFonts w:hint="eastAsia"/>
                <w:color w:val="auto"/>
              </w:rPr>
              <w:t>立即脱去污染的衣着，用大量流动清水冲洗至少15分钟。就医。眼睛接触</w:t>
            </w:r>
            <w:r>
              <w:rPr>
                <w:rFonts w:hint="eastAsia"/>
                <w:color w:val="auto"/>
                <w:lang w:eastAsia="zh-CN"/>
              </w:rPr>
              <w:t>：</w:t>
            </w:r>
            <w:r>
              <w:rPr>
                <w:rFonts w:hint="eastAsia"/>
                <w:color w:val="auto"/>
              </w:rPr>
              <w:t>立即提起</w:t>
            </w:r>
            <w:r>
              <w:rPr>
                <w:rFonts w:hint="eastAsia"/>
                <w:color w:val="auto"/>
                <w:lang w:eastAsia="zh-CN"/>
              </w:rPr>
              <w:t>眼睑</w:t>
            </w:r>
            <w:r>
              <w:rPr>
                <w:rFonts w:hint="eastAsia"/>
                <w:color w:val="auto"/>
              </w:rPr>
              <w:t>，用大量流动清水或生理盐水彻底冲洗至少15分钟。就医。吸入</w:t>
            </w:r>
            <w:r>
              <w:rPr>
                <w:rFonts w:hint="eastAsia"/>
                <w:color w:val="auto"/>
                <w:lang w:eastAsia="zh-CN"/>
              </w:rPr>
              <w:t>：</w:t>
            </w:r>
            <w:r>
              <w:rPr>
                <w:rFonts w:hint="eastAsia"/>
                <w:color w:val="auto"/>
              </w:rPr>
              <w:t>迅速脱离现场至空气新鲜处。保持呼吸道通畅。如呼吸困难，给输氧。如呼吸停止，立即进行人工呼吸。就医。食入</w:t>
            </w:r>
            <w:r>
              <w:rPr>
                <w:rFonts w:hint="eastAsia"/>
                <w:color w:val="auto"/>
                <w:lang w:eastAsia="zh-CN"/>
              </w:rPr>
              <w:t>：</w:t>
            </w:r>
            <w:r>
              <w:rPr>
                <w:rFonts w:hint="eastAsia"/>
                <w:color w:val="auto"/>
              </w:rPr>
              <w:t>用水漱口，给饮牛奶或蛋清。就医。</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Align w:val="center"/>
          </w:tcPr>
          <w:p>
            <w:pPr>
              <w:pStyle w:val="182"/>
              <w:bidi w:val="0"/>
              <w:rPr>
                <w:color w:val="auto"/>
              </w:rPr>
            </w:pPr>
            <w:r>
              <w:rPr>
                <w:rFonts w:hint="eastAsia"/>
                <w:color w:val="auto"/>
              </w:rPr>
              <w:t>防护</w:t>
            </w:r>
          </w:p>
        </w:tc>
        <w:tc>
          <w:tcPr>
            <w:tcW w:w="4626" w:type="pct"/>
            <w:gridSpan w:val="9"/>
            <w:vAlign w:val="center"/>
          </w:tcPr>
          <w:p>
            <w:pPr>
              <w:pStyle w:val="182"/>
              <w:bidi w:val="0"/>
              <w:rPr>
                <w:color w:val="auto"/>
              </w:rPr>
            </w:pPr>
            <w:r>
              <w:rPr>
                <w:rFonts w:hint="eastAsia"/>
                <w:color w:val="auto"/>
              </w:rPr>
              <w:t>工程控制：生产过程密闭，全面通风。</w:t>
            </w:r>
          </w:p>
          <w:p>
            <w:pPr>
              <w:pStyle w:val="182"/>
              <w:bidi w:val="0"/>
              <w:rPr>
                <w:color w:val="auto"/>
              </w:rPr>
            </w:pPr>
            <w:r>
              <w:rPr>
                <w:rFonts w:hint="eastAsia"/>
                <w:color w:val="auto"/>
              </w:rPr>
              <w:t>呼吸系统防护：可能接触其蒸气时，应该</w:t>
            </w:r>
            <w:r>
              <w:rPr>
                <w:rFonts w:hint="eastAsia"/>
                <w:color w:val="auto"/>
                <w:lang w:eastAsia="zh-CN"/>
              </w:rPr>
              <w:t>佩戴</w:t>
            </w:r>
            <w:r>
              <w:rPr>
                <w:rFonts w:hint="eastAsia"/>
                <w:color w:val="auto"/>
              </w:rPr>
              <w:t>过滤式</w:t>
            </w:r>
            <w:r>
              <w:rPr>
                <w:rFonts w:hint="eastAsia"/>
                <w:color w:val="auto"/>
                <w:lang w:eastAsia="zh-CN"/>
              </w:rPr>
              <w:t>防毒面具</w:t>
            </w:r>
            <w:r>
              <w:rPr>
                <w:rFonts w:hint="eastAsia"/>
                <w:color w:val="auto"/>
              </w:rPr>
              <w:t>（半面罩）。</w:t>
            </w:r>
          </w:p>
          <w:p>
            <w:pPr>
              <w:pStyle w:val="182"/>
              <w:bidi w:val="0"/>
              <w:rPr>
                <w:color w:val="auto"/>
              </w:rPr>
            </w:pPr>
            <w:r>
              <w:rPr>
                <w:rFonts w:hint="eastAsia"/>
                <w:color w:val="auto"/>
              </w:rPr>
              <w:t>眼睛防护：戴化学安全防护眼镜。</w:t>
            </w:r>
          </w:p>
          <w:p>
            <w:pPr>
              <w:pStyle w:val="182"/>
              <w:bidi w:val="0"/>
              <w:rPr>
                <w:color w:val="auto"/>
              </w:rPr>
            </w:pPr>
            <w:r>
              <w:rPr>
                <w:rFonts w:hint="eastAsia"/>
                <w:color w:val="auto"/>
              </w:rPr>
              <w:t>身体防护：穿聚乙烯防毒服。</w:t>
            </w:r>
          </w:p>
          <w:p>
            <w:pPr>
              <w:pStyle w:val="182"/>
              <w:bidi w:val="0"/>
              <w:rPr>
                <w:color w:val="auto"/>
              </w:rPr>
            </w:pPr>
            <w:r>
              <w:rPr>
                <w:rFonts w:hint="eastAsia"/>
                <w:color w:val="auto"/>
              </w:rPr>
              <w:t>手防护：戴防护手套。</w:t>
            </w:r>
          </w:p>
          <w:p>
            <w:pPr>
              <w:pStyle w:val="182"/>
              <w:bidi w:val="0"/>
              <w:rPr>
                <w:color w:val="auto"/>
              </w:rPr>
            </w:pPr>
            <w:r>
              <w:rPr>
                <w:rFonts w:hint="eastAsia"/>
                <w:color w:val="auto"/>
              </w:rPr>
              <w:t>其他：工作现场严禁吸烟，不得进食和饮水。</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Align w:val="center"/>
          </w:tcPr>
          <w:p>
            <w:pPr>
              <w:pStyle w:val="182"/>
              <w:bidi w:val="0"/>
              <w:rPr>
                <w:color w:val="auto"/>
              </w:rPr>
            </w:pPr>
            <w:r>
              <w:rPr>
                <w:rFonts w:hint="eastAsia"/>
                <w:color w:val="auto"/>
              </w:rPr>
              <w:t>泄漏处理</w:t>
            </w:r>
          </w:p>
        </w:tc>
        <w:tc>
          <w:tcPr>
            <w:tcW w:w="4626" w:type="pct"/>
            <w:gridSpan w:val="9"/>
            <w:vAlign w:val="center"/>
          </w:tcPr>
          <w:p>
            <w:pPr>
              <w:pStyle w:val="182"/>
              <w:bidi w:val="0"/>
              <w:rPr>
                <w:color w:val="auto"/>
              </w:rPr>
            </w:pPr>
            <w:r>
              <w:rPr>
                <w:rFonts w:hint="eastAsia"/>
                <w:color w:val="auto"/>
              </w:rPr>
              <w:t>迅速撤离泄漏污染区人员至安全区，并进行隔离，严格限制出入。建议应急处理人员戴自给正压式呼吸器，穿防酸碱工作服。不要直接接触泄漏物。尽可能切断泄漏源。防止流入下水道、排洪沟等限制性空间。小量泄漏</w:t>
            </w:r>
            <w:r>
              <w:rPr>
                <w:rFonts w:hint="eastAsia"/>
                <w:color w:val="auto"/>
                <w:lang w:eastAsia="zh-CN"/>
              </w:rPr>
              <w:t>：</w:t>
            </w:r>
            <w:r>
              <w:rPr>
                <w:rFonts w:hint="eastAsia"/>
                <w:color w:val="auto"/>
              </w:rPr>
              <w:t>用砂土、</w:t>
            </w:r>
            <w:r>
              <w:rPr>
                <w:rFonts w:hint="eastAsia"/>
                <w:color w:val="auto"/>
                <w:lang w:eastAsia="zh-CN"/>
              </w:rPr>
              <w:t>干燥</w:t>
            </w:r>
            <w:r>
              <w:rPr>
                <w:rFonts w:hint="eastAsia"/>
                <w:color w:val="auto"/>
              </w:rPr>
              <w:t>石灰或苏打灰混合。也可以用大量水冲洗，洗水稀释后放入废水系统。大量泄漏</w:t>
            </w:r>
            <w:r>
              <w:rPr>
                <w:rFonts w:hint="eastAsia"/>
                <w:color w:val="auto"/>
                <w:lang w:eastAsia="zh-CN"/>
              </w:rPr>
              <w:t>：</w:t>
            </w:r>
            <w:r>
              <w:rPr>
                <w:rFonts w:hint="eastAsia"/>
                <w:color w:val="auto"/>
              </w:rPr>
              <w:t>构筑围堤或挖坑收容。用泵转移至槽车或专用收集器内，回收或运至废物处理场所处置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373" w:type="pct"/>
            <w:vAlign w:val="center"/>
          </w:tcPr>
          <w:p>
            <w:pPr>
              <w:pStyle w:val="182"/>
              <w:bidi w:val="0"/>
              <w:rPr>
                <w:color w:val="auto"/>
              </w:rPr>
            </w:pPr>
            <w:r>
              <w:rPr>
                <w:rFonts w:hint="eastAsia"/>
                <w:color w:val="auto"/>
              </w:rPr>
              <w:t>储运</w:t>
            </w:r>
          </w:p>
        </w:tc>
        <w:tc>
          <w:tcPr>
            <w:tcW w:w="4626" w:type="pct"/>
            <w:gridSpan w:val="9"/>
            <w:vAlign w:val="center"/>
          </w:tcPr>
          <w:p>
            <w:pPr>
              <w:pStyle w:val="182"/>
              <w:bidi w:val="0"/>
              <w:rPr>
                <w:color w:val="auto"/>
              </w:rPr>
            </w:pPr>
            <w:r>
              <w:rPr>
                <w:rFonts w:hint="eastAsia"/>
                <w:color w:val="auto"/>
              </w:rPr>
              <w:t>储存注意事项</w:t>
            </w:r>
            <w:r>
              <w:rPr>
                <w:rFonts w:hint="eastAsia"/>
                <w:color w:val="auto"/>
                <w:lang w:eastAsia="zh-CN"/>
              </w:rPr>
              <w:t>：</w:t>
            </w:r>
            <w:r>
              <w:rPr>
                <w:rFonts w:hint="eastAsia"/>
                <w:color w:val="auto"/>
              </w:rPr>
              <w:t>储存于阴凉、通风的库房。库温不超过35</w:t>
            </w:r>
            <w:r>
              <w:rPr>
                <w:rFonts w:hint="eastAsia"/>
                <w:color w:val="auto"/>
                <w:lang w:val="en-US" w:eastAsia="zh-CN"/>
              </w:rPr>
              <w:t>℃</w:t>
            </w:r>
            <w:r>
              <w:rPr>
                <w:rFonts w:hint="eastAsia"/>
                <w:color w:val="auto"/>
              </w:rPr>
              <w:t>，相对湿度不超过85%。保持容器密封。应与易</w:t>
            </w:r>
            <w:r>
              <w:rPr>
                <w:rFonts w:hint="eastAsia"/>
                <w:color w:val="auto"/>
                <w:lang w:eastAsia="zh-CN"/>
              </w:rPr>
              <w:t>（</w:t>
            </w:r>
            <w:r>
              <w:rPr>
                <w:rFonts w:hint="eastAsia"/>
                <w:color w:val="auto"/>
              </w:rPr>
              <w:t>可</w:t>
            </w:r>
            <w:r>
              <w:rPr>
                <w:rFonts w:hint="eastAsia"/>
                <w:color w:val="auto"/>
                <w:lang w:eastAsia="zh-CN"/>
              </w:rPr>
              <w:t>）</w:t>
            </w:r>
            <w:r>
              <w:rPr>
                <w:rFonts w:hint="eastAsia"/>
                <w:color w:val="auto"/>
              </w:rPr>
              <w:t>燃物、还原剂、碱类、碱金属、食用化学品分开存放，切忌混储。储区应备有泄漏应急处理设备和合适的收容材料。</w:t>
            </w:r>
          </w:p>
        </w:tc>
      </w:tr>
    </w:tbl>
    <w:p>
      <w:pPr>
        <w:bidi w:val="0"/>
        <w:rPr>
          <w:color w:val="auto"/>
        </w:rPr>
      </w:pPr>
      <w:r>
        <w:rPr>
          <w:rFonts w:hint="eastAsia"/>
          <w:color w:val="auto"/>
        </w:rPr>
        <w:t>根据以上理化性质，本次环境风险的危险物质为</w:t>
      </w:r>
      <w:r>
        <w:rPr>
          <w:rFonts w:hint="eastAsia"/>
          <w:color w:val="auto"/>
          <w:lang w:val="en-US" w:eastAsia="zh-CN"/>
        </w:rPr>
        <w:t>固体</w:t>
      </w:r>
      <w:r>
        <w:rPr>
          <w:rFonts w:hint="eastAsia"/>
          <w:color w:val="auto"/>
        </w:rPr>
        <w:t>二氧化氯</w:t>
      </w:r>
      <w:r>
        <w:rPr>
          <w:rFonts w:hint="eastAsia"/>
          <w:color w:val="auto"/>
          <w:lang w:val="en-US" w:eastAsia="zh-CN"/>
        </w:rPr>
        <w:t>释放剂、硫酸</w:t>
      </w:r>
      <w:r>
        <w:rPr>
          <w:rFonts w:hint="eastAsia"/>
          <w:color w:val="auto"/>
        </w:rPr>
        <w:t>。</w:t>
      </w:r>
    </w:p>
    <w:p>
      <w:pPr>
        <w:rPr>
          <w:color w:val="auto"/>
        </w:rPr>
      </w:pPr>
      <w:r>
        <w:rPr>
          <w:rFonts w:hint="eastAsia"/>
          <w:color w:val="auto"/>
        </w:rPr>
        <w:t>（2）环境敏感目标调查</w:t>
      </w:r>
    </w:p>
    <w:p>
      <w:pPr>
        <w:bidi w:val="0"/>
        <w:rPr>
          <w:rFonts w:hint="eastAsia"/>
          <w:color w:val="auto"/>
          <w:lang w:eastAsia="zh-CN"/>
        </w:rPr>
      </w:pPr>
      <w:r>
        <w:rPr>
          <w:rFonts w:hint="eastAsia"/>
          <w:color w:val="auto"/>
          <w:lang w:val="en-US" w:eastAsia="zh-CN"/>
        </w:rPr>
        <w:t>本项目环境风险</w:t>
      </w:r>
      <w:r>
        <w:rPr>
          <w:rFonts w:hint="eastAsia"/>
          <w:color w:val="auto"/>
        </w:rPr>
        <w:t>主要影响厂区及周边企业职工</w:t>
      </w:r>
      <w:r>
        <w:rPr>
          <w:rFonts w:hint="eastAsia"/>
          <w:color w:val="auto"/>
          <w:lang w:eastAsia="zh-CN"/>
        </w:rPr>
        <w:t>。</w:t>
      </w:r>
    </w:p>
    <w:p>
      <w:pPr>
        <w:pStyle w:val="10"/>
        <w:rPr>
          <w:rFonts w:hint="eastAsia"/>
          <w:color w:val="auto"/>
        </w:rPr>
      </w:pPr>
      <w:r>
        <w:rPr>
          <w:rFonts w:hint="eastAsia"/>
          <w:color w:val="auto"/>
        </w:rPr>
        <w:t>5.</w:t>
      </w:r>
      <w:r>
        <w:rPr>
          <w:rFonts w:hint="eastAsia"/>
          <w:color w:val="auto"/>
          <w:lang w:val="en-US" w:eastAsia="zh-CN"/>
        </w:rPr>
        <w:t>9</w:t>
      </w:r>
      <w:r>
        <w:rPr>
          <w:rFonts w:hint="eastAsia"/>
          <w:color w:val="auto"/>
        </w:rPr>
        <w:t>.4.2</w:t>
      </w:r>
      <w:r>
        <w:rPr>
          <w:rFonts w:hint="eastAsia"/>
          <w:color w:val="auto"/>
          <w:lang w:val="en-US" w:eastAsia="zh-CN"/>
        </w:rPr>
        <w:t xml:space="preserve"> </w:t>
      </w:r>
      <w:r>
        <w:rPr>
          <w:rFonts w:hint="eastAsia"/>
          <w:color w:val="auto"/>
        </w:rPr>
        <w:t>生产系统危险性识别</w:t>
      </w:r>
    </w:p>
    <w:p>
      <w:pPr>
        <w:rPr>
          <w:rFonts w:hint="eastAsia"/>
          <w:b/>
          <w:bCs/>
          <w:color w:val="auto"/>
          <w:u w:val="single"/>
        </w:rPr>
      </w:pPr>
      <w:r>
        <w:rPr>
          <w:rFonts w:hint="eastAsia"/>
          <w:b/>
          <w:bCs/>
          <w:color w:val="auto"/>
          <w:u w:val="single"/>
        </w:rPr>
        <w:t xml:space="preserve">根据企业风险评价要求及一般工艺工序特点，功能系统可划分为七大单元，见表 </w:t>
      </w:r>
      <w:r>
        <w:rPr>
          <w:rFonts w:hint="eastAsia"/>
          <w:b/>
          <w:bCs/>
          <w:color w:val="auto"/>
          <w:u w:val="single"/>
          <w:lang w:val="en-US" w:eastAsia="zh-CN"/>
        </w:rPr>
        <w:t>5.9-6</w:t>
      </w:r>
      <w:r>
        <w:rPr>
          <w:rFonts w:hint="eastAsia"/>
          <w:b/>
          <w:bCs/>
          <w:color w:val="auto"/>
          <w:u w:val="single"/>
        </w:rPr>
        <w:t>。</w:t>
      </w:r>
    </w:p>
    <w:p>
      <w:pPr>
        <w:pStyle w:val="181"/>
        <w:rPr>
          <w:rFonts w:hint="eastAsia"/>
          <w:color w:val="auto"/>
          <w:u w:val="single"/>
        </w:rPr>
      </w:pPr>
      <w:r>
        <w:rPr>
          <w:rFonts w:hint="eastAsia"/>
          <w:color w:val="auto"/>
          <w:u w:val="single"/>
          <w:lang w:val="en-US" w:eastAsia="zh-CN"/>
        </w:rPr>
        <w:t xml:space="preserve">表5.9-6             </w:t>
      </w:r>
      <w:r>
        <w:rPr>
          <w:rFonts w:hint="eastAsia"/>
          <w:color w:val="auto"/>
          <w:u w:val="single"/>
        </w:rPr>
        <w:t>项目功能系统划分</w:t>
      </w:r>
    </w:p>
    <w:tbl>
      <w:tblPr>
        <w:tblStyle w:val="32"/>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466"/>
        <w:gridCol w:w="1627"/>
        <w:gridCol w:w="643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2093" w:type="dxa"/>
            <w:gridSpan w:val="2"/>
            <w:tcBorders>
              <w:bottom w:val="single" w:color="000000" w:sz="6" w:space="0"/>
              <w:right w:val="single" w:color="000000" w:sz="6" w:space="0"/>
            </w:tcBorders>
            <w:vAlign w:val="center"/>
          </w:tcPr>
          <w:p>
            <w:pPr>
              <w:pStyle w:val="182"/>
              <w:spacing w:before="48"/>
              <w:ind w:left="624"/>
              <w:jc w:val="left"/>
              <w:rPr>
                <w:b/>
                <w:bCs/>
                <w:color w:val="auto"/>
                <w:u w:val="single"/>
              </w:rPr>
            </w:pPr>
            <w:r>
              <w:rPr>
                <w:b/>
                <w:bCs/>
                <w:color w:val="auto"/>
                <w:u w:val="single"/>
              </w:rPr>
              <w:t>系统名称</w:t>
            </w:r>
          </w:p>
        </w:tc>
        <w:tc>
          <w:tcPr>
            <w:tcW w:w="6436" w:type="dxa"/>
            <w:tcBorders>
              <w:left w:val="single" w:color="000000" w:sz="6" w:space="0"/>
              <w:bottom w:val="single" w:color="000000" w:sz="6" w:space="0"/>
            </w:tcBorders>
            <w:vAlign w:val="center"/>
          </w:tcPr>
          <w:p>
            <w:pPr>
              <w:pStyle w:val="182"/>
              <w:spacing w:before="48"/>
              <w:ind w:left="49" w:right="28"/>
              <w:rPr>
                <w:b/>
                <w:bCs/>
                <w:color w:val="auto"/>
                <w:u w:val="single"/>
              </w:rPr>
            </w:pPr>
            <w:r>
              <w:rPr>
                <w:b/>
                <w:bCs/>
                <w:color w:val="auto"/>
                <w:u w:val="single"/>
              </w:rPr>
              <w:t>涉及内容</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466" w:type="dxa"/>
            <w:vMerge w:val="restart"/>
            <w:tcBorders>
              <w:top w:val="single" w:color="000000" w:sz="6" w:space="0"/>
              <w:right w:val="single" w:color="000000" w:sz="6" w:space="0"/>
            </w:tcBorders>
            <w:vAlign w:val="center"/>
          </w:tcPr>
          <w:p>
            <w:pPr>
              <w:pStyle w:val="182"/>
              <w:spacing w:line="242" w:lineRule="auto"/>
              <w:ind w:left="127" w:right="110"/>
              <w:jc w:val="both"/>
              <w:rPr>
                <w:b/>
                <w:bCs/>
                <w:color w:val="auto"/>
                <w:u w:val="single"/>
              </w:rPr>
            </w:pPr>
            <w:r>
              <w:rPr>
                <w:b/>
                <w:bCs/>
                <w:color w:val="auto"/>
                <w:u w:val="single"/>
              </w:rPr>
              <w:t>项目功能系统</w:t>
            </w:r>
          </w:p>
        </w:tc>
        <w:tc>
          <w:tcPr>
            <w:tcW w:w="1627" w:type="dxa"/>
            <w:tcBorders>
              <w:top w:val="single" w:color="000000" w:sz="6" w:space="0"/>
              <w:left w:val="single" w:color="000000" w:sz="6" w:space="0"/>
              <w:bottom w:val="single" w:color="000000" w:sz="6" w:space="0"/>
              <w:right w:val="single" w:color="000000" w:sz="6" w:space="0"/>
            </w:tcBorders>
            <w:vAlign w:val="center"/>
          </w:tcPr>
          <w:p>
            <w:pPr>
              <w:pStyle w:val="182"/>
              <w:spacing w:before="48"/>
              <w:ind w:left="374" w:right="357"/>
              <w:rPr>
                <w:b/>
                <w:bCs/>
                <w:color w:val="auto"/>
                <w:u w:val="single"/>
              </w:rPr>
            </w:pPr>
            <w:r>
              <w:rPr>
                <w:b/>
                <w:bCs/>
                <w:color w:val="auto"/>
                <w:u w:val="single"/>
              </w:rPr>
              <w:t>生产运行</w:t>
            </w:r>
          </w:p>
        </w:tc>
        <w:tc>
          <w:tcPr>
            <w:tcW w:w="6436" w:type="dxa"/>
            <w:tcBorders>
              <w:top w:val="single" w:color="000000" w:sz="6" w:space="0"/>
              <w:left w:val="single" w:color="000000" w:sz="6" w:space="0"/>
              <w:bottom w:val="single" w:color="000000" w:sz="6" w:space="0"/>
            </w:tcBorders>
            <w:vAlign w:val="center"/>
          </w:tcPr>
          <w:p>
            <w:pPr>
              <w:pStyle w:val="182"/>
              <w:spacing w:before="48"/>
              <w:ind w:left="46" w:right="28"/>
              <w:rPr>
                <w:b/>
                <w:bCs/>
                <w:color w:val="auto"/>
                <w:u w:val="single"/>
              </w:rPr>
            </w:pPr>
            <w:r>
              <w:rPr>
                <w:b/>
                <w:bCs/>
                <w:color w:val="auto"/>
                <w:u w:val="single"/>
              </w:rPr>
              <w:t>生产工序和装置的生产区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466" w:type="dxa"/>
            <w:vMerge w:val="continue"/>
            <w:tcBorders>
              <w:top w:val="nil"/>
              <w:right w:val="single" w:color="000000" w:sz="6" w:space="0"/>
            </w:tcBorders>
            <w:vAlign w:val="center"/>
          </w:tcPr>
          <w:p>
            <w:pPr>
              <w:pStyle w:val="182"/>
              <w:rPr>
                <w:b/>
                <w:bCs/>
                <w:color w:val="auto"/>
                <w:u w:val="single"/>
              </w:rPr>
            </w:pPr>
          </w:p>
        </w:tc>
        <w:tc>
          <w:tcPr>
            <w:tcW w:w="1627" w:type="dxa"/>
            <w:tcBorders>
              <w:top w:val="single" w:color="000000" w:sz="6" w:space="0"/>
              <w:left w:val="single" w:color="000000" w:sz="6" w:space="0"/>
              <w:bottom w:val="single" w:color="000000" w:sz="6" w:space="0"/>
              <w:right w:val="single" w:color="000000" w:sz="6" w:space="0"/>
            </w:tcBorders>
            <w:vAlign w:val="center"/>
          </w:tcPr>
          <w:p>
            <w:pPr>
              <w:pStyle w:val="182"/>
              <w:spacing w:before="45"/>
              <w:ind w:left="374" w:right="357"/>
              <w:rPr>
                <w:b/>
                <w:bCs/>
                <w:color w:val="auto"/>
                <w:u w:val="single"/>
              </w:rPr>
            </w:pPr>
            <w:r>
              <w:rPr>
                <w:b/>
                <w:bCs/>
                <w:color w:val="auto"/>
                <w:u w:val="single"/>
              </w:rPr>
              <w:t>储存运输</w:t>
            </w:r>
          </w:p>
        </w:tc>
        <w:tc>
          <w:tcPr>
            <w:tcW w:w="6436" w:type="dxa"/>
            <w:tcBorders>
              <w:top w:val="single" w:color="000000" w:sz="6" w:space="0"/>
              <w:left w:val="single" w:color="000000" w:sz="6" w:space="0"/>
              <w:bottom w:val="single" w:color="000000" w:sz="6" w:space="0"/>
            </w:tcBorders>
            <w:vAlign w:val="center"/>
          </w:tcPr>
          <w:p>
            <w:pPr>
              <w:pStyle w:val="182"/>
              <w:spacing w:before="45"/>
              <w:ind w:left="46" w:right="28"/>
              <w:rPr>
                <w:rFonts w:hint="default" w:eastAsia="宋体"/>
                <w:b/>
                <w:bCs/>
                <w:color w:val="auto"/>
                <w:u w:val="single"/>
                <w:lang w:val="en-US" w:eastAsia="zh-CN"/>
              </w:rPr>
            </w:pPr>
            <w:r>
              <w:rPr>
                <w:rFonts w:hint="eastAsia"/>
                <w:b/>
                <w:bCs/>
                <w:color w:val="auto"/>
                <w:u w:val="single"/>
                <w:lang w:val="en-US" w:eastAsia="zh-CN"/>
              </w:rPr>
              <w:t>依托的硫酸</w:t>
            </w:r>
            <w:r>
              <w:rPr>
                <w:b/>
                <w:bCs/>
                <w:color w:val="auto"/>
                <w:u w:val="single"/>
              </w:rPr>
              <w:t>储罐、</w:t>
            </w:r>
            <w:r>
              <w:rPr>
                <w:rFonts w:hint="eastAsia"/>
                <w:b/>
                <w:bCs/>
                <w:color w:val="auto"/>
                <w:u w:val="single"/>
                <w:lang w:val="en-US" w:eastAsia="zh-CN"/>
              </w:rPr>
              <w:t>固体二氧化氯释放剂</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466" w:type="dxa"/>
            <w:vMerge w:val="continue"/>
            <w:tcBorders>
              <w:top w:val="nil"/>
              <w:right w:val="single" w:color="000000" w:sz="6" w:space="0"/>
            </w:tcBorders>
            <w:vAlign w:val="center"/>
          </w:tcPr>
          <w:p>
            <w:pPr>
              <w:pStyle w:val="182"/>
              <w:rPr>
                <w:b/>
                <w:bCs/>
                <w:color w:val="auto"/>
                <w:u w:val="single"/>
              </w:rPr>
            </w:pPr>
          </w:p>
        </w:tc>
        <w:tc>
          <w:tcPr>
            <w:tcW w:w="1627" w:type="dxa"/>
            <w:tcBorders>
              <w:top w:val="single" w:color="000000" w:sz="6" w:space="0"/>
              <w:left w:val="single" w:color="000000" w:sz="6" w:space="0"/>
              <w:bottom w:val="single" w:color="000000" w:sz="6" w:space="0"/>
              <w:right w:val="single" w:color="000000" w:sz="6" w:space="0"/>
            </w:tcBorders>
            <w:vAlign w:val="center"/>
          </w:tcPr>
          <w:p>
            <w:pPr>
              <w:pStyle w:val="182"/>
              <w:spacing w:before="45"/>
              <w:ind w:left="374" w:right="357"/>
              <w:rPr>
                <w:b/>
                <w:bCs/>
                <w:color w:val="auto"/>
                <w:u w:val="single"/>
              </w:rPr>
            </w:pPr>
            <w:r>
              <w:rPr>
                <w:b/>
                <w:bCs/>
                <w:color w:val="auto"/>
                <w:u w:val="single"/>
              </w:rPr>
              <w:t>公用工程</w:t>
            </w:r>
          </w:p>
        </w:tc>
        <w:tc>
          <w:tcPr>
            <w:tcW w:w="6436" w:type="dxa"/>
            <w:tcBorders>
              <w:top w:val="single" w:color="000000" w:sz="6" w:space="0"/>
              <w:left w:val="single" w:color="000000" w:sz="6" w:space="0"/>
              <w:bottom w:val="single" w:color="000000" w:sz="6" w:space="0"/>
            </w:tcBorders>
            <w:vAlign w:val="center"/>
          </w:tcPr>
          <w:p>
            <w:pPr>
              <w:pStyle w:val="182"/>
              <w:spacing w:before="45"/>
              <w:ind w:left="49" w:right="28"/>
              <w:rPr>
                <w:b/>
                <w:bCs/>
                <w:color w:val="auto"/>
                <w:u w:val="single"/>
              </w:rPr>
            </w:pPr>
            <w:r>
              <w:rPr>
                <w:b/>
                <w:bCs/>
                <w:color w:val="auto"/>
                <w:u w:val="single"/>
              </w:rPr>
              <w:t>水、电等</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466" w:type="dxa"/>
            <w:vMerge w:val="continue"/>
            <w:tcBorders>
              <w:top w:val="nil"/>
              <w:right w:val="single" w:color="000000" w:sz="6" w:space="0"/>
            </w:tcBorders>
            <w:vAlign w:val="center"/>
          </w:tcPr>
          <w:p>
            <w:pPr>
              <w:pStyle w:val="182"/>
              <w:rPr>
                <w:b/>
                <w:bCs/>
                <w:color w:val="auto"/>
                <w:u w:val="single"/>
              </w:rPr>
            </w:pPr>
          </w:p>
        </w:tc>
        <w:tc>
          <w:tcPr>
            <w:tcW w:w="1627" w:type="dxa"/>
            <w:tcBorders>
              <w:top w:val="single" w:color="000000" w:sz="6" w:space="0"/>
              <w:left w:val="single" w:color="000000" w:sz="6" w:space="0"/>
              <w:bottom w:val="single" w:color="000000" w:sz="6" w:space="0"/>
              <w:right w:val="single" w:color="000000" w:sz="6" w:space="0"/>
            </w:tcBorders>
            <w:vAlign w:val="center"/>
          </w:tcPr>
          <w:p>
            <w:pPr>
              <w:pStyle w:val="182"/>
              <w:spacing w:before="45"/>
              <w:ind w:left="374" w:right="357"/>
              <w:rPr>
                <w:b/>
                <w:bCs/>
                <w:color w:val="auto"/>
                <w:u w:val="single"/>
              </w:rPr>
            </w:pPr>
            <w:r>
              <w:rPr>
                <w:b/>
                <w:bCs/>
                <w:color w:val="auto"/>
                <w:u w:val="single"/>
              </w:rPr>
              <w:t>生产辅助</w:t>
            </w:r>
          </w:p>
        </w:tc>
        <w:tc>
          <w:tcPr>
            <w:tcW w:w="6436" w:type="dxa"/>
            <w:tcBorders>
              <w:top w:val="single" w:color="000000" w:sz="6" w:space="0"/>
              <w:left w:val="single" w:color="000000" w:sz="6" w:space="0"/>
              <w:bottom w:val="single" w:color="000000" w:sz="6" w:space="0"/>
            </w:tcBorders>
            <w:vAlign w:val="center"/>
          </w:tcPr>
          <w:p>
            <w:pPr>
              <w:pStyle w:val="182"/>
              <w:spacing w:before="45"/>
              <w:ind w:left="48" w:right="28"/>
              <w:rPr>
                <w:b/>
                <w:bCs/>
                <w:color w:val="auto"/>
                <w:u w:val="single"/>
              </w:rPr>
            </w:pPr>
            <w:r>
              <w:rPr>
                <w:b/>
                <w:bCs/>
                <w:color w:val="auto"/>
                <w:u w:val="single"/>
              </w:rPr>
              <w:t>机械、设备、仪表维修及分析化验等</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466" w:type="dxa"/>
            <w:vMerge w:val="continue"/>
            <w:tcBorders>
              <w:top w:val="nil"/>
              <w:right w:val="single" w:color="000000" w:sz="6" w:space="0"/>
            </w:tcBorders>
            <w:vAlign w:val="center"/>
          </w:tcPr>
          <w:p>
            <w:pPr>
              <w:pStyle w:val="182"/>
              <w:rPr>
                <w:b/>
                <w:bCs/>
                <w:color w:val="auto"/>
                <w:u w:val="single"/>
              </w:rPr>
            </w:pPr>
          </w:p>
        </w:tc>
        <w:tc>
          <w:tcPr>
            <w:tcW w:w="1627" w:type="dxa"/>
            <w:tcBorders>
              <w:top w:val="single" w:color="000000" w:sz="6" w:space="0"/>
              <w:left w:val="single" w:color="000000" w:sz="6" w:space="0"/>
              <w:bottom w:val="single" w:color="000000" w:sz="6" w:space="0"/>
              <w:right w:val="single" w:color="000000" w:sz="6" w:space="0"/>
            </w:tcBorders>
            <w:vAlign w:val="center"/>
          </w:tcPr>
          <w:p>
            <w:pPr>
              <w:pStyle w:val="182"/>
              <w:spacing w:before="46"/>
              <w:ind w:left="374" w:right="357"/>
              <w:rPr>
                <w:b/>
                <w:bCs/>
                <w:color w:val="auto"/>
                <w:u w:val="single"/>
              </w:rPr>
            </w:pPr>
            <w:r>
              <w:rPr>
                <w:b/>
                <w:bCs/>
                <w:color w:val="auto"/>
                <w:u w:val="single"/>
              </w:rPr>
              <w:t>环境保护</w:t>
            </w:r>
          </w:p>
        </w:tc>
        <w:tc>
          <w:tcPr>
            <w:tcW w:w="6436" w:type="dxa"/>
            <w:tcBorders>
              <w:top w:val="single" w:color="000000" w:sz="6" w:space="0"/>
              <w:left w:val="single" w:color="000000" w:sz="6" w:space="0"/>
              <w:bottom w:val="single" w:color="000000" w:sz="6" w:space="0"/>
            </w:tcBorders>
            <w:vAlign w:val="center"/>
          </w:tcPr>
          <w:p>
            <w:pPr>
              <w:pStyle w:val="182"/>
              <w:spacing w:before="46"/>
              <w:ind w:left="46" w:right="28"/>
              <w:rPr>
                <w:b/>
                <w:bCs/>
                <w:color w:val="auto"/>
                <w:u w:val="single"/>
              </w:rPr>
            </w:pPr>
            <w:r>
              <w:rPr>
                <w:b/>
                <w:bCs/>
                <w:color w:val="auto"/>
                <w:u w:val="single"/>
              </w:rPr>
              <w:t>厂区布置和废气、废水、固体废物、噪声等处理处置设施等</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466" w:type="dxa"/>
            <w:vMerge w:val="continue"/>
            <w:tcBorders>
              <w:top w:val="nil"/>
              <w:right w:val="single" w:color="000000" w:sz="6" w:space="0"/>
            </w:tcBorders>
            <w:vAlign w:val="center"/>
          </w:tcPr>
          <w:p>
            <w:pPr>
              <w:pStyle w:val="182"/>
              <w:rPr>
                <w:b/>
                <w:bCs/>
                <w:color w:val="auto"/>
                <w:u w:val="single"/>
              </w:rPr>
            </w:pPr>
          </w:p>
        </w:tc>
        <w:tc>
          <w:tcPr>
            <w:tcW w:w="1627" w:type="dxa"/>
            <w:tcBorders>
              <w:top w:val="single" w:color="000000" w:sz="6" w:space="0"/>
              <w:left w:val="single" w:color="000000" w:sz="6" w:space="0"/>
              <w:bottom w:val="single" w:color="000000" w:sz="6" w:space="0"/>
              <w:right w:val="single" w:color="000000" w:sz="6" w:space="0"/>
            </w:tcBorders>
            <w:vAlign w:val="center"/>
          </w:tcPr>
          <w:p>
            <w:pPr>
              <w:pStyle w:val="182"/>
              <w:spacing w:before="46"/>
              <w:ind w:left="374" w:right="357"/>
              <w:rPr>
                <w:b/>
                <w:bCs/>
                <w:color w:val="auto"/>
                <w:u w:val="single"/>
              </w:rPr>
            </w:pPr>
            <w:r>
              <w:rPr>
                <w:b/>
                <w:bCs/>
                <w:color w:val="auto"/>
                <w:u w:val="single"/>
              </w:rPr>
              <w:t>安全消防</w:t>
            </w:r>
          </w:p>
        </w:tc>
        <w:tc>
          <w:tcPr>
            <w:tcW w:w="6436" w:type="dxa"/>
            <w:tcBorders>
              <w:top w:val="single" w:color="000000" w:sz="6" w:space="0"/>
              <w:left w:val="single" w:color="000000" w:sz="6" w:space="0"/>
              <w:bottom w:val="single" w:color="000000" w:sz="6" w:space="0"/>
            </w:tcBorders>
            <w:vAlign w:val="center"/>
          </w:tcPr>
          <w:p>
            <w:pPr>
              <w:pStyle w:val="182"/>
              <w:spacing w:before="46"/>
              <w:ind w:left="49" w:right="28"/>
              <w:rPr>
                <w:b/>
                <w:bCs/>
                <w:color w:val="auto"/>
                <w:u w:val="single"/>
              </w:rPr>
            </w:pPr>
            <w:r>
              <w:rPr>
                <w:b/>
                <w:bCs/>
                <w:color w:val="auto"/>
                <w:u w:val="single"/>
              </w:rPr>
              <w:t>安全制度、安全教育、安全检查、消防器材、警报系统、消防管理等</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466" w:type="dxa"/>
            <w:vMerge w:val="continue"/>
            <w:tcBorders>
              <w:top w:val="nil"/>
              <w:right w:val="single" w:color="000000" w:sz="6" w:space="0"/>
            </w:tcBorders>
            <w:vAlign w:val="center"/>
          </w:tcPr>
          <w:p>
            <w:pPr>
              <w:pStyle w:val="182"/>
              <w:rPr>
                <w:b/>
                <w:bCs/>
                <w:color w:val="auto"/>
                <w:u w:val="single"/>
              </w:rPr>
            </w:pPr>
          </w:p>
        </w:tc>
        <w:tc>
          <w:tcPr>
            <w:tcW w:w="1627" w:type="dxa"/>
            <w:tcBorders>
              <w:top w:val="single" w:color="000000" w:sz="6" w:space="0"/>
              <w:left w:val="single" w:color="000000" w:sz="6" w:space="0"/>
              <w:right w:val="single" w:color="000000" w:sz="6" w:space="0"/>
            </w:tcBorders>
            <w:vAlign w:val="center"/>
          </w:tcPr>
          <w:p>
            <w:pPr>
              <w:pStyle w:val="182"/>
              <w:spacing w:before="45"/>
              <w:ind w:left="374" w:right="357"/>
              <w:rPr>
                <w:b/>
                <w:bCs/>
                <w:color w:val="auto"/>
                <w:u w:val="single"/>
              </w:rPr>
            </w:pPr>
            <w:r>
              <w:rPr>
                <w:b/>
                <w:bCs/>
                <w:color w:val="auto"/>
                <w:u w:val="single"/>
              </w:rPr>
              <w:t>工业卫生</w:t>
            </w:r>
          </w:p>
        </w:tc>
        <w:tc>
          <w:tcPr>
            <w:tcW w:w="6436" w:type="dxa"/>
            <w:tcBorders>
              <w:top w:val="single" w:color="000000" w:sz="6" w:space="0"/>
              <w:left w:val="single" w:color="000000" w:sz="6" w:space="0"/>
            </w:tcBorders>
            <w:vAlign w:val="center"/>
          </w:tcPr>
          <w:p>
            <w:pPr>
              <w:pStyle w:val="182"/>
              <w:spacing w:before="45"/>
              <w:ind w:left="48" w:right="28"/>
              <w:rPr>
                <w:b/>
                <w:bCs/>
                <w:color w:val="auto"/>
                <w:u w:val="single"/>
              </w:rPr>
            </w:pPr>
            <w:r>
              <w:rPr>
                <w:b/>
                <w:bCs/>
                <w:color w:val="auto"/>
                <w:u w:val="single"/>
              </w:rPr>
              <w:t>工业卫生管理、医疗救护、劳防用品等</w:t>
            </w:r>
          </w:p>
        </w:tc>
      </w:tr>
    </w:tbl>
    <w:p>
      <w:pPr>
        <w:ind w:firstLine="482" w:firstLineChars="200"/>
        <w:rPr>
          <w:rFonts w:hint="eastAsia"/>
          <w:b/>
          <w:bCs/>
          <w:color w:val="auto"/>
          <w:u w:val="single"/>
        </w:rPr>
      </w:pPr>
      <w:r>
        <w:rPr>
          <w:rFonts w:hint="eastAsia"/>
          <w:b/>
          <w:bCs/>
          <w:color w:val="auto"/>
          <w:u w:val="single"/>
        </w:rPr>
        <w:t>生产过程中设备的管道、弯曲连接、阀门、泵、储罐、运输容器等均有可能导致物质的释放与泄漏，发生事故。根据对环境风险物质的筛选和工艺流程确定风险单元如下：</w:t>
      </w:r>
    </w:p>
    <w:p>
      <w:pPr>
        <w:pStyle w:val="181"/>
        <w:rPr>
          <w:rFonts w:hint="eastAsia"/>
          <w:b/>
          <w:bCs/>
          <w:color w:val="auto"/>
          <w:u w:val="single"/>
        </w:rPr>
      </w:pPr>
      <w:r>
        <w:rPr>
          <w:rFonts w:hint="eastAsia"/>
          <w:b/>
          <w:bCs/>
          <w:color w:val="auto"/>
          <w:u w:val="single"/>
          <w:lang w:val="en-US" w:eastAsia="zh-CN"/>
        </w:rPr>
        <w:t xml:space="preserve">表5.9-7        </w:t>
      </w:r>
      <w:r>
        <w:rPr>
          <w:rFonts w:hint="eastAsia"/>
          <w:b/>
          <w:bCs/>
          <w:color w:val="auto"/>
          <w:u w:val="single"/>
        </w:rPr>
        <w:t>本项目危险物质储存情况及分布一览表</w:t>
      </w:r>
    </w:p>
    <w:tbl>
      <w:tblPr>
        <w:tblStyle w:val="32"/>
        <w:tblW w:w="5004" w:type="pct"/>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0" w:type="dxa"/>
          <w:bottom w:w="0" w:type="dxa"/>
          <w:right w:w="0" w:type="dxa"/>
        </w:tblCellMar>
      </w:tblPr>
      <w:tblGrid>
        <w:gridCol w:w="738"/>
        <w:gridCol w:w="2109"/>
        <w:gridCol w:w="1553"/>
        <w:gridCol w:w="1972"/>
        <w:gridCol w:w="195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454" w:hRule="atLeast"/>
          <w:jc w:val="center"/>
        </w:trPr>
        <w:tc>
          <w:tcPr>
            <w:tcW w:w="443" w:type="pct"/>
            <w:tcBorders>
              <w:tl2br w:val="nil"/>
              <w:tr2bl w:val="nil"/>
            </w:tcBorders>
            <w:shd w:val="clear" w:color="auto" w:fill="FEFEFE"/>
            <w:vAlign w:val="center"/>
          </w:tcPr>
          <w:p>
            <w:pPr>
              <w:pStyle w:val="182"/>
              <w:spacing w:line="268" w:lineRule="exact"/>
              <w:ind w:left="139" w:right="126"/>
              <w:rPr>
                <w:b/>
                <w:bCs/>
                <w:color w:val="auto"/>
                <w:u w:val="single"/>
              </w:rPr>
            </w:pPr>
            <w:r>
              <w:rPr>
                <w:b/>
                <w:bCs/>
                <w:color w:val="auto"/>
                <w:u w:val="single"/>
              </w:rPr>
              <w:t>序号</w:t>
            </w:r>
          </w:p>
        </w:tc>
        <w:tc>
          <w:tcPr>
            <w:tcW w:w="1266" w:type="pct"/>
            <w:tcBorders>
              <w:tl2br w:val="nil"/>
              <w:tr2bl w:val="nil"/>
            </w:tcBorders>
            <w:shd w:val="clear" w:color="auto" w:fill="FEFEFE"/>
            <w:vAlign w:val="center"/>
          </w:tcPr>
          <w:p>
            <w:pPr>
              <w:pStyle w:val="182"/>
              <w:spacing w:line="268" w:lineRule="exact"/>
              <w:ind w:left="409" w:right="392"/>
              <w:rPr>
                <w:b/>
                <w:bCs/>
                <w:color w:val="auto"/>
                <w:u w:val="single"/>
              </w:rPr>
            </w:pPr>
            <w:r>
              <w:rPr>
                <w:b/>
                <w:bCs/>
                <w:color w:val="auto"/>
                <w:u w:val="single"/>
              </w:rPr>
              <w:t>危险单元</w:t>
            </w:r>
          </w:p>
        </w:tc>
        <w:tc>
          <w:tcPr>
            <w:tcW w:w="932" w:type="pct"/>
            <w:tcBorders>
              <w:tl2br w:val="nil"/>
              <w:tr2bl w:val="nil"/>
            </w:tcBorders>
            <w:shd w:val="clear" w:color="auto" w:fill="FEFEFE"/>
            <w:vAlign w:val="center"/>
          </w:tcPr>
          <w:p>
            <w:pPr>
              <w:pStyle w:val="182"/>
              <w:spacing w:line="268" w:lineRule="exact"/>
              <w:ind w:left="39" w:right="20"/>
              <w:rPr>
                <w:b/>
                <w:bCs/>
                <w:color w:val="auto"/>
                <w:u w:val="single"/>
              </w:rPr>
            </w:pPr>
            <w:r>
              <w:rPr>
                <w:b/>
                <w:bCs/>
                <w:color w:val="auto"/>
                <w:u w:val="single"/>
              </w:rPr>
              <w:t>危险物质</w:t>
            </w:r>
          </w:p>
        </w:tc>
        <w:tc>
          <w:tcPr>
            <w:tcW w:w="1184" w:type="pct"/>
            <w:tcBorders>
              <w:tl2br w:val="nil"/>
              <w:tr2bl w:val="nil"/>
            </w:tcBorders>
            <w:shd w:val="clear" w:color="auto" w:fill="FEFEFE"/>
            <w:vAlign w:val="center"/>
          </w:tcPr>
          <w:p>
            <w:pPr>
              <w:pStyle w:val="182"/>
              <w:spacing w:line="268" w:lineRule="exact"/>
              <w:ind w:left="198" w:right="184"/>
              <w:rPr>
                <w:b/>
                <w:bCs/>
                <w:color w:val="auto"/>
                <w:u w:val="single"/>
              </w:rPr>
            </w:pPr>
            <w:r>
              <w:rPr>
                <w:b/>
                <w:bCs/>
                <w:color w:val="auto"/>
                <w:u w:val="single"/>
              </w:rPr>
              <w:t>最大存在量（t）</w:t>
            </w:r>
          </w:p>
        </w:tc>
        <w:tc>
          <w:tcPr>
            <w:tcW w:w="1172" w:type="pct"/>
            <w:tcBorders>
              <w:tl2br w:val="nil"/>
              <w:tr2bl w:val="nil"/>
            </w:tcBorders>
            <w:shd w:val="clear" w:color="auto" w:fill="FEFEFE"/>
            <w:vAlign w:val="center"/>
          </w:tcPr>
          <w:p>
            <w:pPr>
              <w:pStyle w:val="182"/>
              <w:spacing w:line="268" w:lineRule="exact"/>
              <w:ind w:left="226" w:right="204"/>
              <w:rPr>
                <w:b/>
                <w:bCs/>
                <w:color w:val="auto"/>
                <w:u w:val="single"/>
              </w:rPr>
            </w:pPr>
            <w:r>
              <w:rPr>
                <w:b/>
                <w:bCs/>
                <w:color w:val="auto"/>
                <w:u w:val="single"/>
              </w:rPr>
              <w:t>潜在风险</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454" w:hRule="atLeast"/>
          <w:jc w:val="center"/>
        </w:trPr>
        <w:tc>
          <w:tcPr>
            <w:tcW w:w="443" w:type="pct"/>
            <w:tcBorders>
              <w:tl2br w:val="nil"/>
              <w:tr2bl w:val="nil"/>
            </w:tcBorders>
            <w:shd w:val="clear" w:color="auto" w:fill="FEFEFE"/>
            <w:vAlign w:val="center"/>
          </w:tcPr>
          <w:p>
            <w:pPr>
              <w:pStyle w:val="182"/>
              <w:spacing w:before="13"/>
              <w:ind w:left="14"/>
              <w:rPr>
                <w:b/>
                <w:bCs/>
                <w:color w:val="auto"/>
                <w:u w:val="single"/>
              </w:rPr>
            </w:pPr>
            <w:r>
              <w:rPr>
                <w:b/>
                <w:bCs/>
                <w:color w:val="auto"/>
                <w:u w:val="single"/>
              </w:rPr>
              <w:t>1</w:t>
            </w:r>
          </w:p>
        </w:tc>
        <w:tc>
          <w:tcPr>
            <w:tcW w:w="1266" w:type="pct"/>
            <w:tcBorders>
              <w:tl2br w:val="nil"/>
              <w:tr2bl w:val="nil"/>
            </w:tcBorders>
            <w:shd w:val="clear" w:color="auto" w:fill="FEFEFE"/>
            <w:vAlign w:val="center"/>
          </w:tcPr>
          <w:p>
            <w:pPr>
              <w:pStyle w:val="182"/>
              <w:spacing w:line="268" w:lineRule="exact"/>
              <w:ind w:left="409" w:right="392"/>
              <w:rPr>
                <w:b/>
                <w:bCs/>
                <w:color w:val="auto"/>
                <w:u w:val="single"/>
              </w:rPr>
            </w:pPr>
            <w:r>
              <w:rPr>
                <w:rFonts w:hint="eastAsia"/>
                <w:b/>
                <w:bCs/>
                <w:color w:val="auto"/>
                <w:u w:val="single"/>
                <w:lang w:val="en-US" w:eastAsia="zh-CN"/>
              </w:rPr>
              <w:t>依托的硫酸</w:t>
            </w:r>
            <w:r>
              <w:rPr>
                <w:b/>
                <w:bCs/>
                <w:color w:val="auto"/>
                <w:u w:val="single"/>
              </w:rPr>
              <w:t>储罐</w:t>
            </w:r>
          </w:p>
        </w:tc>
        <w:tc>
          <w:tcPr>
            <w:tcW w:w="932" w:type="pct"/>
            <w:tcBorders>
              <w:tl2br w:val="nil"/>
              <w:tr2bl w:val="nil"/>
            </w:tcBorders>
            <w:shd w:val="clear" w:color="auto" w:fill="FEFEFE"/>
            <w:vAlign w:val="center"/>
          </w:tcPr>
          <w:p>
            <w:pPr>
              <w:pStyle w:val="182"/>
              <w:spacing w:line="268" w:lineRule="exact"/>
              <w:ind w:left="39" w:right="22"/>
              <w:rPr>
                <w:rFonts w:hint="eastAsia" w:eastAsia="宋体"/>
                <w:b/>
                <w:bCs/>
                <w:color w:val="auto"/>
                <w:u w:val="single"/>
                <w:lang w:eastAsia="zh-CN"/>
              </w:rPr>
            </w:pPr>
            <w:r>
              <w:rPr>
                <w:rFonts w:hint="eastAsia"/>
                <w:b/>
                <w:bCs/>
                <w:color w:val="auto"/>
                <w:u w:val="single"/>
                <w:lang w:val="en-US" w:eastAsia="zh-CN"/>
              </w:rPr>
              <w:t>浓硫酸</w:t>
            </w:r>
          </w:p>
        </w:tc>
        <w:tc>
          <w:tcPr>
            <w:tcW w:w="1184" w:type="pct"/>
            <w:tcBorders>
              <w:tl2br w:val="nil"/>
              <w:tr2bl w:val="nil"/>
            </w:tcBorders>
            <w:shd w:val="clear" w:color="auto" w:fill="FEFEFE"/>
            <w:vAlign w:val="center"/>
          </w:tcPr>
          <w:p>
            <w:pPr>
              <w:pStyle w:val="182"/>
              <w:spacing w:before="13"/>
              <w:ind w:left="198" w:right="178"/>
              <w:rPr>
                <w:b/>
                <w:bCs/>
                <w:color w:val="auto"/>
                <w:u w:val="single"/>
              </w:rPr>
            </w:pPr>
            <w:r>
              <w:rPr>
                <w:rFonts w:hint="eastAsia"/>
                <w:b/>
                <w:bCs/>
                <w:color w:val="auto"/>
                <w:u w:val="single"/>
                <w:lang w:val="en-US" w:eastAsia="zh-CN"/>
              </w:rPr>
              <w:t>901.92</w:t>
            </w:r>
          </w:p>
        </w:tc>
        <w:tc>
          <w:tcPr>
            <w:tcW w:w="1172" w:type="pct"/>
            <w:tcBorders>
              <w:tl2br w:val="nil"/>
              <w:tr2bl w:val="nil"/>
            </w:tcBorders>
            <w:shd w:val="clear" w:color="auto" w:fill="FEFEFE"/>
            <w:vAlign w:val="center"/>
          </w:tcPr>
          <w:p>
            <w:pPr>
              <w:pStyle w:val="182"/>
              <w:spacing w:line="268" w:lineRule="exact"/>
              <w:ind w:left="224" w:right="207"/>
              <w:rPr>
                <w:b/>
                <w:bCs/>
                <w:color w:val="auto"/>
                <w:u w:val="single"/>
              </w:rPr>
            </w:pPr>
            <w:r>
              <w:rPr>
                <w:b/>
                <w:bCs/>
                <w:color w:val="auto"/>
                <w:u w:val="single"/>
              </w:rPr>
              <w:t>泄漏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454" w:hRule="atLeast"/>
          <w:jc w:val="center"/>
        </w:trPr>
        <w:tc>
          <w:tcPr>
            <w:tcW w:w="443" w:type="pct"/>
            <w:tcBorders>
              <w:tl2br w:val="nil"/>
              <w:tr2bl w:val="nil"/>
            </w:tcBorders>
            <w:shd w:val="clear" w:color="auto" w:fill="FEFEFE"/>
            <w:vAlign w:val="center"/>
          </w:tcPr>
          <w:p>
            <w:pPr>
              <w:pStyle w:val="182"/>
              <w:spacing w:before="13"/>
              <w:ind w:left="14"/>
              <w:rPr>
                <w:b/>
                <w:bCs/>
                <w:color w:val="auto"/>
                <w:u w:val="single"/>
              </w:rPr>
            </w:pPr>
            <w:r>
              <w:rPr>
                <w:b/>
                <w:bCs/>
                <w:color w:val="auto"/>
                <w:u w:val="single"/>
              </w:rPr>
              <w:t>2</w:t>
            </w:r>
          </w:p>
        </w:tc>
        <w:tc>
          <w:tcPr>
            <w:tcW w:w="1266" w:type="pct"/>
            <w:tcBorders>
              <w:tl2br w:val="nil"/>
              <w:tr2bl w:val="nil"/>
            </w:tcBorders>
            <w:shd w:val="clear" w:color="auto" w:fill="FEFEFE"/>
            <w:vAlign w:val="center"/>
          </w:tcPr>
          <w:p>
            <w:pPr>
              <w:pStyle w:val="182"/>
              <w:spacing w:line="268" w:lineRule="exact"/>
              <w:ind w:left="409" w:right="395"/>
              <w:rPr>
                <w:rFonts w:hint="default" w:eastAsia="宋体"/>
                <w:b/>
                <w:bCs/>
                <w:color w:val="auto"/>
                <w:u w:val="single"/>
                <w:lang w:val="en-US" w:eastAsia="zh-CN"/>
              </w:rPr>
            </w:pPr>
            <w:r>
              <w:rPr>
                <w:rFonts w:hint="eastAsia"/>
                <w:b/>
                <w:bCs/>
                <w:color w:val="auto"/>
                <w:u w:val="single"/>
                <w:lang w:val="en-US" w:eastAsia="zh-CN"/>
              </w:rPr>
              <w:t>固体二氧化氯释放剂</w:t>
            </w:r>
          </w:p>
        </w:tc>
        <w:tc>
          <w:tcPr>
            <w:tcW w:w="932" w:type="pct"/>
            <w:tcBorders>
              <w:tl2br w:val="nil"/>
              <w:tr2bl w:val="nil"/>
            </w:tcBorders>
            <w:shd w:val="clear" w:color="auto" w:fill="FEFEFE"/>
            <w:vAlign w:val="center"/>
          </w:tcPr>
          <w:p>
            <w:pPr>
              <w:pStyle w:val="182"/>
              <w:spacing w:line="268" w:lineRule="exact"/>
              <w:ind w:left="36" w:right="22"/>
              <w:rPr>
                <w:rFonts w:hint="eastAsia" w:eastAsia="宋体"/>
                <w:b/>
                <w:bCs/>
                <w:color w:val="auto"/>
                <w:u w:val="single"/>
                <w:lang w:eastAsia="zh-CN"/>
              </w:rPr>
            </w:pPr>
            <w:r>
              <w:rPr>
                <w:rFonts w:hint="eastAsia"/>
                <w:b/>
                <w:bCs/>
                <w:color w:val="auto"/>
                <w:u w:val="single"/>
                <w:lang w:val="en-US" w:eastAsia="zh-CN"/>
              </w:rPr>
              <w:t>二氧化氯</w:t>
            </w:r>
          </w:p>
        </w:tc>
        <w:tc>
          <w:tcPr>
            <w:tcW w:w="1184" w:type="pct"/>
            <w:tcBorders>
              <w:tl2br w:val="nil"/>
              <w:tr2bl w:val="nil"/>
            </w:tcBorders>
            <w:shd w:val="clear" w:color="auto" w:fill="FEFEFE"/>
            <w:vAlign w:val="center"/>
          </w:tcPr>
          <w:p>
            <w:pPr>
              <w:pStyle w:val="182"/>
              <w:spacing w:before="13"/>
              <w:ind w:left="198" w:right="178"/>
              <w:rPr>
                <w:rFonts w:hint="default" w:eastAsia="宋体"/>
                <w:b/>
                <w:bCs/>
                <w:color w:val="auto"/>
                <w:u w:val="single"/>
                <w:lang w:val="en-US" w:eastAsia="zh-CN"/>
              </w:rPr>
            </w:pPr>
            <w:r>
              <w:rPr>
                <w:rFonts w:hint="eastAsia"/>
                <w:b/>
                <w:bCs/>
                <w:color w:val="auto"/>
                <w:u w:val="single"/>
                <w:lang w:val="en-US" w:eastAsia="zh-CN"/>
              </w:rPr>
              <w:t>0.3</w:t>
            </w:r>
          </w:p>
        </w:tc>
        <w:tc>
          <w:tcPr>
            <w:tcW w:w="1172" w:type="pct"/>
            <w:tcBorders>
              <w:tl2br w:val="nil"/>
              <w:tr2bl w:val="nil"/>
            </w:tcBorders>
            <w:shd w:val="clear" w:color="auto" w:fill="FEFEFE"/>
            <w:vAlign w:val="center"/>
          </w:tcPr>
          <w:p>
            <w:pPr>
              <w:pStyle w:val="182"/>
              <w:spacing w:line="268" w:lineRule="exact"/>
              <w:ind w:left="226" w:right="207"/>
              <w:rPr>
                <w:rFonts w:hint="default" w:eastAsia="宋体"/>
                <w:b/>
                <w:bCs/>
                <w:color w:val="auto"/>
                <w:u w:val="single"/>
                <w:lang w:val="en-US" w:eastAsia="zh-CN"/>
              </w:rPr>
            </w:pPr>
            <w:r>
              <w:rPr>
                <w:rFonts w:hint="eastAsia"/>
                <w:b/>
                <w:bCs/>
                <w:color w:val="auto"/>
                <w:u w:val="single"/>
                <w:lang w:val="en-US" w:eastAsia="zh-CN"/>
              </w:rPr>
              <w:t>遗撒、二氧化氯释放</w:t>
            </w:r>
          </w:p>
        </w:tc>
      </w:tr>
    </w:tbl>
    <w:p>
      <w:pPr>
        <w:pStyle w:val="10"/>
        <w:rPr>
          <w:rFonts w:hint="eastAsia"/>
          <w:color w:val="auto"/>
        </w:rPr>
      </w:pPr>
      <w:r>
        <w:rPr>
          <w:rFonts w:hint="eastAsia"/>
          <w:color w:val="auto"/>
        </w:rPr>
        <w:t>5.</w:t>
      </w:r>
      <w:r>
        <w:rPr>
          <w:rFonts w:hint="eastAsia"/>
          <w:color w:val="auto"/>
          <w:lang w:val="en-US" w:eastAsia="zh-CN"/>
        </w:rPr>
        <w:t>9</w:t>
      </w:r>
      <w:r>
        <w:rPr>
          <w:rFonts w:hint="eastAsia"/>
          <w:color w:val="auto"/>
        </w:rPr>
        <w:t>.4.3向环境转移的途径</w:t>
      </w:r>
    </w:p>
    <w:p>
      <w:pPr>
        <w:ind w:firstLine="480" w:firstLineChars="200"/>
        <w:rPr>
          <w:rFonts w:hint="eastAsia"/>
          <w:color w:val="auto"/>
        </w:rPr>
      </w:pPr>
      <w:r>
        <w:rPr>
          <w:rFonts w:hint="eastAsia"/>
          <w:color w:val="auto"/>
        </w:rPr>
        <w:t>结合危险物质危险特性，项目危险物质主要为</w:t>
      </w:r>
      <w:r>
        <w:rPr>
          <w:rFonts w:hint="eastAsia"/>
          <w:color w:val="auto"/>
          <w:lang w:val="en-US" w:eastAsia="zh-CN"/>
        </w:rPr>
        <w:t>浓硫酸</w:t>
      </w:r>
      <w:r>
        <w:rPr>
          <w:rFonts w:hint="eastAsia"/>
          <w:color w:val="auto"/>
        </w:rPr>
        <w:t>、</w:t>
      </w:r>
      <w:r>
        <w:rPr>
          <w:rFonts w:hint="eastAsia"/>
          <w:color w:val="auto"/>
          <w:lang w:val="en-US" w:eastAsia="zh-CN"/>
        </w:rPr>
        <w:t>二氧化氯</w:t>
      </w:r>
      <w:r>
        <w:rPr>
          <w:rFonts w:hint="eastAsia"/>
          <w:color w:val="auto"/>
        </w:rPr>
        <w:t>，主要风险为</w:t>
      </w:r>
      <w:r>
        <w:rPr>
          <w:rFonts w:hint="eastAsia"/>
          <w:color w:val="auto"/>
          <w:lang w:val="en-US" w:eastAsia="zh-CN"/>
        </w:rPr>
        <w:t>浓硫酸</w:t>
      </w:r>
      <w:r>
        <w:rPr>
          <w:rFonts w:hint="eastAsia"/>
          <w:color w:val="auto"/>
        </w:rPr>
        <w:t>、</w:t>
      </w:r>
      <w:r>
        <w:rPr>
          <w:rFonts w:hint="eastAsia"/>
          <w:color w:val="auto"/>
          <w:lang w:val="en-US" w:eastAsia="zh-CN"/>
        </w:rPr>
        <w:t>二氧化氯</w:t>
      </w:r>
      <w:r>
        <w:rPr>
          <w:rFonts w:hint="eastAsia"/>
          <w:color w:val="auto"/>
        </w:rPr>
        <w:t>通过储罐泄漏</w:t>
      </w:r>
      <w:r>
        <w:rPr>
          <w:rFonts w:hint="eastAsia"/>
          <w:color w:val="auto"/>
          <w:lang w:eastAsia="zh-CN"/>
        </w:rPr>
        <w:t>、</w:t>
      </w:r>
      <w:r>
        <w:rPr>
          <w:rFonts w:hint="eastAsia"/>
          <w:color w:val="auto"/>
          <w:lang w:val="en-US" w:eastAsia="zh-CN"/>
        </w:rPr>
        <w:t>遗撒</w:t>
      </w:r>
      <w:r>
        <w:rPr>
          <w:rFonts w:hint="eastAsia"/>
          <w:color w:val="auto"/>
        </w:rPr>
        <w:t>排入大气环境，造成大气污染，以及</w:t>
      </w:r>
      <w:r>
        <w:rPr>
          <w:rFonts w:hint="eastAsia"/>
          <w:color w:val="auto"/>
          <w:lang w:val="en-US" w:eastAsia="zh-CN"/>
        </w:rPr>
        <w:t>硫酸</w:t>
      </w:r>
      <w:r>
        <w:rPr>
          <w:rFonts w:hint="eastAsia"/>
          <w:color w:val="auto"/>
        </w:rPr>
        <w:t>泄漏后</w:t>
      </w:r>
      <w:r>
        <w:rPr>
          <w:rFonts w:hint="eastAsia"/>
          <w:color w:val="auto"/>
          <w:lang w:val="en-US" w:eastAsia="zh-CN"/>
        </w:rPr>
        <w:t>生成硫酸雾</w:t>
      </w:r>
      <w:r>
        <w:rPr>
          <w:rFonts w:hint="eastAsia"/>
          <w:color w:val="auto"/>
        </w:rPr>
        <w:t>，影响大气环境质量</w:t>
      </w:r>
      <w:r>
        <w:rPr>
          <w:rFonts w:hint="eastAsia"/>
          <w:color w:val="auto"/>
          <w:lang w:eastAsia="zh-CN"/>
        </w:rPr>
        <w:t>，</w:t>
      </w:r>
      <w:r>
        <w:rPr>
          <w:rFonts w:hint="eastAsia"/>
          <w:color w:val="auto"/>
          <w:lang w:val="en-US" w:eastAsia="zh-CN"/>
        </w:rPr>
        <w:t>对周围人群及生产设施造成不良影响。</w:t>
      </w:r>
      <w:r>
        <w:rPr>
          <w:rFonts w:hint="eastAsia"/>
          <w:color w:val="auto"/>
        </w:rPr>
        <w:t>采取了</w:t>
      </w:r>
      <w:r>
        <w:rPr>
          <w:rFonts w:hint="eastAsia"/>
          <w:color w:val="auto"/>
          <w:lang w:val="en-US" w:eastAsia="zh-CN"/>
        </w:rPr>
        <w:t>防渗等</w:t>
      </w:r>
      <w:r>
        <w:rPr>
          <w:rFonts w:hint="eastAsia"/>
          <w:color w:val="auto"/>
        </w:rPr>
        <w:t>防治措施后，项目生产不存在危险物质进入地下水和地表水的情况。</w:t>
      </w:r>
    </w:p>
    <w:p>
      <w:pPr>
        <w:pStyle w:val="10"/>
        <w:rPr>
          <w:rFonts w:hint="eastAsia"/>
          <w:color w:val="auto"/>
        </w:rPr>
      </w:pPr>
      <w:r>
        <w:rPr>
          <w:rFonts w:hint="eastAsia"/>
          <w:color w:val="auto"/>
        </w:rPr>
        <w:t>5.</w:t>
      </w:r>
      <w:r>
        <w:rPr>
          <w:rFonts w:hint="eastAsia"/>
          <w:color w:val="auto"/>
          <w:lang w:val="en-US" w:eastAsia="zh-CN"/>
        </w:rPr>
        <w:t>9</w:t>
      </w:r>
      <w:r>
        <w:rPr>
          <w:rFonts w:hint="eastAsia"/>
          <w:color w:val="auto"/>
        </w:rPr>
        <w:t>.4.4风险识别结果</w:t>
      </w:r>
    </w:p>
    <w:p>
      <w:pPr>
        <w:pStyle w:val="4"/>
        <w:spacing w:before="213" w:line="405" w:lineRule="auto"/>
        <w:ind w:left="297" w:right="356" w:firstLine="480"/>
        <w:jc w:val="both"/>
        <w:rPr>
          <w:color w:val="auto"/>
        </w:rPr>
      </w:pPr>
      <w:r>
        <w:rPr>
          <w:rFonts w:hint="eastAsia"/>
          <w:color w:val="auto"/>
          <w:spacing w:val="-3"/>
          <w:lang w:val="en-US" w:eastAsia="zh-CN"/>
        </w:rPr>
        <w:t>浓硫酸使用过程中用量较少，仅用于调节生产用水pH，且直接使用的为30%稀硫酸，由厂区酸站稀释后通过管道提供。二氧化氯用量较小，且为固体释放剂，管理措施到位的情况下</w:t>
      </w:r>
      <w:r>
        <w:rPr>
          <w:color w:val="auto"/>
          <w:spacing w:val="-9"/>
        </w:rPr>
        <w:t>，发生风险的</w:t>
      </w:r>
      <w:r>
        <w:rPr>
          <w:color w:val="auto"/>
          <w:spacing w:val="-3"/>
        </w:rPr>
        <w:t>概率较低，因此，本项目目风险识别结果见表</w:t>
      </w:r>
      <w:r>
        <w:rPr>
          <w:rFonts w:hint="eastAsia" w:ascii="Times New Roman" w:eastAsia="宋体"/>
          <w:color w:val="auto"/>
          <w:lang w:val="en-US" w:eastAsia="zh-CN"/>
        </w:rPr>
        <w:t>5.9-</w:t>
      </w:r>
      <w:r>
        <w:rPr>
          <w:rFonts w:hint="eastAsia"/>
          <w:color w:val="auto"/>
          <w:lang w:val="en-US" w:eastAsia="zh-CN"/>
        </w:rPr>
        <w:t>8</w:t>
      </w:r>
      <w:r>
        <w:rPr>
          <w:color w:val="auto"/>
        </w:rPr>
        <w:t>，风险识别单元分布图见图</w:t>
      </w:r>
      <w:r>
        <w:rPr>
          <w:rFonts w:ascii="Times New Roman" w:eastAsia="Times New Roman"/>
          <w:color w:val="auto"/>
        </w:rPr>
        <w:t>5</w:t>
      </w:r>
      <w:r>
        <w:rPr>
          <w:rFonts w:hint="eastAsia" w:eastAsia="宋体"/>
          <w:color w:val="auto"/>
          <w:lang w:val="en-US" w:eastAsia="zh-CN"/>
        </w:rPr>
        <w:t>.9</w:t>
      </w:r>
      <w:r>
        <w:rPr>
          <w:rFonts w:ascii="Times New Roman" w:eastAsia="Times New Roman"/>
          <w:color w:val="auto"/>
        </w:rPr>
        <w:t>-3</w:t>
      </w:r>
      <w:r>
        <w:rPr>
          <w:color w:val="auto"/>
        </w:rPr>
        <w:t>：</w:t>
      </w:r>
    </w:p>
    <w:p>
      <w:pPr>
        <w:pStyle w:val="181"/>
        <w:spacing w:line="253" w:lineRule="exact"/>
        <w:ind w:left="777"/>
        <w:rPr>
          <w:color w:val="auto"/>
        </w:rPr>
      </w:pPr>
      <w:r>
        <w:rPr>
          <w:color w:val="auto"/>
        </w:rPr>
        <w:t>表</w:t>
      </w:r>
      <w:r>
        <w:rPr>
          <w:rFonts w:hint="eastAsia"/>
          <w:color w:val="auto"/>
          <w:lang w:val="en-US" w:eastAsia="zh-CN"/>
        </w:rPr>
        <w:t>5.9-8        项</w:t>
      </w:r>
      <w:r>
        <w:rPr>
          <w:color w:val="auto"/>
        </w:rPr>
        <w:t>目危险物质储存情况及分布一览表</w:t>
      </w:r>
    </w:p>
    <w:tbl>
      <w:tblPr>
        <w:tblStyle w:val="32"/>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388"/>
        <w:gridCol w:w="1200"/>
        <w:gridCol w:w="1134"/>
        <w:gridCol w:w="850"/>
        <w:gridCol w:w="851"/>
        <w:gridCol w:w="1274"/>
        <w:gridCol w:w="1588"/>
        <w:gridCol w:w="108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88" w:type="dxa"/>
            <w:tcBorders>
              <w:bottom w:val="single" w:color="000000" w:sz="6" w:space="0"/>
              <w:right w:val="single" w:color="000000" w:sz="6" w:space="0"/>
            </w:tcBorders>
            <w:vAlign w:val="center"/>
          </w:tcPr>
          <w:p>
            <w:pPr>
              <w:pStyle w:val="182"/>
              <w:spacing w:before="2" w:line="253" w:lineRule="exact"/>
              <w:ind w:left="88"/>
              <w:jc w:val="left"/>
              <w:rPr>
                <w:b/>
                <w:bCs/>
                <w:color w:val="auto"/>
                <w:u w:val="single"/>
              </w:rPr>
            </w:pPr>
            <w:r>
              <w:rPr>
                <w:b/>
                <w:bCs/>
                <w:color w:val="auto"/>
                <w:u w:val="single"/>
              </w:rPr>
              <w:t>序号</w:t>
            </w:r>
          </w:p>
        </w:tc>
        <w:tc>
          <w:tcPr>
            <w:tcW w:w="1200" w:type="dxa"/>
            <w:tcBorders>
              <w:left w:val="single" w:color="000000" w:sz="6" w:space="0"/>
              <w:bottom w:val="single" w:color="000000" w:sz="6" w:space="0"/>
              <w:right w:val="single" w:color="000000" w:sz="6" w:space="0"/>
            </w:tcBorders>
            <w:vAlign w:val="center"/>
          </w:tcPr>
          <w:p>
            <w:pPr>
              <w:pStyle w:val="182"/>
              <w:spacing w:before="134"/>
              <w:ind w:left="56" w:right="38"/>
              <w:rPr>
                <w:b/>
                <w:bCs/>
                <w:color w:val="auto"/>
                <w:u w:val="single"/>
              </w:rPr>
            </w:pPr>
            <w:r>
              <w:rPr>
                <w:b/>
                <w:bCs/>
                <w:color w:val="auto"/>
                <w:u w:val="single"/>
              </w:rPr>
              <w:t>危险单元</w:t>
            </w:r>
          </w:p>
        </w:tc>
        <w:tc>
          <w:tcPr>
            <w:tcW w:w="1134" w:type="dxa"/>
            <w:tcBorders>
              <w:left w:val="single" w:color="000000" w:sz="6" w:space="0"/>
              <w:bottom w:val="single" w:color="000000" w:sz="6" w:space="0"/>
              <w:right w:val="single" w:color="000000" w:sz="6" w:space="0"/>
            </w:tcBorders>
            <w:vAlign w:val="center"/>
          </w:tcPr>
          <w:p>
            <w:pPr>
              <w:pStyle w:val="182"/>
              <w:spacing w:before="134"/>
              <w:ind w:left="22" w:right="6"/>
              <w:rPr>
                <w:b/>
                <w:bCs/>
                <w:color w:val="auto"/>
                <w:u w:val="single"/>
              </w:rPr>
            </w:pPr>
            <w:r>
              <w:rPr>
                <w:b/>
                <w:bCs/>
                <w:color w:val="auto"/>
                <w:u w:val="single"/>
              </w:rPr>
              <w:t>风险源</w:t>
            </w:r>
          </w:p>
        </w:tc>
        <w:tc>
          <w:tcPr>
            <w:tcW w:w="850" w:type="dxa"/>
            <w:tcBorders>
              <w:left w:val="single" w:color="000000" w:sz="6" w:space="0"/>
              <w:bottom w:val="single" w:color="000000" w:sz="6" w:space="0"/>
              <w:right w:val="single" w:color="000000" w:sz="6" w:space="0"/>
            </w:tcBorders>
            <w:vAlign w:val="center"/>
          </w:tcPr>
          <w:p>
            <w:pPr>
              <w:pStyle w:val="182"/>
              <w:spacing w:before="2" w:line="253" w:lineRule="exact"/>
              <w:ind w:left="15"/>
              <w:rPr>
                <w:b/>
                <w:bCs/>
                <w:color w:val="auto"/>
                <w:u w:val="single"/>
              </w:rPr>
            </w:pPr>
            <w:r>
              <w:rPr>
                <w:b/>
                <w:bCs/>
                <w:color w:val="auto"/>
                <w:u w:val="single"/>
              </w:rPr>
              <w:t>危险物质</w:t>
            </w:r>
          </w:p>
        </w:tc>
        <w:tc>
          <w:tcPr>
            <w:tcW w:w="851" w:type="dxa"/>
            <w:tcBorders>
              <w:left w:val="single" w:color="000000" w:sz="6" w:space="0"/>
              <w:bottom w:val="single" w:color="000000" w:sz="6" w:space="0"/>
              <w:right w:val="single" w:color="000000" w:sz="6" w:space="0"/>
            </w:tcBorders>
            <w:vAlign w:val="center"/>
          </w:tcPr>
          <w:p>
            <w:pPr>
              <w:pStyle w:val="182"/>
              <w:spacing w:before="2" w:line="253" w:lineRule="exact"/>
              <w:ind w:left="111"/>
              <w:jc w:val="left"/>
              <w:rPr>
                <w:b/>
                <w:bCs/>
                <w:color w:val="auto"/>
                <w:u w:val="single"/>
              </w:rPr>
            </w:pPr>
            <w:r>
              <w:rPr>
                <w:b/>
                <w:bCs/>
                <w:color w:val="auto"/>
                <w:u w:val="single"/>
              </w:rPr>
              <w:t>环境风险类型</w:t>
            </w:r>
          </w:p>
        </w:tc>
        <w:tc>
          <w:tcPr>
            <w:tcW w:w="1274" w:type="dxa"/>
            <w:tcBorders>
              <w:left w:val="single" w:color="000000" w:sz="6" w:space="0"/>
              <w:bottom w:val="single" w:color="000000" w:sz="6" w:space="0"/>
              <w:right w:val="single" w:color="000000" w:sz="6" w:space="0"/>
            </w:tcBorders>
            <w:vAlign w:val="center"/>
          </w:tcPr>
          <w:p>
            <w:pPr>
              <w:pStyle w:val="182"/>
              <w:spacing w:before="2" w:line="253" w:lineRule="exact"/>
              <w:ind w:left="15"/>
              <w:rPr>
                <w:b/>
                <w:bCs/>
                <w:color w:val="auto"/>
                <w:u w:val="single"/>
              </w:rPr>
            </w:pPr>
            <w:r>
              <w:rPr>
                <w:b/>
                <w:bCs/>
                <w:color w:val="auto"/>
                <w:u w:val="single"/>
              </w:rPr>
              <w:t>环境影响途径</w:t>
            </w:r>
          </w:p>
        </w:tc>
        <w:tc>
          <w:tcPr>
            <w:tcW w:w="1588" w:type="dxa"/>
            <w:tcBorders>
              <w:left w:val="single" w:color="000000" w:sz="6" w:space="0"/>
              <w:bottom w:val="single" w:color="000000" w:sz="6" w:space="0"/>
              <w:right w:val="single" w:color="000000" w:sz="6" w:space="0"/>
            </w:tcBorders>
            <w:vAlign w:val="center"/>
          </w:tcPr>
          <w:p>
            <w:pPr>
              <w:pStyle w:val="182"/>
              <w:spacing w:before="2" w:line="253" w:lineRule="exact"/>
              <w:ind w:left="36" w:right="20"/>
              <w:rPr>
                <w:b/>
                <w:bCs/>
                <w:color w:val="auto"/>
                <w:u w:val="single"/>
              </w:rPr>
            </w:pPr>
            <w:r>
              <w:rPr>
                <w:b/>
                <w:bCs/>
                <w:color w:val="auto"/>
                <w:u w:val="single"/>
              </w:rPr>
              <w:t>可能受影响的环境敏感目标</w:t>
            </w:r>
          </w:p>
        </w:tc>
        <w:tc>
          <w:tcPr>
            <w:tcW w:w="1084" w:type="dxa"/>
            <w:tcBorders>
              <w:left w:val="single" w:color="000000" w:sz="6" w:space="0"/>
              <w:bottom w:val="single" w:color="000000" w:sz="6" w:space="0"/>
            </w:tcBorders>
            <w:vAlign w:val="center"/>
          </w:tcPr>
          <w:p>
            <w:pPr>
              <w:pStyle w:val="182"/>
              <w:spacing w:before="2" w:line="253" w:lineRule="exact"/>
              <w:ind w:left="22"/>
              <w:rPr>
                <w:b/>
                <w:bCs/>
                <w:color w:val="auto"/>
                <w:u w:val="single"/>
              </w:rPr>
            </w:pPr>
            <w:r>
              <w:rPr>
                <w:b/>
                <w:bCs/>
                <w:color w:val="auto"/>
                <w:u w:val="single"/>
              </w:rPr>
              <w:t>风险源主要参数</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88" w:type="dxa"/>
            <w:tcBorders>
              <w:top w:val="single" w:color="000000" w:sz="6" w:space="0"/>
              <w:bottom w:val="single" w:color="000000" w:sz="6" w:space="0"/>
              <w:right w:val="single" w:color="000000" w:sz="6" w:space="0"/>
            </w:tcBorders>
            <w:vAlign w:val="center"/>
          </w:tcPr>
          <w:p>
            <w:pPr>
              <w:pStyle w:val="182"/>
              <w:spacing w:before="62"/>
              <w:ind w:left="16"/>
              <w:rPr>
                <w:b/>
                <w:bCs/>
                <w:color w:val="auto"/>
                <w:u w:val="single"/>
              </w:rPr>
            </w:pPr>
            <w:r>
              <w:rPr>
                <w:b/>
                <w:bCs/>
                <w:color w:val="auto"/>
                <w:u w:val="single"/>
              </w:rPr>
              <w:t>1</w:t>
            </w:r>
          </w:p>
        </w:tc>
        <w:tc>
          <w:tcPr>
            <w:tcW w:w="1200" w:type="dxa"/>
            <w:tcBorders>
              <w:top w:val="single" w:color="000000" w:sz="6" w:space="0"/>
              <w:left w:val="single" w:color="000000" w:sz="6" w:space="0"/>
              <w:bottom w:val="single" w:color="000000" w:sz="6" w:space="0"/>
              <w:right w:val="single" w:color="000000" w:sz="6" w:space="0"/>
            </w:tcBorders>
            <w:vAlign w:val="center"/>
          </w:tcPr>
          <w:p>
            <w:pPr>
              <w:pStyle w:val="182"/>
              <w:spacing w:before="48"/>
              <w:ind w:left="56" w:right="38"/>
              <w:rPr>
                <w:rFonts w:hint="default"/>
                <w:b/>
                <w:bCs/>
                <w:color w:val="auto"/>
                <w:u w:val="single"/>
                <w:lang w:val="en-US" w:eastAsia="zh-CN"/>
              </w:rPr>
            </w:pPr>
            <w:r>
              <w:rPr>
                <w:rFonts w:hint="eastAsia"/>
                <w:b/>
                <w:bCs/>
                <w:color w:val="auto"/>
                <w:u w:val="single"/>
                <w:lang w:val="en-US" w:eastAsia="zh-CN"/>
              </w:rPr>
              <w:t>依托硫酸储罐</w:t>
            </w:r>
          </w:p>
        </w:tc>
        <w:tc>
          <w:tcPr>
            <w:tcW w:w="1134" w:type="dxa"/>
            <w:tcBorders>
              <w:top w:val="single" w:color="000000" w:sz="6" w:space="0"/>
              <w:left w:val="single" w:color="000000" w:sz="6" w:space="0"/>
              <w:bottom w:val="single" w:color="000000" w:sz="6" w:space="0"/>
              <w:right w:val="single" w:color="000000" w:sz="6" w:space="0"/>
            </w:tcBorders>
            <w:vAlign w:val="center"/>
          </w:tcPr>
          <w:p>
            <w:pPr>
              <w:pStyle w:val="182"/>
              <w:spacing w:before="48"/>
              <w:ind w:left="22" w:right="6"/>
              <w:rPr>
                <w:b/>
                <w:bCs/>
                <w:color w:val="auto"/>
                <w:u w:val="single"/>
              </w:rPr>
            </w:pPr>
            <w:r>
              <w:rPr>
                <w:rFonts w:hint="eastAsia"/>
                <w:b/>
                <w:bCs/>
                <w:color w:val="auto"/>
                <w:u w:val="single"/>
                <w:lang w:val="en-US" w:eastAsia="zh-CN"/>
              </w:rPr>
              <w:t>硫酸</w:t>
            </w:r>
            <w:r>
              <w:rPr>
                <w:b/>
                <w:bCs/>
                <w:color w:val="auto"/>
                <w:u w:val="single"/>
              </w:rPr>
              <w:t>储罐</w:t>
            </w:r>
          </w:p>
        </w:tc>
        <w:tc>
          <w:tcPr>
            <w:tcW w:w="850" w:type="dxa"/>
            <w:tcBorders>
              <w:top w:val="single" w:color="000000" w:sz="6" w:space="0"/>
              <w:left w:val="single" w:color="000000" w:sz="6" w:space="0"/>
              <w:bottom w:val="single" w:color="000000" w:sz="6" w:space="0"/>
              <w:right w:val="single" w:color="000000" w:sz="6" w:space="0"/>
            </w:tcBorders>
            <w:vAlign w:val="center"/>
          </w:tcPr>
          <w:p>
            <w:pPr>
              <w:pStyle w:val="182"/>
              <w:spacing w:before="48"/>
              <w:ind w:left="20"/>
              <w:rPr>
                <w:rFonts w:hint="eastAsia"/>
                <w:b/>
                <w:bCs/>
                <w:color w:val="auto"/>
                <w:u w:val="single"/>
                <w:lang w:val="en-US" w:eastAsia="zh-CN"/>
              </w:rPr>
            </w:pPr>
            <w:r>
              <w:rPr>
                <w:rFonts w:hint="eastAsia"/>
                <w:b/>
                <w:bCs/>
                <w:color w:val="auto"/>
                <w:u w:val="single"/>
                <w:lang w:val="en-US" w:eastAsia="zh-CN"/>
              </w:rPr>
              <w:t>浓硫酸</w:t>
            </w:r>
          </w:p>
        </w:tc>
        <w:tc>
          <w:tcPr>
            <w:tcW w:w="851" w:type="dxa"/>
            <w:tcBorders>
              <w:top w:val="single" w:color="000000" w:sz="6" w:space="0"/>
              <w:left w:val="single" w:color="000000" w:sz="6" w:space="0"/>
              <w:bottom w:val="single" w:color="000000" w:sz="4" w:space="0"/>
              <w:right w:val="single" w:color="000000" w:sz="6" w:space="0"/>
            </w:tcBorders>
            <w:vAlign w:val="center"/>
          </w:tcPr>
          <w:p>
            <w:pPr>
              <w:pStyle w:val="182"/>
              <w:spacing w:before="48"/>
              <w:ind w:left="217"/>
              <w:jc w:val="left"/>
              <w:rPr>
                <w:b/>
                <w:bCs/>
                <w:color w:val="auto"/>
                <w:u w:val="single"/>
              </w:rPr>
            </w:pPr>
            <w:r>
              <w:rPr>
                <w:b/>
                <w:bCs/>
                <w:color w:val="auto"/>
                <w:u w:val="single"/>
              </w:rPr>
              <w:t>泄漏</w:t>
            </w:r>
          </w:p>
        </w:tc>
        <w:tc>
          <w:tcPr>
            <w:tcW w:w="1274" w:type="dxa"/>
            <w:vMerge w:val="restart"/>
            <w:tcBorders>
              <w:top w:val="single" w:color="000000" w:sz="6" w:space="0"/>
              <w:left w:val="single" w:color="000000" w:sz="6" w:space="0"/>
              <w:right w:val="single" w:color="000000" w:sz="6" w:space="0"/>
            </w:tcBorders>
            <w:vAlign w:val="center"/>
          </w:tcPr>
          <w:p>
            <w:pPr>
              <w:pStyle w:val="182"/>
              <w:ind w:left="218"/>
              <w:jc w:val="left"/>
              <w:rPr>
                <w:rFonts w:hint="default"/>
                <w:b/>
                <w:bCs/>
                <w:color w:val="auto"/>
                <w:u w:val="single"/>
              </w:rPr>
            </w:pPr>
            <w:r>
              <w:rPr>
                <w:b/>
                <w:bCs/>
                <w:color w:val="auto"/>
                <w:u w:val="single"/>
              </w:rPr>
              <w:t>空气传播</w:t>
            </w:r>
            <w:r>
              <w:rPr>
                <w:rFonts w:hint="eastAsia"/>
                <w:b/>
                <w:bCs/>
                <w:color w:val="auto"/>
                <w:u w:val="single"/>
                <w:lang w:eastAsia="zh-CN"/>
              </w:rPr>
              <w:t>、</w:t>
            </w:r>
            <w:r>
              <w:rPr>
                <w:rFonts w:hint="eastAsia"/>
                <w:b/>
                <w:bCs/>
                <w:color w:val="auto"/>
                <w:u w:val="single"/>
                <w:lang w:val="en-US" w:eastAsia="zh-CN"/>
              </w:rPr>
              <w:t>污染土壤</w:t>
            </w:r>
          </w:p>
        </w:tc>
        <w:tc>
          <w:tcPr>
            <w:tcW w:w="1588" w:type="dxa"/>
            <w:vMerge w:val="restart"/>
            <w:tcBorders>
              <w:top w:val="single" w:color="000000" w:sz="6" w:space="0"/>
              <w:left w:val="single" w:color="000000" w:sz="6" w:space="0"/>
              <w:right w:val="single" w:color="000000" w:sz="6" w:space="0"/>
            </w:tcBorders>
            <w:vAlign w:val="center"/>
          </w:tcPr>
          <w:p>
            <w:pPr>
              <w:pStyle w:val="182"/>
              <w:spacing w:before="55" w:line="242" w:lineRule="auto"/>
              <w:ind w:left="28" w:right="-58" w:firstLine="2"/>
              <w:jc w:val="both"/>
              <w:rPr>
                <w:b/>
                <w:bCs/>
                <w:color w:val="auto"/>
                <w:u w:val="single"/>
              </w:rPr>
            </w:pPr>
            <w:r>
              <w:rPr>
                <w:b/>
                <w:bCs/>
                <w:color w:val="auto"/>
                <w:u w:val="single"/>
              </w:rPr>
              <w:t>厂区5km范围内的大气环境敏感点，详见表</w:t>
            </w:r>
            <w:r>
              <w:rPr>
                <w:rFonts w:hint="eastAsia"/>
                <w:b/>
                <w:bCs/>
                <w:color w:val="auto"/>
                <w:u w:val="single"/>
                <w:lang w:val="en-US" w:eastAsia="zh-CN"/>
              </w:rPr>
              <w:t>5.9-2</w:t>
            </w:r>
            <w:r>
              <w:rPr>
                <w:b/>
                <w:bCs/>
                <w:color w:val="auto"/>
                <w:u w:val="single"/>
              </w:rPr>
              <w:t>。</w:t>
            </w:r>
          </w:p>
        </w:tc>
        <w:tc>
          <w:tcPr>
            <w:tcW w:w="1084" w:type="dxa"/>
            <w:tcBorders>
              <w:top w:val="single" w:color="000000" w:sz="6" w:space="0"/>
              <w:left w:val="single" w:color="000000" w:sz="6" w:space="0"/>
              <w:bottom w:val="single" w:color="000000" w:sz="6" w:space="0"/>
            </w:tcBorders>
            <w:vAlign w:val="center"/>
          </w:tcPr>
          <w:p>
            <w:pPr>
              <w:pStyle w:val="182"/>
              <w:spacing w:before="48"/>
              <w:ind w:left="17"/>
              <w:rPr>
                <w:b/>
                <w:bCs/>
                <w:color w:val="auto"/>
                <w:u w:val="single"/>
              </w:rPr>
            </w:pPr>
            <w:r>
              <w:rPr>
                <w:b/>
                <w:bCs/>
                <w:color w:val="auto"/>
                <w:u w:val="single"/>
              </w:rPr>
              <w:t>常温、常压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88" w:type="dxa"/>
            <w:tcBorders>
              <w:top w:val="single" w:color="000000" w:sz="6" w:space="0"/>
              <w:right w:val="single" w:color="000000" w:sz="6" w:space="0"/>
            </w:tcBorders>
            <w:vAlign w:val="center"/>
          </w:tcPr>
          <w:p>
            <w:pPr>
              <w:pStyle w:val="182"/>
              <w:spacing w:before="148"/>
              <w:ind w:left="16"/>
              <w:rPr>
                <w:b/>
                <w:bCs/>
                <w:color w:val="auto"/>
                <w:u w:val="single"/>
              </w:rPr>
            </w:pPr>
            <w:r>
              <w:rPr>
                <w:b/>
                <w:bCs/>
                <w:color w:val="auto"/>
                <w:u w:val="single"/>
              </w:rPr>
              <w:t>2</w:t>
            </w:r>
          </w:p>
        </w:tc>
        <w:tc>
          <w:tcPr>
            <w:tcW w:w="1200" w:type="dxa"/>
            <w:tcBorders>
              <w:top w:val="single" w:color="000000" w:sz="6" w:space="0"/>
              <w:left w:val="single" w:color="000000" w:sz="6" w:space="0"/>
              <w:right w:val="single" w:color="000000" w:sz="6" w:space="0"/>
            </w:tcBorders>
            <w:vAlign w:val="center"/>
          </w:tcPr>
          <w:p>
            <w:pPr>
              <w:pStyle w:val="182"/>
              <w:spacing w:before="4" w:line="251" w:lineRule="exact"/>
              <w:ind w:left="53" w:right="38"/>
              <w:rPr>
                <w:rFonts w:hint="default"/>
                <w:b/>
                <w:bCs/>
                <w:color w:val="auto"/>
                <w:u w:val="single"/>
                <w:lang w:val="en-US" w:eastAsia="zh-CN"/>
              </w:rPr>
            </w:pPr>
            <w:r>
              <w:rPr>
                <w:rFonts w:hint="eastAsia"/>
                <w:b/>
                <w:bCs/>
                <w:color w:val="auto"/>
                <w:u w:val="single"/>
                <w:lang w:val="en-US" w:eastAsia="zh-CN"/>
              </w:rPr>
              <w:t>固体二氧化氯储存</w:t>
            </w:r>
          </w:p>
        </w:tc>
        <w:tc>
          <w:tcPr>
            <w:tcW w:w="1134" w:type="dxa"/>
            <w:tcBorders>
              <w:top w:val="single" w:color="000000" w:sz="6" w:space="0"/>
              <w:left w:val="single" w:color="000000" w:sz="6" w:space="0"/>
              <w:right w:val="single" w:color="000000" w:sz="6" w:space="0"/>
            </w:tcBorders>
            <w:vAlign w:val="center"/>
          </w:tcPr>
          <w:p>
            <w:pPr>
              <w:pStyle w:val="182"/>
              <w:spacing w:before="4" w:line="251" w:lineRule="exact"/>
              <w:ind w:left="17"/>
              <w:rPr>
                <w:b/>
                <w:bCs/>
                <w:color w:val="auto"/>
                <w:u w:val="single"/>
              </w:rPr>
            </w:pPr>
            <w:r>
              <w:rPr>
                <w:rFonts w:hint="eastAsia"/>
                <w:b/>
                <w:bCs/>
                <w:color w:val="auto"/>
                <w:u w:val="single"/>
                <w:lang w:val="en-US" w:eastAsia="zh-CN"/>
              </w:rPr>
              <w:t>固体二氧化氯储存</w:t>
            </w:r>
          </w:p>
        </w:tc>
        <w:tc>
          <w:tcPr>
            <w:tcW w:w="850" w:type="dxa"/>
            <w:tcBorders>
              <w:top w:val="single" w:color="000000" w:sz="6" w:space="0"/>
              <w:left w:val="single" w:color="000000" w:sz="6" w:space="0"/>
              <w:right w:val="single" w:color="000000" w:sz="6" w:space="0"/>
            </w:tcBorders>
            <w:vAlign w:val="center"/>
          </w:tcPr>
          <w:p>
            <w:pPr>
              <w:pStyle w:val="182"/>
              <w:spacing w:before="134"/>
              <w:ind w:left="86" w:right="71"/>
              <w:rPr>
                <w:rFonts w:hint="eastAsia"/>
                <w:b/>
                <w:bCs/>
                <w:color w:val="auto"/>
                <w:u w:val="single"/>
                <w:lang w:val="en-US" w:eastAsia="zh-CN"/>
              </w:rPr>
            </w:pPr>
            <w:r>
              <w:rPr>
                <w:rFonts w:hint="eastAsia"/>
                <w:b/>
                <w:bCs/>
                <w:color w:val="auto"/>
                <w:u w:val="single"/>
                <w:lang w:val="en-US" w:eastAsia="zh-CN"/>
              </w:rPr>
              <w:t>二氧化氯</w:t>
            </w:r>
          </w:p>
        </w:tc>
        <w:tc>
          <w:tcPr>
            <w:tcW w:w="851" w:type="dxa"/>
            <w:tcBorders>
              <w:top w:val="single" w:color="000000" w:sz="4" w:space="0"/>
              <w:left w:val="single" w:color="000000" w:sz="6" w:space="0"/>
              <w:right w:val="single" w:color="000000" w:sz="6" w:space="0"/>
            </w:tcBorders>
            <w:vAlign w:val="center"/>
          </w:tcPr>
          <w:p>
            <w:pPr>
              <w:pStyle w:val="182"/>
              <w:spacing w:before="4" w:line="251" w:lineRule="exact"/>
              <w:ind w:left="111"/>
              <w:jc w:val="left"/>
              <w:rPr>
                <w:rFonts w:hint="default"/>
                <w:b/>
                <w:bCs/>
                <w:color w:val="auto"/>
                <w:u w:val="single"/>
                <w:lang w:val="en-US" w:eastAsia="zh-CN"/>
              </w:rPr>
            </w:pPr>
            <w:r>
              <w:rPr>
                <w:rFonts w:hint="eastAsia"/>
                <w:b/>
                <w:bCs/>
                <w:color w:val="auto"/>
                <w:u w:val="single"/>
                <w:lang w:val="en-US" w:eastAsia="zh-CN"/>
              </w:rPr>
              <w:t>遗撒、释放</w:t>
            </w:r>
          </w:p>
        </w:tc>
        <w:tc>
          <w:tcPr>
            <w:tcW w:w="1274" w:type="dxa"/>
            <w:vMerge w:val="continue"/>
            <w:tcBorders>
              <w:top w:val="nil"/>
              <w:left w:val="single" w:color="000000" w:sz="6" w:space="0"/>
              <w:right w:val="single" w:color="000000" w:sz="6" w:space="0"/>
            </w:tcBorders>
            <w:vAlign w:val="center"/>
          </w:tcPr>
          <w:p>
            <w:pPr>
              <w:pStyle w:val="182"/>
              <w:rPr>
                <w:b/>
                <w:bCs/>
                <w:color w:val="auto"/>
                <w:u w:val="single"/>
              </w:rPr>
            </w:pPr>
          </w:p>
        </w:tc>
        <w:tc>
          <w:tcPr>
            <w:tcW w:w="1588" w:type="dxa"/>
            <w:vMerge w:val="continue"/>
            <w:tcBorders>
              <w:top w:val="nil"/>
              <w:left w:val="single" w:color="000000" w:sz="6" w:space="0"/>
              <w:right w:val="single" w:color="000000" w:sz="6" w:space="0"/>
            </w:tcBorders>
            <w:vAlign w:val="center"/>
          </w:tcPr>
          <w:p>
            <w:pPr>
              <w:pStyle w:val="182"/>
              <w:rPr>
                <w:b/>
                <w:bCs/>
                <w:color w:val="auto"/>
                <w:u w:val="single"/>
              </w:rPr>
            </w:pPr>
          </w:p>
        </w:tc>
        <w:tc>
          <w:tcPr>
            <w:tcW w:w="1084" w:type="dxa"/>
            <w:tcBorders>
              <w:top w:val="single" w:color="000000" w:sz="6" w:space="0"/>
              <w:left w:val="single" w:color="000000" w:sz="6" w:space="0"/>
            </w:tcBorders>
            <w:vAlign w:val="center"/>
          </w:tcPr>
          <w:p>
            <w:pPr>
              <w:pStyle w:val="182"/>
              <w:spacing w:before="134"/>
              <w:ind w:left="17"/>
              <w:rPr>
                <w:b/>
                <w:bCs/>
                <w:color w:val="auto"/>
                <w:u w:val="single"/>
              </w:rPr>
            </w:pPr>
            <w:r>
              <w:rPr>
                <w:b/>
                <w:bCs/>
                <w:color w:val="auto"/>
                <w:u w:val="single"/>
              </w:rPr>
              <w:t>常温、常压</w:t>
            </w:r>
          </w:p>
        </w:tc>
      </w:tr>
    </w:tbl>
    <w:p>
      <w:pPr>
        <w:rPr>
          <w:rFonts w:hint="eastAsia"/>
          <w:color w:val="auto"/>
          <w:lang w:eastAsia="zh-CN"/>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2"/>
        <w:ind w:left="0" w:leftChars="0" w:firstLine="0" w:firstLineChars="0"/>
        <w:jc w:val="center"/>
        <w:rPr>
          <w:color w:val="auto"/>
        </w:rPr>
      </w:pPr>
      <w:r>
        <w:rPr>
          <w:color w:val="auto"/>
        </w:rPr>
        <w:drawing>
          <wp:inline distT="0" distB="0" distL="114300" distR="114300">
            <wp:extent cx="7399020" cy="4511040"/>
            <wp:effectExtent l="0" t="0" r="7620" b="0"/>
            <wp:docPr id="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3"/>
                    <pic:cNvPicPr>
                      <a:picLocks noChangeAspect="1"/>
                    </pic:cNvPicPr>
                  </pic:nvPicPr>
                  <pic:blipFill>
                    <a:blip r:embed="rId84"/>
                    <a:stretch>
                      <a:fillRect/>
                    </a:stretch>
                  </pic:blipFill>
                  <pic:spPr>
                    <a:xfrm>
                      <a:off x="0" y="0"/>
                      <a:ext cx="7399020" cy="4511040"/>
                    </a:xfrm>
                    <a:prstGeom prst="rect">
                      <a:avLst/>
                    </a:prstGeom>
                    <a:noFill/>
                    <a:ln>
                      <a:noFill/>
                    </a:ln>
                  </pic:spPr>
                </pic:pic>
              </a:graphicData>
            </a:graphic>
          </wp:inline>
        </w:drawing>
      </w:r>
    </w:p>
    <w:p>
      <w:pPr>
        <w:pStyle w:val="181"/>
        <w:ind w:firstLine="1928" w:firstLineChars="800"/>
        <w:rPr>
          <w:color w:val="auto"/>
          <w:u w:val="single"/>
        </w:rPr>
      </w:pPr>
      <w:r>
        <w:rPr>
          <w:rFonts w:hint="eastAsia"/>
          <w:color w:val="auto"/>
          <w:u w:val="single"/>
          <w:lang w:val="en-US" w:eastAsia="zh-CN"/>
        </w:rPr>
        <w:t xml:space="preserve">图5.9-3                              </w:t>
      </w:r>
      <w:r>
        <w:rPr>
          <w:color w:val="auto"/>
          <w:u w:val="single"/>
        </w:rPr>
        <w:t>项目危险单元分布图</w:t>
      </w:r>
    </w:p>
    <w:p>
      <w:pPr>
        <w:pStyle w:val="2"/>
        <w:ind w:left="0" w:leftChars="0" w:firstLine="0" w:firstLineChars="0"/>
        <w:rPr>
          <w:rFonts w:hint="eastAsia"/>
          <w:color w:val="auto"/>
          <w:lang w:eastAsia="zh-CN"/>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9"/>
        <w:tabs>
          <w:tab w:val="left" w:pos="720"/>
          <w:tab w:val="left" w:pos="1200"/>
          <w:tab w:val="left" w:pos="1680"/>
        </w:tabs>
        <w:spacing w:before="0" w:after="0" w:line="520" w:lineRule="exact"/>
        <w:rPr>
          <w:rFonts w:hint="eastAsia"/>
          <w:color w:val="auto"/>
          <w:szCs w:val="28"/>
        </w:rPr>
      </w:pPr>
      <w:r>
        <w:rPr>
          <w:rFonts w:hint="eastAsia"/>
          <w:color w:val="auto"/>
          <w:szCs w:val="28"/>
        </w:rPr>
        <w:t>5.</w:t>
      </w:r>
      <w:r>
        <w:rPr>
          <w:rFonts w:hint="eastAsia"/>
          <w:color w:val="auto"/>
          <w:szCs w:val="28"/>
          <w:lang w:val="en-US" w:eastAsia="zh-CN"/>
        </w:rPr>
        <w:t>9</w:t>
      </w:r>
      <w:r>
        <w:rPr>
          <w:rFonts w:hint="eastAsia"/>
          <w:color w:val="auto"/>
          <w:szCs w:val="28"/>
        </w:rPr>
        <w:t>.</w:t>
      </w:r>
      <w:r>
        <w:rPr>
          <w:rFonts w:hint="eastAsia"/>
          <w:color w:val="auto"/>
          <w:szCs w:val="28"/>
          <w:lang w:val="en-US" w:eastAsia="zh-CN"/>
        </w:rPr>
        <w:t>5</w:t>
      </w:r>
      <w:r>
        <w:rPr>
          <w:rFonts w:hint="eastAsia"/>
          <w:color w:val="auto"/>
          <w:szCs w:val="28"/>
        </w:rPr>
        <w:t>环境风险分析</w:t>
      </w:r>
    </w:p>
    <w:p>
      <w:pPr>
        <w:pStyle w:val="10"/>
        <w:rPr>
          <w:rFonts w:hint="eastAsia"/>
          <w:b/>
          <w:bCs w:val="0"/>
          <w:color w:val="auto"/>
          <w:u w:val="single"/>
        </w:rPr>
      </w:pPr>
      <w:r>
        <w:rPr>
          <w:rFonts w:hint="eastAsia"/>
          <w:b/>
          <w:bCs w:val="0"/>
          <w:color w:val="auto"/>
          <w:u w:val="single"/>
        </w:rPr>
        <w:t>5.</w:t>
      </w:r>
      <w:r>
        <w:rPr>
          <w:rFonts w:hint="eastAsia"/>
          <w:b/>
          <w:bCs w:val="0"/>
          <w:color w:val="auto"/>
          <w:u w:val="single"/>
          <w:lang w:val="en-US" w:eastAsia="zh-CN"/>
        </w:rPr>
        <w:t>9</w:t>
      </w:r>
      <w:r>
        <w:rPr>
          <w:rFonts w:hint="eastAsia"/>
          <w:b/>
          <w:bCs w:val="0"/>
          <w:color w:val="auto"/>
          <w:u w:val="single"/>
        </w:rPr>
        <w:t>.5.1 事故情形设定</w:t>
      </w:r>
    </w:p>
    <w:p>
      <w:pPr>
        <w:ind w:firstLine="482"/>
        <w:rPr>
          <w:rFonts w:hint="eastAsia"/>
          <w:b/>
          <w:bCs w:val="0"/>
          <w:color w:val="auto"/>
          <w:u w:val="single"/>
        </w:rPr>
      </w:pPr>
      <w:r>
        <w:rPr>
          <w:rFonts w:hint="eastAsia"/>
          <w:b/>
          <w:bCs w:val="0"/>
          <w:color w:val="auto"/>
          <w:u w:val="single"/>
        </w:rPr>
        <w:t>任何一个系统均存在各种潜在的事故危险，比如：电气爆炸：装置中有大量电气设备、设施，如电气设备设计选型不当，防爆性能不符合要求，或电气设备、设施未采取可靠的保护措施时在开关断开、接触不良、短路、漏电时易产生电弧、电火花等引起的电器爆炸。雷电能：若防雷设施不齐全或设备、建（构）筑物防雷接地措施不符合要求，在雷雨天气里有可能引发火灾爆炸事故。储罐等压力容器，受到外界的冲击作用或使用过程中，温度过高，使得罐内压力超过极限时，可引起发生物理爆炸。风险评价不可能对每一个事故均进行环境风险计算和评价。</w:t>
      </w:r>
    </w:p>
    <w:p>
      <w:pPr>
        <w:ind w:firstLine="482"/>
        <w:rPr>
          <w:rFonts w:hint="eastAsia"/>
          <w:b/>
          <w:bCs w:val="0"/>
          <w:color w:val="auto"/>
          <w:u w:val="single"/>
        </w:rPr>
      </w:pPr>
      <w:r>
        <w:rPr>
          <w:rFonts w:hint="eastAsia"/>
          <w:b/>
          <w:bCs w:val="0"/>
          <w:color w:val="auto"/>
          <w:u w:val="single"/>
        </w:rPr>
        <w:t>《建设项目环境风险评价技术导则》（HJ169-2018）要求，在风险识别的基础上，选择对环境影响较大并具有代表性的事故类型，设定风险事故情形。风险事故情形设定内容包括环境风险类型、风险源、危险单元、危险物质和影响途径等。设定的风险事故情形发生可能性应处于合理的区间，并与经济技术发展水平相适应。发生</w:t>
      </w:r>
      <w:r>
        <w:rPr>
          <w:rFonts w:hint="eastAsia"/>
          <w:b/>
          <w:bCs w:val="0"/>
          <w:color w:val="auto"/>
          <w:u w:val="single"/>
          <w:lang w:val="en-US" w:eastAsia="zh-CN"/>
        </w:rPr>
        <w:t>频率</w:t>
      </w:r>
      <w:r>
        <w:rPr>
          <w:rFonts w:hint="eastAsia"/>
          <w:b/>
          <w:bCs w:val="0"/>
          <w:color w:val="auto"/>
          <w:u w:val="single"/>
        </w:rPr>
        <w:t>小于10</w:t>
      </w:r>
      <w:r>
        <w:rPr>
          <w:rFonts w:hint="eastAsia"/>
          <w:b/>
          <w:bCs w:val="0"/>
          <w:color w:val="auto"/>
          <w:u w:val="single"/>
          <w:vertAlign w:val="superscript"/>
        </w:rPr>
        <w:t>-6</w:t>
      </w:r>
      <w:r>
        <w:rPr>
          <w:rFonts w:hint="eastAsia"/>
          <w:b/>
          <w:bCs w:val="0"/>
          <w:color w:val="auto"/>
          <w:u w:val="single"/>
        </w:rPr>
        <w:t>/年的事情是极小概率事件，可作为代表性事故情形中最大可信事故设定的参考。</w:t>
      </w:r>
    </w:p>
    <w:p>
      <w:pPr>
        <w:spacing w:line="520" w:lineRule="exact"/>
        <w:ind w:firstLine="482" w:firstLineChars="200"/>
        <w:rPr>
          <w:rFonts w:hint="eastAsia" w:ascii="Times New Roman" w:hAnsi="Times New Roman" w:eastAsia="宋体"/>
          <w:b/>
          <w:bCs w:val="0"/>
          <w:color w:val="auto"/>
          <w:u w:val="single"/>
        </w:rPr>
      </w:pPr>
      <w:r>
        <w:rPr>
          <w:rFonts w:hint="eastAsia"/>
          <w:b/>
          <w:bCs w:val="0"/>
          <w:color w:val="auto"/>
          <w:u w:val="single"/>
        </w:rPr>
        <w:t>根据《建设项目环境风险评价技术导则》（HJ169-2018），常压单包容储罐以10mm孔径泄漏的概率为1×10</w:t>
      </w:r>
      <w:r>
        <w:rPr>
          <w:rFonts w:hint="eastAsia"/>
          <w:b/>
          <w:bCs w:val="0"/>
          <w:color w:val="auto"/>
          <w:u w:val="single"/>
          <w:vertAlign w:val="superscript"/>
        </w:rPr>
        <w:t>-4</w:t>
      </w:r>
      <w:r>
        <w:rPr>
          <w:rFonts w:hint="eastAsia"/>
          <w:b/>
          <w:bCs w:val="0"/>
          <w:color w:val="auto"/>
          <w:u w:val="single"/>
        </w:rPr>
        <w:t>，发生概率最高，因此，评价认为本项目最大可信事故为</w:t>
      </w:r>
      <w:r>
        <w:rPr>
          <w:rFonts w:hint="eastAsia"/>
          <w:b/>
          <w:bCs w:val="0"/>
          <w:color w:val="auto"/>
          <w:u w:val="single"/>
          <w:lang w:val="en-US" w:eastAsia="zh-CN"/>
        </w:rPr>
        <w:t>硫酸</w:t>
      </w:r>
      <w:r>
        <w:rPr>
          <w:rFonts w:hint="eastAsia"/>
          <w:b/>
          <w:bCs w:val="0"/>
          <w:color w:val="auto"/>
          <w:u w:val="single"/>
        </w:rPr>
        <w:t>储罐泄漏引起环境污染，</w:t>
      </w:r>
      <w:r>
        <w:rPr>
          <w:rFonts w:hint="eastAsia"/>
          <w:b/>
          <w:bCs w:val="0"/>
          <w:color w:val="auto"/>
          <w:u w:val="single"/>
          <w:lang w:val="en-US" w:eastAsia="zh-CN"/>
        </w:rPr>
        <w:t>固体二氧化氯释放剂为固体袋装，储存量较少。评价认为，在加强管理的情况下，固体二氧化氯释放剂产生危害的可能性较小，本项目主要关注依托的那座浓硫酸储罐。</w:t>
      </w:r>
    </w:p>
    <w:p>
      <w:pPr>
        <w:pStyle w:val="10"/>
        <w:spacing w:line="520" w:lineRule="exact"/>
        <w:ind w:firstLineChars="200"/>
        <w:rPr>
          <w:rFonts w:hint="eastAsia"/>
          <w:b/>
          <w:bCs w:val="0"/>
          <w:color w:val="000000" w:themeColor="text1"/>
          <w:u w:val="single"/>
        </w:rPr>
      </w:pPr>
      <w:r>
        <w:rPr>
          <w:rFonts w:hint="default"/>
          <w:b/>
          <w:bCs w:val="0"/>
          <w:color w:val="000000" w:themeColor="text1"/>
          <w:u w:val="single"/>
        </w:rPr>
        <w:t>5.</w:t>
      </w:r>
      <w:r>
        <w:rPr>
          <w:rFonts w:hint="eastAsia"/>
          <w:b/>
          <w:bCs w:val="0"/>
          <w:color w:val="000000" w:themeColor="text1"/>
          <w:u w:val="single"/>
          <w:lang w:val="en-US" w:eastAsia="zh-CN"/>
        </w:rPr>
        <w:t>9</w:t>
      </w:r>
      <w:r>
        <w:rPr>
          <w:rFonts w:hint="default"/>
          <w:b/>
          <w:bCs w:val="0"/>
          <w:color w:val="000000" w:themeColor="text1"/>
          <w:u w:val="single"/>
        </w:rPr>
        <w:t>.5.2 源项分析</w:t>
      </w:r>
    </w:p>
    <w:p>
      <w:pPr>
        <w:spacing w:line="520" w:lineRule="exact"/>
        <w:ind w:firstLineChars="200"/>
        <w:rPr>
          <w:rFonts w:hint="eastAsia"/>
          <w:b/>
          <w:bCs w:val="0"/>
          <w:color w:val="000000" w:themeColor="text1"/>
          <w:u w:val="single"/>
        </w:rPr>
      </w:pPr>
      <w:r>
        <w:rPr>
          <w:rFonts w:hint="default"/>
          <w:b/>
          <w:bCs w:val="0"/>
          <w:color w:val="000000" w:themeColor="text1"/>
          <w:u w:val="single"/>
        </w:rPr>
        <w:t>（1）储罐泄漏源项分析</w:t>
      </w:r>
    </w:p>
    <w:p>
      <w:pPr>
        <w:spacing w:line="520" w:lineRule="exact"/>
        <w:ind w:firstLineChars="200"/>
        <w:rPr>
          <w:rFonts w:hint="eastAsia"/>
          <w:b/>
          <w:bCs w:val="0"/>
          <w:color w:val="000000" w:themeColor="text1"/>
          <w:u w:val="single"/>
        </w:rPr>
      </w:pPr>
      <w:r>
        <w:rPr>
          <w:rFonts w:hint="default"/>
          <w:b/>
          <w:bCs w:val="0"/>
          <w:color w:val="000000" w:themeColor="text1"/>
          <w:u w:val="single"/>
        </w:rPr>
        <w:t>①</w:t>
      </w:r>
      <w:r>
        <w:rPr>
          <w:rFonts w:hint="eastAsia"/>
          <w:b/>
          <w:bCs w:val="0"/>
          <w:color w:val="000000" w:themeColor="text1"/>
          <w:u w:val="single"/>
          <w:lang w:val="en-US" w:eastAsia="zh-CN"/>
        </w:rPr>
        <w:t>硫酸</w:t>
      </w:r>
      <w:r>
        <w:rPr>
          <w:rFonts w:hint="default"/>
          <w:b/>
          <w:bCs w:val="0"/>
          <w:color w:val="000000" w:themeColor="text1"/>
          <w:u w:val="single"/>
        </w:rPr>
        <w:t>储罐泄漏量</w:t>
      </w:r>
    </w:p>
    <w:p>
      <w:pPr>
        <w:spacing w:line="520" w:lineRule="exact"/>
        <w:ind w:firstLineChars="200"/>
        <w:rPr>
          <w:rFonts w:hint="default"/>
          <w:b/>
          <w:bCs w:val="0"/>
          <w:color w:val="000000" w:themeColor="text1"/>
          <w:u w:val="single"/>
        </w:rPr>
      </w:pPr>
      <w:r>
        <w:rPr>
          <w:rFonts w:hint="default"/>
          <w:b/>
          <w:bCs w:val="0"/>
          <w:color w:val="000000" w:themeColor="text1"/>
          <w:u w:val="single"/>
        </w:rPr>
        <w:t>本次事故状态储罐泄漏量采用《建设项目环境风险评价技术导则》（HJ169-2018）附录F中液体泄漏伯努利方程估算，计算公式如下：</w:t>
      </w:r>
    </w:p>
    <w:p>
      <w:pPr>
        <w:pStyle w:val="182"/>
        <w:spacing w:line="520" w:lineRule="exact"/>
        <w:ind w:firstLineChars="200"/>
        <w:rPr>
          <w:rFonts w:hint="eastAsia"/>
          <w:b/>
          <w:bCs w:val="0"/>
          <w:color w:val="000000" w:themeColor="text1"/>
          <w:u w:val="single"/>
        </w:rPr>
      </w:pPr>
      <w:r>
        <w:rPr>
          <w:b/>
          <w:bCs w:val="0"/>
          <w:color w:val="000000" w:themeColor="text1"/>
          <w:u w:val="single"/>
        </w:rPr>
        <w:drawing>
          <wp:inline distT="0" distB="0" distL="114300" distR="114300">
            <wp:extent cx="2308860" cy="304800"/>
            <wp:effectExtent l="0" t="0" r="7620" b="0"/>
            <wp:docPr id="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4"/>
                    <pic:cNvPicPr>
                      <a:picLocks noChangeAspect="1"/>
                    </pic:cNvPicPr>
                  </pic:nvPicPr>
                  <pic:blipFill>
                    <a:blip r:embed="rId85"/>
                    <a:stretch>
                      <a:fillRect/>
                    </a:stretch>
                  </pic:blipFill>
                  <pic:spPr>
                    <a:xfrm>
                      <a:off x="0" y="0"/>
                      <a:ext cx="2308860" cy="304800"/>
                    </a:xfrm>
                    <a:prstGeom prst="rect">
                      <a:avLst/>
                    </a:prstGeom>
                    <a:noFill/>
                    <a:ln>
                      <a:noFill/>
                    </a:ln>
                  </pic:spPr>
                </pic:pic>
              </a:graphicData>
            </a:graphic>
          </wp:inline>
        </w:drawing>
      </w:r>
    </w:p>
    <w:p>
      <w:pPr>
        <w:spacing w:line="520" w:lineRule="exact"/>
        <w:ind w:firstLineChars="200"/>
        <w:rPr>
          <w:rFonts w:hint="eastAsia"/>
          <w:b/>
          <w:bCs w:val="0"/>
          <w:color w:val="000000" w:themeColor="text1"/>
          <w:u w:val="single"/>
        </w:rPr>
      </w:pPr>
      <w:r>
        <w:rPr>
          <w:rFonts w:hint="eastAsia"/>
          <w:b/>
          <w:bCs w:val="0"/>
          <w:color w:val="000000" w:themeColor="text1"/>
          <w:u w:val="single"/>
        </w:rPr>
        <w:t>式中：Q</w:t>
      </w:r>
      <w:r>
        <w:rPr>
          <w:rFonts w:hint="eastAsia"/>
          <w:b/>
          <w:bCs w:val="0"/>
          <w:color w:val="000000" w:themeColor="text1"/>
          <w:u w:val="single"/>
          <w:vertAlign w:val="subscript"/>
        </w:rPr>
        <w:t>L</w:t>
      </w:r>
      <w:r>
        <w:rPr>
          <w:rFonts w:hint="eastAsia"/>
          <w:b/>
          <w:bCs w:val="0"/>
          <w:color w:val="000000" w:themeColor="text1"/>
          <w:u w:val="single"/>
        </w:rPr>
        <w:t>——液体泄漏速度，kg/s；</w:t>
      </w:r>
    </w:p>
    <w:p>
      <w:pPr>
        <w:spacing w:line="520" w:lineRule="exact"/>
        <w:ind w:firstLine="1205" w:firstLineChars="500"/>
        <w:rPr>
          <w:rFonts w:hint="eastAsia"/>
          <w:b/>
          <w:bCs w:val="0"/>
          <w:color w:val="000000" w:themeColor="text1"/>
          <w:u w:val="single"/>
        </w:rPr>
      </w:pPr>
      <w:r>
        <w:rPr>
          <w:rFonts w:hint="eastAsia"/>
          <w:b/>
          <w:bCs w:val="0"/>
          <w:color w:val="000000" w:themeColor="text1"/>
          <w:u w:val="single"/>
        </w:rPr>
        <w:t>C</w:t>
      </w:r>
      <w:r>
        <w:rPr>
          <w:rFonts w:hint="eastAsia"/>
          <w:b/>
          <w:bCs w:val="0"/>
          <w:color w:val="000000" w:themeColor="text1"/>
          <w:u w:val="single"/>
          <w:vertAlign w:val="subscript"/>
        </w:rPr>
        <w:t>d</w:t>
      </w:r>
      <w:r>
        <w:rPr>
          <w:rFonts w:hint="eastAsia"/>
          <w:b/>
          <w:bCs w:val="0"/>
          <w:color w:val="000000" w:themeColor="text1"/>
          <w:u w:val="single"/>
        </w:rPr>
        <w:t>——液体泄漏系数，本次评价C</w:t>
      </w:r>
      <w:r>
        <w:rPr>
          <w:rFonts w:hint="eastAsia"/>
          <w:b/>
          <w:bCs w:val="0"/>
          <w:color w:val="000000" w:themeColor="text1"/>
          <w:u w:val="single"/>
          <w:vertAlign w:val="subscript"/>
        </w:rPr>
        <w:t>d</w:t>
      </w:r>
      <w:r>
        <w:rPr>
          <w:rFonts w:hint="eastAsia"/>
          <w:b/>
          <w:bCs w:val="0"/>
          <w:color w:val="000000" w:themeColor="text1"/>
          <w:u w:val="single"/>
        </w:rPr>
        <w:t>按0.65取；</w:t>
      </w:r>
    </w:p>
    <w:p>
      <w:pPr>
        <w:spacing w:line="520" w:lineRule="exact"/>
        <w:ind w:firstLine="1205" w:firstLineChars="500"/>
        <w:rPr>
          <w:rFonts w:hint="eastAsia"/>
          <w:b/>
          <w:bCs w:val="0"/>
          <w:color w:val="000000" w:themeColor="text1"/>
          <w:u w:val="single"/>
        </w:rPr>
      </w:pPr>
      <w:r>
        <w:rPr>
          <w:rFonts w:hint="eastAsia"/>
          <w:b/>
          <w:bCs w:val="0"/>
          <w:color w:val="000000" w:themeColor="text1"/>
          <w:u w:val="single"/>
        </w:rPr>
        <w:t>A——裂口面积，m</w:t>
      </w:r>
      <w:r>
        <w:rPr>
          <w:rFonts w:hint="eastAsia"/>
          <w:b/>
          <w:bCs w:val="0"/>
          <w:color w:val="000000" w:themeColor="text1"/>
          <w:u w:val="single"/>
          <w:vertAlign w:val="superscript"/>
        </w:rPr>
        <w:t>2</w:t>
      </w:r>
      <w:r>
        <w:rPr>
          <w:rFonts w:hint="eastAsia"/>
          <w:b/>
          <w:bCs w:val="0"/>
          <w:color w:val="000000" w:themeColor="text1"/>
          <w:u w:val="single"/>
          <w:vertAlign w:val="baseline"/>
          <w:lang w:eastAsia="zh-CN"/>
        </w:rPr>
        <w:t>，</w:t>
      </w:r>
      <w:r>
        <w:rPr>
          <w:rFonts w:hint="eastAsia"/>
          <w:b/>
          <w:bCs w:val="0"/>
          <w:color w:val="000000" w:themeColor="text1"/>
          <w:u w:val="single"/>
          <w:vertAlign w:val="baseline"/>
          <w:lang w:val="en-US" w:eastAsia="zh-CN"/>
        </w:rPr>
        <w:t>按储罐全管径破裂计算</w:t>
      </w:r>
      <w:r>
        <w:rPr>
          <w:rFonts w:hint="eastAsia"/>
          <w:b/>
          <w:bCs w:val="0"/>
          <w:color w:val="000000" w:themeColor="text1"/>
          <w:u w:val="single"/>
        </w:rPr>
        <w:t>；</w:t>
      </w:r>
    </w:p>
    <w:p>
      <w:pPr>
        <w:spacing w:line="520" w:lineRule="exact"/>
        <w:ind w:firstLine="1205" w:firstLineChars="500"/>
        <w:rPr>
          <w:rFonts w:hint="eastAsia"/>
          <w:b/>
          <w:bCs w:val="0"/>
          <w:color w:val="000000" w:themeColor="text1"/>
          <w:u w:val="single"/>
        </w:rPr>
      </w:pPr>
      <w:r>
        <w:rPr>
          <w:rFonts w:hint="eastAsia"/>
          <w:b/>
          <w:bCs w:val="0"/>
          <w:color w:val="000000" w:themeColor="text1"/>
          <w:u w:val="single"/>
        </w:rPr>
        <w:t>ρ——泄漏液体密度，kg/m</w:t>
      </w:r>
      <w:r>
        <w:rPr>
          <w:rFonts w:hint="eastAsia"/>
          <w:b/>
          <w:bCs w:val="0"/>
          <w:color w:val="000000" w:themeColor="text1"/>
          <w:u w:val="single"/>
          <w:vertAlign w:val="superscript"/>
        </w:rPr>
        <w:t>3</w:t>
      </w:r>
      <w:r>
        <w:rPr>
          <w:rFonts w:hint="eastAsia"/>
          <w:b/>
          <w:bCs w:val="0"/>
          <w:color w:val="000000" w:themeColor="text1"/>
          <w:u w:val="single"/>
        </w:rPr>
        <w:t>；</w:t>
      </w:r>
    </w:p>
    <w:p>
      <w:pPr>
        <w:spacing w:line="520" w:lineRule="exact"/>
        <w:ind w:firstLine="964" w:firstLineChars="400"/>
        <w:rPr>
          <w:rFonts w:hint="eastAsia"/>
          <w:b/>
          <w:bCs w:val="0"/>
          <w:color w:val="000000" w:themeColor="text1"/>
          <w:u w:val="single"/>
        </w:rPr>
      </w:pPr>
      <w:r>
        <w:rPr>
          <w:rFonts w:hint="eastAsia"/>
          <w:b/>
          <w:bCs w:val="0"/>
          <w:color w:val="000000" w:themeColor="text1"/>
          <w:u w:val="single"/>
        </w:rPr>
        <w:t>P——容器内介质压力，Pa；</w:t>
      </w:r>
    </w:p>
    <w:p>
      <w:pPr>
        <w:spacing w:line="520" w:lineRule="exact"/>
        <w:ind w:firstLine="964" w:firstLineChars="400"/>
        <w:rPr>
          <w:rFonts w:hint="eastAsia"/>
          <w:b/>
          <w:bCs w:val="0"/>
          <w:color w:val="000000" w:themeColor="text1"/>
          <w:u w:val="single"/>
        </w:rPr>
      </w:pPr>
      <w:r>
        <w:rPr>
          <w:rFonts w:hint="eastAsia"/>
          <w:b/>
          <w:bCs w:val="0"/>
          <w:color w:val="000000" w:themeColor="text1"/>
          <w:u w:val="single"/>
        </w:rPr>
        <w:t>P</w:t>
      </w:r>
      <w:r>
        <w:rPr>
          <w:rFonts w:hint="eastAsia"/>
          <w:b/>
          <w:bCs w:val="0"/>
          <w:color w:val="000000" w:themeColor="text1"/>
          <w:u w:val="single"/>
          <w:vertAlign w:val="subscript"/>
        </w:rPr>
        <w:t>0</w:t>
      </w:r>
      <w:r>
        <w:rPr>
          <w:rFonts w:hint="eastAsia"/>
          <w:b/>
          <w:bCs w:val="0"/>
          <w:color w:val="000000" w:themeColor="text1"/>
          <w:u w:val="single"/>
        </w:rPr>
        <w:t>——环境压力，Pa；</w:t>
      </w:r>
    </w:p>
    <w:p>
      <w:pPr>
        <w:spacing w:line="520" w:lineRule="exact"/>
        <w:ind w:firstLine="964" w:firstLineChars="400"/>
        <w:rPr>
          <w:rFonts w:hint="eastAsia"/>
          <w:b/>
          <w:bCs w:val="0"/>
          <w:color w:val="000000" w:themeColor="text1"/>
          <w:u w:val="single"/>
        </w:rPr>
      </w:pPr>
      <w:r>
        <w:rPr>
          <w:rFonts w:hint="eastAsia"/>
          <w:b/>
          <w:bCs w:val="0"/>
          <w:color w:val="000000" w:themeColor="text1"/>
          <w:u w:val="single"/>
        </w:rPr>
        <w:t>g——重力加速度；</w:t>
      </w:r>
    </w:p>
    <w:p>
      <w:pPr>
        <w:spacing w:line="520" w:lineRule="exact"/>
        <w:ind w:firstLine="964" w:firstLineChars="400"/>
        <w:rPr>
          <w:rFonts w:hint="eastAsia"/>
          <w:b/>
          <w:bCs w:val="0"/>
          <w:color w:val="000000" w:themeColor="text1"/>
          <w:u w:val="single"/>
        </w:rPr>
      </w:pPr>
      <w:r>
        <w:rPr>
          <w:rFonts w:hint="eastAsia"/>
          <w:b/>
          <w:bCs w:val="0"/>
          <w:color w:val="000000" w:themeColor="text1"/>
          <w:u w:val="single"/>
        </w:rPr>
        <w:t>h——裂口之上液位高度，m。</w:t>
      </w:r>
    </w:p>
    <w:p>
      <w:pPr>
        <w:keepNext w:val="0"/>
        <w:keepLines w:val="0"/>
        <w:widowControl/>
        <w:suppressLineNumbers w:val="0"/>
        <w:jc w:val="left"/>
        <w:rPr>
          <w:rFonts w:hint="eastAsia"/>
          <w:b/>
          <w:bCs w:val="0"/>
          <w:color w:val="000000" w:themeColor="text1"/>
          <w:u w:val="single"/>
        </w:rPr>
      </w:pPr>
      <w:r>
        <w:rPr>
          <w:rFonts w:hint="eastAsia"/>
          <w:b/>
          <w:bCs w:val="0"/>
          <w:color w:val="000000" w:themeColor="text1"/>
          <w:u w:val="single"/>
        </w:rPr>
        <w:t>②</w:t>
      </w:r>
      <w:r>
        <w:rPr>
          <w:rFonts w:hint="eastAsia"/>
          <w:b/>
          <w:bCs w:val="0"/>
          <w:color w:val="000000" w:themeColor="text1"/>
          <w:u w:val="single"/>
          <w:lang w:val="en-US" w:eastAsia="zh-CN"/>
        </w:rPr>
        <w:t>硫酸</w:t>
      </w:r>
      <w:r>
        <w:rPr>
          <w:rFonts w:hint="eastAsia"/>
          <w:b/>
          <w:bCs w:val="0"/>
          <w:color w:val="000000" w:themeColor="text1"/>
          <w:u w:val="single"/>
        </w:rPr>
        <w:t>泄漏挥发量</w:t>
      </w:r>
    </w:p>
    <w:p>
      <w:pPr>
        <w:keepNext w:val="0"/>
        <w:keepLines w:val="0"/>
        <w:widowControl/>
        <w:suppressLineNumbers w:val="0"/>
        <w:jc w:val="left"/>
        <w:rPr>
          <w:rFonts w:hint="eastAsia"/>
          <w:b/>
          <w:bCs w:val="0"/>
          <w:color w:val="000000" w:themeColor="text1"/>
          <w:u w:val="single"/>
        </w:rPr>
      </w:pPr>
      <w:r>
        <w:rPr>
          <w:rFonts w:hint="eastAsia"/>
          <w:b/>
          <w:bCs w:val="0"/>
          <w:color w:val="000000" w:themeColor="text1"/>
          <w:u w:val="single"/>
        </w:rPr>
        <w:t>根据《建设项目环境风险评价技术导则》（HJ169-2018）附录F，泄漏液体的蒸发分为闪蒸蒸发、热量蒸发和质量蒸发三种，其蒸发总量为这三种蒸发之和。</w:t>
      </w:r>
    </w:p>
    <w:p>
      <w:pPr>
        <w:keepNext w:val="0"/>
        <w:keepLines w:val="0"/>
        <w:widowControl/>
        <w:suppressLineNumbers w:val="0"/>
        <w:jc w:val="left"/>
        <w:rPr>
          <w:rFonts w:hint="eastAsia"/>
          <w:b/>
          <w:bCs w:val="0"/>
          <w:color w:val="000000" w:themeColor="text1"/>
          <w:u w:val="single"/>
        </w:rPr>
      </w:pPr>
      <w:r>
        <w:rPr>
          <w:rFonts w:hint="eastAsia"/>
          <w:b/>
          <w:bCs w:val="0"/>
          <w:color w:val="000000" w:themeColor="text1"/>
          <w:u w:val="single"/>
        </w:rPr>
        <w:t>本项目</w:t>
      </w:r>
      <w:r>
        <w:rPr>
          <w:rFonts w:hint="eastAsia"/>
          <w:b/>
          <w:bCs w:val="0"/>
          <w:color w:val="000000" w:themeColor="text1"/>
          <w:u w:val="single"/>
          <w:lang w:val="en-US" w:eastAsia="zh-CN"/>
        </w:rPr>
        <w:t>硫酸</w:t>
      </w:r>
      <w:r>
        <w:rPr>
          <w:rFonts w:hint="eastAsia"/>
          <w:b/>
          <w:bCs w:val="0"/>
          <w:color w:val="000000" w:themeColor="text1"/>
          <w:u w:val="single"/>
        </w:rPr>
        <w:t>在常温、常压条件下贮存，发生泄漏时，物料温度与环境温度基本相同，且其沸点高于环境温度，因此通常不会发生闪蒸和热量蒸发。泄漏后的物料在其周围形成液池。由于泄漏发生后液体流落到围堰内，液面不断扩大，同时不断挥发成气体并扩散，造成大气污染。</w:t>
      </w:r>
    </w:p>
    <w:p>
      <w:pPr>
        <w:keepNext w:val="0"/>
        <w:keepLines w:val="0"/>
        <w:widowControl/>
        <w:suppressLineNumbers w:val="0"/>
        <w:jc w:val="left"/>
        <w:rPr>
          <w:rFonts w:hint="eastAsia"/>
          <w:b/>
          <w:bCs w:val="0"/>
          <w:color w:val="000000" w:themeColor="text1"/>
          <w:u w:val="single"/>
          <w:lang w:val="en-US" w:eastAsia="zh-CN"/>
        </w:rPr>
      </w:pPr>
      <w:r>
        <w:rPr>
          <w:rFonts w:hint="eastAsia"/>
          <w:b/>
          <w:bCs w:val="0"/>
          <w:color w:val="000000" w:themeColor="text1"/>
          <w:u w:val="single"/>
        </w:rPr>
        <w:t>由液池表面气流运动使液体蒸发，称之为质量蒸发。其蒸发效率按下式计算：</w:t>
      </w:r>
    </w:p>
    <w:p>
      <w:pPr>
        <w:pStyle w:val="182"/>
        <w:keepNext w:val="0"/>
        <w:keepLines w:val="0"/>
        <w:widowControl/>
        <w:suppressLineNumbers w:val="0"/>
        <w:jc w:val="center"/>
        <w:rPr>
          <w:rFonts w:hint="eastAsia"/>
          <w:b/>
          <w:bCs w:val="0"/>
          <w:color w:val="000000" w:themeColor="text1"/>
          <w:u w:val="single"/>
          <w:lang w:val="en-US" w:eastAsia="zh-CN"/>
        </w:rPr>
      </w:pPr>
      <w:r>
        <w:rPr>
          <w:b/>
          <w:bCs w:val="0"/>
          <w:color w:val="000000" w:themeColor="text1"/>
          <w:u w:val="single"/>
        </w:rPr>
        <w:drawing>
          <wp:inline distT="0" distB="0" distL="114300" distR="114300">
            <wp:extent cx="1798320" cy="480060"/>
            <wp:effectExtent l="0" t="0" r="0" b="7620"/>
            <wp:docPr id="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5"/>
                    <pic:cNvPicPr>
                      <a:picLocks noChangeAspect="1"/>
                    </pic:cNvPicPr>
                  </pic:nvPicPr>
                  <pic:blipFill>
                    <a:blip r:embed="rId86"/>
                    <a:stretch>
                      <a:fillRect/>
                    </a:stretch>
                  </pic:blipFill>
                  <pic:spPr>
                    <a:xfrm>
                      <a:off x="0" y="0"/>
                      <a:ext cx="1798320" cy="480060"/>
                    </a:xfrm>
                    <a:prstGeom prst="rect">
                      <a:avLst/>
                    </a:prstGeom>
                    <a:noFill/>
                    <a:ln>
                      <a:noFill/>
                    </a:ln>
                  </pic:spPr>
                </pic:pic>
              </a:graphicData>
            </a:graphic>
          </wp:inline>
        </w:drawing>
      </w:r>
    </w:p>
    <w:p>
      <w:pPr>
        <w:keepNext w:val="0"/>
        <w:keepLines w:val="0"/>
        <w:widowControl/>
        <w:suppressLineNumbers w:val="0"/>
        <w:jc w:val="left"/>
        <w:rPr>
          <w:rFonts w:hint="eastAsia"/>
          <w:b/>
          <w:bCs w:val="0"/>
          <w:color w:val="000000" w:themeColor="text1"/>
          <w:u w:val="single"/>
        </w:rPr>
      </w:pPr>
      <w:r>
        <w:rPr>
          <w:rFonts w:hint="eastAsia"/>
          <w:b/>
          <w:bCs w:val="0"/>
          <w:color w:val="000000" w:themeColor="text1"/>
          <w:u w:val="single"/>
        </w:rPr>
        <w:t>式中：Q</w:t>
      </w:r>
      <w:r>
        <w:rPr>
          <w:rFonts w:hint="eastAsia"/>
          <w:b/>
          <w:bCs w:val="0"/>
          <w:color w:val="000000" w:themeColor="text1"/>
          <w:u w:val="single"/>
          <w:vertAlign w:val="subscript"/>
        </w:rPr>
        <w:t>3</w:t>
      </w:r>
      <w:r>
        <w:rPr>
          <w:rFonts w:hint="eastAsia"/>
          <w:b/>
          <w:bCs w:val="0"/>
          <w:color w:val="000000" w:themeColor="text1"/>
          <w:u w:val="single"/>
        </w:rPr>
        <w:t>—质量蒸发速率，kg/s；</w:t>
      </w:r>
    </w:p>
    <w:p>
      <w:pPr>
        <w:keepNext w:val="0"/>
        <w:keepLines w:val="0"/>
        <w:widowControl/>
        <w:suppressLineNumbers w:val="0"/>
        <w:ind w:firstLine="1205" w:firstLineChars="500"/>
        <w:jc w:val="left"/>
        <w:rPr>
          <w:rFonts w:hint="eastAsia"/>
          <w:b/>
          <w:bCs w:val="0"/>
          <w:color w:val="000000" w:themeColor="text1"/>
          <w:u w:val="single"/>
        </w:rPr>
      </w:pPr>
      <w:r>
        <w:rPr>
          <w:rFonts w:hint="eastAsia"/>
          <w:b/>
          <w:bCs w:val="0"/>
          <w:color w:val="000000" w:themeColor="text1"/>
          <w:u w:val="single"/>
        </w:rPr>
        <w:t>p—液体表面蒸发压，Pa；</w:t>
      </w:r>
    </w:p>
    <w:p>
      <w:pPr>
        <w:keepNext w:val="0"/>
        <w:keepLines w:val="0"/>
        <w:widowControl/>
        <w:suppressLineNumbers w:val="0"/>
        <w:ind w:firstLine="1205" w:firstLineChars="500"/>
        <w:jc w:val="left"/>
        <w:rPr>
          <w:rFonts w:hint="eastAsia"/>
          <w:b/>
          <w:bCs w:val="0"/>
          <w:color w:val="000000" w:themeColor="text1"/>
          <w:u w:val="single"/>
        </w:rPr>
      </w:pPr>
      <w:r>
        <w:rPr>
          <w:rFonts w:hint="eastAsia"/>
          <w:b/>
          <w:bCs w:val="0"/>
          <w:color w:val="000000" w:themeColor="text1"/>
          <w:u w:val="single"/>
        </w:rPr>
        <w:t>R—气体常数；</w:t>
      </w:r>
    </w:p>
    <w:p>
      <w:pPr>
        <w:keepNext w:val="0"/>
        <w:keepLines w:val="0"/>
        <w:widowControl/>
        <w:suppressLineNumbers w:val="0"/>
        <w:ind w:firstLine="1205" w:firstLineChars="500"/>
        <w:jc w:val="left"/>
        <w:rPr>
          <w:rFonts w:hint="eastAsia"/>
          <w:b/>
          <w:bCs w:val="0"/>
          <w:color w:val="000000" w:themeColor="text1"/>
          <w:u w:val="single"/>
        </w:rPr>
      </w:pPr>
      <w:r>
        <w:rPr>
          <w:rFonts w:hint="eastAsia"/>
          <w:b/>
          <w:bCs w:val="0"/>
          <w:color w:val="000000" w:themeColor="text1"/>
          <w:u w:val="single"/>
        </w:rPr>
        <w:t>T0—环境温度，K；</w:t>
      </w:r>
    </w:p>
    <w:p>
      <w:pPr>
        <w:keepNext w:val="0"/>
        <w:keepLines w:val="0"/>
        <w:widowControl/>
        <w:suppressLineNumbers w:val="0"/>
        <w:ind w:firstLine="1205" w:firstLineChars="500"/>
        <w:jc w:val="left"/>
        <w:rPr>
          <w:rFonts w:hint="eastAsia"/>
          <w:b/>
          <w:bCs w:val="0"/>
          <w:color w:val="000000" w:themeColor="text1"/>
          <w:u w:val="single"/>
        </w:rPr>
      </w:pPr>
      <w:r>
        <w:rPr>
          <w:rFonts w:hint="eastAsia"/>
          <w:b/>
          <w:bCs w:val="0"/>
          <w:color w:val="000000" w:themeColor="text1"/>
          <w:u w:val="single"/>
        </w:rPr>
        <w:t>M—物质的摩尔质量；</w:t>
      </w:r>
    </w:p>
    <w:p>
      <w:pPr>
        <w:keepNext w:val="0"/>
        <w:keepLines w:val="0"/>
        <w:widowControl/>
        <w:suppressLineNumbers w:val="0"/>
        <w:ind w:firstLine="1205" w:firstLineChars="500"/>
        <w:jc w:val="left"/>
        <w:rPr>
          <w:rFonts w:hint="eastAsia"/>
          <w:b/>
          <w:bCs w:val="0"/>
          <w:color w:val="000000" w:themeColor="text1"/>
          <w:u w:val="single"/>
        </w:rPr>
      </w:pPr>
      <w:r>
        <w:rPr>
          <w:rFonts w:hint="eastAsia"/>
          <w:b/>
          <w:bCs w:val="0"/>
          <w:color w:val="000000" w:themeColor="text1"/>
          <w:u w:val="single"/>
        </w:rPr>
        <w:t>u—风速，m/s；取1.5m/s；</w:t>
      </w:r>
    </w:p>
    <w:p>
      <w:pPr>
        <w:keepNext w:val="0"/>
        <w:keepLines w:val="0"/>
        <w:widowControl/>
        <w:suppressLineNumbers w:val="0"/>
        <w:ind w:firstLine="1205" w:firstLineChars="500"/>
        <w:jc w:val="left"/>
        <w:rPr>
          <w:rFonts w:hint="eastAsia"/>
          <w:b/>
          <w:bCs w:val="0"/>
          <w:color w:val="000000" w:themeColor="text1"/>
          <w:u w:val="single"/>
        </w:rPr>
      </w:pPr>
      <w:r>
        <w:rPr>
          <w:rFonts w:hint="eastAsia"/>
          <w:b/>
          <w:bCs w:val="0"/>
          <w:color w:val="000000" w:themeColor="text1"/>
          <w:u w:val="single"/>
        </w:rPr>
        <w:t>r—液池半径，m；</w:t>
      </w:r>
    </w:p>
    <w:p>
      <w:pPr>
        <w:keepNext w:val="0"/>
        <w:keepLines w:val="0"/>
        <w:widowControl/>
        <w:suppressLineNumbers w:val="0"/>
        <w:ind w:firstLine="1205" w:firstLineChars="500"/>
        <w:jc w:val="left"/>
        <w:rPr>
          <w:rFonts w:hint="eastAsia"/>
          <w:b/>
          <w:bCs w:val="0"/>
          <w:color w:val="000000" w:themeColor="text1"/>
          <w:u w:val="single"/>
          <w:lang w:val="en-US" w:eastAsia="zh-CN"/>
        </w:rPr>
      </w:pPr>
      <w:r>
        <w:rPr>
          <w:rFonts w:hint="eastAsia"/>
          <w:b/>
          <w:bCs w:val="0"/>
          <w:color w:val="000000" w:themeColor="text1"/>
          <w:u w:val="single"/>
        </w:rPr>
        <w:t>α,n—大气稳定度系数。</w:t>
      </w:r>
    </w:p>
    <w:p>
      <w:pPr>
        <w:pStyle w:val="7"/>
        <w:keepNext w:val="0"/>
        <w:keepLines w:val="0"/>
        <w:widowControl/>
        <w:suppressLineNumbers w:val="0"/>
        <w:jc w:val="left"/>
        <w:rPr>
          <w:b/>
          <w:bCs w:val="0"/>
          <w:color w:val="auto"/>
          <w:u w:val="single"/>
        </w:rPr>
      </w:pPr>
      <w:bookmarkStart w:id="333" w:name="_Toc8902"/>
      <w:r>
        <w:rPr>
          <w:rFonts w:hint="eastAsia"/>
          <w:b/>
          <w:bCs w:val="0"/>
          <w:color w:val="auto"/>
          <w:u w:val="single"/>
        </w:rPr>
        <w:t>5.</w:t>
      </w:r>
      <w:r>
        <w:rPr>
          <w:rFonts w:hint="eastAsia"/>
          <w:b/>
          <w:bCs w:val="0"/>
          <w:color w:val="auto"/>
          <w:u w:val="single"/>
          <w:lang w:val="en-US" w:eastAsia="zh-CN"/>
        </w:rPr>
        <w:t>10</w:t>
      </w:r>
      <w:r>
        <w:rPr>
          <w:rFonts w:hint="eastAsia"/>
          <w:b/>
          <w:bCs w:val="0"/>
          <w:color w:val="auto"/>
          <w:u w:val="single"/>
        </w:rPr>
        <w:t xml:space="preserve"> 风险预测与评价</w:t>
      </w:r>
      <w:bookmarkEnd w:id="333"/>
    </w:p>
    <w:p>
      <w:pPr>
        <w:pStyle w:val="9"/>
        <w:keepNext w:val="0"/>
        <w:keepLines w:val="0"/>
        <w:widowControl/>
        <w:suppressLineNumbers w:val="0"/>
        <w:jc w:val="left"/>
        <w:rPr>
          <w:rFonts w:hint="eastAsia"/>
          <w:b/>
          <w:bCs w:val="0"/>
          <w:color w:val="auto"/>
          <w:u w:val="single"/>
        </w:rPr>
      </w:pPr>
      <w:r>
        <w:rPr>
          <w:rFonts w:hint="eastAsia"/>
          <w:b/>
          <w:bCs w:val="0"/>
          <w:color w:val="auto"/>
          <w:u w:val="single"/>
        </w:rPr>
        <w:t>5.</w:t>
      </w:r>
      <w:r>
        <w:rPr>
          <w:rFonts w:hint="eastAsia"/>
          <w:b/>
          <w:bCs w:val="0"/>
          <w:color w:val="auto"/>
          <w:u w:val="single"/>
          <w:lang w:val="en-US" w:eastAsia="zh-CN"/>
        </w:rPr>
        <w:t>10</w:t>
      </w:r>
      <w:r>
        <w:rPr>
          <w:rFonts w:hint="eastAsia"/>
          <w:b/>
          <w:bCs w:val="0"/>
          <w:color w:val="auto"/>
          <w:u w:val="single"/>
        </w:rPr>
        <w:t>.1 大气环境风险预测</w:t>
      </w:r>
    </w:p>
    <w:p>
      <w:pPr>
        <w:pStyle w:val="10"/>
        <w:rPr>
          <w:b/>
          <w:bCs w:val="0"/>
          <w:color w:val="auto"/>
          <w:u w:val="single"/>
        </w:rPr>
      </w:pPr>
      <w:r>
        <w:rPr>
          <w:rFonts w:hint="eastAsia"/>
          <w:b/>
          <w:bCs w:val="0"/>
          <w:color w:val="auto"/>
          <w:u w:val="single"/>
          <w:lang w:val="en-US" w:eastAsia="zh-CN"/>
        </w:rPr>
        <w:t xml:space="preserve">5.10.1.1 </w:t>
      </w:r>
      <w:r>
        <w:rPr>
          <w:b/>
          <w:bCs w:val="0"/>
          <w:color w:val="auto"/>
          <w:u w:val="single"/>
        </w:rPr>
        <w:t>风险识别及源强汇总</w:t>
      </w:r>
    </w:p>
    <w:p>
      <w:pPr>
        <w:pStyle w:val="181"/>
        <w:spacing w:line="480" w:lineRule="exact"/>
        <w:jc w:val="center"/>
        <w:rPr>
          <w:b/>
          <w:bCs w:val="0"/>
          <w:color w:val="auto"/>
          <w:u w:val="single"/>
        </w:rPr>
      </w:pPr>
      <w:r>
        <w:rPr>
          <w:rFonts w:hint="eastAsia"/>
          <w:b/>
          <w:bCs w:val="0"/>
          <w:color w:val="auto"/>
          <w:u w:val="single"/>
          <w:lang w:val="en-US" w:eastAsia="zh-CN"/>
        </w:rPr>
        <w:t xml:space="preserve">表5.10-1                  </w:t>
      </w:r>
      <w:r>
        <w:rPr>
          <w:b/>
          <w:bCs w:val="0"/>
          <w:color w:val="auto"/>
          <w:u w:val="single"/>
        </w:rPr>
        <w:t>建设项目源强一览表</w:t>
      </w:r>
    </w:p>
    <w:tbl>
      <w:tblPr>
        <w:tblStyle w:val="32"/>
        <w:tblW w:w="8527"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 w:type="dxa"/>
          <w:bottom w:w="0" w:type="dxa"/>
          <w:right w:w="10" w:type="dxa"/>
        </w:tblCellMar>
      </w:tblPr>
      <w:tblGrid>
        <w:gridCol w:w="389"/>
        <w:gridCol w:w="933"/>
        <w:gridCol w:w="753"/>
        <w:gridCol w:w="785"/>
        <w:gridCol w:w="589"/>
        <w:gridCol w:w="873"/>
        <w:gridCol w:w="916"/>
        <w:gridCol w:w="1102"/>
        <w:gridCol w:w="1124"/>
        <w:gridCol w:w="1063"/>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800" w:hRule="atLeast"/>
          <w:jc w:val="center"/>
        </w:trPr>
        <w:tc>
          <w:tcPr>
            <w:tcW w:w="389" w:type="dxa"/>
            <w:vAlign w:val="center"/>
          </w:tcPr>
          <w:p>
            <w:pPr>
              <w:pStyle w:val="182"/>
              <w:bidi w:val="0"/>
              <w:rPr>
                <w:b/>
                <w:bCs w:val="0"/>
                <w:u w:val="single"/>
              </w:rPr>
            </w:pPr>
            <w:r>
              <w:rPr>
                <w:b/>
                <w:bCs w:val="0"/>
                <w:u w:val="single"/>
              </w:rPr>
              <w:t>序号</w:t>
            </w:r>
          </w:p>
        </w:tc>
        <w:tc>
          <w:tcPr>
            <w:tcW w:w="933" w:type="dxa"/>
            <w:vAlign w:val="center"/>
          </w:tcPr>
          <w:p>
            <w:pPr>
              <w:pStyle w:val="182"/>
              <w:bidi w:val="0"/>
              <w:rPr>
                <w:b/>
                <w:bCs w:val="0"/>
                <w:u w:val="single"/>
              </w:rPr>
            </w:pPr>
            <w:r>
              <w:rPr>
                <w:b/>
                <w:bCs w:val="0"/>
                <w:u w:val="single"/>
              </w:rPr>
              <w:t>风险事故情形描述</w:t>
            </w:r>
          </w:p>
        </w:tc>
        <w:tc>
          <w:tcPr>
            <w:tcW w:w="753" w:type="dxa"/>
            <w:vAlign w:val="center"/>
          </w:tcPr>
          <w:p>
            <w:pPr>
              <w:pStyle w:val="182"/>
              <w:bidi w:val="0"/>
              <w:rPr>
                <w:b/>
                <w:bCs w:val="0"/>
                <w:u w:val="single"/>
              </w:rPr>
            </w:pPr>
            <w:r>
              <w:rPr>
                <w:b/>
                <w:bCs w:val="0"/>
                <w:u w:val="single"/>
              </w:rPr>
              <w:t>危险单元</w:t>
            </w:r>
          </w:p>
        </w:tc>
        <w:tc>
          <w:tcPr>
            <w:tcW w:w="785" w:type="dxa"/>
            <w:vAlign w:val="center"/>
          </w:tcPr>
          <w:p>
            <w:pPr>
              <w:pStyle w:val="182"/>
              <w:bidi w:val="0"/>
              <w:rPr>
                <w:b/>
                <w:bCs w:val="0"/>
                <w:u w:val="single"/>
              </w:rPr>
            </w:pPr>
            <w:r>
              <w:rPr>
                <w:b/>
                <w:bCs w:val="0"/>
                <w:u w:val="single"/>
              </w:rPr>
              <w:t>危险物质</w:t>
            </w:r>
          </w:p>
        </w:tc>
        <w:tc>
          <w:tcPr>
            <w:tcW w:w="589" w:type="dxa"/>
            <w:vAlign w:val="center"/>
          </w:tcPr>
          <w:p>
            <w:pPr>
              <w:pStyle w:val="182"/>
              <w:bidi w:val="0"/>
              <w:rPr>
                <w:b/>
                <w:bCs w:val="0"/>
                <w:u w:val="single"/>
              </w:rPr>
            </w:pPr>
            <w:r>
              <w:rPr>
                <w:b/>
                <w:bCs w:val="0"/>
                <w:u w:val="single"/>
              </w:rPr>
              <w:t>影响途径</w:t>
            </w:r>
          </w:p>
        </w:tc>
        <w:tc>
          <w:tcPr>
            <w:tcW w:w="873" w:type="dxa"/>
            <w:vAlign w:val="center"/>
          </w:tcPr>
          <w:p>
            <w:pPr>
              <w:pStyle w:val="182"/>
              <w:bidi w:val="0"/>
              <w:rPr>
                <w:b/>
                <w:bCs w:val="0"/>
                <w:u w:val="single"/>
              </w:rPr>
            </w:pPr>
            <w:r>
              <w:rPr>
                <w:b/>
                <w:bCs w:val="0"/>
                <w:u w:val="single"/>
              </w:rPr>
              <w:t>释放或泄露速率(kg/s)</w:t>
            </w:r>
          </w:p>
        </w:tc>
        <w:tc>
          <w:tcPr>
            <w:tcW w:w="916" w:type="dxa"/>
            <w:vAlign w:val="center"/>
          </w:tcPr>
          <w:p>
            <w:pPr>
              <w:pStyle w:val="182"/>
              <w:bidi w:val="0"/>
              <w:rPr>
                <w:b/>
                <w:bCs w:val="0"/>
                <w:u w:val="single"/>
              </w:rPr>
            </w:pPr>
            <w:r>
              <w:rPr>
                <w:b/>
                <w:bCs w:val="0"/>
                <w:u w:val="single"/>
              </w:rPr>
              <w:t>释放或泄露时间(min)</w:t>
            </w:r>
          </w:p>
        </w:tc>
        <w:tc>
          <w:tcPr>
            <w:tcW w:w="1102" w:type="dxa"/>
            <w:vAlign w:val="center"/>
          </w:tcPr>
          <w:p>
            <w:pPr>
              <w:pStyle w:val="182"/>
              <w:bidi w:val="0"/>
              <w:rPr>
                <w:b/>
                <w:bCs w:val="0"/>
                <w:u w:val="single"/>
              </w:rPr>
            </w:pPr>
            <w:r>
              <w:rPr>
                <w:b/>
                <w:bCs w:val="0"/>
                <w:u w:val="single"/>
              </w:rPr>
              <w:t>最大释放或者泄露量(kg)</w:t>
            </w:r>
          </w:p>
        </w:tc>
        <w:tc>
          <w:tcPr>
            <w:tcW w:w="1124" w:type="dxa"/>
            <w:vAlign w:val="center"/>
          </w:tcPr>
          <w:p>
            <w:pPr>
              <w:pStyle w:val="182"/>
              <w:bidi w:val="0"/>
              <w:rPr>
                <w:b/>
                <w:bCs w:val="0"/>
                <w:u w:val="single"/>
              </w:rPr>
            </w:pPr>
            <w:r>
              <w:rPr>
                <w:b/>
                <w:bCs w:val="0"/>
                <w:u w:val="single"/>
              </w:rPr>
              <w:t>气象数据名称</w:t>
            </w:r>
          </w:p>
        </w:tc>
        <w:tc>
          <w:tcPr>
            <w:tcW w:w="1063" w:type="dxa"/>
            <w:vAlign w:val="center"/>
          </w:tcPr>
          <w:p>
            <w:pPr>
              <w:pStyle w:val="182"/>
              <w:bidi w:val="0"/>
              <w:rPr>
                <w:b/>
                <w:bCs w:val="0"/>
                <w:u w:val="single"/>
              </w:rPr>
            </w:pPr>
            <w:r>
              <w:rPr>
                <w:b/>
                <w:bCs w:val="0"/>
                <w:u w:val="single"/>
              </w:rPr>
              <w:t>泄露液池蒸发量(kg)</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800" w:hRule="atLeast"/>
          <w:jc w:val="center"/>
        </w:trPr>
        <w:tc>
          <w:tcPr>
            <w:tcW w:w="389" w:type="dxa"/>
            <w:vAlign w:val="center"/>
          </w:tcPr>
          <w:p>
            <w:pPr>
              <w:pStyle w:val="182"/>
              <w:bidi w:val="0"/>
              <w:rPr>
                <w:b/>
                <w:bCs w:val="0"/>
                <w:u w:val="single"/>
              </w:rPr>
            </w:pPr>
            <w:r>
              <w:rPr>
                <w:b/>
                <w:bCs w:val="0"/>
                <w:u w:val="single"/>
              </w:rPr>
              <w:t>1</w:t>
            </w:r>
          </w:p>
        </w:tc>
        <w:tc>
          <w:tcPr>
            <w:tcW w:w="933" w:type="dxa"/>
            <w:vAlign w:val="center"/>
          </w:tcPr>
          <w:p>
            <w:pPr>
              <w:pStyle w:val="182"/>
              <w:bidi w:val="0"/>
              <w:rPr>
                <w:b/>
                <w:bCs w:val="0"/>
                <w:u w:val="single"/>
              </w:rPr>
            </w:pPr>
            <w:r>
              <w:rPr>
                <w:b/>
                <w:bCs w:val="0"/>
                <w:u w:val="single"/>
              </w:rPr>
              <w:t>液池蒸发</w:t>
            </w:r>
          </w:p>
        </w:tc>
        <w:tc>
          <w:tcPr>
            <w:tcW w:w="753" w:type="dxa"/>
            <w:vAlign w:val="center"/>
          </w:tcPr>
          <w:p>
            <w:pPr>
              <w:pStyle w:val="182"/>
              <w:bidi w:val="0"/>
              <w:rPr>
                <w:b/>
                <w:bCs w:val="0"/>
                <w:u w:val="single"/>
              </w:rPr>
            </w:pPr>
            <w:r>
              <w:rPr>
                <w:b/>
                <w:bCs w:val="0"/>
                <w:u w:val="single"/>
              </w:rPr>
              <w:t>常温常压液体容器</w:t>
            </w:r>
          </w:p>
        </w:tc>
        <w:tc>
          <w:tcPr>
            <w:tcW w:w="785" w:type="dxa"/>
            <w:vAlign w:val="center"/>
          </w:tcPr>
          <w:p>
            <w:pPr>
              <w:pStyle w:val="182"/>
              <w:bidi w:val="0"/>
              <w:rPr>
                <w:b/>
                <w:bCs w:val="0"/>
                <w:u w:val="single"/>
              </w:rPr>
            </w:pPr>
            <w:r>
              <w:rPr>
                <w:b/>
                <w:bCs w:val="0"/>
                <w:u w:val="single"/>
              </w:rPr>
              <w:t>浓硫酸</w:t>
            </w:r>
          </w:p>
        </w:tc>
        <w:tc>
          <w:tcPr>
            <w:tcW w:w="589" w:type="dxa"/>
            <w:vAlign w:val="center"/>
          </w:tcPr>
          <w:p>
            <w:pPr>
              <w:pStyle w:val="182"/>
              <w:bidi w:val="0"/>
              <w:rPr>
                <w:b/>
                <w:bCs w:val="0"/>
                <w:u w:val="single"/>
              </w:rPr>
            </w:pPr>
            <w:r>
              <w:rPr>
                <w:b/>
                <w:bCs w:val="0"/>
                <w:u w:val="single"/>
              </w:rPr>
              <w:t>大气</w:t>
            </w:r>
          </w:p>
        </w:tc>
        <w:tc>
          <w:tcPr>
            <w:tcW w:w="873" w:type="dxa"/>
            <w:vAlign w:val="center"/>
          </w:tcPr>
          <w:p>
            <w:pPr>
              <w:pStyle w:val="182"/>
              <w:bidi w:val="0"/>
              <w:rPr>
                <w:b/>
                <w:bCs w:val="0"/>
                <w:u w:val="single"/>
              </w:rPr>
            </w:pPr>
            <w:r>
              <w:rPr>
                <w:b/>
                <w:bCs w:val="0"/>
                <w:u w:val="single"/>
              </w:rPr>
              <w:t>10.0447</w:t>
            </w:r>
          </w:p>
        </w:tc>
        <w:tc>
          <w:tcPr>
            <w:tcW w:w="916" w:type="dxa"/>
            <w:vAlign w:val="center"/>
          </w:tcPr>
          <w:p>
            <w:pPr>
              <w:pStyle w:val="182"/>
              <w:bidi w:val="0"/>
              <w:rPr>
                <w:b/>
                <w:bCs w:val="0"/>
                <w:u w:val="single"/>
              </w:rPr>
            </w:pPr>
            <w:r>
              <w:rPr>
                <w:b/>
                <w:bCs w:val="0"/>
                <w:u w:val="single"/>
              </w:rPr>
              <w:t>30.00</w:t>
            </w:r>
          </w:p>
        </w:tc>
        <w:tc>
          <w:tcPr>
            <w:tcW w:w="1102" w:type="dxa"/>
            <w:vAlign w:val="center"/>
          </w:tcPr>
          <w:p>
            <w:pPr>
              <w:pStyle w:val="182"/>
              <w:bidi w:val="0"/>
              <w:rPr>
                <w:b/>
                <w:bCs w:val="0"/>
                <w:u w:val="single"/>
              </w:rPr>
            </w:pPr>
            <w:r>
              <w:rPr>
                <w:b/>
                <w:bCs w:val="0"/>
                <w:u w:val="single"/>
              </w:rPr>
              <w:t>18080.4600</w:t>
            </w:r>
          </w:p>
        </w:tc>
        <w:tc>
          <w:tcPr>
            <w:tcW w:w="1124" w:type="dxa"/>
            <w:vAlign w:val="center"/>
          </w:tcPr>
          <w:p>
            <w:pPr>
              <w:pStyle w:val="182"/>
              <w:bidi w:val="0"/>
              <w:rPr>
                <w:b/>
                <w:bCs w:val="0"/>
                <w:u w:val="single"/>
              </w:rPr>
            </w:pPr>
            <w:r>
              <w:rPr>
                <w:b/>
                <w:bCs w:val="0"/>
                <w:u w:val="single"/>
              </w:rPr>
              <w:t>最不利气象条件</w:t>
            </w:r>
          </w:p>
        </w:tc>
        <w:tc>
          <w:tcPr>
            <w:tcW w:w="1063" w:type="dxa"/>
            <w:vAlign w:val="center"/>
          </w:tcPr>
          <w:p>
            <w:pPr>
              <w:pStyle w:val="182"/>
              <w:bidi w:val="0"/>
              <w:rPr>
                <w:b/>
                <w:bCs w:val="0"/>
                <w:u w:val="single"/>
              </w:rPr>
            </w:pPr>
            <w:r>
              <w:rPr>
                <w:b/>
                <w:bCs w:val="0"/>
                <w:u w:val="single"/>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800" w:hRule="atLeast"/>
          <w:jc w:val="center"/>
        </w:trPr>
        <w:tc>
          <w:tcPr>
            <w:tcW w:w="389" w:type="dxa"/>
            <w:vAlign w:val="center"/>
          </w:tcPr>
          <w:p>
            <w:pPr>
              <w:pStyle w:val="182"/>
              <w:bidi w:val="0"/>
              <w:rPr>
                <w:b/>
                <w:bCs w:val="0"/>
                <w:u w:val="single"/>
              </w:rPr>
            </w:pPr>
            <w:r>
              <w:rPr>
                <w:b/>
                <w:bCs w:val="0"/>
                <w:u w:val="single"/>
              </w:rPr>
              <w:t>2</w:t>
            </w:r>
          </w:p>
        </w:tc>
        <w:tc>
          <w:tcPr>
            <w:tcW w:w="933" w:type="dxa"/>
            <w:vAlign w:val="center"/>
          </w:tcPr>
          <w:p>
            <w:pPr>
              <w:pStyle w:val="182"/>
              <w:bidi w:val="0"/>
              <w:rPr>
                <w:b/>
                <w:bCs w:val="0"/>
                <w:u w:val="single"/>
              </w:rPr>
            </w:pPr>
            <w:r>
              <w:rPr>
                <w:b/>
                <w:bCs w:val="0"/>
                <w:u w:val="single"/>
              </w:rPr>
              <w:t>液池蒸发</w:t>
            </w:r>
          </w:p>
        </w:tc>
        <w:tc>
          <w:tcPr>
            <w:tcW w:w="753" w:type="dxa"/>
            <w:vAlign w:val="center"/>
          </w:tcPr>
          <w:p>
            <w:pPr>
              <w:pStyle w:val="182"/>
              <w:bidi w:val="0"/>
              <w:rPr>
                <w:b/>
                <w:bCs w:val="0"/>
                <w:u w:val="single"/>
              </w:rPr>
            </w:pPr>
            <w:r>
              <w:rPr>
                <w:b/>
                <w:bCs w:val="0"/>
                <w:u w:val="single"/>
              </w:rPr>
              <w:t>常温常压液体容器</w:t>
            </w:r>
          </w:p>
        </w:tc>
        <w:tc>
          <w:tcPr>
            <w:tcW w:w="785" w:type="dxa"/>
            <w:vAlign w:val="center"/>
          </w:tcPr>
          <w:p>
            <w:pPr>
              <w:pStyle w:val="182"/>
              <w:bidi w:val="0"/>
              <w:rPr>
                <w:b/>
                <w:bCs w:val="0"/>
                <w:u w:val="single"/>
              </w:rPr>
            </w:pPr>
            <w:r>
              <w:rPr>
                <w:b/>
                <w:bCs w:val="0"/>
                <w:u w:val="single"/>
              </w:rPr>
              <w:t>浓硫酸</w:t>
            </w:r>
          </w:p>
        </w:tc>
        <w:tc>
          <w:tcPr>
            <w:tcW w:w="589" w:type="dxa"/>
            <w:vAlign w:val="center"/>
          </w:tcPr>
          <w:p>
            <w:pPr>
              <w:pStyle w:val="182"/>
              <w:bidi w:val="0"/>
              <w:rPr>
                <w:b/>
                <w:bCs w:val="0"/>
                <w:u w:val="single"/>
              </w:rPr>
            </w:pPr>
            <w:r>
              <w:rPr>
                <w:b/>
                <w:bCs w:val="0"/>
                <w:u w:val="single"/>
              </w:rPr>
              <w:t>大气</w:t>
            </w:r>
          </w:p>
        </w:tc>
        <w:tc>
          <w:tcPr>
            <w:tcW w:w="873" w:type="dxa"/>
            <w:vAlign w:val="center"/>
          </w:tcPr>
          <w:p>
            <w:pPr>
              <w:pStyle w:val="182"/>
              <w:bidi w:val="0"/>
              <w:rPr>
                <w:b/>
                <w:bCs w:val="0"/>
                <w:u w:val="single"/>
              </w:rPr>
            </w:pPr>
            <w:r>
              <w:rPr>
                <w:b/>
                <w:bCs w:val="0"/>
                <w:u w:val="single"/>
              </w:rPr>
              <w:t>10.0447</w:t>
            </w:r>
          </w:p>
        </w:tc>
        <w:tc>
          <w:tcPr>
            <w:tcW w:w="916" w:type="dxa"/>
            <w:vAlign w:val="center"/>
          </w:tcPr>
          <w:p>
            <w:pPr>
              <w:pStyle w:val="182"/>
              <w:bidi w:val="0"/>
              <w:rPr>
                <w:b/>
                <w:bCs w:val="0"/>
                <w:u w:val="single"/>
              </w:rPr>
            </w:pPr>
            <w:r>
              <w:rPr>
                <w:b/>
                <w:bCs w:val="0"/>
                <w:u w:val="single"/>
              </w:rPr>
              <w:t>1293.02</w:t>
            </w:r>
          </w:p>
        </w:tc>
        <w:tc>
          <w:tcPr>
            <w:tcW w:w="1102" w:type="dxa"/>
            <w:vAlign w:val="center"/>
          </w:tcPr>
          <w:p>
            <w:pPr>
              <w:pStyle w:val="182"/>
              <w:bidi w:val="0"/>
              <w:rPr>
                <w:b/>
                <w:bCs w:val="0"/>
                <w:u w:val="single"/>
              </w:rPr>
            </w:pPr>
            <w:r>
              <w:rPr>
                <w:b/>
                <w:bCs w:val="0"/>
                <w:u w:val="single"/>
              </w:rPr>
              <w:t>779266.8223</w:t>
            </w:r>
          </w:p>
        </w:tc>
        <w:tc>
          <w:tcPr>
            <w:tcW w:w="1124" w:type="dxa"/>
            <w:vAlign w:val="center"/>
          </w:tcPr>
          <w:p>
            <w:pPr>
              <w:pStyle w:val="182"/>
              <w:bidi w:val="0"/>
              <w:rPr>
                <w:b/>
                <w:bCs w:val="0"/>
                <w:u w:val="single"/>
              </w:rPr>
            </w:pPr>
            <w:r>
              <w:rPr>
                <w:b/>
                <w:bCs w:val="0"/>
                <w:u w:val="single"/>
              </w:rPr>
              <w:t>最不利气象条件</w:t>
            </w:r>
          </w:p>
        </w:tc>
        <w:tc>
          <w:tcPr>
            <w:tcW w:w="1063" w:type="dxa"/>
            <w:vAlign w:val="center"/>
          </w:tcPr>
          <w:p>
            <w:pPr>
              <w:pStyle w:val="182"/>
              <w:bidi w:val="0"/>
              <w:rPr>
                <w:b/>
                <w:bCs w:val="0"/>
                <w:u w:val="single"/>
              </w:rPr>
            </w:pPr>
            <w:r>
              <w:rPr>
                <w:b/>
                <w:bCs w:val="0"/>
                <w:u w:val="single"/>
              </w:rPr>
              <w:t>779266.8223</w:t>
            </w:r>
          </w:p>
        </w:tc>
      </w:tr>
    </w:tbl>
    <w:p>
      <w:pPr>
        <w:pStyle w:val="10"/>
        <w:bidi w:val="0"/>
        <w:rPr>
          <w:b/>
          <w:bCs w:val="0"/>
          <w:color w:val="auto"/>
          <w:u w:val="single"/>
        </w:rPr>
      </w:pPr>
      <w:r>
        <w:rPr>
          <w:rFonts w:hint="eastAsia"/>
          <w:b/>
          <w:bCs w:val="0"/>
          <w:color w:val="auto"/>
          <w:u w:val="single"/>
          <w:lang w:val="en-US" w:eastAsia="zh-CN"/>
        </w:rPr>
        <w:t xml:space="preserve">5.10.1.2  </w:t>
      </w:r>
      <w:r>
        <w:rPr>
          <w:b/>
          <w:bCs w:val="0"/>
          <w:color w:val="auto"/>
          <w:u w:val="single"/>
        </w:rPr>
        <w:t>大气风险预测模型主要参数表</w:t>
      </w:r>
    </w:p>
    <w:p>
      <w:pPr>
        <w:pStyle w:val="181"/>
        <w:spacing w:line="480" w:lineRule="exact"/>
        <w:jc w:val="center"/>
        <w:rPr>
          <w:b/>
          <w:bCs w:val="0"/>
          <w:color w:val="auto"/>
          <w:u w:val="single"/>
        </w:rPr>
      </w:pPr>
      <w:r>
        <w:rPr>
          <w:rFonts w:hint="eastAsia"/>
          <w:b/>
          <w:bCs w:val="0"/>
          <w:color w:val="auto"/>
          <w:u w:val="single"/>
          <w:lang w:val="en-US" w:eastAsia="zh-CN"/>
        </w:rPr>
        <w:t>表5.10-2</w:t>
      </w:r>
      <w:r>
        <w:rPr>
          <w:b/>
          <w:bCs w:val="0"/>
          <w:color w:val="auto"/>
          <w:u w:val="single"/>
        </w:rPr>
        <w:t xml:space="preserve">
 </w:t>
      </w:r>
      <w:r>
        <w:rPr>
          <w:rFonts w:hint="eastAsia"/>
          <w:b/>
          <w:bCs w:val="0"/>
          <w:color w:val="auto"/>
          <w:u w:val="single"/>
          <w:lang w:val="en-US" w:eastAsia="zh-CN"/>
        </w:rPr>
        <w:t xml:space="preserve">         </w:t>
      </w:r>
      <w:r>
        <w:rPr>
          <w:b/>
          <w:bCs w:val="0"/>
          <w:color w:val="auto"/>
          <w:u w:val="single"/>
        </w:rPr>
        <w:t>大气风险预测模型主要参数表</w:t>
      </w:r>
    </w:p>
    <w:tbl>
      <w:tblPr>
        <w:tblStyle w:val="32"/>
        <w:tblW w:w="5000" w:type="pct"/>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1033"/>
        <w:gridCol w:w="2459"/>
        <w:gridCol w:w="4835"/>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8327" w:type="dxa"/>
            <w:gridSpan w:val="3"/>
            <w:vAlign w:val="center"/>
          </w:tcPr>
          <w:p>
            <w:pPr>
              <w:pStyle w:val="182"/>
              <w:bidi w:val="0"/>
              <w:rPr>
                <w:b/>
                <w:bCs w:val="0"/>
                <w:u w:val="single"/>
              </w:rPr>
            </w:pPr>
            <w:r>
              <w:rPr>
                <w:b/>
                <w:bCs w:val="0"/>
                <w:u w:val="single"/>
              </w:rPr>
              <w:t>常温常压液体容器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Align w:val="center"/>
          </w:tcPr>
          <w:p>
            <w:pPr>
              <w:pStyle w:val="182"/>
              <w:bidi w:val="0"/>
              <w:rPr>
                <w:b/>
                <w:bCs w:val="0"/>
                <w:u w:val="single"/>
              </w:rPr>
            </w:pPr>
            <w:r>
              <w:rPr>
                <w:b/>
                <w:bCs w:val="0"/>
                <w:u w:val="single"/>
              </w:rPr>
              <w:t>参数类型</w:t>
            </w:r>
          </w:p>
        </w:tc>
        <w:tc>
          <w:tcPr>
            <w:tcW w:w="2459" w:type="dxa"/>
            <w:vAlign w:val="center"/>
          </w:tcPr>
          <w:p>
            <w:pPr>
              <w:pStyle w:val="182"/>
              <w:bidi w:val="0"/>
              <w:rPr>
                <w:b/>
                <w:bCs w:val="0"/>
                <w:u w:val="single"/>
              </w:rPr>
            </w:pPr>
            <w:r>
              <w:rPr>
                <w:b/>
                <w:bCs w:val="0"/>
                <w:u w:val="single"/>
              </w:rPr>
              <w:t>选项</w:t>
            </w:r>
          </w:p>
        </w:tc>
        <w:tc>
          <w:tcPr>
            <w:tcW w:w="4835" w:type="dxa"/>
            <w:vAlign w:val="center"/>
          </w:tcPr>
          <w:p>
            <w:pPr>
              <w:pStyle w:val="182"/>
              <w:bidi w:val="0"/>
              <w:rPr>
                <w:b/>
                <w:bCs w:val="0"/>
                <w:u w:val="single"/>
              </w:rPr>
            </w:pPr>
            <w:r>
              <w:rPr>
                <w:b/>
                <w:bCs w:val="0"/>
                <w:u w:val="single"/>
              </w:rPr>
              <w:t>参数</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restart"/>
            <w:vAlign w:val="center"/>
          </w:tcPr>
          <w:p>
            <w:pPr>
              <w:pStyle w:val="182"/>
              <w:bidi w:val="0"/>
              <w:rPr>
                <w:b/>
                <w:bCs w:val="0"/>
                <w:u w:val="single"/>
              </w:rPr>
            </w:pPr>
            <w:r>
              <w:rPr>
                <w:b/>
                <w:bCs w:val="0"/>
                <w:u w:val="single"/>
              </w:rPr>
              <w:t>基本情况</w:t>
            </w:r>
          </w:p>
        </w:tc>
        <w:tc>
          <w:tcPr>
            <w:tcW w:w="2459" w:type="dxa"/>
            <w:vAlign w:val="center"/>
          </w:tcPr>
          <w:p>
            <w:pPr>
              <w:pStyle w:val="182"/>
              <w:bidi w:val="0"/>
              <w:rPr>
                <w:b/>
                <w:bCs w:val="0"/>
                <w:u w:val="single"/>
              </w:rPr>
            </w:pPr>
            <w:r>
              <w:rPr>
                <w:b/>
                <w:bCs w:val="0"/>
                <w:u w:val="single"/>
              </w:rPr>
              <w:t>事故源经度(°)</w:t>
            </w:r>
          </w:p>
        </w:tc>
        <w:tc>
          <w:tcPr>
            <w:tcW w:w="4835" w:type="dxa"/>
            <w:vAlign w:val="center"/>
          </w:tcPr>
          <w:p>
            <w:pPr>
              <w:pStyle w:val="182"/>
              <w:bidi w:val="0"/>
              <w:rPr>
                <w:b/>
                <w:bCs w:val="0"/>
                <w:u w:val="single"/>
              </w:rPr>
            </w:pPr>
            <w:r>
              <w:rPr>
                <w:b/>
                <w:bCs w:val="0"/>
                <w:u w:val="single"/>
              </w:rPr>
              <w:t>114.071572</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continue"/>
            <w:vAlign w:val="center"/>
          </w:tcPr>
          <w:p>
            <w:pPr>
              <w:pStyle w:val="182"/>
              <w:bidi w:val="0"/>
              <w:rPr>
                <w:b/>
                <w:bCs w:val="0"/>
                <w:u w:val="single"/>
              </w:rPr>
            </w:pPr>
          </w:p>
        </w:tc>
        <w:tc>
          <w:tcPr>
            <w:tcW w:w="2459" w:type="dxa"/>
            <w:vAlign w:val="center"/>
          </w:tcPr>
          <w:p>
            <w:pPr>
              <w:pStyle w:val="182"/>
              <w:bidi w:val="0"/>
              <w:rPr>
                <w:b/>
                <w:bCs w:val="0"/>
                <w:u w:val="single"/>
              </w:rPr>
            </w:pPr>
            <w:r>
              <w:rPr>
                <w:b/>
                <w:bCs w:val="0"/>
                <w:u w:val="single"/>
              </w:rPr>
              <w:t>事故源纬度(°)</w:t>
            </w:r>
          </w:p>
        </w:tc>
        <w:tc>
          <w:tcPr>
            <w:tcW w:w="4835" w:type="dxa"/>
            <w:vAlign w:val="center"/>
          </w:tcPr>
          <w:p>
            <w:pPr>
              <w:pStyle w:val="182"/>
              <w:bidi w:val="0"/>
              <w:rPr>
                <w:b/>
                <w:bCs w:val="0"/>
                <w:u w:val="single"/>
              </w:rPr>
            </w:pPr>
            <w:r>
              <w:rPr>
                <w:b/>
                <w:bCs w:val="0"/>
                <w:u w:val="single"/>
              </w:rPr>
              <w:t>35.2778</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continue"/>
            <w:vAlign w:val="center"/>
          </w:tcPr>
          <w:p>
            <w:pPr>
              <w:pStyle w:val="182"/>
              <w:bidi w:val="0"/>
              <w:rPr>
                <w:b/>
                <w:bCs w:val="0"/>
                <w:u w:val="single"/>
              </w:rPr>
            </w:pPr>
          </w:p>
        </w:tc>
        <w:tc>
          <w:tcPr>
            <w:tcW w:w="2459" w:type="dxa"/>
            <w:vAlign w:val="center"/>
          </w:tcPr>
          <w:p>
            <w:pPr>
              <w:pStyle w:val="182"/>
              <w:bidi w:val="0"/>
              <w:rPr>
                <w:b/>
                <w:bCs w:val="0"/>
                <w:u w:val="single"/>
              </w:rPr>
            </w:pPr>
            <w:r>
              <w:rPr>
                <w:b/>
                <w:bCs w:val="0"/>
                <w:u w:val="single"/>
              </w:rPr>
              <w:t>事故源类型</w:t>
            </w:r>
          </w:p>
        </w:tc>
        <w:tc>
          <w:tcPr>
            <w:tcW w:w="4835" w:type="dxa"/>
            <w:vAlign w:val="center"/>
          </w:tcPr>
          <w:p>
            <w:pPr>
              <w:pStyle w:val="182"/>
              <w:bidi w:val="0"/>
              <w:rPr>
                <w:b/>
                <w:bCs w:val="0"/>
                <w:u w:val="single"/>
              </w:rPr>
            </w:pPr>
            <w:r>
              <w:rPr>
                <w:b/>
                <w:bCs w:val="0"/>
                <w:u w:val="single"/>
              </w:rPr>
              <w:t>液体泄漏</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restart"/>
            <w:vAlign w:val="center"/>
          </w:tcPr>
          <w:p>
            <w:pPr>
              <w:pStyle w:val="182"/>
              <w:bidi w:val="0"/>
              <w:rPr>
                <w:b/>
                <w:bCs w:val="0"/>
                <w:u w:val="single"/>
              </w:rPr>
            </w:pPr>
            <w:r>
              <w:rPr>
                <w:b/>
                <w:bCs w:val="0"/>
                <w:u w:val="single"/>
              </w:rPr>
              <w:t>气象参数</w:t>
            </w:r>
          </w:p>
        </w:tc>
        <w:tc>
          <w:tcPr>
            <w:tcW w:w="2459" w:type="dxa"/>
            <w:vAlign w:val="center"/>
          </w:tcPr>
          <w:p>
            <w:pPr>
              <w:pStyle w:val="182"/>
              <w:bidi w:val="0"/>
              <w:rPr>
                <w:b/>
                <w:bCs w:val="0"/>
                <w:u w:val="single"/>
              </w:rPr>
            </w:pPr>
            <w:r>
              <w:rPr>
                <w:b/>
                <w:bCs w:val="0"/>
                <w:u w:val="single"/>
              </w:rPr>
              <w:t>气象条件类型</w:t>
            </w:r>
          </w:p>
        </w:tc>
        <w:tc>
          <w:tcPr>
            <w:tcW w:w="4835" w:type="dxa"/>
            <w:vAlign w:val="center"/>
          </w:tcPr>
          <w:p>
            <w:pPr>
              <w:pStyle w:val="182"/>
              <w:bidi w:val="0"/>
              <w:rPr>
                <w:b/>
                <w:bCs w:val="0"/>
                <w:u w:val="single"/>
              </w:rPr>
            </w:pPr>
            <w:r>
              <w:rPr>
                <w:b/>
                <w:bCs w:val="0"/>
                <w:u w:val="single"/>
              </w:rPr>
              <w:t>最不利气象条件</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continue"/>
            <w:vAlign w:val="center"/>
          </w:tcPr>
          <w:p>
            <w:pPr>
              <w:pStyle w:val="182"/>
              <w:bidi w:val="0"/>
              <w:rPr>
                <w:b/>
                <w:bCs w:val="0"/>
                <w:u w:val="single"/>
              </w:rPr>
            </w:pPr>
          </w:p>
        </w:tc>
        <w:tc>
          <w:tcPr>
            <w:tcW w:w="2459" w:type="dxa"/>
            <w:vAlign w:val="center"/>
          </w:tcPr>
          <w:p>
            <w:pPr>
              <w:pStyle w:val="182"/>
              <w:bidi w:val="0"/>
              <w:rPr>
                <w:b/>
                <w:bCs w:val="0"/>
                <w:u w:val="single"/>
              </w:rPr>
            </w:pPr>
            <w:r>
              <w:rPr>
                <w:b/>
                <w:bCs w:val="0"/>
                <w:u w:val="single"/>
              </w:rPr>
              <w:t>风速(m/s)</w:t>
            </w:r>
          </w:p>
        </w:tc>
        <w:tc>
          <w:tcPr>
            <w:tcW w:w="4835" w:type="dxa"/>
            <w:vAlign w:val="center"/>
          </w:tcPr>
          <w:p>
            <w:pPr>
              <w:pStyle w:val="182"/>
              <w:bidi w:val="0"/>
              <w:rPr>
                <w:b/>
                <w:bCs w:val="0"/>
                <w:u w:val="single"/>
              </w:rPr>
            </w:pPr>
            <w:r>
              <w:rPr>
                <w:b/>
                <w:bCs w:val="0"/>
                <w:u w:val="single"/>
              </w:rPr>
              <w:t>1.5000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continue"/>
            <w:vAlign w:val="center"/>
          </w:tcPr>
          <w:p>
            <w:pPr>
              <w:pStyle w:val="182"/>
              <w:bidi w:val="0"/>
              <w:rPr>
                <w:b/>
                <w:bCs w:val="0"/>
                <w:u w:val="single"/>
              </w:rPr>
            </w:pPr>
          </w:p>
        </w:tc>
        <w:tc>
          <w:tcPr>
            <w:tcW w:w="2459" w:type="dxa"/>
            <w:vAlign w:val="center"/>
          </w:tcPr>
          <w:p>
            <w:pPr>
              <w:pStyle w:val="182"/>
              <w:bidi w:val="0"/>
              <w:rPr>
                <w:b/>
                <w:bCs w:val="0"/>
                <w:u w:val="single"/>
              </w:rPr>
            </w:pPr>
            <w:r>
              <w:rPr>
                <w:b/>
                <w:bCs w:val="0"/>
                <w:u w:val="single"/>
              </w:rPr>
              <w:t>环境温度(℃)</w:t>
            </w:r>
          </w:p>
        </w:tc>
        <w:tc>
          <w:tcPr>
            <w:tcW w:w="4835" w:type="dxa"/>
            <w:vAlign w:val="center"/>
          </w:tcPr>
          <w:p>
            <w:pPr>
              <w:pStyle w:val="182"/>
              <w:bidi w:val="0"/>
              <w:rPr>
                <w:b/>
                <w:bCs w:val="0"/>
                <w:u w:val="single"/>
              </w:rPr>
            </w:pPr>
            <w:r>
              <w:rPr>
                <w:b/>
                <w:bCs w:val="0"/>
                <w:u w:val="single"/>
              </w:rPr>
              <w:t>25.00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continue"/>
            <w:vAlign w:val="center"/>
          </w:tcPr>
          <w:p>
            <w:pPr>
              <w:pStyle w:val="182"/>
              <w:bidi w:val="0"/>
              <w:rPr>
                <w:b/>
                <w:bCs w:val="0"/>
                <w:u w:val="single"/>
              </w:rPr>
            </w:pPr>
          </w:p>
        </w:tc>
        <w:tc>
          <w:tcPr>
            <w:tcW w:w="2459" w:type="dxa"/>
            <w:vAlign w:val="center"/>
          </w:tcPr>
          <w:p>
            <w:pPr>
              <w:pStyle w:val="182"/>
              <w:bidi w:val="0"/>
              <w:rPr>
                <w:b/>
                <w:bCs w:val="0"/>
                <w:u w:val="single"/>
              </w:rPr>
            </w:pPr>
            <w:r>
              <w:rPr>
                <w:b/>
                <w:bCs w:val="0"/>
                <w:u w:val="single"/>
              </w:rPr>
              <w:t>相对湿度(%)</w:t>
            </w:r>
          </w:p>
        </w:tc>
        <w:tc>
          <w:tcPr>
            <w:tcW w:w="4835" w:type="dxa"/>
            <w:vAlign w:val="center"/>
          </w:tcPr>
          <w:p>
            <w:pPr>
              <w:pStyle w:val="182"/>
              <w:bidi w:val="0"/>
              <w:rPr>
                <w:b/>
                <w:bCs w:val="0"/>
                <w:u w:val="single"/>
              </w:rPr>
            </w:pPr>
            <w:r>
              <w:rPr>
                <w:b/>
                <w:bCs w:val="0"/>
                <w:u w:val="single"/>
              </w:rPr>
              <w:t>50.0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continue"/>
            <w:vAlign w:val="center"/>
          </w:tcPr>
          <w:p>
            <w:pPr>
              <w:pStyle w:val="182"/>
              <w:bidi w:val="0"/>
              <w:rPr>
                <w:b/>
                <w:bCs w:val="0"/>
                <w:u w:val="single"/>
              </w:rPr>
            </w:pPr>
          </w:p>
        </w:tc>
        <w:tc>
          <w:tcPr>
            <w:tcW w:w="2459" w:type="dxa"/>
            <w:vAlign w:val="center"/>
          </w:tcPr>
          <w:p>
            <w:pPr>
              <w:pStyle w:val="182"/>
              <w:bidi w:val="0"/>
              <w:rPr>
                <w:b/>
                <w:bCs w:val="0"/>
                <w:u w:val="single"/>
              </w:rPr>
            </w:pPr>
            <w:r>
              <w:rPr>
                <w:b/>
                <w:bCs w:val="0"/>
                <w:u w:val="single"/>
              </w:rPr>
              <w:t>稳定度</w:t>
            </w:r>
          </w:p>
        </w:tc>
        <w:tc>
          <w:tcPr>
            <w:tcW w:w="4835" w:type="dxa"/>
            <w:vAlign w:val="center"/>
          </w:tcPr>
          <w:p>
            <w:pPr>
              <w:pStyle w:val="182"/>
              <w:bidi w:val="0"/>
              <w:rPr>
                <w:b/>
                <w:bCs w:val="0"/>
                <w:u w:val="single"/>
              </w:rPr>
            </w:pPr>
            <w:r>
              <w:rPr>
                <w:b/>
                <w:bCs w:val="0"/>
                <w:u w:val="single"/>
              </w:rPr>
              <w:t>F(稳定)</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restart"/>
            <w:vAlign w:val="center"/>
          </w:tcPr>
          <w:p>
            <w:pPr>
              <w:pStyle w:val="182"/>
              <w:bidi w:val="0"/>
              <w:rPr>
                <w:b/>
                <w:bCs w:val="0"/>
                <w:u w:val="single"/>
              </w:rPr>
            </w:pPr>
            <w:r>
              <w:rPr>
                <w:b/>
                <w:bCs w:val="0"/>
                <w:u w:val="single"/>
              </w:rPr>
              <w:t>其他参数</w:t>
            </w:r>
          </w:p>
        </w:tc>
        <w:tc>
          <w:tcPr>
            <w:tcW w:w="2459" w:type="dxa"/>
            <w:vAlign w:val="center"/>
          </w:tcPr>
          <w:p>
            <w:pPr>
              <w:pStyle w:val="182"/>
              <w:bidi w:val="0"/>
              <w:rPr>
                <w:b/>
                <w:bCs w:val="0"/>
                <w:u w:val="single"/>
              </w:rPr>
            </w:pPr>
            <w:r>
              <w:rPr>
                <w:b/>
                <w:bCs w:val="0"/>
                <w:u w:val="single"/>
              </w:rPr>
              <w:t>地表粗糙度（m）</w:t>
            </w:r>
          </w:p>
        </w:tc>
        <w:tc>
          <w:tcPr>
            <w:tcW w:w="4835" w:type="dxa"/>
            <w:vAlign w:val="center"/>
          </w:tcPr>
          <w:p>
            <w:pPr>
              <w:pStyle w:val="182"/>
              <w:bidi w:val="0"/>
              <w:rPr>
                <w:b/>
                <w:bCs w:val="0"/>
                <w:u w:val="single"/>
              </w:rPr>
            </w:pPr>
            <w:r>
              <w:rPr>
                <w:b/>
                <w:bCs w:val="0"/>
                <w:u w:val="single"/>
              </w:rPr>
              <w:t>1.0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continue"/>
            <w:vAlign w:val="center"/>
          </w:tcPr>
          <w:p>
            <w:pPr>
              <w:pStyle w:val="182"/>
              <w:bidi w:val="0"/>
              <w:rPr>
                <w:b/>
                <w:bCs w:val="0"/>
                <w:u w:val="single"/>
              </w:rPr>
            </w:pPr>
          </w:p>
        </w:tc>
        <w:tc>
          <w:tcPr>
            <w:tcW w:w="2459" w:type="dxa"/>
            <w:vAlign w:val="center"/>
          </w:tcPr>
          <w:p>
            <w:pPr>
              <w:pStyle w:val="182"/>
              <w:bidi w:val="0"/>
              <w:rPr>
                <w:b/>
                <w:bCs w:val="0"/>
                <w:u w:val="single"/>
              </w:rPr>
            </w:pPr>
            <w:r>
              <w:rPr>
                <w:b/>
                <w:bCs w:val="0"/>
                <w:u w:val="single"/>
              </w:rPr>
              <w:t>是否考虑地形</w:t>
            </w:r>
          </w:p>
        </w:tc>
        <w:tc>
          <w:tcPr>
            <w:tcW w:w="4835" w:type="dxa"/>
            <w:vAlign w:val="center"/>
          </w:tcPr>
          <w:p>
            <w:pPr>
              <w:pStyle w:val="182"/>
              <w:bidi w:val="0"/>
              <w:rPr>
                <w:b/>
                <w:bCs w:val="0"/>
                <w:u w:val="single"/>
              </w:rPr>
            </w:pPr>
            <w:r>
              <w:rPr>
                <w:b/>
                <w:bCs w:val="0"/>
                <w:u w:val="single"/>
              </w:rPr>
              <w:t>否</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jc w:val="center"/>
        </w:trPr>
        <w:tc>
          <w:tcPr>
            <w:tcW w:w="1033" w:type="dxa"/>
            <w:vMerge w:val="continue"/>
            <w:vAlign w:val="center"/>
          </w:tcPr>
          <w:p>
            <w:pPr>
              <w:pStyle w:val="182"/>
              <w:bidi w:val="0"/>
              <w:rPr>
                <w:b/>
                <w:bCs w:val="0"/>
                <w:u w:val="single"/>
              </w:rPr>
            </w:pPr>
          </w:p>
        </w:tc>
        <w:tc>
          <w:tcPr>
            <w:tcW w:w="2459" w:type="dxa"/>
            <w:vAlign w:val="center"/>
          </w:tcPr>
          <w:p>
            <w:pPr>
              <w:pStyle w:val="182"/>
              <w:bidi w:val="0"/>
              <w:rPr>
                <w:b/>
                <w:bCs w:val="0"/>
                <w:u w:val="single"/>
              </w:rPr>
            </w:pPr>
            <w:r>
              <w:rPr>
                <w:b/>
                <w:bCs w:val="0"/>
                <w:u w:val="single"/>
              </w:rPr>
              <w:t>地形数据精度</w:t>
            </w:r>
          </w:p>
        </w:tc>
        <w:tc>
          <w:tcPr>
            <w:tcW w:w="4835" w:type="dxa"/>
            <w:vAlign w:val="center"/>
          </w:tcPr>
          <w:p>
            <w:pPr>
              <w:pStyle w:val="182"/>
              <w:bidi w:val="0"/>
              <w:rPr>
                <w:b/>
                <w:bCs w:val="0"/>
                <w:u w:val="single"/>
              </w:rPr>
            </w:pPr>
            <w:r>
              <w:rPr>
                <w:b/>
                <w:bCs w:val="0"/>
                <w:u w:val="single"/>
              </w:rPr>
              <w:t>90m</w:t>
            </w:r>
          </w:p>
        </w:tc>
      </w:tr>
    </w:tbl>
    <w:p>
      <w:pPr>
        <w:pStyle w:val="10"/>
        <w:bidi w:val="0"/>
        <w:rPr>
          <w:b/>
          <w:bCs w:val="0"/>
          <w:color w:val="auto"/>
          <w:u w:val="single"/>
        </w:rPr>
      </w:pPr>
      <w:r>
        <w:rPr>
          <w:rFonts w:hint="eastAsia"/>
          <w:b/>
          <w:bCs w:val="0"/>
          <w:color w:val="auto"/>
          <w:u w:val="single"/>
          <w:lang w:val="en-US" w:eastAsia="zh-CN"/>
        </w:rPr>
        <w:t xml:space="preserve">5.10.1.3 </w:t>
      </w:r>
      <w:r>
        <w:rPr>
          <w:b/>
          <w:bCs w:val="0"/>
          <w:color w:val="auto"/>
          <w:u w:val="single"/>
        </w:rPr>
        <w:t>风险事故情形分析及事故后果预测</w:t>
      </w:r>
    </w:p>
    <w:p>
      <w:pPr>
        <w:pStyle w:val="181"/>
        <w:spacing w:line="480" w:lineRule="exact"/>
        <w:jc w:val="center"/>
        <w:rPr>
          <w:b/>
          <w:bCs w:val="0"/>
          <w:color w:val="auto"/>
          <w:u w:val="single"/>
        </w:rPr>
      </w:pPr>
      <w:r>
        <w:rPr>
          <w:rFonts w:hint="eastAsia"/>
          <w:b/>
          <w:bCs w:val="0"/>
          <w:color w:val="auto"/>
          <w:u w:val="single"/>
          <w:lang w:val="en-US" w:eastAsia="zh-CN"/>
        </w:rPr>
        <w:t xml:space="preserve">表5.10-3              </w:t>
      </w:r>
      <w:r>
        <w:rPr>
          <w:rFonts w:ascii="宋体" w:hAnsi="宋体" w:eastAsia="宋体" w:cs="宋体"/>
          <w:b/>
          <w:bCs w:val="0"/>
          <w:color w:val="auto"/>
          <w:sz w:val="24"/>
          <w:u w:val="single"/>
        </w:rPr>
        <w:t xml:space="preserve"> 风险事故情形分析表</w:t>
      </w:r>
    </w:p>
    <w:tbl>
      <w:tblPr>
        <w:tblStyle w:val="32"/>
        <w:tblW w:w="8527"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1169"/>
        <w:gridCol w:w="1358"/>
        <w:gridCol w:w="979"/>
        <w:gridCol w:w="2115"/>
        <w:gridCol w:w="979"/>
        <w:gridCol w:w="1927"/>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0" w:type="dxa"/>
            <w:gridSpan w:val="6"/>
            <w:vAlign w:val="center"/>
          </w:tcPr>
          <w:p>
            <w:pPr>
              <w:pStyle w:val="182"/>
              <w:bidi w:val="0"/>
              <w:rPr>
                <w:b/>
                <w:bCs w:val="0"/>
                <w:u w:val="single"/>
              </w:rPr>
            </w:pPr>
            <w:r>
              <w:rPr>
                <w:b/>
                <w:bCs w:val="0"/>
                <w:u w:val="single"/>
              </w:rPr>
              <w:t>表1:常温常压液体容器-slab泄漏源-最不利气象条件-slab模型</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69" w:type="dxa"/>
            <w:vAlign w:val="center"/>
          </w:tcPr>
          <w:p>
            <w:pPr>
              <w:pStyle w:val="182"/>
              <w:bidi w:val="0"/>
              <w:rPr>
                <w:b/>
                <w:bCs w:val="0"/>
                <w:u w:val="single"/>
              </w:rPr>
            </w:pPr>
            <w:r>
              <w:rPr>
                <w:b/>
                <w:bCs w:val="0"/>
                <w:u w:val="single"/>
              </w:rPr>
              <w:t>泄露设备类型</w:t>
            </w:r>
          </w:p>
        </w:tc>
        <w:tc>
          <w:tcPr>
            <w:tcW w:w="1358" w:type="dxa"/>
            <w:vAlign w:val="center"/>
          </w:tcPr>
          <w:p>
            <w:pPr>
              <w:pStyle w:val="182"/>
              <w:bidi w:val="0"/>
              <w:rPr>
                <w:b/>
                <w:bCs w:val="0"/>
                <w:u w:val="single"/>
              </w:rPr>
            </w:pPr>
            <w:r>
              <w:rPr>
                <w:b/>
                <w:bCs w:val="0"/>
                <w:u w:val="single"/>
              </w:rPr>
              <w:t>常温常压液体容器</w:t>
            </w:r>
          </w:p>
        </w:tc>
        <w:tc>
          <w:tcPr>
            <w:tcW w:w="979" w:type="dxa"/>
            <w:vAlign w:val="center"/>
          </w:tcPr>
          <w:p>
            <w:pPr>
              <w:pStyle w:val="182"/>
              <w:bidi w:val="0"/>
              <w:rPr>
                <w:b/>
                <w:bCs w:val="0"/>
                <w:u w:val="single"/>
              </w:rPr>
            </w:pPr>
            <w:r>
              <w:rPr>
                <w:b/>
                <w:bCs w:val="0"/>
                <w:u w:val="single"/>
              </w:rPr>
              <w:t>操作温度(℃)</w:t>
            </w:r>
          </w:p>
        </w:tc>
        <w:tc>
          <w:tcPr>
            <w:tcW w:w="2115" w:type="dxa"/>
            <w:vAlign w:val="center"/>
          </w:tcPr>
          <w:p>
            <w:pPr>
              <w:pStyle w:val="182"/>
              <w:bidi w:val="0"/>
              <w:rPr>
                <w:b/>
                <w:bCs w:val="0"/>
                <w:u w:val="single"/>
              </w:rPr>
            </w:pPr>
            <w:r>
              <w:rPr>
                <w:b/>
                <w:bCs w:val="0"/>
                <w:u w:val="single"/>
              </w:rPr>
              <w:t>25.00</w:t>
            </w:r>
          </w:p>
        </w:tc>
        <w:tc>
          <w:tcPr>
            <w:tcW w:w="979" w:type="dxa"/>
            <w:vAlign w:val="center"/>
          </w:tcPr>
          <w:p>
            <w:pPr>
              <w:pStyle w:val="182"/>
              <w:bidi w:val="0"/>
              <w:rPr>
                <w:b/>
                <w:bCs w:val="0"/>
                <w:u w:val="single"/>
              </w:rPr>
            </w:pPr>
            <w:r>
              <w:rPr>
                <w:b/>
                <w:bCs w:val="0"/>
                <w:u w:val="single"/>
              </w:rPr>
              <w:t>操作压力(MPa)</w:t>
            </w:r>
          </w:p>
        </w:tc>
        <w:tc>
          <w:tcPr>
            <w:tcW w:w="1927" w:type="dxa"/>
            <w:vAlign w:val="center"/>
          </w:tcPr>
          <w:p>
            <w:pPr>
              <w:pStyle w:val="182"/>
              <w:bidi w:val="0"/>
              <w:rPr>
                <w:b/>
                <w:bCs w:val="0"/>
                <w:u w:val="single"/>
              </w:rPr>
            </w:pPr>
            <w:r>
              <w:rPr>
                <w:b/>
                <w:bCs w:val="0"/>
                <w:u w:val="single"/>
              </w:rPr>
              <w:t>0.101325</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69" w:type="dxa"/>
            <w:vAlign w:val="center"/>
          </w:tcPr>
          <w:p>
            <w:pPr>
              <w:pStyle w:val="182"/>
              <w:bidi w:val="0"/>
              <w:rPr>
                <w:b/>
                <w:bCs w:val="0"/>
                <w:u w:val="single"/>
              </w:rPr>
            </w:pPr>
            <w:r>
              <w:rPr>
                <w:b/>
                <w:bCs w:val="0"/>
                <w:u w:val="single"/>
              </w:rPr>
              <w:t>泄露危险物质</w:t>
            </w:r>
          </w:p>
        </w:tc>
        <w:tc>
          <w:tcPr>
            <w:tcW w:w="1358" w:type="dxa"/>
            <w:vAlign w:val="center"/>
          </w:tcPr>
          <w:p>
            <w:pPr>
              <w:pStyle w:val="182"/>
              <w:bidi w:val="0"/>
              <w:rPr>
                <w:b/>
                <w:bCs w:val="0"/>
                <w:u w:val="single"/>
              </w:rPr>
            </w:pPr>
            <w:r>
              <w:rPr>
                <w:b/>
                <w:bCs w:val="0"/>
                <w:u w:val="single"/>
              </w:rPr>
              <w:t>浓硫酸</w:t>
            </w:r>
          </w:p>
        </w:tc>
        <w:tc>
          <w:tcPr>
            <w:tcW w:w="979" w:type="dxa"/>
            <w:vAlign w:val="center"/>
          </w:tcPr>
          <w:p>
            <w:pPr>
              <w:pStyle w:val="182"/>
              <w:bidi w:val="0"/>
              <w:rPr>
                <w:b/>
                <w:bCs w:val="0"/>
                <w:u w:val="single"/>
              </w:rPr>
            </w:pPr>
            <w:r>
              <w:rPr>
                <w:b/>
                <w:bCs w:val="0"/>
                <w:u w:val="single"/>
              </w:rPr>
              <w:t>最大存在量(kg)</w:t>
            </w:r>
          </w:p>
        </w:tc>
        <w:tc>
          <w:tcPr>
            <w:tcW w:w="2115" w:type="dxa"/>
            <w:vAlign w:val="center"/>
          </w:tcPr>
          <w:p>
            <w:pPr>
              <w:pStyle w:val="182"/>
              <w:bidi w:val="0"/>
              <w:rPr>
                <w:b/>
                <w:bCs w:val="0"/>
                <w:u w:val="single"/>
              </w:rPr>
            </w:pPr>
            <w:r>
              <w:rPr>
                <w:b/>
                <w:bCs w:val="0"/>
                <w:u w:val="single"/>
              </w:rPr>
              <w:t>799949.6363</w:t>
            </w:r>
          </w:p>
        </w:tc>
        <w:tc>
          <w:tcPr>
            <w:tcW w:w="979" w:type="dxa"/>
            <w:vAlign w:val="center"/>
          </w:tcPr>
          <w:p>
            <w:pPr>
              <w:pStyle w:val="182"/>
              <w:bidi w:val="0"/>
              <w:rPr>
                <w:b/>
                <w:bCs w:val="0"/>
                <w:u w:val="single"/>
              </w:rPr>
            </w:pPr>
            <w:r>
              <w:rPr>
                <w:b/>
                <w:bCs w:val="0"/>
                <w:u w:val="single"/>
              </w:rPr>
              <w:t>裂口直径(mm)</w:t>
            </w:r>
          </w:p>
        </w:tc>
        <w:tc>
          <w:tcPr>
            <w:tcW w:w="1927" w:type="dxa"/>
            <w:vAlign w:val="center"/>
          </w:tcPr>
          <w:p>
            <w:pPr>
              <w:pStyle w:val="182"/>
              <w:bidi w:val="0"/>
              <w:rPr>
                <w:rFonts w:hint="default"/>
                <w:b/>
                <w:bCs w:val="0"/>
                <w:u w:val="single"/>
                <w:lang w:val="en-US" w:eastAsia="zh-CN"/>
              </w:rPr>
            </w:pPr>
            <w:r>
              <w:rPr>
                <w:b/>
                <w:bCs w:val="0"/>
                <w:u w:val="single"/>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69" w:type="dxa"/>
            <w:vAlign w:val="center"/>
          </w:tcPr>
          <w:p>
            <w:pPr>
              <w:pStyle w:val="182"/>
              <w:bidi w:val="0"/>
              <w:rPr>
                <w:b/>
                <w:bCs w:val="0"/>
                <w:u w:val="single"/>
              </w:rPr>
            </w:pPr>
            <w:r>
              <w:rPr>
                <w:b/>
                <w:bCs w:val="0"/>
                <w:u w:val="single"/>
              </w:rPr>
              <w:t>泄露速率(kg/s)</w:t>
            </w:r>
          </w:p>
        </w:tc>
        <w:tc>
          <w:tcPr>
            <w:tcW w:w="1358" w:type="dxa"/>
            <w:vAlign w:val="center"/>
          </w:tcPr>
          <w:p>
            <w:pPr>
              <w:pStyle w:val="182"/>
              <w:bidi w:val="0"/>
              <w:rPr>
                <w:b/>
                <w:bCs w:val="0"/>
                <w:u w:val="single"/>
              </w:rPr>
            </w:pPr>
            <w:r>
              <w:rPr>
                <w:b/>
                <w:bCs w:val="0"/>
                <w:u w:val="single"/>
              </w:rPr>
              <w:t>10.0447</w:t>
            </w:r>
          </w:p>
        </w:tc>
        <w:tc>
          <w:tcPr>
            <w:tcW w:w="979" w:type="dxa"/>
            <w:vAlign w:val="center"/>
          </w:tcPr>
          <w:p>
            <w:pPr>
              <w:pStyle w:val="182"/>
              <w:bidi w:val="0"/>
              <w:rPr>
                <w:b/>
                <w:bCs w:val="0"/>
                <w:u w:val="single"/>
              </w:rPr>
            </w:pPr>
            <w:r>
              <w:rPr>
                <w:b/>
                <w:bCs w:val="0"/>
                <w:u w:val="single"/>
              </w:rPr>
              <w:t>泄露时间(min)</w:t>
            </w:r>
          </w:p>
        </w:tc>
        <w:tc>
          <w:tcPr>
            <w:tcW w:w="2115" w:type="dxa"/>
            <w:vAlign w:val="center"/>
          </w:tcPr>
          <w:p>
            <w:pPr>
              <w:pStyle w:val="182"/>
              <w:bidi w:val="0"/>
              <w:rPr>
                <w:b/>
                <w:bCs w:val="0"/>
                <w:u w:val="single"/>
              </w:rPr>
            </w:pPr>
            <w:r>
              <w:rPr>
                <w:b/>
                <w:bCs w:val="0"/>
                <w:u w:val="single"/>
              </w:rPr>
              <w:t>30.00</w:t>
            </w:r>
          </w:p>
        </w:tc>
        <w:tc>
          <w:tcPr>
            <w:tcW w:w="979" w:type="dxa"/>
            <w:vAlign w:val="center"/>
          </w:tcPr>
          <w:p>
            <w:pPr>
              <w:pStyle w:val="182"/>
              <w:bidi w:val="0"/>
              <w:rPr>
                <w:b/>
                <w:bCs w:val="0"/>
                <w:u w:val="single"/>
              </w:rPr>
            </w:pPr>
            <w:r>
              <w:rPr>
                <w:b/>
                <w:bCs w:val="0"/>
                <w:u w:val="single"/>
              </w:rPr>
              <w:t>泄露量(kg)</w:t>
            </w:r>
          </w:p>
        </w:tc>
        <w:tc>
          <w:tcPr>
            <w:tcW w:w="1927" w:type="dxa"/>
            <w:vAlign w:val="center"/>
          </w:tcPr>
          <w:p>
            <w:pPr>
              <w:pStyle w:val="182"/>
              <w:bidi w:val="0"/>
              <w:rPr>
                <w:b/>
                <w:bCs w:val="0"/>
                <w:u w:val="single"/>
              </w:rPr>
            </w:pPr>
            <w:r>
              <w:rPr>
                <w:b/>
                <w:bCs w:val="0"/>
                <w:u w:val="single"/>
              </w:rPr>
              <w:t>18080.4600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69" w:type="dxa"/>
            <w:vAlign w:val="center"/>
          </w:tcPr>
          <w:p>
            <w:pPr>
              <w:pStyle w:val="182"/>
              <w:bidi w:val="0"/>
              <w:rPr>
                <w:b/>
                <w:bCs w:val="0"/>
                <w:u w:val="single"/>
              </w:rPr>
            </w:pPr>
            <w:r>
              <w:rPr>
                <w:b/>
                <w:bCs w:val="0"/>
                <w:u w:val="single"/>
              </w:rPr>
              <w:t>泄露高度(m)</w:t>
            </w:r>
          </w:p>
        </w:tc>
        <w:tc>
          <w:tcPr>
            <w:tcW w:w="1358" w:type="dxa"/>
            <w:vAlign w:val="center"/>
          </w:tcPr>
          <w:p>
            <w:pPr>
              <w:pStyle w:val="182"/>
              <w:bidi w:val="0"/>
              <w:rPr>
                <w:b/>
                <w:bCs w:val="0"/>
                <w:u w:val="single"/>
              </w:rPr>
            </w:pPr>
            <w:r>
              <w:rPr>
                <w:b/>
                <w:bCs w:val="0"/>
                <w:u w:val="single"/>
              </w:rPr>
              <w:t>4.6000</w:t>
            </w:r>
          </w:p>
        </w:tc>
        <w:tc>
          <w:tcPr>
            <w:tcW w:w="979" w:type="dxa"/>
            <w:vAlign w:val="center"/>
          </w:tcPr>
          <w:p>
            <w:pPr>
              <w:pStyle w:val="182"/>
              <w:bidi w:val="0"/>
              <w:rPr>
                <w:b/>
                <w:bCs w:val="0"/>
                <w:u w:val="single"/>
              </w:rPr>
            </w:pPr>
            <w:r>
              <w:rPr>
                <w:b/>
                <w:bCs w:val="0"/>
                <w:u w:val="single"/>
              </w:rPr>
              <w:t>泄露概率(次/年)</w:t>
            </w:r>
          </w:p>
        </w:tc>
        <w:tc>
          <w:tcPr>
            <w:tcW w:w="2115" w:type="dxa"/>
            <w:vAlign w:val="center"/>
          </w:tcPr>
          <w:p>
            <w:pPr>
              <w:pStyle w:val="182"/>
              <w:bidi w:val="0"/>
              <w:rPr>
                <w:b/>
                <w:bCs w:val="0"/>
                <w:u w:val="single"/>
              </w:rPr>
            </w:pPr>
            <w:r>
              <w:rPr>
                <w:b/>
                <w:bCs w:val="0"/>
                <w:u w:val="single"/>
              </w:rPr>
              <w:t>-</w:t>
            </w:r>
          </w:p>
        </w:tc>
        <w:tc>
          <w:tcPr>
            <w:tcW w:w="979" w:type="dxa"/>
            <w:vAlign w:val="center"/>
          </w:tcPr>
          <w:p>
            <w:pPr>
              <w:pStyle w:val="182"/>
              <w:bidi w:val="0"/>
              <w:rPr>
                <w:b/>
                <w:bCs w:val="0"/>
                <w:u w:val="single"/>
              </w:rPr>
            </w:pPr>
            <w:r>
              <w:rPr>
                <w:b/>
                <w:bCs w:val="0"/>
                <w:u w:val="single"/>
              </w:rPr>
              <w:t>蒸发量(kg)</w:t>
            </w:r>
          </w:p>
        </w:tc>
        <w:tc>
          <w:tcPr>
            <w:tcW w:w="1927" w:type="dxa"/>
            <w:vAlign w:val="center"/>
          </w:tcPr>
          <w:p>
            <w:pPr>
              <w:pStyle w:val="182"/>
              <w:bidi w:val="0"/>
              <w:rPr>
                <w:b/>
                <w:bCs w:val="0"/>
                <w:u w:val="single"/>
              </w:rPr>
            </w:pPr>
            <w:r>
              <w:rPr>
                <w:b/>
                <w:bCs w:val="0"/>
                <w:u w:val="single"/>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3506" w:type="dxa"/>
            <w:gridSpan w:val="3"/>
            <w:vAlign w:val="center"/>
          </w:tcPr>
          <w:p>
            <w:pPr>
              <w:pStyle w:val="182"/>
              <w:bidi w:val="0"/>
              <w:rPr>
                <w:b/>
                <w:bCs w:val="0"/>
                <w:u w:val="single"/>
              </w:rPr>
            </w:pPr>
            <w:r>
              <w:rPr>
                <w:b/>
                <w:bCs w:val="0"/>
                <w:u w:val="single"/>
              </w:rPr>
              <w:t>大气环境影响-气象条件名称-模型类型</w:t>
            </w:r>
          </w:p>
        </w:tc>
        <w:tc>
          <w:tcPr>
            <w:tcW w:w="5021" w:type="dxa"/>
            <w:gridSpan w:val="3"/>
            <w:vAlign w:val="center"/>
          </w:tcPr>
          <w:p>
            <w:pPr>
              <w:pStyle w:val="182"/>
              <w:bidi w:val="0"/>
              <w:rPr>
                <w:b/>
                <w:bCs w:val="0"/>
                <w:u w:val="single"/>
              </w:rPr>
            </w:pPr>
            <w:r>
              <w:rPr>
                <w:b/>
                <w:bCs w:val="0"/>
                <w:u w:val="single"/>
              </w:rPr>
              <w:t>最不利气象条件-slab模型</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69" w:type="dxa"/>
            <w:vAlign w:val="center"/>
          </w:tcPr>
          <w:p>
            <w:pPr>
              <w:pStyle w:val="182"/>
              <w:bidi w:val="0"/>
              <w:rPr>
                <w:b/>
                <w:bCs w:val="0"/>
                <w:u w:val="single"/>
              </w:rPr>
            </w:pPr>
            <w:r>
              <w:rPr>
                <w:b/>
                <w:bCs w:val="0"/>
                <w:u w:val="single"/>
              </w:rPr>
              <w:t>指标</w:t>
            </w:r>
          </w:p>
        </w:tc>
        <w:tc>
          <w:tcPr>
            <w:tcW w:w="2337" w:type="dxa"/>
            <w:gridSpan w:val="2"/>
            <w:vAlign w:val="center"/>
          </w:tcPr>
          <w:p>
            <w:pPr>
              <w:pStyle w:val="182"/>
              <w:bidi w:val="0"/>
              <w:rPr>
                <w:b/>
                <w:bCs w:val="0"/>
                <w:u w:val="single"/>
              </w:rPr>
            </w:pPr>
            <w:r>
              <w:rPr>
                <w:b/>
                <w:bCs w:val="0"/>
                <w:u w:val="single"/>
              </w:rPr>
              <w:t>浓度值(mg/m3)</w:t>
            </w:r>
          </w:p>
        </w:tc>
        <w:tc>
          <w:tcPr>
            <w:tcW w:w="2115" w:type="dxa"/>
            <w:vAlign w:val="center"/>
          </w:tcPr>
          <w:p>
            <w:pPr>
              <w:pStyle w:val="182"/>
              <w:bidi w:val="0"/>
              <w:rPr>
                <w:b/>
                <w:bCs w:val="0"/>
                <w:u w:val="single"/>
              </w:rPr>
            </w:pPr>
            <w:r>
              <w:rPr>
                <w:b/>
                <w:bCs w:val="0"/>
                <w:u w:val="single"/>
              </w:rPr>
              <w:t>最远影响距离(m)</w:t>
            </w:r>
          </w:p>
        </w:tc>
        <w:tc>
          <w:tcPr>
            <w:tcW w:w="2906" w:type="dxa"/>
            <w:gridSpan w:val="2"/>
            <w:vAlign w:val="center"/>
          </w:tcPr>
          <w:p>
            <w:pPr>
              <w:pStyle w:val="182"/>
              <w:bidi w:val="0"/>
              <w:rPr>
                <w:b/>
                <w:bCs w:val="0"/>
                <w:u w:val="single"/>
              </w:rPr>
            </w:pPr>
            <w:r>
              <w:rPr>
                <w:b/>
                <w:bCs w:val="0"/>
                <w:u w:val="single"/>
              </w:rPr>
              <w:t>到达时间(min)</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69" w:type="dxa"/>
            <w:vAlign w:val="center"/>
          </w:tcPr>
          <w:p>
            <w:pPr>
              <w:pStyle w:val="182"/>
              <w:bidi w:val="0"/>
              <w:rPr>
                <w:b/>
                <w:bCs w:val="0"/>
                <w:u w:val="single"/>
              </w:rPr>
            </w:pPr>
            <w:r>
              <w:rPr>
                <w:b/>
                <w:bCs w:val="0"/>
                <w:u w:val="single"/>
              </w:rPr>
              <w:t>大气毒性终点浓度-1</w:t>
            </w:r>
          </w:p>
        </w:tc>
        <w:tc>
          <w:tcPr>
            <w:tcW w:w="2337" w:type="dxa"/>
            <w:gridSpan w:val="2"/>
            <w:vAlign w:val="center"/>
          </w:tcPr>
          <w:p>
            <w:pPr>
              <w:pStyle w:val="182"/>
              <w:bidi w:val="0"/>
              <w:rPr>
                <w:b/>
                <w:bCs w:val="0"/>
                <w:u w:val="single"/>
              </w:rPr>
            </w:pPr>
            <w:r>
              <w:rPr>
                <w:b/>
                <w:bCs w:val="0"/>
                <w:u w:val="single"/>
              </w:rPr>
              <w:t>160.000000</w:t>
            </w:r>
          </w:p>
        </w:tc>
        <w:tc>
          <w:tcPr>
            <w:tcW w:w="2115" w:type="dxa"/>
            <w:vAlign w:val="center"/>
          </w:tcPr>
          <w:p>
            <w:pPr>
              <w:pStyle w:val="182"/>
              <w:bidi w:val="0"/>
              <w:rPr>
                <w:b/>
                <w:bCs w:val="0"/>
                <w:u w:val="single"/>
              </w:rPr>
            </w:pPr>
            <w:r>
              <w:rPr>
                <w:b/>
                <w:bCs w:val="0"/>
                <w:u w:val="single"/>
              </w:rPr>
              <w:t>-</w:t>
            </w:r>
          </w:p>
        </w:tc>
        <w:tc>
          <w:tcPr>
            <w:tcW w:w="2906" w:type="dxa"/>
            <w:gridSpan w:val="2"/>
            <w:vAlign w:val="center"/>
          </w:tcPr>
          <w:p>
            <w:pPr>
              <w:pStyle w:val="182"/>
              <w:bidi w:val="0"/>
              <w:rPr>
                <w:b/>
                <w:bCs w:val="0"/>
                <w:u w:val="single"/>
              </w:rPr>
            </w:pPr>
            <w:r>
              <w:rPr>
                <w:b/>
                <w:bCs w:val="0"/>
                <w:u w:val="single"/>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69" w:type="dxa"/>
            <w:vAlign w:val="center"/>
          </w:tcPr>
          <w:p>
            <w:pPr>
              <w:pStyle w:val="182"/>
              <w:bidi w:val="0"/>
              <w:rPr>
                <w:b/>
                <w:bCs w:val="0"/>
                <w:u w:val="single"/>
              </w:rPr>
            </w:pPr>
            <w:r>
              <w:rPr>
                <w:b/>
                <w:bCs w:val="0"/>
                <w:u w:val="single"/>
              </w:rPr>
              <w:t>大气毒性终点浓度-2</w:t>
            </w:r>
          </w:p>
        </w:tc>
        <w:tc>
          <w:tcPr>
            <w:tcW w:w="2337" w:type="dxa"/>
            <w:gridSpan w:val="2"/>
            <w:vAlign w:val="center"/>
          </w:tcPr>
          <w:p>
            <w:pPr>
              <w:pStyle w:val="182"/>
              <w:bidi w:val="0"/>
              <w:rPr>
                <w:b/>
                <w:bCs w:val="0"/>
                <w:u w:val="single"/>
              </w:rPr>
            </w:pPr>
            <w:r>
              <w:rPr>
                <w:b/>
                <w:bCs w:val="0"/>
                <w:u w:val="single"/>
              </w:rPr>
              <w:t>8.700000</w:t>
            </w:r>
          </w:p>
        </w:tc>
        <w:tc>
          <w:tcPr>
            <w:tcW w:w="2115" w:type="dxa"/>
            <w:vAlign w:val="center"/>
          </w:tcPr>
          <w:p>
            <w:pPr>
              <w:pStyle w:val="182"/>
              <w:bidi w:val="0"/>
              <w:rPr>
                <w:b/>
                <w:bCs w:val="0"/>
                <w:u w:val="single"/>
              </w:rPr>
            </w:pPr>
            <w:r>
              <w:rPr>
                <w:b/>
                <w:bCs w:val="0"/>
                <w:u w:val="single"/>
              </w:rPr>
              <w:t>-</w:t>
            </w:r>
          </w:p>
        </w:tc>
        <w:tc>
          <w:tcPr>
            <w:tcW w:w="2906" w:type="dxa"/>
            <w:gridSpan w:val="2"/>
            <w:vAlign w:val="center"/>
          </w:tcPr>
          <w:p>
            <w:pPr>
              <w:pStyle w:val="182"/>
              <w:bidi w:val="0"/>
              <w:rPr>
                <w:b/>
                <w:bCs w:val="0"/>
                <w:u w:val="single"/>
              </w:rPr>
            </w:pPr>
            <w:r>
              <w:rPr>
                <w:b/>
                <w:bCs w:val="0"/>
                <w:u w:val="single"/>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69" w:type="dxa"/>
            <w:vAlign w:val="center"/>
          </w:tcPr>
          <w:p>
            <w:pPr>
              <w:pStyle w:val="182"/>
              <w:bidi w:val="0"/>
              <w:rPr>
                <w:b/>
                <w:bCs w:val="0"/>
                <w:u w:val="single"/>
              </w:rPr>
            </w:pPr>
            <w:r>
              <w:rPr>
                <w:b/>
                <w:bCs w:val="0"/>
                <w:u w:val="single"/>
              </w:rPr>
              <w:t>敏感目标名称</w:t>
            </w:r>
          </w:p>
        </w:tc>
        <w:tc>
          <w:tcPr>
            <w:tcW w:w="1358" w:type="dxa"/>
            <w:vAlign w:val="center"/>
          </w:tcPr>
          <w:p>
            <w:pPr>
              <w:pStyle w:val="182"/>
              <w:bidi w:val="0"/>
              <w:rPr>
                <w:b/>
                <w:bCs w:val="0"/>
                <w:u w:val="single"/>
              </w:rPr>
            </w:pPr>
            <w:r>
              <w:rPr>
                <w:b/>
                <w:bCs w:val="0"/>
                <w:u w:val="single"/>
              </w:rPr>
              <w:t>大气毒性终点浓度-1-超标时间(min)</w:t>
            </w:r>
          </w:p>
        </w:tc>
        <w:tc>
          <w:tcPr>
            <w:tcW w:w="979" w:type="dxa"/>
            <w:vAlign w:val="center"/>
          </w:tcPr>
          <w:p>
            <w:pPr>
              <w:pStyle w:val="182"/>
              <w:bidi w:val="0"/>
              <w:rPr>
                <w:b/>
                <w:bCs w:val="0"/>
                <w:u w:val="single"/>
              </w:rPr>
            </w:pPr>
            <w:r>
              <w:rPr>
                <w:b/>
                <w:bCs w:val="0"/>
                <w:u w:val="single"/>
              </w:rPr>
              <w:t>大气毒性终点浓度-1-超标持续时间(min)</w:t>
            </w:r>
          </w:p>
        </w:tc>
        <w:tc>
          <w:tcPr>
            <w:tcW w:w="2115" w:type="dxa"/>
            <w:vAlign w:val="center"/>
          </w:tcPr>
          <w:p>
            <w:pPr>
              <w:pStyle w:val="182"/>
              <w:bidi w:val="0"/>
              <w:rPr>
                <w:b/>
                <w:bCs w:val="0"/>
                <w:u w:val="single"/>
              </w:rPr>
            </w:pPr>
            <w:r>
              <w:rPr>
                <w:b/>
                <w:bCs w:val="0"/>
                <w:u w:val="single"/>
              </w:rPr>
              <w:t>大气毒性终点浓度-2-超标时间(min)</w:t>
            </w:r>
          </w:p>
        </w:tc>
        <w:tc>
          <w:tcPr>
            <w:tcW w:w="979" w:type="dxa"/>
            <w:vAlign w:val="center"/>
          </w:tcPr>
          <w:p>
            <w:pPr>
              <w:pStyle w:val="182"/>
              <w:bidi w:val="0"/>
              <w:rPr>
                <w:b/>
                <w:bCs w:val="0"/>
                <w:u w:val="single"/>
              </w:rPr>
            </w:pPr>
            <w:r>
              <w:rPr>
                <w:b/>
                <w:bCs w:val="0"/>
                <w:u w:val="single"/>
              </w:rPr>
              <w:t>大气毒性终点浓度-2-超标持续时间(min)</w:t>
            </w:r>
          </w:p>
        </w:tc>
        <w:tc>
          <w:tcPr>
            <w:tcW w:w="1927" w:type="dxa"/>
            <w:vAlign w:val="center"/>
          </w:tcPr>
          <w:p>
            <w:pPr>
              <w:pStyle w:val="182"/>
              <w:bidi w:val="0"/>
              <w:rPr>
                <w:b/>
                <w:bCs w:val="0"/>
                <w:u w:val="single"/>
              </w:rPr>
            </w:pPr>
            <w:r>
              <w:rPr>
                <w:b/>
                <w:bCs w:val="0"/>
                <w:u w:val="single"/>
              </w:rPr>
              <w:t>敏感目标-最大浓度(mg/m</w:t>
            </w:r>
            <w:r>
              <w:rPr>
                <w:b/>
                <w:bCs w:val="0"/>
                <w:u w:val="single"/>
                <w:vertAlign w:val="superscript"/>
              </w:rPr>
              <w:t>3</w:t>
            </w:r>
            <w:r>
              <w:rPr>
                <w:b/>
                <w:bCs w:val="0"/>
                <w:u w:val="single"/>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69" w:type="dxa"/>
            <w:vAlign w:val="center"/>
          </w:tcPr>
          <w:p>
            <w:pPr>
              <w:pStyle w:val="182"/>
              <w:bidi w:val="0"/>
              <w:rPr>
                <w:b/>
                <w:bCs w:val="0"/>
                <w:u w:val="single"/>
              </w:rPr>
            </w:pPr>
            <w:r>
              <w:rPr>
                <w:b/>
                <w:bCs w:val="0"/>
                <w:u w:val="single"/>
              </w:rPr>
              <w:t>周边</w:t>
            </w:r>
          </w:p>
        </w:tc>
        <w:tc>
          <w:tcPr>
            <w:tcW w:w="1358" w:type="dxa"/>
            <w:vAlign w:val="center"/>
          </w:tcPr>
          <w:p>
            <w:pPr>
              <w:pStyle w:val="182"/>
              <w:bidi w:val="0"/>
              <w:rPr>
                <w:b/>
                <w:bCs w:val="0"/>
                <w:u w:val="single"/>
              </w:rPr>
            </w:pPr>
            <w:r>
              <w:rPr>
                <w:b/>
                <w:bCs w:val="0"/>
                <w:u w:val="single"/>
              </w:rPr>
              <w:t>-</w:t>
            </w:r>
          </w:p>
        </w:tc>
        <w:tc>
          <w:tcPr>
            <w:tcW w:w="979" w:type="dxa"/>
            <w:vAlign w:val="center"/>
          </w:tcPr>
          <w:p>
            <w:pPr>
              <w:pStyle w:val="182"/>
              <w:bidi w:val="0"/>
              <w:rPr>
                <w:b/>
                <w:bCs w:val="0"/>
                <w:u w:val="single"/>
              </w:rPr>
            </w:pPr>
            <w:r>
              <w:rPr>
                <w:b/>
                <w:bCs w:val="0"/>
                <w:u w:val="single"/>
              </w:rPr>
              <w:t>-</w:t>
            </w:r>
          </w:p>
        </w:tc>
        <w:tc>
          <w:tcPr>
            <w:tcW w:w="2115" w:type="dxa"/>
            <w:vAlign w:val="center"/>
          </w:tcPr>
          <w:p>
            <w:pPr>
              <w:pStyle w:val="182"/>
              <w:bidi w:val="0"/>
              <w:rPr>
                <w:b/>
                <w:bCs w:val="0"/>
                <w:u w:val="single"/>
              </w:rPr>
            </w:pPr>
            <w:r>
              <w:rPr>
                <w:b/>
                <w:bCs w:val="0"/>
                <w:u w:val="single"/>
              </w:rPr>
              <w:t>-</w:t>
            </w:r>
          </w:p>
        </w:tc>
        <w:tc>
          <w:tcPr>
            <w:tcW w:w="979" w:type="dxa"/>
            <w:vAlign w:val="center"/>
          </w:tcPr>
          <w:p>
            <w:pPr>
              <w:pStyle w:val="182"/>
              <w:bidi w:val="0"/>
              <w:rPr>
                <w:b/>
                <w:bCs w:val="0"/>
                <w:u w:val="single"/>
              </w:rPr>
            </w:pPr>
            <w:r>
              <w:rPr>
                <w:b/>
                <w:bCs w:val="0"/>
                <w:u w:val="single"/>
              </w:rPr>
              <w:t>-</w:t>
            </w:r>
          </w:p>
        </w:tc>
        <w:tc>
          <w:tcPr>
            <w:tcW w:w="1927" w:type="dxa"/>
            <w:vAlign w:val="center"/>
          </w:tcPr>
          <w:p>
            <w:pPr>
              <w:pStyle w:val="182"/>
              <w:bidi w:val="0"/>
              <w:rPr>
                <w:b/>
                <w:bCs w:val="0"/>
                <w:u w:val="single"/>
              </w:rPr>
            </w:pPr>
            <w:r>
              <w:rPr>
                <w:b/>
                <w:bCs w:val="0"/>
                <w:u w:val="single"/>
              </w:rPr>
              <w:t>0.000000</w:t>
            </w:r>
          </w:p>
        </w:tc>
      </w:tr>
    </w:tbl>
    <w:p>
      <w:pPr>
        <w:rPr>
          <w:b/>
          <w:bCs w:val="0"/>
          <w:color w:val="auto"/>
          <w:u w:val="single"/>
        </w:rPr>
      </w:pPr>
    </w:p>
    <w:tbl>
      <w:tblPr>
        <w:tblStyle w:val="32"/>
        <w:tblW w:w="8527"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1143"/>
        <w:gridCol w:w="1329"/>
        <w:gridCol w:w="958"/>
        <w:gridCol w:w="2069"/>
        <w:gridCol w:w="958"/>
        <w:gridCol w:w="2070"/>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0" w:type="dxa"/>
            <w:gridSpan w:val="6"/>
            <w:vAlign w:val="center"/>
          </w:tcPr>
          <w:p>
            <w:pPr>
              <w:pStyle w:val="182"/>
              <w:bidi w:val="0"/>
              <w:rPr>
                <w:b/>
                <w:bCs w:val="0"/>
                <w:u w:val="single"/>
              </w:rPr>
            </w:pPr>
            <w:r>
              <w:rPr>
                <w:b/>
                <w:bCs w:val="0"/>
                <w:u w:val="single"/>
              </w:rPr>
              <w:t>表2:常温常压液体容器-常温常压容器泄漏事故1-最不利气象条件-aftox模型</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43" w:type="dxa"/>
            <w:vAlign w:val="center"/>
          </w:tcPr>
          <w:p>
            <w:pPr>
              <w:pStyle w:val="182"/>
              <w:bidi w:val="0"/>
              <w:rPr>
                <w:b/>
                <w:bCs w:val="0"/>
                <w:u w:val="single"/>
              </w:rPr>
            </w:pPr>
            <w:r>
              <w:rPr>
                <w:b/>
                <w:bCs w:val="0"/>
                <w:u w:val="single"/>
              </w:rPr>
              <w:t>泄露设备类型</w:t>
            </w:r>
          </w:p>
        </w:tc>
        <w:tc>
          <w:tcPr>
            <w:tcW w:w="1329" w:type="dxa"/>
            <w:vAlign w:val="center"/>
          </w:tcPr>
          <w:p>
            <w:pPr>
              <w:pStyle w:val="182"/>
              <w:bidi w:val="0"/>
              <w:rPr>
                <w:b/>
                <w:bCs w:val="0"/>
                <w:u w:val="single"/>
              </w:rPr>
            </w:pPr>
            <w:r>
              <w:rPr>
                <w:b/>
                <w:bCs w:val="0"/>
                <w:u w:val="single"/>
              </w:rPr>
              <w:t>常温常压液体容器</w:t>
            </w:r>
          </w:p>
        </w:tc>
        <w:tc>
          <w:tcPr>
            <w:tcW w:w="958" w:type="dxa"/>
            <w:vAlign w:val="center"/>
          </w:tcPr>
          <w:p>
            <w:pPr>
              <w:pStyle w:val="182"/>
              <w:bidi w:val="0"/>
              <w:rPr>
                <w:b/>
                <w:bCs w:val="0"/>
                <w:u w:val="single"/>
              </w:rPr>
            </w:pPr>
            <w:r>
              <w:rPr>
                <w:b/>
                <w:bCs w:val="0"/>
                <w:u w:val="single"/>
              </w:rPr>
              <w:t>操作温度(℃)</w:t>
            </w:r>
          </w:p>
        </w:tc>
        <w:tc>
          <w:tcPr>
            <w:tcW w:w="2069" w:type="dxa"/>
            <w:vAlign w:val="center"/>
          </w:tcPr>
          <w:p>
            <w:pPr>
              <w:pStyle w:val="182"/>
              <w:bidi w:val="0"/>
              <w:rPr>
                <w:b/>
                <w:bCs w:val="0"/>
                <w:u w:val="single"/>
              </w:rPr>
            </w:pPr>
            <w:r>
              <w:rPr>
                <w:b/>
                <w:bCs w:val="0"/>
                <w:u w:val="single"/>
              </w:rPr>
              <w:t>25.00</w:t>
            </w:r>
          </w:p>
        </w:tc>
        <w:tc>
          <w:tcPr>
            <w:tcW w:w="958" w:type="dxa"/>
            <w:vAlign w:val="center"/>
          </w:tcPr>
          <w:p>
            <w:pPr>
              <w:pStyle w:val="182"/>
              <w:bidi w:val="0"/>
              <w:rPr>
                <w:b/>
                <w:bCs w:val="0"/>
                <w:u w:val="single"/>
              </w:rPr>
            </w:pPr>
            <w:r>
              <w:rPr>
                <w:b/>
                <w:bCs w:val="0"/>
                <w:u w:val="single"/>
              </w:rPr>
              <w:t>操作压力(MPa)</w:t>
            </w:r>
          </w:p>
        </w:tc>
        <w:tc>
          <w:tcPr>
            <w:tcW w:w="2070" w:type="dxa"/>
            <w:vAlign w:val="center"/>
          </w:tcPr>
          <w:p>
            <w:pPr>
              <w:pStyle w:val="182"/>
              <w:bidi w:val="0"/>
              <w:rPr>
                <w:b/>
                <w:bCs w:val="0"/>
                <w:u w:val="single"/>
              </w:rPr>
            </w:pPr>
            <w:r>
              <w:rPr>
                <w:b/>
                <w:bCs w:val="0"/>
                <w:u w:val="single"/>
              </w:rPr>
              <w:t>0.101325</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43" w:type="dxa"/>
            <w:vAlign w:val="center"/>
          </w:tcPr>
          <w:p>
            <w:pPr>
              <w:pStyle w:val="182"/>
              <w:bidi w:val="0"/>
              <w:rPr>
                <w:b/>
                <w:bCs w:val="0"/>
                <w:u w:val="single"/>
              </w:rPr>
            </w:pPr>
            <w:r>
              <w:rPr>
                <w:b/>
                <w:bCs w:val="0"/>
                <w:u w:val="single"/>
              </w:rPr>
              <w:t>泄露危险物质</w:t>
            </w:r>
          </w:p>
        </w:tc>
        <w:tc>
          <w:tcPr>
            <w:tcW w:w="1329" w:type="dxa"/>
            <w:vAlign w:val="center"/>
          </w:tcPr>
          <w:p>
            <w:pPr>
              <w:pStyle w:val="182"/>
              <w:bidi w:val="0"/>
              <w:rPr>
                <w:b/>
                <w:bCs w:val="0"/>
                <w:u w:val="single"/>
              </w:rPr>
            </w:pPr>
            <w:r>
              <w:rPr>
                <w:b/>
                <w:bCs w:val="0"/>
                <w:u w:val="single"/>
              </w:rPr>
              <w:t>浓硫酸</w:t>
            </w:r>
          </w:p>
        </w:tc>
        <w:tc>
          <w:tcPr>
            <w:tcW w:w="958" w:type="dxa"/>
            <w:vAlign w:val="center"/>
          </w:tcPr>
          <w:p>
            <w:pPr>
              <w:pStyle w:val="182"/>
              <w:bidi w:val="0"/>
              <w:rPr>
                <w:b/>
                <w:bCs w:val="0"/>
                <w:u w:val="single"/>
              </w:rPr>
            </w:pPr>
            <w:r>
              <w:rPr>
                <w:b/>
                <w:bCs w:val="0"/>
                <w:u w:val="single"/>
              </w:rPr>
              <w:t>最大存在量(kg)</w:t>
            </w:r>
          </w:p>
        </w:tc>
        <w:tc>
          <w:tcPr>
            <w:tcW w:w="2069" w:type="dxa"/>
            <w:vAlign w:val="center"/>
          </w:tcPr>
          <w:p>
            <w:pPr>
              <w:pStyle w:val="182"/>
              <w:bidi w:val="0"/>
              <w:rPr>
                <w:b/>
                <w:bCs w:val="0"/>
                <w:u w:val="single"/>
              </w:rPr>
            </w:pPr>
            <w:r>
              <w:rPr>
                <w:b/>
                <w:bCs w:val="0"/>
                <w:u w:val="single"/>
              </w:rPr>
              <w:t>799949.6363</w:t>
            </w:r>
          </w:p>
        </w:tc>
        <w:tc>
          <w:tcPr>
            <w:tcW w:w="958" w:type="dxa"/>
            <w:vAlign w:val="center"/>
          </w:tcPr>
          <w:p>
            <w:pPr>
              <w:pStyle w:val="182"/>
              <w:bidi w:val="0"/>
              <w:rPr>
                <w:b/>
                <w:bCs w:val="0"/>
                <w:u w:val="single"/>
              </w:rPr>
            </w:pPr>
            <w:r>
              <w:rPr>
                <w:b/>
                <w:bCs w:val="0"/>
                <w:u w:val="single"/>
              </w:rPr>
              <w:t>裂口直径(mm)</w:t>
            </w:r>
          </w:p>
        </w:tc>
        <w:tc>
          <w:tcPr>
            <w:tcW w:w="2070" w:type="dxa"/>
            <w:vAlign w:val="center"/>
          </w:tcPr>
          <w:p>
            <w:pPr>
              <w:pStyle w:val="182"/>
              <w:bidi w:val="0"/>
              <w:rPr>
                <w:b/>
                <w:bCs w:val="0"/>
                <w:u w:val="single"/>
              </w:rPr>
            </w:pPr>
            <w:r>
              <w:rPr>
                <w:b/>
                <w:bCs w:val="0"/>
                <w:u w:val="single"/>
              </w:rPr>
              <w:t>50.0000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43" w:type="dxa"/>
            <w:vAlign w:val="center"/>
          </w:tcPr>
          <w:p>
            <w:pPr>
              <w:pStyle w:val="182"/>
              <w:bidi w:val="0"/>
              <w:rPr>
                <w:b/>
                <w:bCs w:val="0"/>
                <w:u w:val="single"/>
              </w:rPr>
            </w:pPr>
            <w:r>
              <w:rPr>
                <w:b/>
                <w:bCs w:val="0"/>
                <w:u w:val="single"/>
              </w:rPr>
              <w:t>泄露速率(kg/s)</w:t>
            </w:r>
          </w:p>
        </w:tc>
        <w:tc>
          <w:tcPr>
            <w:tcW w:w="1329" w:type="dxa"/>
            <w:vAlign w:val="center"/>
          </w:tcPr>
          <w:p>
            <w:pPr>
              <w:pStyle w:val="182"/>
              <w:bidi w:val="0"/>
              <w:rPr>
                <w:b/>
                <w:bCs w:val="0"/>
                <w:u w:val="single"/>
              </w:rPr>
            </w:pPr>
            <w:r>
              <w:rPr>
                <w:b/>
                <w:bCs w:val="0"/>
                <w:u w:val="single"/>
              </w:rPr>
              <w:t>10.0447</w:t>
            </w:r>
          </w:p>
        </w:tc>
        <w:tc>
          <w:tcPr>
            <w:tcW w:w="958" w:type="dxa"/>
            <w:vAlign w:val="center"/>
          </w:tcPr>
          <w:p>
            <w:pPr>
              <w:pStyle w:val="182"/>
              <w:bidi w:val="0"/>
              <w:rPr>
                <w:b/>
                <w:bCs w:val="0"/>
                <w:u w:val="single"/>
              </w:rPr>
            </w:pPr>
            <w:r>
              <w:rPr>
                <w:b/>
                <w:bCs w:val="0"/>
                <w:u w:val="single"/>
              </w:rPr>
              <w:t>泄露时间(min)</w:t>
            </w:r>
          </w:p>
        </w:tc>
        <w:tc>
          <w:tcPr>
            <w:tcW w:w="2069" w:type="dxa"/>
            <w:vAlign w:val="center"/>
          </w:tcPr>
          <w:p>
            <w:pPr>
              <w:pStyle w:val="182"/>
              <w:bidi w:val="0"/>
              <w:rPr>
                <w:b/>
                <w:bCs w:val="0"/>
                <w:u w:val="single"/>
              </w:rPr>
            </w:pPr>
            <w:r>
              <w:rPr>
                <w:b/>
                <w:bCs w:val="0"/>
                <w:u w:val="single"/>
              </w:rPr>
              <w:t>1293.02</w:t>
            </w:r>
          </w:p>
        </w:tc>
        <w:tc>
          <w:tcPr>
            <w:tcW w:w="958" w:type="dxa"/>
            <w:vAlign w:val="center"/>
          </w:tcPr>
          <w:p>
            <w:pPr>
              <w:pStyle w:val="182"/>
              <w:bidi w:val="0"/>
              <w:rPr>
                <w:b/>
                <w:bCs w:val="0"/>
                <w:u w:val="single"/>
              </w:rPr>
            </w:pPr>
            <w:r>
              <w:rPr>
                <w:b/>
                <w:bCs w:val="0"/>
                <w:u w:val="single"/>
              </w:rPr>
              <w:t>泄露量(kg)</w:t>
            </w:r>
          </w:p>
        </w:tc>
        <w:tc>
          <w:tcPr>
            <w:tcW w:w="2070" w:type="dxa"/>
            <w:vAlign w:val="center"/>
          </w:tcPr>
          <w:p>
            <w:pPr>
              <w:pStyle w:val="182"/>
              <w:bidi w:val="0"/>
              <w:rPr>
                <w:b/>
                <w:bCs w:val="0"/>
                <w:u w:val="single"/>
              </w:rPr>
            </w:pPr>
            <w:r>
              <w:rPr>
                <w:b/>
                <w:bCs w:val="0"/>
                <w:u w:val="single"/>
              </w:rPr>
              <w:t>779266.8223</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43" w:type="dxa"/>
            <w:vAlign w:val="center"/>
          </w:tcPr>
          <w:p>
            <w:pPr>
              <w:pStyle w:val="182"/>
              <w:bidi w:val="0"/>
              <w:rPr>
                <w:b/>
                <w:bCs w:val="0"/>
                <w:u w:val="single"/>
              </w:rPr>
            </w:pPr>
            <w:r>
              <w:rPr>
                <w:b/>
                <w:bCs w:val="0"/>
                <w:u w:val="single"/>
              </w:rPr>
              <w:t>泄露高度(m)</w:t>
            </w:r>
          </w:p>
        </w:tc>
        <w:tc>
          <w:tcPr>
            <w:tcW w:w="1329" w:type="dxa"/>
            <w:vAlign w:val="center"/>
          </w:tcPr>
          <w:p>
            <w:pPr>
              <w:pStyle w:val="182"/>
              <w:bidi w:val="0"/>
              <w:rPr>
                <w:b/>
                <w:bCs w:val="0"/>
                <w:u w:val="single"/>
              </w:rPr>
            </w:pPr>
            <w:r>
              <w:rPr>
                <w:b/>
                <w:bCs w:val="0"/>
                <w:u w:val="single"/>
              </w:rPr>
              <w:t>1.2000</w:t>
            </w:r>
          </w:p>
        </w:tc>
        <w:tc>
          <w:tcPr>
            <w:tcW w:w="958" w:type="dxa"/>
            <w:vAlign w:val="center"/>
          </w:tcPr>
          <w:p>
            <w:pPr>
              <w:pStyle w:val="182"/>
              <w:bidi w:val="0"/>
              <w:rPr>
                <w:b/>
                <w:bCs w:val="0"/>
                <w:u w:val="single"/>
              </w:rPr>
            </w:pPr>
            <w:r>
              <w:rPr>
                <w:b/>
                <w:bCs w:val="0"/>
                <w:u w:val="single"/>
              </w:rPr>
              <w:t>泄露概率(次/年)</w:t>
            </w:r>
          </w:p>
        </w:tc>
        <w:tc>
          <w:tcPr>
            <w:tcW w:w="2069" w:type="dxa"/>
            <w:vAlign w:val="center"/>
          </w:tcPr>
          <w:p>
            <w:pPr>
              <w:pStyle w:val="182"/>
              <w:bidi w:val="0"/>
              <w:rPr>
                <w:b/>
                <w:bCs w:val="0"/>
                <w:u w:val="single"/>
              </w:rPr>
            </w:pPr>
            <w:r>
              <w:rPr>
                <w:b/>
                <w:bCs w:val="0"/>
                <w:u w:val="single"/>
              </w:rPr>
              <w:t>0.0054</w:t>
            </w:r>
          </w:p>
        </w:tc>
        <w:tc>
          <w:tcPr>
            <w:tcW w:w="958" w:type="dxa"/>
            <w:vAlign w:val="center"/>
          </w:tcPr>
          <w:p>
            <w:pPr>
              <w:pStyle w:val="182"/>
              <w:bidi w:val="0"/>
              <w:rPr>
                <w:b/>
                <w:bCs w:val="0"/>
                <w:u w:val="single"/>
              </w:rPr>
            </w:pPr>
            <w:r>
              <w:rPr>
                <w:b/>
                <w:bCs w:val="0"/>
                <w:u w:val="single"/>
              </w:rPr>
              <w:t>蒸发量(kg)</w:t>
            </w:r>
          </w:p>
        </w:tc>
        <w:tc>
          <w:tcPr>
            <w:tcW w:w="2070" w:type="dxa"/>
            <w:vAlign w:val="center"/>
          </w:tcPr>
          <w:p>
            <w:pPr>
              <w:pStyle w:val="182"/>
              <w:bidi w:val="0"/>
              <w:rPr>
                <w:b/>
                <w:bCs w:val="0"/>
                <w:u w:val="single"/>
              </w:rPr>
            </w:pPr>
            <w:r>
              <w:rPr>
                <w:b/>
                <w:bCs w:val="0"/>
                <w:u w:val="single"/>
              </w:rPr>
              <w:t>779266.8223</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3430" w:type="dxa"/>
            <w:gridSpan w:val="3"/>
            <w:vAlign w:val="center"/>
          </w:tcPr>
          <w:p>
            <w:pPr>
              <w:pStyle w:val="182"/>
              <w:bidi w:val="0"/>
              <w:rPr>
                <w:b/>
                <w:bCs w:val="0"/>
                <w:u w:val="single"/>
              </w:rPr>
            </w:pPr>
            <w:r>
              <w:rPr>
                <w:b/>
                <w:bCs w:val="0"/>
                <w:u w:val="single"/>
              </w:rPr>
              <w:t>大气环境影响-气象条件名称-模型类型</w:t>
            </w:r>
          </w:p>
        </w:tc>
        <w:tc>
          <w:tcPr>
            <w:tcW w:w="5097" w:type="dxa"/>
            <w:gridSpan w:val="3"/>
            <w:vAlign w:val="center"/>
          </w:tcPr>
          <w:p>
            <w:pPr>
              <w:pStyle w:val="182"/>
              <w:bidi w:val="0"/>
              <w:rPr>
                <w:b/>
                <w:bCs w:val="0"/>
                <w:u w:val="single"/>
              </w:rPr>
            </w:pPr>
            <w:r>
              <w:rPr>
                <w:b/>
                <w:bCs w:val="0"/>
                <w:u w:val="single"/>
              </w:rPr>
              <w:t>最不利气象条件-aftox模型</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43" w:type="dxa"/>
            <w:vAlign w:val="center"/>
          </w:tcPr>
          <w:p>
            <w:pPr>
              <w:pStyle w:val="182"/>
              <w:bidi w:val="0"/>
              <w:rPr>
                <w:b/>
                <w:bCs w:val="0"/>
                <w:u w:val="single"/>
              </w:rPr>
            </w:pPr>
            <w:r>
              <w:rPr>
                <w:b/>
                <w:bCs w:val="0"/>
                <w:u w:val="single"/>
              </w:rPr>
              <w:t>指标</w:t>
            </w:r>
          </w:p>
        </w:tc>
        <w:tc>
          <w:tcPr>
            <w:tcW w:w="2287" w:type="dxa"/>
            <w:gridSpan w:val="2"/>
            <w:vAlign w:val="center"/>
          </w:tcPr>
          <w:p>
            <w:pPr>
              <w:pStyle w:val="182"/>
              <w:bidi w:val="0"/>
              <w:rPr>
                <w:b/>
                <w:bCs w:val="0"/>
                <w:u w:val="single"/>
              </w:rPr>
            </w:pPr>
            <w:r>
              <w:rPr>
                <w:b/>
                <w:bCs w:val="0"/>
                <w:u w:val="single"/>
              </w:rPr>
              <w:t>浓度值(mg/m3)</w:t>
            </w:r>
          </w:p>
        </w:tc>
        <w:tc>
          <w:tcPr>
            <w:tcW w:w="2069" w:type="dxa"/>
            <w:vAlign w:val="center"/>
          </w:tcPr>
          <w:p>
            <w:pPr>
              <w:pStyle w:val="182"/>
              <w:bidi w:val="0"/>
              <w:rPr>
                <w:b/>
                <w:bCs w:val="0"/>
                <w:u w:val="single"/>
              </w:rPr>
            </w:pPr>
            <w:r>
              <w:rPr>
                <w:b/>
                <w:bCs w:val="0"/>
                <w:u w:val="single"/>
              </w:rPr>
              <w:t>最远影响距离(m)</w:t>
            </w:r>
          </w:p>
        </w:tc>
        <w:tc>
          <w:tcPr>
            <w:tcW w:w="3028" w:type="dxa"/>
            <w:gridSpan w:val="2"/>
            <w:vAlign w:val="center"/>
          </w:tcPr>
          <w:p>
            <w:pPr>
              <w:pStyle w:val="182"/>
              <w:bidi w:val="0"/>
              <w:rPr>
                <w:b/>
                <w:bCs w:val="0"/>
                <w:u w:val="single"/>
              </w:rPr>
            </w:pPr>
            <w:r>
              <w:rPr>
                <w:b/>
                <w:bCs w:val="0"/>
                <w:u w:val="single"/>
              </w:rPr>
              <w:t>到达时间(min)</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43" w:type="dxa"/>
            <w:vAlign w:val="center"/>
          </w:tcPr>
          <w:p>
            <w:pPr>
              <w:pStyle w:val="182"/>
              <w:bidi w:val="0"/>
              <w:rPr>
                <w:b/>
                <w:bCs w:val="0"/>
                <w:u w:val="single"/>
              </w:rPr>
            </w:pPr>
            <w:r>
              <w:rPr>
                <w:b/>
                <w:bCs w:val="0"/>
                <w:u w:val="single"/>
              </w:rPr>
              <w:t>大气毒性终点浓度-1</w:t>
            </w:r>
          </w:p>
        </w:tc>
        <w:tc>
          <w:tcPr>
            <w:tcW w:w="2287" w:type="dxa"/>
            <w:gridSpan w:val="2"/>
            <w:vAlign w:val="center"/>
          </w:tcPr>
          <w:p>
            <w:pPr>
              <w:pStyle w:val="182"/>
              <w:bidi w:val="0"/>
              <w:rPr>
                <w:b/>
                <w:bCs w:val="0"/>
                <w:u w:val="single"/>
              </w:rPr>
            </w:pPr>
            <w:r>
              <w:rPr>
                <w:b/>
                <w:bCs w:val="0"/>
                <w:u w:val="single"/>
              </w:rPr>
              <w:t>160.000000</w:t>
            </w:r>
          </w:p>
        </w:tc>
        <w:tc>
          <w:tcPr>
            <w:tcW w:w="2069" w:type="dxa"/>
            <w:vAlign w:val="center"/>
          </w:tcPr>
          <w:p>
            <w:pPr>
              <w:pStyle w:val="182"/>
              <w:bidi w:val="0"/>
              <w:rPr>
                <w:b/>
                <w:bCs w:val="0"/>
                <w:u w:val="single"/>
              </w:rPr>
            </w:pPr>
            <w:r>
              <w:rPr>
                <w:b/>
                <w:bCs w:val="0"/>
                <w:u w:val="single"/>
              </w:rPr>
              <w:t>-</w:t>
            </w:r>
          </w:p>
        </w:tc>
        <w:tc>
          <w:tcPr>
            <w:tcW w:w="3028" w:type="dxa"/>
            <w:gridSpan w:val="2"/>
            <w:vAlign w:val="center"/>
          </w:tcPr>
          <w:p>
            <w:pPr>
              <w:pStyle w:val="182"/>
              <w:bidi w:val="0"/>
              <w:rPr>
                <w:b/>
                <w:bCs w:val="0"/>
                <w:u w:val="single"/>
              </w:rPr>
            </w:pPr>
            <w:r>
              <w:rPr>
                <w:b/>
                <w:bCs w:val="0"/>
                <w:u w:val="single"/>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43" w:type="dxa"/>
            <w:vAlign w:val="center"/>
          </w:tcPr>
          <w:p>
            <w:pPr>
              <w:pStyle w:val="182"/>
              <w:bidi w:val="0"/>
              <w:rPr>
                <w:b/>
                <w:bCs w:val="0"/>
                <w:u w:val="single"/>
              </w:rPr>
            </w:pPr>
            <w:r>
              <w:rPr>
                <w:b/>
                <w:bCs w:val="0"/>
                <w:u w:val="single"/>
              </w:rPr>
              <w:t>大气毒性终点浓度-2</w:t>
            </w:r>
          </w:p>
        </w:tc>
        <w:tc>
          <w:tcPr>
            <w:tcW w:w="2287" w:type="dxa"/>
            <w:gridSpan w:val="2"/>
            <w:vAlign w:val="center"/>
          </w:tcPr>
          <w:p>
            <w:pPr>
              <w:pStyle w:val="182"/>
              <w:bidi w:val="0"/>
              <w:rPr>
                <w:b/>
                <w:bCs w:val="0"/>
                <w:u w:val="single"/>
              </w:rPr>
            </w:pPr>
            <w:r>
              <w:rPr>
                <w:b/>
                <w:bCs w:val="0"/>
                <w:u w:val="single"/>
              </w:rPr>
              <w:t>8.700000</w:t>
            </w:r>
          </w:p>
        </w:tc>
        <w:tc>
          <w:tcPr>
            <w:tcW w:w="2069" w:type="dxa"/>
            <w:vAlign w:val="center"/>
          </w:tcPr>
          <w:p>
            <w:pPr>
              <w:pStyle w:val="182"/>
              <w:bidi w:val="0"/>
              <w:rPr>
                <w:b/>
                <w:bCs w:val="0"/>
                <w:u w:val="single"/>
              </w:rPr>
            </w:pPr>
            <w:r>
              <w:rPr>
                <w:b/>
                <w:bCs w:val="0"/>
                <w:u w:val="single"/>
              </w:rPr>
              <w:t>-</w:t>
            </w:r>
          </w:p>
        </w:tc>
        <w:tc>
          <w:tcPr>
            <w:tcW w:w="3028" w:type="dxa"/>
            <w:gridSpan w:val="2"/>
            <w:vAlign w:val="center"/>
          </w:tcPr>
          <w:p>
            <w:pPr>
              <w:pStyle w:val="182"/>
              <w:bidi w:val="0"/>
              <w:rPr>
                <w:b/>
                <w:bCs w:val="0"/>
                <w:u w:val="single"/>
              </w:rPr>
            </w:pPr>
            <w:r>
              <w:rPr>
                <w:b/>
                <w:bCs w:val="0"/>
                <w:u w:val="single"/>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454" w:hRule="atLeast"/>
        </w:trPr>
        <w:tc>
          <w:tcPr>
            <w:tcW w:w="1143" w:type="dxa"/>
            <w:vAlign w:val="center"/>
          </w:tcPr>
          <w:p>
            <w:pPr>
              <w:pStyle w:val="182"/>
              <w:bidi w:val="0"/>
              <w:rPr>
                <w:b/>
                <w:bCs w:val="0"/>
                <w:u w:val="single"/>
              </w:rPr>
            </w:pPr>
            <w:r>
              <w:rPr>
                <w:b/>
                <w:bCs w:val="0"/>
                <w:u w:val="single"/>
              </w:rPr>
              <w:t>敏感目标名称</w:t>
            </w:r>
          </w:p>
        </w:tc>
        <w:tc>
          <w:tcPr>
            <w:tcW w:w="1329" w:type="dxa"/>
            <w:vAlign w:val="center"/>
          </w:tcPr>
          <w:p>
            <w:pPr>
              <w:pStyle w:val="182"/>
              <w:bidi w:val="0"/>
              <w:rPr>
                <w:b/>
                <w:bCs w:val="0"/>
                <w:u w:val="single"/>
              </w:rPr>
            </w:pPr>
            <w:r>
              <w:rPr>
                <w:b/>
                <w:bCs w:val="0"/>
                <w:u w:val="single"/>
              </w:rPr>
              <w:t>大气毒性终点浓度-1-超标时间(min)</w:t>
            </w:r>
          </w:p>
        </w:tc>
        <w:tc>
          <w:tcPr>
            <w:tcW w:w="958" w:type="dxa"/>
            <w:vAlign w:val="center"/>
          </w:tcPr>
          <w:p>
            <w:pPr>
              <w:pStyle w:val="182"/>
              <w:bidi w:val="0"/>
              <w:rPr>
                <w:b/>
                <w:bCs w:val="0"/>
                <w:u w:val="single"/>
              </w:rPr>
            </w:pPr>
            <w:r>
              <w:rPr>
                <w:b/>
                <w:bCs w:val="0"/>
                <w:u w:val="single"/>
              </w:rPr>
              <w:t>大气毒性终点浓度-1-超标持续时间(min)</w:t>
            </w:r>
          </w:p>
        </w:tc>
        <w:tc>
          <w:tcPr>
            <w:tcW w:w="2069" w:type="dxa"/>
            <w:vAlign w:val="center"/>
          </w:tcPr>
          <w:p>
            <w:pPr>
              <w:pStyle w:val="182"/>
              <w:bidi w:val="0"/>
              <w:rPr>
                <w:b/>
                <w:bCs w:val="0"/>
                <w:u w:val="single"/>
              </w:rPr>
            </w:pPr>
            <w:r>
              <w:rPr>
                <w:b/>
                <w:bCs w:val="0"/>
                <w:u w:val="single"/>
              </w:rPr>
              <w:t>大气毒性终点浓度-2-超标时间(min)</w:t>
            </w:r>
          </w:p>
        </w:tc>
        <w:tc>
          <w:tcPr>
            <w:tcW w:w="958" w:type="dxa"/>
            <w:vAlign w:val="center"/>
          </w:tcPr>
          <w:p>
            <w:pPr>
              <w:pStyle w:val="182"/>
              <w:bidi w:val="0"/>
              <w:rPr>
                <w:b/>
                <w:bCs w:val="0"/>
                <w:u w:val="single"/>
              </w:rPr>
            </w:pPr>
            <w:r>
              <w:rPr>
                <w:b/>
                <w:bCs w:val="0"/>
                <w:u w:val="single"/>
              </w:rPr>
              <w:t>大气毒性终点浓度-2-超标持续时间(min)</w:t>
            </w:r>
          </w:p>
        </w:tc>
        <w:tc>
          <w:tcPr>
            <w:tcW w:w="2070" w:type="dxa"/>
            <w:vAlign w:val="center"/>
          </w:tcPr>
          <w:p>
            <w:pPr>
              <w:pStyle w:val="182"/>
              <w:bidi w:val="0"/>
              <w:rPr>
                <w:b/>
                <w:bCs w:val="0"/>
                <w:u w:val="single"/>
              </w:rPr>
            </w:pPr>
            <w:r>
              <w:rPr>
                <w:b/>
                <w:bCs w:val="0"/>
                <w:u w:val="single"/>
              </w:rPr>
              <w:t>敏感目标-最大浓度(mg/m</w:t>
            </w:r>
            <w:r>
              <w:rPr>
                <w:b/>
                <w:bCs w:val="0"/>
                <w:u w:val="single"/>
                <w:vertAlign w:val="superscript"/>
              </w:rPr>
              <w:t>3</w:t>
            </w:r>
            <w:r>
              <w:rPr>
                <w:b/>
                <w:bCs w:val="0"/>
                <w:u w:val="single"/>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1143" w:type="dxa"/>
            <w:vAlign w:val="center"/>
          </w:tcPr>
          <w:p>
            <w:pPr>
              <w:pStyle w:val="182"/>
              <w:bidi w:val="0"/>
              <w:rPr>
                <w:b/>
                <w:bCs w:val="0"/>
                <w:u w:val="single"/>
              </w:rPr>
            </w:pPr>
            <w:r>
              <w:rPr>
                <w:b/>
                <w:bCs w:val="0"/>
                <w:u w:val="single"/>
              </w:rPr>
              <w:t>周边</w:t>
            </w:r>
          </w:p>
        </w:tc>
        <w:tc>
          <w:tcPr>
            <w:tcW w:w="1329" w:type="dxa"/>
            <w:vAlign w:val="center"/>
          </w:tcPr>
          <w:p>
            <w:pPr>
              <w:pStyle w:val="182"/>
              <w:bidi w:val="0"/>
              <w:rPr>
                <w:b/>
                <w:bCs w:val="0"/>
                <w:u w:val="single"/>
              </w:rPr>
            </w:pPr>
            <w:r>
              <w:rPr>
                <w:b/>
                <w:bCs w:val="0"/>
                <w:u w:val="single"/>
              </w:rPr>
              <w:t>-</w:t>
            </w:r>
          </w:p>
        </w:tc>
        <w:tc>
          <w:tcPr>
            <w:tcW w:w="958" w:type="dxa"/>
            <w:vAlign w:val="center"/>
          </w:tcPr>
          <w:p>
            <w:pPr>
              <w:pStyle w:val="182"/>
              <w:bidi w:val="0"/>
              <w:rPr>
                <w:b/>
                <w:bCs w:val="0"/>
                <w:u w:val="single"/>
              </w:rPr>
            </w:pPr>
            <w:r>
              <w:rPr>
                <w:b/>
                <w:bCs w:val="0"/>
                <w:u w:val="single"/>
              </w:rPr>
              <w:t>-</w:t>
            </w:r>
          </w:p>
        </w:tc>
        <w:tc>
          <w:tcPr>
            <w:tcW w:w="2069" w:type="dxa"/>
            <w:vAlign w:val="center"/>
          </w:tcPr>
          <w:p>
            <w:pPr>
              <w:pStyle w:val="182"/>
              <w:bidi w:val="0"/>
              <w:rPr>
                <w:b/>
                <w:bCs w:val="0"/>
                <w:u w:val="single"/>
              </w:rPr>
            </w:pPr>
            <w:r>
              <w:rPr>
                <w:b/>
                <w:bCs w:val="0"/>
                <w:u w:val="single"/>
              </w:rPr>
              <w:t>-</w:t>
            </w:r>
          </w:p>
        </w:tc>
        <w:tc>
          <w:tcPr>
            <w:tcW w:w="958" w:type="dxa"/>
            <w:vAlign w:val="center"/>
          </w:tcPr>
          <w:p>
            <w:pPr>
              <w:pStyle w:val="182"/>
              <w:bidi w:val="0"/>
              <w:rPr>
                <w:b/>
                <w:bCs w:val="0"/>
                <w:u w:val="single"/>
              </w:rPr>
            </w:pPr>
            <w:r>
              <w:rPr>
                <w:b/>
                <w:bCs w:val="0"/>
                <w:u w:val="single"/>
              </w:rPr>
              <w:t>-</w:t>
            </w:r>
          </w:p>
        </w:tc>
        <w:tc>
          <w:tcPr>
            <w:tcW w:w="2070" w:type="dxa"/>
            <w:vAlign w:val="center"/>
          </w:tcPr>
          <w:p>
            <w:pPr>
              <w:pStyle w:val="182"/>
              <w:bidi w:val="0"/>
              <w:rPr>
                <w:b/>
                <w:bCs w:val="0"/>
                <w:u w:val="single"/>
              </w:rPr>
            </w:pPr>
            <w:r>
              <w:rPr>
                <w:b/>
                <w:bCs w:val="0"/>
                <w:u w:val="single"/>
              </w:rPr>
              <w:t>0.000000</w:t>
            </w:r>
          </w:p>
        </w:tc>
      </w:tr>
    </w:tbl>
    <w:p>
      <w:pPr>
        <w:pStyle w:val="10"/>
        <w:bidi w:val="0"/>
        <w:rPr>
          <w:b/>
          <w:bCs w:val="0"/>
          <w:color w:val="auto"/>
          <w:u w:val="single"/>
        </w:rPr>
      </w:pPr>
      <w:r>
        <w:rPr>
          <w:rFonts w:hint="eastAsia"/>
          <w:b/>
          <w:bCs w:val="0"/>
          <w:color w:val="auto"/>
          <w:u w:val="single"/>
          <w:lang w:val="en-US" w:eastAsia="zh-CN"/>
        </w:rPr>
        <w:t xml:space="preserve">5.10.1.4 </w:t>
      </w:r>
      <w:r>
        <w:rPr>
          <w:b/>
          <w:bCs w:val="0"/>
          <w:color w:val="auto"/>
          <w:u w:val="single"/>
        </w:rPr>
        <w:t>风险源最大影响统计表</w:t>
      </w:r>
    </w:p>
    <w:p>
      <w:pPr>
        <w:pStyle w:val="181"/>
        <w:spacing w:line="480" w:lineRule="exact"/>
        <w:jc w:val="center"/>
        <w:rPr>
          <w:b/>
          <w:bCs w:val="0"/>
          <w:color w:val="auto"/>
          <w:u w:val="single"/>
        </w:rPr>
      </w:pPr>
      <w:r>
        <w:rPr>
          <w:rFonts w:hint="eastAsia"/>
          <w:b/>
          <w:bCs w:val="0"/>
          <w:color w:val="auto"/>
          <w:u w:val="single"/>
          <w:lang w:val="en-US" w:eastAsia="zh-CN"/>
        </w:rPr>
        <w:t xml:space="preserve">表5.10-4             </w:t>
      </w:r>
      <w:r>
        <w:rPr>
          <w:b/>
          <w:bCs w:val="0"/>
          <w:color w:val="auto"/>
          <w:u w:val="single"/>
        </w:rPr>
        <w:t>风险源最大影响统计表</w:t>
      </w:r>
    </w:p>
    <w:tbl>
      <w:tblPr>
        <w:tblStyle w:val="32"/>
        <w:tblW w:w="8527"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2291"/>
        <w:gridCol w:w="1972"/>
        <w:gridCol w:w="2611"/>
        <w:gridCol w:w="1653"/>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8527" w:type="dxa"/>
            <w:gridSpan w:val="4"/>
            <w:vAlign w:val="center"/>
          </w:tcPr>
          <w:p>
            <w:pPr>
              <w:pStyle w:val="182"/>
              <w:bidi w:val="0"/>
              <w:rPr>
                <w:b/>
                <w:bCs w:val="0"/>
                <w:u w:val="single"/>
              </w:rPr>
            </w:pPr>
            <w:r>
              <w:rPr>
                <w:b/>
                <w:bCs w:val="0"/>
                <w:u w:val="single"/>
              </w:rPr>
              <w:t>表1:最不利气象条件气象条件</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2291" w:type="dxa"/>
            <w:vAlign w:val="center"/>
          </w:tcPr>
          <w:p>
            <w:pPr>
              <w:pStyle w:val="182"/>
              <w:bidi w:val="0"/>
              <w:rPr>
                <w:b/>
                <w:bCs w:val="0"/>
                <w:u w:val="single"/>
              </w:rPr>
            </w:pPr>
            <w:r>
              <w:rPr>
                <w:b/>
                <w:bCs w:val="0"/>
                <w:u w:val="single"/>
              </w:rPr>
              <w:t>风险源名称</w:t>
            </w:r>
          </w:p>
        </w:tc>
        <w:tc>
          <w:tcPr>
            <w:tcW w:w="1972" w:type="dxa"/>
            <w:vAlign w:val="center"/>
          </w:tcPr>
          <w:p>
            <w:pPr>
              <w:pStyle w:val="182"/>
              <w:bidi w:val="0"/>
              <w:rPr>
                <w:b/>
                <w:bCs w:val="0"/>
                <w:u w:val="single"/>
              </w:rPr>
            </w:pPr>
            <w:r>
              <w:rPr>
                <w:b/>
                <w:bCs w:val="0"/>
                <w:u w:val="single"/>
              </w:rPr>
              <w:t>下风向距离(m)</w:t>
            </w:r>
          </w:p>
        </w:tc>
        <w:tc>
          <w:tcPr>
            <w:tcW w:w="2611" w:type="dxa"/>
            <w:vAlign w:val="center"/>
          </w:tcPr>
          <w:p>
            <w:pPr>
              <w:pStyle w:val="182"/>
              <w:bidi w:val="0"/>
              <w:rPr>
                <w:b/>
                <w:bCs w:val="0"/>
                <w:u w:val="single"/>
              </w:rPr>
            </w:pPr>
            <w:r>
              <w:rPr>
                <w:b/>
                <w:bCs w:val="0"/>
                <w:u w:val="single"/>
              </w:rPr>
              <w:t>最大浓度值(mg/m</w:t>
            </w:r>
            <w:r>
              <w:rPr>
                <w:b/>
                <w:bCs w:val="0"/>
                <w:u w:val="single"/>
                <w:vertAlign w:val="superscript"/>
              </w:rPr>
              <w:t>3</w:t>
            </w:r>
            <w:r>
              <w:rPr>
                <w:b/>
                <w:bCs w:val="0"/>
                <w:u w:val="single"/>
              </w:rPr>
              <w:t>)</w:t>
            </w:r>
          </w:p>
        </w:tc>
        <w:tc>
          <w:tcPr>
            <w:tcW w:w="1653" w:type="dxa"/>
            <w:vAlign w:val="center"/>
          </w:tcPr>
          <w:p>
            <w:pPr>
              <w:pStyle w:val="182"/>
              <w:bidi w:val="0"/>
              <w:rPr>
                <w:b/>
                <w:bCs w:val="0"/>
                <w:u w:val="single"/>
              </w:rPr>
            </w:pPr>
            <w:r>
              <w:rPr>
                <w:b/>
                <w:bCs w:val="0"/>
                <w:u w:val="single"/>
              </w:rPr>
              <w:t>出现时刻(s)</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2291" w:type="dxa"/>
            <w:vAlign w:val="center"/>
          </w:tcPr>
          <w:p>
            <w:pPr>
              <w:pStyle w:val="182"/>
              <w:bidi w:val="0"/>
              <w:rPr>
                <w:b/>
                <w:bCs w:val="0"/>
                <w:u w:val="single"/>
              </w:rPr>
            </w:pPr>
            <w:r>
              <w:rPr>
                <w:b/>
                <w:bCs w:val="0"/>
                <w:u w:val="single"/>
              </w:rPr>
              <w:t>常温常压液体容器-常温常压容器泄漏事故1-中性气体扩散模型(Aftox)</w:t>
            </w:r>
          </w:p>
        </w:tc>
        <w:tc>
          <w:tcPr>
            <w:tcW w:w="1972" w:type="dxa"/>
            <w:vAlign w:val="center"/>
          </w:tcPr>
          <w:p>
            <w:pPr>
              <w:pStyle w:val="182"/>
              <w:bidi w:val="0"/>
              <w:rPr>
                <w:b/>
                <w:bCs w:val="0"/>
                <w:u w:val="single"/>
              </w:rPr>
            </w:pPr>
            <w:r>
              <w:rPr>
                <w:b/>
                <w:bCs w:val="0"/>
                <w:u w:val="single"/>
              </w:rPr>
              <w:t>8.0000</w:t>
            </w:r>
          </w:p>
        </w:tc>
        <w:tc>
          <w:tcPr>
            <w:tcW w:w="2611" w:type="dxa"/>
            <w:vAlign w:val="center"/>
          </w:tcPr>
          <w:p>
            <w:pPr>
              <w:pStyle w:val="182"/>
              <w:bidi w:val="0"/>
              <w:rPr>
                <w:b/>
                <w:bCs w:val="0"/>
                <w:u w:val="single"/>
              </w:rPr>
            </w:pPr>
            <w:r>
              <w:rPr>
                <w:b/>
                <w:bCs w:val="0"/>
                <w:u w:val="single"/>
              </w:rPr>
              <w:t>0.001990</w:t>
            </w:r>
          </w:p>
        </w:tc>
        <w:tc>
          <w:tcPr>
            <w:tcW w:w="1653" w:type="dxa"/>
            <w:vAlign w:val="center"/>
          </w:tcPr>
          <w:p>
            <w:pPr>
              <w:pStyle w:val="182"/>
              <w:bidi w:val="0"/>
              <w:rPr>
                <w:b/>
                <w:bCs w:val="0"/>
                <w:u w:val="single"/>
              </w:rPr>
            </w:pPr>
            <w:r>
              <w:rPr>
                <w:b/>
                <w:bCs w:val="0"/>
                <w:u w:val="single"/>
              </w:rPr>
              <w:t>12.00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54" w:hRule="atLeast"/>
        </w:trPr>
        <w:tc>
          <w:tcPr>
            <w:tcW w:w="2291" w:type="dxa"/>
            <w:vAlign w:val="center"/>
          </w:tcPr>
          <w:p>
            <w:pPr>
              <w:pStyle w:val="182"/>
              <w:bidi w:val="0"/>
              <w:rPr>
                <w:b/>
                <w:bCs w:val="0"/>
                <w:u w:val="single"/>
              </w:rPr>
            </w:pPr>
            <w:r>
              <w:rPr>
                <w:b/>
                <w:bCs w:val="0"/>
                <w:u w:val="single"/>
              </w:rPr>
              <w:t>常温常压液体容器-slab泄漏源-重气体扩散模型(Slab)</w:t>
            </w:r>
          </w:p>
        </w:tc>
        <w:tc>
          <w:tcPr>
            <w:tcW w:w="1972" w:type="dxa"/>
            <w:vAlign w:val="center"/>
          </w:tcPr>
          <w:p>
            <w:pPr>
              <w:pStyle w:val="182"/>
              <w:bidi w:val="0"/>
              <w:rPr>
                <w:b/>
                <w:bCs w:val="0"/>
                <w:u w:val="single"/>
              </w:rPr>
            </w:pPr>
            <w:r>
              <w:rPr>
                <w:b/>
                <w:bCs w:val="0"/>
                <w:u w:val="single"/>
              </w:rPr>
              <w:t>-</w:t>
            </w:r>
          </w:p>
        </w:tc>
        <w:tc>
          <w:tcPr>
            <w:tcW w:w="2611" w:type="dxa"/>
            <w:vAlign w:val="center"/>
          </w:tcPr>
          <w:p>
            <w:pPr>
              <w:pStyle w:val="182"/>
              <w:bidi w:val="0"/>
              <w:rPr>
                <w:b/>
                <w:bCs w:val="0"/>
                <w:u w:val="single"/>
              </w:rPr>
            </w:pPr>
            <w:r>
              <w:rPr>
                <w:b/>
                <w:bCs w:val="0"/>
                <w:u w:val="single"/>
              </w:rPr>
              <w:t>-</w:t>
            </w:r>
          </w:p>
        </w:tc>
        <w:tc>
          <w:tcPr>
            <w:tcW w:w="1653" w:type="dxa"/>
            <w:vAlign w:val="center"/>
          </w:tcPr>
          <w:p>
            <w:pPr>
              <w:pStyle w:val="182"/>
              <w:bidi w:val="0"/>
              <w:rPr>
                <w:b/>
                <w:bCs w:val="0"/>
                <w:u w:val="single"/>
              </w:rPr>
            </w:pPr>
            <w:r>
              <w:rPr>
                <w:b/>
                <w:bCs w:val="0"/>
                <w:u w:val="single"/>
              </w:rPr>
              <w:t>-</w:t>
            </w:r>
          </w:p>
        </w:tc>
      </w:tr>
    </w:tbl>
    <w:p>
      <w:pPr>
        <w:pStyle w:val="10"/>
        <w:spacing w:before="0" w:after="0" w:line="520" w:lineRule="exact"/>
        <w:rPr>
          <w:rFonts w:hint="eastAsia"/>
          <w:b/>
          <w:bCs w:val="0"/>
          <w:color w:val="auto"/>
          <w:u w:val="single"/>
        </w:rPr>
      </w:pPr>
      <w:r>
        <w:rPr>
          <w:rFonts w:hint="eastAsia"/>
          <w:b/>
          <w:bCs w:val="0"/>
          <w:color w:val="auto"/>
          <w:u w:val="single"/>
        </w:rPr>
        <w:t>5.</w:t>
      </w:r>
      <w:r>
        <w:rPr>
          <w:rFonts w:hint="eastAsia"/>
          <w:b/>
          <w:bCs w:val="0"/>
          <w:color w:val="auto"/>
          <w:u w:val="single"/>
          <w:lang w:val="en-US" w:eastAsia="zh-CN"/>
        </w:rPr>
        <w:t>10</w:t>
      </w:r>
      <w:r>
        <w:rPr>
          <w:rFonts w:hint="eastAsia"/>
          <w:b/>
          <w:bCs w:val="0"/>
          <w:color w:val="auto"/>
          <w:u w:val="single"/>
        </w:rPr>
        <w:t>.1.</w:t>
      </w:r>
      <w:r>
        <w:rPr>
          <w:rFonts w:hint="eastAsia"/>
          <w:b/>
          <w:bCs w:val="0"/>
          <w:color w:val="auto"/>
          <w:u w:val="single"/>
          <w:lang w:val="en-US" w:eastAsia="zh-CN"/>
        </w:rPr>
        <w:t>5</w:t>
      </w:r>
      <w:r>
        <w:rPr>
          <w:rFonts w:hint="eastAsia"/>
          <w:b/>
          <w:bCs w:val="0"/>
          <w:color w:val="auto"/>
          <w:u w:val="single"/>
        </w:rPr>
        <w:t xml:space="preserve"> 大气环境风险结论</w:t>
      </w:r>
    </w:p>
    <w:p>
      <w:pPr>
        <w:spacing w:before="0" w:after="0" w:line="520" w:lineRule="exact"/>
        <w:rPr>
          <w:rFonts w:hint="eastAsia"/>
          <w:b/>
          <w:bCs w:val="0"/>
          <w:color w:val="auto"/>
          <w:u w:val="single"/>
        </w:rPr>
      </w:pPr>
      <w:r>
        <w:rPr>
          <w:rFonts w:hint="eastAsia"/>
          <w:b/>
          <w:bCs w:val="0"/>
          <w:color w:val="auto"/>
          <w:u w:val="single"/>
          <w:lang w:val="en-US" w:eastAsia="zh-CN"/>
        </w:rPr>
        <w:t>在</w:t>
      </w:r>
      <w:r>
        <w:rPr>
          <w:rFonts w:hint="eastAsia"/>
          <w:b/>
          <w:bCs w:val="0"/>
          <w:color w:val="auto"/>
          <w:u w:val="single"/>
        </w:rPr>
        <w:t>最不利气象条件气象条件</w:t>
      </w:r>
      <w:r>
        <w:rPr>
          <w:rFonts w:hint="eastAsia"/>
          <w:b/>
          <w:bCs w:val="0"/>
          <w:color w:val="auto"/>
          <w:u w:val="single"/>
          <w:lang w:val="en-US" w:eastAsia="zh-CN"/>
        </w:rPr>
        <w:t>下</w:t>
      </w:r>
      <w:r>
        <w:rPr>
          <w:rFonts w:hint="eastAsia"/>
          <w:b/>
          <w:bCs w:val="0"/>
          <w:color w:val="auto"/>
          <w:u w:val="single"/>
        </w:rPr>
        <w:t>项目</w:t>
      </w:r>
      <w:r>
        <w:rPr>
          <w:rFonts w:hint="eastAsia"/>
          <w:b/>
          <w:bCs w:val="0"/>
          <w:color w:val="auto"/>
          <w:u w:val="single"/>
          <w:lang w:val="en-US" w:eastAsia="zh-CN"/>
        </w:rPr>
        <w:t>依托浓硫酸储罐最大浓度值为下风向8m，浓度值为0.00199mg/m</w:t>
      </w:r>
      <w:r>
        <w:rPr>
          <w:rFonts w:hint="eastAsia"/>
          <w:b/>
          <w:bCs w:val="0"/>
          <w:color w:val="auto"/>
          <w:u w:val="single"/>
          <w:vertAlign w:val="superscript"/>
          <w:lang w:val="en-US" w:eastAsia="zh-CN"/>
        </w:rPr>
        <w:t>3</w:t>
      </w:r>
      <w:r>
        <w:rPr>
          <w:rFonts w:hint="eastAsia"/>
          <w:b/>
          <w:bCs w:val="0"/>
          <w:color w:val="auto"/>
          <w:u w:val="single"/>
          <w:lang w:val="en-US" w:eastAsia="zh-CN"/>
        </w:rPr>
        <w:t>，出现时间为泄漏后12s。</w:t>
      </w:r>
      <w:r>
        <w:rPr>
          <w:rFonts w:hint="eastAsia"/>
          <w:b/>
          <w:bCs w:val="0"/>
          <w:color w:val="auto"/>
          <w:u w:val="single"/>
        </w:rPr>
        <w:t>项目厂区内，</w:t>
      </w:r>
      <w:r>
        <w:rPr>
          <w:rFonts w:hint="eastAsia"/>
          <w:b/>
          <w:bCs w:val="0"/>
          <w:color w:val="auto"/>
          <w:u w:val="single"/>
          <w:lang w:val="en-US" w:eastAsia="zh-CN"/>
        </w:rPr>
        <w:t>发生泄漏后浓度较低，最大浓度出现位置位于厂区内，</w:t>
      </w:r>
      <w:r>
        <w:rPr>
          <w:rFonts w:hint="eastAsia"/>
          <w:b/>
          <w:bCs w:val="0"/>
          <w:color w:val="auto"/>
          <w:u w:val="single"/>
        </w:rPr>
        <w:t>不存在人员连续1h活动的区域，因此</w:t>
      </w:r>
      <w:r>
        <w:rPr>
          <w:rFonts w:hint="eastAsia"/>
          <w:b/>
          <w:bCs w:val="0"/>
          <w:color w:val="auto"/>
          <w:u w:val="single"/>
          <w:lang w:val="en-US" w:eastAsia="zh-CN"/>
        </w:rPr>
        <w:t>硫酸</w:t>
      </w:r>
      <w:r>
        <w:rPr>
          <w:rFonts w:hint="eastAsia"/>
          <w:b/>
          <w:bCs w:val="0"/>
          <w:color w:val="auto"/>
          <w:u w:val="single"/>
        </w:rPr>
        <w:t>泄漏无明显环境影响。项目</w:t>
      </w:r>
      <w:r>
        <w:rPr>
          <w:rFonts w:hint="eastAsia"/>
          <w:b/>
          <w:bCs w:val="0"/>
          <w:color w:val="auto"/>
          <w:u w:val="single"/>
          <w:lang w:val="en-US" w:eastAsia="zh-CN"/>
        </w:rPr>
        <w:t>固体二氧化氯释放剂</w:t>
      </w:r>
      <w:r>
        <w:rPr>
          <w:rFonts w:hint="eastAsia"/>
          <w:b/>
          <w:bCs w:val="0"/>
          <w:color w:val="auto"/>
          <w:u w:val="single"/>
        </w:rPr>
        <w:t>发生泄漏</w:t>
      </w:r>
      <w:r>
        <w:rPr>
          <w:rFonts w:hint="eastAsia"/>
          <w:b/>
          <w:bCs w:val="0"/>
          <w:color w:val="auto"/>
          <w:u w:val="single"/>
          <w:lang w:val="en-US" w:eastAsia="zh-CN"/>
        </w:rPr>
        <w:t>的条件较高</w:t>
      </w:r>
      <w:r>
        <w:rPr>
          <w:rFonts w:hint="eastAsia"/>
          <w:b/>
          <w:bCs w:val="0"/>
          <w:color w:val="auto"/>
          <w:u w:val="single"/>
        </w:rPr>
        <w:t>，</w:t>
      </w:r>
      <w:r>
        <w:rPr>
          <w:rFonts w:hint="eastAsia"/>
          <w:b/>
          <w:bCs w:val="0"/>
          <w:color w:val="auto"/>
          <w:u w:val="single"/>
          <w:lang w:val="en-US" w:eastAsia="zh-CN"/>
        </w:rPr>
        <w:t>需要接触水等溶剂，且本项目储存量小，一般情况下都较为稳定，评价认为企业应加强管理，保持储存间干燥，加强人员巡视与检查检测，不会对</w:t>
      </w:r>
      <w:r>
        <w:rPr>
          <w:rFonts w:hint="eastAsia"/>
          <w:b/>
          <w:bCs w:val="0"/>
          <w:color w:val="auto"/>
          <w:u w:val="single"/>
        </w:rPr>
        <w:t>周边</w:t>
      </w:r>
      <w:r>
        <w:rPr>
          <w:rFonts w:hint="eastAsia"/>
          <w:b/>
          <w:bCs w:val="0"/>
          <w:color w:val="auto"/>
          <w:u w:val="single"/>
          <w:lang w:val="en-US" w:eastAsia="zh-CN"/>
        </w:rPr>
        <w:t>环境产生重大影响。</w:t>
      </w:r>
    </w:p>
    <w:p>
      <w:pPr>
        <w:spacing w:before="0" w:after="0" w:line="520" w:lineRule="exact"/>
        <w:rPr>
          <w:rFonts w:hint="eastAsia"/>
          <w:b/>
          <w:bCs w:val="0"/>
          <w:color w:val="auto"/>
          <w:u w:val="single"/>
        </w:rPr>
      </w:pPr>
      <w:r>
        <w:rPr>
          <w:rFonts w:hint="eastAsia"/>
          <w:b/>
          <w:bCs w:val="0"/>
          <w:color w:val="auto"/>
          <w:u w:val="single"/>
        </w:rPr>
        <w:t>综上所述，在发生泄漏的情况下，无明显环境影响</w:t>
      </w:r>
      <w:r>
        <w:rPr>
          <w:rFonts w:hint="eastAsia"/>
          <w:b/>
          <w:bCs w:val="0"/>
          <w:color w:val="auto"/>
          <w:u w:val="single"/>
          <w:lang w:eastAsia="zh-CN"/>
        </w:rPr>
        <w:t>。</w:t>
      </w:r>
      <w:r>
        <w:rPr>
          <w:rFonts w:hint="eastAsia"/>
          <w:b/>
          <w:bCs w:val="0"/>
          <w:color w:val="auto"/>
          <w:u w:val="single"/>
        </w:rPr>
        <w:t>因此评价项目大气环境风险可接受。</w:t>
      </w:r>
    </w:p>
    <w:p>
      <w:pPr>
        <w:pStyle w:val="9"/>
        <w:tabs>
          <w:tab w:val="left" w:pos="720"/>
          <w:tab w:val="left" w:pos="1200"/>
          <w:tab w:val="left" w:pos="1680"/>
        </w:tabs>
        <w:spacing w:before="0" w:after="0" w:line="520" w:lineRule="exact"/>
        <w:rPr>
          <w:rFonts w:hint="default"/>
          <w:bCs w:val="0"/>
          <w:color w:val="auto"/>
          <w:u w:val="single"/>
          <w:lang w:val="en-US" w:eastAsia="zh-CN"/>
        </w:rPr>
      </w:pPr>
      <w:r>
        <w:rPr>
          <w:rFonts w:hint="eastAsia"/>
          <w:bCs w:val="0"/>
          <w:color w:val="auto"/>
          <w:u w:val="single"/>
          <w:lang w:val="en-US" w:eastAsia="zh-CN"/>
        </w:rPr>
        <w:t xml:space="preserve">5.10.2 </w:t>
      </w:r>
      <w:r>
        <w:rPr>
          <w:rFonts w:hint="eastAsia"/>
          <w:bCs w:val="0"/>
          <w:color w:val="auto"/>
          <w:u w:val="single"/>
        </w:rPr>
        <w:t>地表水环境风险评价</w:t>
      </w:r>
    </w:p>
    <w:p>
      <w:pPr>
        <w:spacing w:before="0" w:after="0" w:line="520" w:lineRule="exact"/>
        <w:rPr>
          <w:rFonts w:hint="eastAsia"/>
          <w:b/>
          <w:bCs w:val="0"/>
          <w:color w:val="auto"/>
          <w:u w:val="single"/>
        </w:rPr>
      </w:pPr>
      <w:r>
        <w:rPr>
          <w:rFonts w:hint="eastAsia"/>
          <w:b/>
          <w:bCs w:val="0"/>
          <w:color w:val="auto"/>
          <w:u w:val="single"/>
        </w:rPr>
        <w:t>项目生产期间或者事故风险产生的废水均经处理达标后排入小店污水处理厂，污水处理厂进一步深度治理后达标排放，不会对纳污水体大沙河造成不利影响；另外项目厂区设置有事故废水池，可及时收集事故废水，不存在因事故情况废水或者风险物质进入河流等地表水的情况，因此本次评价认为项目地表水风险程度可接受。</w:t>
      </w:r>
    </w:p>
    <w:p>
      <w:pPr>
        <w:pStyle w:val="9"/>
        <w:spacing w:before="0" w:after="0" w:line="240" w:lineRule="auto"/>
        <w:rPr>
          <w:rFonts w:hint="default"/>
          <w:bCs w:val="0"/>
          <w:color w:val="auto"/>
          <w:u w:val="single"/>
          <w:lang w:val="en-US" w:eastAsia="zh-CN"/>
        </w:rPr>
      </w:pPr>
      <w:r>
        <w:rPr>
          <w:rFonts w:hint="eastAsia"/>
          <w:bCs w:val="0"/>
          <w:color w:val="auto"/>
          <w:u w:val="single"/>
          <w:lang w:val="en-US" w:eastAsia="zh-CN"/>
        </w:rPr>
        <w:t xml:space="preserve">5.10.3 </w:t>
      </w:r>
      <w:r>
        <w:rPr>
          <w:rFonts w:hint="eastAsia"/>
          <w:bCs w:val="0"/>
          <w:color w:val="auto"/>
          <w:u w:val="single"/>
        </w:rPr>
        <w:t>地</w:t>
      </w:r>
      <w:r>
        <w:rPr>
          <w:rFonts w:hint="eastAsia"/>
          <w:bCs w:val="0"/>
          <w:color w:val="auto"/>
          <w:u w:val="single"/>
          <w:lang w:val="en-US" w:eastAsia="zh-CN"/>
        </w:rPr>
        <w:t>下</w:t>
      </w:r>
      <w:r>
        <w:rPr>
          <w:rFonts w:hint="eastAsia"/>
          <w:bCs w:val="0"/>
          <w:color w:val="auto"/>
          <w:u w:val="single"/>
        </w:rPr>
        <w:t>水环境风险评价</w:t>
      </w:r>
    </w:p>
    <w:p>
      <w:pPr>
        <w:spacing w:before="0" w:after="0" w:line="520" w:lineRule="exact"/>
        <w:rPr>
          <w:rFonts w:hint="eastAsia"/>
          <w:b/>
          <w:bCs w:val="0"/>
          <w:color w:val="auto"/>
          <w:u w:val="single"/>
        </w:rPr>
      </w:pPr>
      <w:r>
        <w:rPr>
          <w:rFonts w:hint="eastAsia"/>
          <w:b/>
          <w:bCs w:val="0"/>
          <w:color w:val="auto"/>
          <w:u w:val="single"/>
        </w:rPr>
        <w:t>本项目</w:t>
      </w:r>
      <w:r>
        <w:rPr>
          <w:rFonts w:hint="eastAsia"/>
          <w:b/>
          <w:bCs w:val="0"/>
          <w:color w:val="auto"/>
          <w:u w:val="single"/>
          <w:lang w:val="en-US" w:eastAsia="zh-CN"/>
        </w:rPr>
        <w:t>依托硫酸储罐</w:t>
      </w:r>
      <w:r>
        <w:rPr>
          <w:rFonts w:hint="eastAsia"/>
          <w:b/>
          <w:bCs w:val="0"/>
          <w:color w:val="auto"/>
          <w:u w:val="single"/>
        </w:rPr>
        <w:t>、</w:t>
      </w:r>
      <w:r>
        <w:rPr>
          <w:rFonts w:hint="eastAsia"/>
          <w:b/>
          <w:bCs w:val="0"/>
          <w:color w:val="auto"/>
          <w:u w:val="single"/>
          <w:lang w:val="en-US" w:eastAsia="zh-CN"/>
        </w:rPr>
        <w:t>固体二氧化氯释放剂储存间</w:t>
      </w:r>
      <w:r>
        <w:rPr>
          <w:rFonts w:hint="eastAsia"/>
          <w:b/>
          <w:bCs w:val="0"/>
          <w:color w:val="auto"/>
          <w:u w:val="single"/>
        </w:rPr>
        <w:t>的地面均采取了防渗措施，罐区周围设置围堰，在发生泄漏风险事故的情况下可及时由备用泵和管线抽入备用罐内暂存，液体与地面接触时间较短，不存在短时间内进入包气带的可能性。泄漏后经水喷淋稀释的物料排入事故水池暂存后经厂区调节池调节水质水量后进入新乡化纤厂区污水处理站进行处置，事故水池将严格按照防渗要求进行防渗并定期巡检，且项目泄漏的物料较少，对调节池水质影响不大。本次评价已在5.</w:t>
      </w:r>
      <w:r>
        <w:rPr>
          <w:rFonts w:hint="eastAsia"/>
          <w:b/>
          <w:bCs w:val="0"/>
          <w:color w:val="auto"/>
          <w:u w:val="single"/>
          <w:lang w:val="en-US" w:eastAsia="zh-CN"/>
        </w:rPr>
        <w:t>4</w:t>
      </w:r>
      <w:r>
        <w:rPr>
          <w:rFonts w:hint="eastAsia"/>
          <w:b/>
          <w:bCs w:val="0"/>
          <w:color w:val="auto"/>
          <w:u w:val="single"/>
        </w:rPr>
        <w:t>章节对调节池泄漏对地下水的影响进行了详细评价，根据预测结果，项目非正常排放期间，不会对饮用水源水质造成影响。因此评价认为，项目地下水风险可以接受。</w:t>
      </w:r>
    </w:p>
    <w:p>
      <w:pPr>
        <w:pStyle w:val="9"/>
        <w:tabs>
          <w:tab w:val="left" w:pos="720"/>
          <w:tab w:val="left" w:pos="1200"/>
          <w:tab w:val="left" w:pos="1680"/>
        </w:tabs>
        <w:spacing w:before="0" w:after="0" w:line="520" w:lineRule="exact"/>
        <w:rPr>
          <w:color w:val="auto"/>
          <w:sz w:val="28"/>
          <w:szCs w:val="28"/>
        </w:rPr>
      </w:pPr>
      <w:r>
        <w:rPr>
          <w:rFonts w:hint="eastAsia"/>
          <w:color w:val="auto"/>
          <w:sz w:val="28"/>
          <w:szCs w:val="28"/>
        </w:rPr>
        <w:t>5.</w:t>
      </w:r>
      <w:r>
        <w:rPr>
          <w:rFonts w:hint="eastAsia"/>
          <w:color w:val="auto"/>
          <w:sz w:val="28"/>
          <w:szCs w:val="28"/>
          <w:lang w:val="en-US" w:eastAsia="zh-CN"/>
        </w:rPr>
        <w:t>10</w:t>
      </w:r>
      <w:r>
        <w:rPr>
          <w:rFonts w:hint="eastAsia"/>
          <w:color w:val="auto"/>
          <w:sz w:val="28"/>
          <w:szCs w:val="28"/>
        </w:rPr>
        <w:t>.</w:t>
      </w:r>
      <w:r>
        <w:rPr>
          <w:rFonts w:hint="eastAsia"/>
          <w:color w:val="auto"/>
          <w:sz w:val="28"/>
          <w:szCs w:val="28"/>
          <w:lang w:val="en-US" w:eastAsia="zh-CN"/>
        </w:rPr>
        <w:t>4</w:t>
      </w:r>
      <w:r>
        <w:rPr>
          <w:rFonts w:hint="eastAsia"/>
          <w:color w:val="auto"/>
          <w:sz w:val="28"/>
          <w:szCs w:val="28"/>
        </w:rPr>
        <w:t>环境风险防范措施及应急要求</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根据有关要求，本项目应</w:t>
      </w:r>
      <w:r>
        <w:rPr>
          <w:rFonts w:hint="eastAsia"/>
          <w:color w:val="auto"/>
          <w:lang w:val="en-US" w:eastAsia="zh-CN"/>
        </w:rPr>
        <w:t>制定</w:t>
      </w:r>
      <w:r>
        <w:rPr>
          <w:rFonts w:hint="eastAsia" w:ascii="Times New Roman" w:hAnsi="Times New Roman" w:eastAsia="宋体"/>
          <w:color w:val="auto"/>
          <w:lang w:val="en-US" w:eastAsia="zh-CN"/>
        </w:rPr>
        <w:t>突发环境事件</w:t>
      </w:r>
      <w:r>
        <w:rPr>
          <w:rFonts w:hint="eastAsia" w:ascii="Times New Roman" w:hAnsi="Times New Roman" w:eastAsia="宋体"/>
          <w:color w:val="auto"/>
        </w:rPr>
        <w:t>应急预案，设立厂内急救指挥小组，并和当地有关化学事故应急救援部门建立正常的定期联系。</w:t>
      </w:r>
    </w:p>
    <w:p>
      <w:pPr>
        <w:adjustRightInd w:val="0"/>
        <w:spacing w:line="520" w:lineRule="exact"/>
        <w:jc w:val="left"/>
        <w:outlineLvl w:val="3"/>
        <w:rPr>
          <w:b/>
          <w:bCs/>
          <w:color w:val="auto"/>
        </w:rPr>
      </w:pPr>
      <w:r>
        <w:rPr>
          <w:rFonts w:hint="eastAsia"/>
          <w:b/>
          <w:bCs/>
          <w:color w:val="auto"/>
        </w:rPr>
        <w:t>5.</w:t>
      </w:r>
      <w:r>
        <w:rPr>
          <w:rFonts w:hint="eastAsia"/>
          <w:b/>
          <w:bCs/>
          <w:color w:val="auto"/>
          <w:lang w:val="en-US" w:eastAsia="zh-CN"/>
        </w:rPr>
        <w:t>10</w:t>
      </w:r>
      <w:r>
        <w:rPr>
          <w:b/>
          <w:bCs/>
          <w:color w:val="auto"/>
        </w:rPr>
        <w:t>.</w:t>
      </w:r>
      <w:r>
        <w:rPr>
          <w:rFonts w:hint="eastAsia"/>
          <w:b/>
          <w:bCs/>
          <w:color w:val="auto"/>
          <w:lang w:val="en-US" w:eastAsia="zh-CN"/>
        </w:rPr>
        <w:t>4</w:t>
      </w:r>
      <w:r>
        <w:rPr>
          <w:rFonts w:hint="eastAsia"/>
          <w:b/>
          <w:bCs/>
          <w:color w:val="auto"/>
        </w:rPr>
        <w:t>.1风险防范措施</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（1）严格遵照国家有关的法令、法规、设计规范、操作规程进行设计、施工、安装、建厂。项目建设完成后，须经劳动安全、消防、环保等有关部门全面验收合格后方可开工。</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（2）装备配置方面，车间、库房配置的消防器材应满足消防规范的要求；供电系统应设置双电源，并配备UPS系统，使关键性</w:t>
      </w:r>
      <w:r>
        <w:rPr>
          <w:rFonts w:hint="eastAsia" w:ascii="Times New Roman" w:hAnsi="Times New Roman" w:eastAsia="宋体"/>
          <w:color w:val="auto"/>
          <w:lang w:eastAsia="zh-CN"/>
        </w:rPr>
        <w:t>电气设备</w:t>
      </w:r>
      <w:r>
        <w:rPr>
          <w:rFonts w:hint="eastAsia" w:ascii="Times New Roman" w:hAnsi="Times New Roman" w:eastAsia="宋体"/>
          <w:color w:val="auto"/>
        </w:rPr>
        <w:t>可通过瞬间电源的切换来维持正常的工作；防爆危险区应采用防爆电器。工艺输送泵均采用密封防泄漏驱动泵以避免物料泄漏，特别是废水、废气处理装置的提升、引风等动力设施应配置必要的应急备用系统。</w:t>
      </w:r>
    </w:p>
    <w:p>
      <w:pPr>
        <w:pStyle w:val="104"/>
        <w:spacing w:line="520" w:lineRule="exact"/>
        <w:ind w:firstLineChars="200"/>
        <w:rPr>
          <w:rFonts w:hint="default" w:ascii="Times New Roman" w:hAnsi="Times New Roman" w:eastAsia="宋体"/>
          <w:b/>
          <w:bCs/>
          <w:color w:val="auto"/>
          <w:u w:val="single"/>
          <w:lang w:val="en-US" w:eastAsia="zh-CN"/>
        </w:rPr>
      </w:pPr>
      <w:r>
        <w:rPr>
          <w:rFonts w:hint="eastAsia" w:ascii="Times New Roman" w:hAnsi="Times New Roman" w:eastAsia="宋体"/>
          <w:b/>
          <w:bCs/>
          <w:color w:val="auto"/>
          <w:u w:val="single"/>
        </w:rPr>
        <w:t>（3）</w:t>
      </w:r>
      <w:r>
        <w:rPr>
          <w:rFonts w:hint="eastAsia" w:ascii="Times New Roman" w:hAnsi="Times New Roman" w:eastAsia="宋体"/>
          <w:b/>
          <w:bCs/>
          <w:color w:val="auto"/>
          <w:u w:val="single"/>
          <w:lang w:val="en-US" w:eastAsia="zh-CN"/>
        </w:rPr>
        <w:t>固体二氧化氯释放剂储存间</w:t>
      </w:r>
      <w:r>
        <w:rPr>
          <w:rFonts w:hint="eastAsia" w:ascii="Times New Roman" w:hAnsi="Times New Roman" w:eastAsia="宋体"/>
          <w:b/>
          <w:bCs/>
          <w:color w:val="auto"/>
          <w:u w:val="single"/>
        </w:rPr>
        <w:t>的地面设置防渗层，设置托盘。厂区</w:t>
      </w:r>
      <w:r>
        <w:rPr>
          <w:rFonts w:hint="eastAsia" w:ascii="Times New Roman" w:hAnsi="Times New Roman" w:eastAsia="宋体"/>
          <w:b/>
          <w:bCs/>
          <w:color w:val="auto"/>
          <w:u w:val="single"/>
          <w:lang w:eastAsia="zh-CN"/>
        </w:rPr>
        <w:t>建设</w:t>
      </w:r>
      <w:r>
        <w:rPr>
          <w:rFonts w:hint="eastAsia" w:ascii="Times New Roman" w:hAnsi="Times New Roman" w:eastAsia="宋体"/>
          <w:b/>
          <w:bCs/>
          <w:color w:val="auto"/>
          <w:u w:val="single"/>
        </w:rPr>
        <w:t>消防事故废水池，万一火灾发生时，可消防废水排入废水池中。</w:t>
      </w:r>
      <w:r>
        <w:rPr>
          <w:rFonts w:hint="eastAsia" w:ascii="Times New Roman" w:hAnsi="Times New Roman" w:eastAsia="宋体"/>
          <w:b/>
          <w:bCs/>
          <w:color w:val="auto"/>
          <w:u w:val="single"/>
          <w:lang w:val="en-US" w:eastAsia="zh-CN"/>
        </w:rPr>
        <w:t>硫酸管道设泄漏监测装置，收集沟并做好防渗，收集沟定期清理。调节池及其管道设置防渗及其收集装置，严格执行地下水自主监测，发现渗漏及时处理。</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（4）各建构筑物之间、建构筑物与道路之间要按火灾危险类别和环境情况保持足够的安全距离。</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（5）公司应建立科学、严格的生产操作规程和安全管理体系，做到各车间、工段生产、安全都有专业人员专职负责。</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（6）加强设备、管道、阀门等密封检查与维护，发现问题及时解决，防止跑、冒、滴、漏。</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（7）建立健全的组织管理网络。管理人员和操作人员在事故预防中应通力合作，每个生产岗位配备必要的安全管理和责任人员。</w:t>
      </w:r>
    </w:p>
    <w:p>
      <w:pPr>
        <w:adjustRightInd w:val="0"/>
        <w:spacing w:line="520" w:lineRule="exact"/>
        <w:jc w:val="left"/>
        <w:outlineLvl w:val="3"/>
        <w:rPr>
          <w:rFonts w:hint="eastAsia"/>
          <w:b/>
          <w:bCs/>
          <w:color w:val="auto"/>
        </w:rPr>
      </w:pPr>
      <w:r>
        <w:rPr>
          <w:rFonts w:hint="eastAsia"/>
          <w:b/>
          <w:bCs/>
          <w:color w:val="auto"/>
        </w:rPr>
        <w:t>5.</w:t>
      </w:r>
      <w:r>
        <w:rPr>
          <w:rFonts w:hint="eastAsia"/>
          <w:b/>
          <w:bCs/>
          <w:color w:val="auto"/>
          <w:lang w:val="en-US" w:eastAsia="zh-CN"/>
        </w:rPr>
        <w:t>10</w:t>
      </w:r>
      <w:r>
        <w:rPr>
          <w:b/>
          <w:bCs/>
          <w:color w:val="auto"/>
        </w:rPr>
        <w:t>.</w:t>
      </w:r>
      <w:r>
        <w:rPr>
          <w:rFonts w:hint="eastAsia"/>
          <w:b/>
          <w:bCs/>
          <w:color w:val="auto"/>
          <w:lang w:val="en-US" w:eastAsia="zh-CN"/>
        </w:rPr>
        <w:t>4.</w:t>
      </w:r>
      <w:r>
        <w:rPr>
          <w:rFonts w:hint="eastAsia"/>
          <w:b/>
          <w:bCs/>
          <w:color w:val="auto"/>
        </w:rPr>
        <w:t>2环境影响途径的防范措施</w:t>
      </w:r>
    </w:p>
    <w:p>
      <w:pPr>
        <w:pStyle w:val="104"/>
        <w:spacing w:line="520" w:lineRule="exact"/>
        <w:ind w:firstLineChars="200"/>
        <w:rPr>
          <w:rFonts w:hint="default" w:ascii="Times New Roman" w:hAnsi="Times New Roman" w:eastAsia="宋体"/>
          <w:b/>
          <w:bCs/>
          <w:color w:val="auto"/>
          <w:u w:val="single"/>
          <w:lang w:val="en-US" w:eastAsia="zh-CN"/>
        </w:rPr>
      </w:pPr>
      <w:r>
        <w:rPr>
          <w:rFonts w:hint="eastAsia" w:ascii="Times New Roman" w:hAnsi="Times New Roman" w:eastAsia="宋体"/>
          <w:b/>
          <w:bCs/>
          <w:color w:val="auto"/>
          <w:u w:val="single"/>
        </w:rPr>
        <w:t>对</w:t>
      </w:r>
      <w:r>
        <w:rPr>
          <w:rFonts w:hint="eastAsia" w:ascii="Times New Roman" w:hAnsi="Times New Roman" w:eastAsia="宋体"/>
          <w:b/>
          <w:bCs/>
          <w:color w:val="auto"/>
          <w:u w:val="single"/>
          <w:lang w:val="en-US" w:eastAsia="zh-CN"/>
        </w:rPr>
        <w:t>固体</w:t>
      </w:r>
      <w:r>
        <w:rPr>
          <w:rFonts w:hint="eastAsia" w:ascii="Times New Roman" w:hAnsi="Times New Roman" w:eastAsia="宋体"/>
          <w:b/>
          <w:bCs/>
          <w:color w:val="auto"/>
          <w:u w:val="single"/>
        </w:rPr>
        <w:t>二氧化氯</w:t>
      </w:r>
      <w:r>
        <w:rPr>
          <w:rFonts w:hint="eastAsia" w:ascii="Times New Roman" w:hAnsi="Times New Roman" w:eastAsia="宋体"/>
          <w:b/>
          <w:bCs/>
          <w:color w:val="auto"/>
          <w:u w:val="single"/>
          <w:lang w:val="en-US" w:eastAsia="zh-CN"/>
        </w:rPr>
        <w:t>释放剂储存的</w:t>
      </w:r>
      <w:r>
        <w:rPr>
          <w:rFonts w:hint="eastAsia" w:ascii="Times New Roman" w:hAnsi="Times New Roman" w:eastAsia="宋体"/>
          <w:b/>
          <w:bCs/>
          <w:color w:val="auto"/>
          <w:u w:val="single"/>
        </w:rPr>
        <w:t>区域地面设置防渗层，设置托盘，避免入渗进入地下水。当危险源发生泄漏时，由生产操作现场人员及时堵漏，切断与其他单元的联系。将泄漏物用沙土吸附或吸收，并铲入专用收集器内，委托有资质的单位处理。硫酸管道设泄漏监测装置，</w:t>
      </w:r>
      <w:r>
        <w:rPr>
          <w:rFonts w:hint="eastAsia" w:ascii="Times New Roman" w:hAnsi="Times New Roman" w:eastAsia="宋体"/>
          <w:b/>
          <w:bCs/>
          <w:color w:val="auto"/>
          <w:u w:val="single"/>
          <w:lang w:val="en-US" w:eastAsia="zh-CN"/>
        </w:rPr>
        <w:t>地面硬化防渗，设置</w:t>
      </w:r>
      <w:r>
        <w:rPr>
          <w:rFonts w:hint="eastAsia" w:ascii="Times New Roman" w:hAnsi="Times New Roman" w:eastAsia="宋体"/>
          <w:b/>
          <w:bCs/>
          <w:color w:val="auto"/>
          <w:u w:val="single"/>
        </w:rPr>
        <w:t>收集沟并做好防渗，收集沟定期清理</w:t>
      </w:r>
      <w:r>
        <w:rPr>
          <w:rFonts w:hint="eastAsia" w:ascii="Times New Roman" w:hAnsi="Times New Roman" w:eastAsia="宋体"/>
          <w:b/>
          <w:bCs/>
          <w:color w:val="auto"/>
          <w:u w:val="single"/>
          <w:lang w:val="en-US" w:eastAsia="zh-CN"/>
        </w:rPr>
        <w:t>。</w:t>
      </w:r>
    </w:p>
    <w:p>
      <w:pPr>
        <w:pStyle w:val="10"/>
        <w:bidi w:val="0"/>
        <w:rPr>
          <w:color w:val="auto"/>
        </w:rPr>
      </w:pPr>
      <w:r>
        <w:rPr>
          <w:rFonts w:hint="eastAsia"/>
          <w:color w:val="auto"/>
        </w:rPr>
        <w:t>5.</w:t>
      </w:r>
      <w:r>
        <w:rPr>
          <w:rFonts w:hint="eastAsia"/>
          <w:color w:val="auto"/>
          <w:lang w:val="en-US" w:eastAsia="zh-CN"/>
        </w:rPr>
        <w:t>10</w:t>
      </w:r>
      <w:r>
        <w:rPr>
          <w:color w:val="auto"/>
        </w:rPr>
        <w:t>.</w:t>
      </w:r>
      <w:r>
        <w:rPr>
          <w:rFonts w:hint="eastAsia"/>
          <w:color w:val="auto"/>
          <w:lang w:val="en-US" w:eastAsia="zh-CN"/>
        </w:rPr>
        <w:t>4</w:t>
      </w:r>
      <w:r>
        <w:rPr>
          <w:rFonts w:hint="eastAsia"/>
          <w:color w:val="auto"/>
        </w:rPr>
        <w:t>.3环境敏感目标的防范措施</w:t>
      </w:r>
    </w:p>
    <w:p>
      <w:pPr>
        <w:bidi w:val="0"/>
        <w:rPr>
          <w:color w:val="auto"/>
        </w:rPr>
      </w:pPr>
      <w:r>
        <w:rPr>
          <w:rFonts w:hint="eastAsia"/>
          <w:color w:val="auto"/>
        </w:rPr>
        <w:t>（1）对在岗工人及邻近有关人员进行普及性自我救护教育，一旦发生事故迅速进行自我救护。</w:t>
      </w:r>
    </w:p>
    <w:p>
      <w:pPr>
        <w:bidi w:val="0"/>
        <w:rPr>
          <w:color w:val="auto"/>
        </w:rPr>
      </w:pPr>
      <w:r>
        <w:rPr>
          <w:rFonts w:hint="eastAsia"/>
          <w:color w:val="auto"/>
        </w:rPr>
        <w:t>（2）将泄漏区周围50m范围划为隔离区，隔离区内人员撤离，严格限制出入。</w:t>
      </w:r>
    </w:p>
    <w:p>
      <w:pPr>
        <w:pStyle w:val="10"/>
        <w:bidi w:val="0"/>
        <w:rPr>
          <w:color w:val="auto"/>
        </w:rPr>
      </w:pPr>
      <w:r>
        <w:rPr>
          <w:rFonts w:hint="eastAsia"/>
          <w:color w:val="auto"/>
        </w:rPr>
        <w:t>5.</w:t>
      </w:r>
      <w:r>
        <w:rPr>
          <w:rFonts w:hint="eastAsia"/>
          <w:color w:val="auto"/>
          <w:lang w:val="en-US" w:eastAsia="zh-CN"/>
        </w:rPr>
        <w:t>10</w:t>
      </w:r>
      <w:r>
        <w:rPr>
          <w:rFonts w:hint="eastAsia"/>
          <w:color w:val="auto"/>
        </w:rPr>
        <w:t>.</w:t>
      </w:r>
      <w:r>
        <w:rPr>
          <w:rFonts w:hint="eastAsia"/>
          <w:color w:val="auto"/>
          <w:lang w:val="en-US" w:eastAsia="zh-CN"/>
        </w:rPr>
        <w:t>4</w:t>
      </w:r>
      <w:r>
        <w:rPr>
          <w:rFonts w:hint="eastAsia"/>
          <w:color w:val="auto"/>
        </w:rPr>
        <w:t>.4应急措施</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（1）危险单元远离火种、热源。保持容器密封。配备相应品种和数量的消防器材。</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（2）泄漏的物料应先用土或沙筑堤将其围绕起来。用沙或其他不可燃的物质吸收，把吸收剂和溢出物移到干燥、洁净、有盖的容器中待处理，用水冲洗印记，冲洗水进入事故池中。</w:t>
      </w:r>
    </w:p>
    <w:p>
      <w:pPr>
        <w:bidi w:val="0"/>
        <w:rPr>
          <w:color w:val="auto"/>
        </w:rPr>
      </w:pPr>
      <w:r>
        <w:rPr>
          <w:rFonts w:hint="eastAsia" w:ascii="Times New Roman" w:hAnsi="Times New Roman" w:eastAsia="宋体"/>
          <w:color w:val="auto"/>
        </w:rPr>
        <w:t>（3）一旦发生泄漏应隔离泄漏污染区，限制出入，切断火源。用洁净的铲子收集于干燥、洁净、有盖的容器中。若发生火灾，消防人员须</w:t>
      </w:r>
      <w:r>
        <w:rPr>
          <w:rFonts w:hint="eastAsia"/>
          <w:color w:val="auto"/>
        </w:rPr>
        <w:t>戴好防毒面具，在安全距离以外，在上风向灭火。要特别注意高温区及其他因注水可能造成的危险场所，以免引起新的事故。</w:t>
      </w:r>
    </w:p>
    <w:p>
      <w:pPr>
        <w:bidi w:val="0"/>
        <w:rPr>
          <w:color w:val="auto"/>
        </w:rPr>
      </w:pPr>
      <w:r>
        <w:rPr>
          <w:rFonts w:hint="eastAsia"/>
          <w:color w:val="auto"/>
        </w:rPr>
        <w:t>（4）发生危害性事故，应立即通知有关部门，组织附近居民疏散、抢险和应急监测等善后处理事宜。</w:t>
      </w:r>
    </w:p>
    <w:p>
      <w:pPr>
        <w:bidi w:val="0"/>
        <w:rPr>
          <w:color w:val="auto"/>
        </w:rPr>
      </w:pPr>
      <w:r>
        <w:rPr>
          <w:rFonts w:hint="eastAsia"/>
          <w:color w:val="auto"/>
        </w:rPr>
        <w:t>（5）</w:t>
      </w:r>
      <w:r>
        <w:rPr>
          <w:rFonts w:hint="eastAsia"/>
          <w:color w:val="auto"/>
          <w:lang w:val="en-US" w:eastAsia="zh-CN"/>
        </w:rPr>
        <w:t>本项目</w:t>
      </w:r>
      <w:r>
        <w:rPr>
          <w:rFonts w:hint="eastAsia"/>
          <w:color w:val="auto"/>
        </w:rPr>
        <w:t>消防废水</w:t>
      </w:r>
      <w:r>
        <w:rPr>
          <w:rFonts w:hint="eastAsia"/>
          <w:color w:val="auto"/>
          <w:lang w:val="en-US" w:eastAsia="zh-CN"/>
        </w:rPr>
        <w:t>排放依托厂区池容为1000m</w:t>
      </w:r>
      <w:r>
        <w:rPr>
          <w:rFonts w:hint="eastAsia"/>
          <w:color w:val="auto"/>
          <w:vertAlign w:val="superscript"/>
          <w:lang w:val="en-US" w:eastAsia="zh-CN"/>
        </w:rPr>
        <w:t>3</w:t>
      </w:r>
      <w:r>
        <w:rPr>
          <w:rFonts w:hint="eastAsia"/>
          <w:color w:val="auto"/>
          <w:lang w:val="en-US" w:eastAsia="zh-CN"/>
        </w:rPr>
        <w:t>的事故池</w:t>
      </w:r>
      <w:r>
        <w:rPr>
          <w:rFonts w:hint="eastAsia"/>
          <w:color w:val="auto"/>
        </w:rPr>
        <w:t>和截污沟</w:t>
      </w:r>
      <w:r>
        <w:rPr>
          <w:rFonts w:hint="eastAsia"/>
          <w:color w:val="auto"/>
          <w:lang w:eastAsia="zh-CN"/>
        </w:rPr>
        <w:t>。</w:t>
      </w:r>
      <w:r>
        <w:rPr>
          <w:rFonts w:hint="eastAsia"/>
          <w:color w:val="auto"/>
        </w:rPr>
        <w:t>为了防止消防废水直接排入地表水体，就要做好消防废水的收集，对此评价按照相关要求提出以下建议：</w:t>
      </w:r>
    </w:p>
    <w:p>
      <w:pPr>
        <w:bidi w:val="0"/>
        <w:rPr>
          <w:color w:val="auto"/>
        </w:rPr>
      </w:pPr>
      <w:r>
        <w:rPr>
          <w:rFonts w:hint="eastAsia"/>
          <w:color w:val="auto"/>
        </w:rPr>
        <w:t>①发生火灾事故后，评价建议消防废水暂存于消防废水储存池内；</w:t>
      </w:r>
    </w:p>
    <w:p>
      <w:pPr>
        <w:bidi w:val="0"/>
        <w:rPr>
          <w:color w:val="auto"/>
        </w:rPr>
      </w:pPr>
      <w:r>
        <w:rPr>
          <w:rFonts w:hint="eastAsia"/>
          <w:color w:val="auto"/>
        </w:rPr>
        <w:t>②健全雨水管网系统，建议在雨水管网内和雨水管的总出口设置闸板，发生物料泄漏和火灾事故后，及时关闭闸板，防止物料和消防废水通过雨水管网排入外环境，保证事故后能及时将废水导入事故池；</w:t>
      </w:r>
    </w:p>
    <w:p>
      <w:pPr>
        <w:bidi w:val="0"/>
        <w:rPr>
          <w:color w:val="auto"/>
        </w:rPr>
      </w:pPr>
      <w:r>
        <w:rPr>
          <w:rFonts w:hint="eastAsia"/>
          <w:color w:val="auto"/>
        </w:rPr>
        <w:t>③在发生火灾事故后，根据消防废水的实际情况，在咨询相关环保、消防专家意见的前提下，制定可靠的消防废水处理方案，对废水进行有效处理，确保达标排放。</w:t>
      </w:r>
    </w:p>
    <w:p>
      <w:pPr>
        <w:pStyle w:val="9"/>
        <w:tabs>
          <w:tab w:val="left" w:pos="720"/>
          <w:tab w:val="left" w:pos="1200"/>
          <w:tab w:val="left" w:pos="1680"/>
        </w:tabs>
        <w:spacing w:before="0" w:after="0" w:line="520" w:lineRule="exact"/>
        <w:rPr>
          <w:color w:val="auto"/>
          <w:sz w:val="28"/>
          <w:szCs w:val="28"/>
        </w:rPr>
      </w:pPr>
      <w:r>
        <w:rPr>
          <w:rFonts w:hint="eastAsia"/>
          <w:color w:val="auto"/>
          <w:sz w:val="28"/>
          <w:szCs w:val="28"/>
        </w:rPr>
        <w:t>5.</w:t>
      </w:r>
      <w:r>
        <w:rPr>
          <w:rFonts w:hint="eastAsia"/>
          <w:color w:val="auto"/>
          <w:sz w:val="28"/>
          <w:szCs w:val="28"/>
          <w:lang w:val="en-US" w:eastAsia="zh-CN"/>
        </w:rPr>
        <w:t>10</w:t>
      </w:r>
      <w:r>
        <w:rPr>
          <w:rFonts w:hint="eastAsia"/>
          <w:color w:val="auto"/>
          <w:sz w:val="28"/>
          <w:szCs w:val="28"/>
        </w:rPr>
        <w:t>.</w:t>
      </w:r>
      <w:r>
        <w:rPr>
          <w:rFonts w:hint="eastAsia"/>
          <w:color w:val="auto"/>
          <w:sz w:val="28"/>
          <w:szCs w:val="28"/>
          <w:lang w:val="en-US" w:eastAsia="zh-CN"/>
        </w:rPr>
        <w:t>5</w:t>
      </w:r>
      <w:r>
        <w:rPr>
          <w:rFonts w:hint="eastAsia"/>
          <w:color w:val="auto"/>
          <w:sz w:val="28"/>
          <w:szCs w:val="28"/>
        </w:rPr>
        <w:t>风险措施</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本项目事故风险防范措施详细情况见表</w:t>
      </w:r>
      <w:r>
        <w:rPr>
          <w:rFonts w:ascii="Times New Roman" w:hAnsi="Times New Roman" w:eastAsia="宋体"/>
          <w:color w:val="auto"/>
        </w:rPr>
        <w:t>5.</w:t>
      </w:r>
      <w:r>
        <w:rPr>
          <w:rFonts w:hint="eastAsia" w:ascii="Times New Roman" w:hAnsi="Times New Roman" w:eastAsia="宋体"/>
          <w:color w:val="auto"/>
          <w:lang w:val="en-US" w:eastAsia="zh-CN"/>
        </w:rPr>
        <w:t>10</w:t>
      </w:r>
      <w:r>
        <w:rPr>
          <w:rFonts w:hint="eastAsia" w:ascii="Times New Roman" w:hAnsi="Times New Roman" w:eastAsia="宋体"/>
          <w:color w:val="auto"/>
        </w:rPr>
        <w:t>-</w:t>
      </w:r>
      <w:r>
        <w:rPr>
          <w:rFonts w:hint="eastAsia" w:ascii="Times New Roman" w:hAnsi="Times New Roman" w:eastAsia="宋体"/>
          <w:color w:val="auto"/>
          <w:lang w:val="en-US" w:eastAsia="zh-CN"/>
        </w:rPr>
        <w:t>5</w:t>
      </w:r>
      <w:r>
        <w:rPr>
          <w:rFonts w:hint="eastAsia" w:ascii="Times New Roman" w:hAnsi="Times New Roman" w:eastAsia="宋体"/>
          <w:color w:val="auto"/>
        </w:rPr>
        <w:t>。</w:t>
      </w:r>
    </w:p>
    <w:p>
      <w:pPr>
        <w:pStyle w:val="181"/>
        <w:bidi w:val="0"/>
        <w:rPr>
          <w:color w:val="auto"/>
        </w:rPr>
      </w:pPr>
      <w:r>
        <w:rPr>
          <w:color w:val="auto"/>
        </w:rPr>
        <w:t>表5.</w:t>
      </w:r>
      <w:r>
        <w:rPr>
          <w:rFonts w:hint="eastAsia"/>
          <w:color w:val="auto"/>
          <w:lang w:val="en-US" w:eastAsia="zh-CN"/>
        </w:rPr>
        <w:t>10</w:t>
      </w:r>
      <w:r>
        <w:rPr>
          <w:rFonts w:hint="eastAsia"/>
          <w:color w:val="auto"/>
        </w:rPr>
        <w:t>-</w:t>
      </w:r>
      <w:r>
        <w:rPr>
          <w:rFonts w:hint="eastAsia"/>
          <w:color w:val="auto"/>
          <w:lang w:val="en-US" w:eastAsia="zh-CN"/>
        </w:rPr>
        <w:t>5</w:t>
      </w:r>
      <w:r>
        <w:rPr>
          <w:color w:val="auto"/>
        </w:rPr>
        <w:t xml:space="preserve">  </w:t>
      </w:r>
      <w:r>
        <w:rPr>
          <w:rFonts w:hint="eastAsia"/>
          <w:color w:val="auto"/>
          <w:lang w:val="en-US" w:eastAsia="zh-CN"/>
        </w:rPr>
        <w:t xml:space="preserve">               </w:t>
      </w:r>
      <w:r>
        <w:rPr>
          <w:color w:val="auto"/>
        </w:rPr>
        <w:t>事故防范应急措施表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2090"/>
        <w:gridCol w:w="643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tcBorders>
              <w:top w:val="single" w:color="auto" w:sz="8" w:space="0"/>
              <w:left w:val="single" w:color="auto" w:sz="8" w:space="0"/>
              <w:bottom w:val="single" w:color="auto" w:sz="6" w:space="0"/>
              <w:right w:val="single" w:color="auto" w:sz="6" w:space="0"/>
            </w:tcBorders>
            <w:vAlign w:val="center"/>
          </w:tcPr>
          <w:p>
            <w:pPr>
              <w:pStyle w:val="182"/>
              <w:bidi w:val="0"/>
              <w:rPr>
                <w:b/>
                <w:bCs/>
                <w:color w:val="auto"/>
              </w:rPr>
            </w:pPr>
            <w:r>
              <w:rPr>
                <w:rFonts w:hint="eastAsia"/>
                <w:b/>
                <w:bCs/>
                <w:color w:val="auto"/>
              </w:rPr>
              <w:t>项目</w:t>
            </w:r>
          </w:p>
        </w:tc>
        <w:tc>
          <w:tcPr>
            <w:tcW w:w="3773" w:type="pct"/>
            <w:tcBorders>
              <w:top w:val="single" w:color="auto" w:sz="8" w:space="0"/>
              <w:left w:val="single" w:color="auto" w:sz="6" w:space="0"/>
              <w:bottom w:val="single" w:color="auto" w:sz="6" w:space="0"/>
              <w:right w:val="single" w:color="auto" w:sz="8" w:space="0"/>
            </w:tcBorders>
            <w:vAlign w:val="center"/>
          </w:tcPr>
          <w:p>
            <w:pPr>
              <w:pStyle w:val="182"/>
              <w:bidi w:val="0"/>
              <w:rPr>
                <w:b/>
                <w:bCs/>
                <w:color w:val="auto"/>
              </w:rPr>
            </w:pPr>
            <w:r>
              <w:rPr>
                <w:rFonts w:hint="eastAsia"/>
                <w:b/>
                <w:bCs/>
                <w:color w:val="auto"/>
              </w:rPr>
              <w:t>防范及应急措施</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平面布置</w:t>
            </w: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厂区平面布置严格按照防火、防爆的规定，根据事故风险防范要求，设置应急救援设施及救援通道。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建筑</w:t>
            </w: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严格执行防震、防雷设计规范。</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vMerge w:val="restar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设备、设施</w:t>
            </w: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本项目选用防爆型仪表、电气开关。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生产装置、管线等，设置防静电接地装置，采取地面硬化等防渗措施。</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生产区应建设避雷防雷击等设备。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物料储运及使用</w:t>
            </w: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储存区采用防爆电器及照明灯具，并配置泄漏回收装备。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vMerge w:val="restar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消防废水</w:t>
            </w: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lang w:val="en-US" w:eastAsia="zh-CN"/>
              </w:rPr>
              <w:t>依托厂区</w:t>
            </w:r>
            <w:r>
              <w:rPr>
                <w:rFonts w:hint="eastAsia"/>
                <w:color w:val="auto"/>
              </w:rPr>
              <w:t>截污沟和事故废水储存池，制定可靠的消防废水治理方案。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对于雨水管网系统进行完善，在雨水管网内设置闸板。</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vMerge w:val="restar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r>
              <w:rPr>
                <w:rFonts w:hint="eastAsia"/>
                <w:color w:val="auto"/>
              </w:rPr>
              <w:t>应急组织</w:t>
            </w: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厂区内建立应急救援计划，并时常培训试演，制定应急监测计划。</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vMerge w:val="continue"/>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配备相应的个人防护装备、应急通讯器材及车辆。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vMerge w:val="restart"/>
            <w:tcBorders>
              <w:top w:val="single" w:color="auto" w:sz="6" w:space="0"/>
              <w:left w:val="single" w:color="auto" w:sz="8" w:space="0"/>
              <w:bottom w:val="single" w:color="auto" w:sz="8" w:space="0"/>
              <w:right w:val="single" w:color="auto" w:sz="6" w:space="0"/>
            </w:tcBorders>
            <w:vAlign w:val="center"/>
          </w:tcPr>
          <w:p>
            <w:pPr>
              <w:pStyle w:val="182"/>
              <w:bidi w:val="0"/>
              <w:rPr>
                <w:color w:val="auto"/>
              </w:rPr>
            </w:pPr>
            <w:r>
              <w:rPr>
                <w:rFonts w:hint="eastAsia"/>
                <w:color w:val="auto"/>
              </w:rPr>
              <w:t>管理</w:t>
            </w:r>
          </w:p>
        </w:tc>
        <w:tc>
          <w:tcPr>
            <w:tcW w:w="377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rFonts w:hint="eastAsia"/>
                <w:color w:val="auto"/>
              </w:rPr>
              <w:t>加强工人安全防范教育和宣传，生产装置和库区设施防范警示标记。</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6" w:type="pct"/>
            <w:vMerge w:val="continue"/>
            <w:tcBorders>
              <w:top w:val="single" w:color="auto" w:sz="6" w:space="0"/>
              <w:left w:val="single" w:color="auto" w:sz="8" w:space="0"/>
              <w:bottom w:val="single" w:color="auto" w:sz="8" w:space="0"/>
              <w:right w:val="single" w:color="auto" w:sz="6" w:space="0"/>
            </w:tcBorders>
            <w:vAlign w:val="center"/>
          </w:tcPr>
          <w:p>
            <w:pPr>
              <w:pStyle w:val="182"/>
              <w:bidi w:val="0"/>
              <w:rPr>
                <w:color w:val="auto"/>
              </w:rPr>
            </w:pPr>
          </w:p>
        </w:tc>
        <w:tc>
          <w:tcPr>
            <w:tcW w:w="3773" w:type="pct"/>
            <w:tcBorders>
              <w:top w:val="single" w:color="auto" w:sz="6" w:space="0"/>
              <w:left w:val="single" w:color="auto" w:sz="6" w:space="0"/>
              <w:bottom w:val="single" w:color="auto" w:sz="8" w:space="0"/>
              <w:right w:val="single" w:color="auto" w:sz="8" w:space="0"/>
            </w:tcBorders>
            <w:vAlign w:val="center"/>
          </w:tcPr>
          <w:p>
            <w:pPr>
              <w:pStyle w:val="182"/>
              <w:bidi w:val="0"/>
              <w:rPr>
                <w:color w:val="auto"/>
              </w:rPr>
            </w:pPr>
            <w:r>
              <w:rPr>
                <w:rFonts w:hint="eastAsia"/>
                <w:color w:val="auto"/>
              </w:rPr>
              <w:t>工人经安全培训合格后方可上岗，并加强厂区安全检查</w:t>
            </w:r>
          </w:p>
        </w:tc>
      </w:tr>
    </w:tbl>
    <w:p>
      <w:pPr>
        <w:pStyle w:val="9"/>
        <w:tabs>
          <w:tab w:val="left" w:pos="720"/>
          <w:tab w:val="left" w:pos="1200"/>
          <w:tab w:val="left" w:pos="1680"/>
        </w:tabs>
        <w:spacing w:before="0" w:after="0" w:line="520" w:lineRule="exact"/>
        <w:rPr>
          <w:color w:val="auto"/>
          <w:sz w:val="28"/>
          <w:szCs w:val="28"/>
        </w:rPr>
      </w:pPr>
      <w:r>
        <w:rPr>
          <w:color w:val="auto"/>
          <w:sz w:val="28"/>
          <w:szCs w:val="28"/>
        </w:rPr>
        <w:t>5.</w:t>
      </w:r>
      <w:r>
        <w:rPr>
          <w:rFonts w:hint="eastAsia"/>
          <w:color w:val="auto"/>
          <w:sz w:val="28"/>
          <w:szCs w:val="28"/>
          <w:lang w:val="en-US" w:eastAsia="zh-CN"/>
        </w:rPr>
        <w:t>10</w:t>
      </w:r>
      <w:r>
        <w:rPr>
          <w:color w:val="auto"/>
          <w:sz w:val="28"/>
          <w:szCs w:val="28"/>
        </w:rPr>
        <w:t>.</w:t>
      </w:r>
      <w:r>
        <w:rPr>
          <w:rFonts w:hint="eastAsia"/>
          <w:color w:val="auto"/>
          <w:sz w:val="28"/>
          <w:szCs w:val="28"/>
          <w:lang w:val="en-US" w:eastAsia="zh-CN"/>
        </w:rPr>
        <w:t>6</w:t>
      </w:r>
      <w:r>
        <w:rPr>
          <w:color w:val="auto"/>
          <w:sz w:val="28"/>
          <w:szCs w:val="28"/>
        </w:rPr>
        <w:t>突发环境事件应急预案</w:t>
      </w:r>
    </w:p>
    <w:p>
      <w:pPr>
        <w:pStyle w:val="104"/>
        <w:spacing w:line="520" w:lineRule="exact"/>
        <w:ind w:firstLineChars="200"/>
        <w:rPr>
          <w:rFonts w:ascii="Times New Roman" w:hAnsi="Times New Roman" w:eastAsia="宋体"/>
          <w:color w:val="auto"/>
        </w:rPr>
      </w:pPr>
      <w:r>
        <w:rPr>
          <w:rFonts w:ascii="Times New Roman" w:hAnsi="Times New Roman" w:eastAsia="宋体"/>
          <w:color w:val="auto"/>
        </w:rPr>
        <w:t>建设单位已制定风险应急预案，厂内已设立急救指挥小组，并和当地事故应急救援部门建立正常的定期联系，评价提出本次</w:t>
      </w:r>
      <w:r>
        <w:rPr>
          <w:rFonts w:hint="eastAsia" w:ascii="Times New Roman" w:hAnsi="Times New Roman" w:eastAsia="宋体"/>
          <w:color w:val="auto"/>
          <w:lang w:val="en-US" w:eastAsia="zh-CN"/>
        </w:rPr>
        <w:t>扩</w:t>
      </w:r>
      <w:r>
        <w:rPr>
          <w:rFonts w:ascii="Times New Roman" w:hAnsi="Times New Roman" w:eastAsia="宋体"/>
          <w:color w:val="auto"/>
        </w:rPr>
        <w:t>建项目完成后全厂应严格按照《关于印发〈突发环境事件应急预案管理暂行办法〉的通知》（环发</w:t>
      </w:r>
      <w:r>
        <w:rPr>
          <w:rFonts w:hint="eastAsia" w:ascii="Times New Roman" w:hAnsi="Times New Roman" w:eastAsia="宋体"/>
          <w:color w:val="auto"/>
          <w:lang w:eastAsia="zh-CN"/>
        </w:rPr>
        <w:t>〔</w:t>
      </w:r>
      <w:r>
        <w:rPr>
          <w:rFonts w:ascii="Times New Roman" w:hAnsi="Times New Roman" w:eastAsia="宋体"/>
          <w:color w:val="auto"/>
        </w:rPr>
        <w:t>2010</w:t>
      </w:r>
      <w:r>
        <w:rPr>
          <w:rFonts w:hint="eastAsia" w:ascii="Times New Roman" w:hAnsi="Times New Roman" w:eastAsia="宋体"/>
          <w:color w:val="auto"/>
          <w:lang w:eastAsia="zh-CN"/>
        </w:rPr>
        <w:t>〕</w:t>
      </w:r>
      <w:r>
        <w:rPr>
          <w:rFonts w:ascii="Times New Roman" w:hAnsi="Times New Roman" w:eastAsia="宋体"/>
          <w:color w:val="auto"/>
        </w:rPr>
        <w:t>113号）和《企业事业单位突发环境事件应急预案备案管理办法（试行）》对应急预案进行管理</w:t>
      </w:r>
      <w:r>
        <w:rPr>
          <w:rFonts w:hint="eastAsia" w:ascii="Times New Roman" w:hAnsi="Times New Roman" w:eastAsia="宋体"/>
          <w:color w:val="auto"/>
          <w:lang w:eastAsia="zh-CN"/>
        </w:rPr>
        <w:t>，针对本项目情况，企业</w:t>
      </w:r>
      <w:r>
        <w:rPr>
          <w:rFonts w:hint="eastAsia" w:ascii="Times New Roman" w:hAnsi="Times New Roman" w:eastAsia="宋体"/>
          <w:color w:val="auto"/>
          <w:lang w:val="en-US" w:eastAsia="zh-CN"/>
        </w:rPr>
        <w:t>应</w:t>
      </w:r>
      <w:r>
        <w:rPr>
          <w:rFonts w:hint="eastAsia" w:ascii="Times New Roman" w:hAnsi="Times New Roman" w:eastAsia="宋体"/>
          <w:color w:val="auto"/>
          <w:lang w:eastAsia="zh-CN"/>
        </w:rPr>
        <w:t>对原有预案进行修订和重新备案</w:t>
      </w:r>
      <w:r>
        <w:rPr>
          <w:rFonts w:ascii="Times New Roman" w:hAnsi="Times New Roman" w:eastAsia="宋体"/>
          <w:color w:val="auto"/>
        </w:rPr>
        <w:t>。</w:t>
      </w:r>
    </w:p>
    <w:p>
      <w:pPr>
        <w:pStyle w:val="181"/>
        <w:bidi w:val="0"/>
        <w:rPr>
          <w:color w:val="auto"/>
        </w:rPr>
      </w:pPr>
      <w:r>
        <w:rPr>
          <w:color w:val="auto"/>
        </w:rPr>
        <w:t>表5.</w:t>
      </w:r>
      <w:r>
        <w:rPr>
          <w:rFonts w:hint="eastAsia"/>
          <w:color w:val="auto"/>
          <w:lang w:val="en-US" w:eastAsia="zh-CN"/>
        </w:rPr>
        <w:t>10</w:t>
      </w:r>
      <w:r>
        <w:rPr>
          <w:color w:val="auto"/>
        </w:rPr>
        <w:t>-</w:t>
      </w:r>
      <w:r>
        <w:rPr>
          <w:rFonts w:hint="eastAsia"/>
          <w:color w:val="auto"/>
          <w:lang w:val="en-US" w:eastAsia="zh-CN"/>
        </w:rPr>
        <w:t>6</w:t>
      </w:r>
      <w:r>
        <w:rPr>
          <w:color w:val="auto"/>
        </w:rPr>
        <w:t xml:space="preserve"> </w:t>
      </w:r>
      <w:r>
        <w:rPr>
          <w:rFonts w:hint="eastAsia"/>
          <w:color w:val="auto"/>
          <w:lang w:val="en-US" w:eastAsia="zh-CN"/>
        </w:rPr>
        <w:t xml:space="preserve">         </w:t>
      </w:r>
      <w:r>
        <w:rPr>
          <w:color w:val="auto"/>
        </w:rPr>
        <w:t xml:space="preserve"> 环境风险应急预案主要内容及要求</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108" w:type="dxa"/>
          <w:bottom w:w="28" w:type="dxa"/>
          <w:right w:w="108" w:type="dxa"/>
        </w:tblCellMar>
      </w:tblPr>
      <w:tblGrid>
        <w:gridCol w:w="639"/>
        <w:gridCol w:w="1744"/>
        <w:gridCol w:w="6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tblHeader/>
          <w:jc w:val="center"/>
        </w:trPr>
        <w:tc>
          <w:tcPr>
            <w:tcW w:w="375" w:type="pct"/>
            <w:tcBorders>
              <w:tl2br w:val="nil"/>
              <w:tr2bl w:val="nil"/>
            </w:tcBorders>
            <w:vAlign w:val="center"/>
          </w:tcPr>
          <w:p>
            <w:pPr>
              <w:pStyle w:val="182"/>
              <w:bidi w:val="0"/>
              <w:rPr>
                <w:b/>
                <w:bCs/>
                <w:color w:val="auto"/>
                <w:lang w:val="zh-CN" w:eastAsia="en-US"/>
              </w:rPr>
            </w:pPr>
            <w:r>
              <w:rPr>
                <w:b/>
                <w:bCs/>
                <w:color w:val="auto"/>
                <w:lang w:val="zh-CN" w:eastAsia="en-US"/>
              </w:rPr>
              <w:t>序号</w:t>
            </w:r>
          </w:p>
        </w:tc>
        <w:tc>
          <w:tcPr>
            <w:tcW w:w="1023" w:type="pct"/>
            <w:tcBorders>
              <w:tl2br w:val="nil"/>
              <w:tr2bl w:val="nil"/>
            </w:tcBorders>
            <w:vAlign w:val="center"/>
          </w:tcPr>
          <w:p>
            <w:pPr>
              <w:pStyle w:val="182"/>
              <w:bidi w:val="0"/>
              <w:rPr>
                <w:b/>
                <w:bCs/>
                <w:color w:val="auto"/>
                <w:lang w:val="zh-CN" w:eastAsia="en-US"/>
              </w:rPr>
            </w:pPr>
            <w:r>
              <w:rPr>
                <w:b/>
                <w:bCs/>
                <w:color w:val="auto"/>
                <w:lang w:val="zh-CN" w:eastAsia="en-US"/>
              </w:rPr>
              <w:t>项目</w:t>
            </w:r>
          </w:p>
        </w:tc>
        <w:tc>
          <w:tcPr>
            <w:tcW w:w="3602" w:type="pct"/>
            <w:tcBorders>
              <w:tl2br w:val="nil"/>
              <w:tr2bl w:val="nil"/>
            </w:tcBorders>
            <w:vAlign w:val="center"/>
          </w:tcPr>
          <w:p>
            <w:pPr>
              <w:pStyle w:val="182"/>
              <w:bidi w:val="0"/>
              <w:rPr>
                <w:b/>
                <w:bCs/>
                <w:color w:val="auto"/>
                <w:lang w:val="zh-CN" w:eastAsia="en-US"/>
              </w:rPr>
            </w:pPr>
            <w:r>
              <w:rPr>
                <w:b/>
                <w:bCs/>
                <w:color w:val="auto"/>
                <w:lang w:val="zh-CN" w:eastAsia="en-US"/>
              </w:rPr>
              <w:t>重点内容及要求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1</w:t>
            </w:r>
          </w:p>
        </w:tc>
        <w:tc>
          <w:tcPr>
            <w:tcW w:w="1023" w:type="pct"/>
            <w:tcBorders>
              <w:tl2br w:val="nil"/>
              <w:tr2bl w:val="nil"/>
            </w:tcBorders>
            <w:vAlign w:val="center"/>
          </w:tcPr>
          <w:p>
            <w:pPr>
              <w:pStyle w:val="182"/>
              <w:bidi w:val="0"/>
              <w:rPr>
                <w:color w:val="auto"/>
                <w:lang w:val="zh-CN" w:eastAsia="en-US"/>
              </w:rPr>
            </w:pPr>
            <w:r>
              <w:rPr>
                <w:color w:val="auto"/>
                <w:lang w:val="zh-CN" w:eastAsia="en-US"/>
              </w:rPr>
              <w:t>企业基本情况</w:t>
            </w:r>
          </w:p>
        </w:tc>
        <w:tc>
          <w:tcPr>
            <w:tcW w:w="3602" w:type="pct"/>
            <w:tcBorders>
              <w:tl2br w:val="nil"/>
              <w:tr2bl w:val="nil"/>
            </w:tcBorders>
            <w:vAlign w:val="center"/>
          </w:tcPr>
          <w:p>
            <w:pPr>
              <w:pStyle w:val="182"/>
              <w:bidi w:val="0"/>
              <w:jc w:val="left"/>
              <w:rPr>
                <w:color w:val="auto"/>
                <w:lang w:val="zh-CN"/>
              </w:rPr>
            </w:pPr>
            <w:r>
              <w:rPr>
                <w:color w:val="auto"/>
                <w:lang w:val="zh-CN"/>
              </w:rPr>
              <w:t>地理位置，企业人数，上级部门，产品与原辅材料规模，周边区域单位和社区情况，重要基础设施、道路等情况，危险化学品运输单位、车辆及主要的运输产品、运量、运地、行车路线等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2</w:t>
            </w:r>
          </w:p>
        </w:tc>
        <w:tc>
          <w:tcPr>
            <w:tcW w:w="1023" w:type="pct"/>
            <w:tcBorders>
              <w:tl2br w:val="nil"/>
              <w:tr2bl w:val="nil"/>
            </w:tcBorders>
            <w:vAlign w:val="center"/>
          </w:tcPr>
          <w:p>
            <w:pPr>
              <w:pStyle w:val="182"/>
              <w:bidi w:val="0"/>
              <w:rPr>
                <w:color w:val="auto"/>
                <w:lang w:val="zh-CN"/>
              </w:rPr>
            </w:pPr>
            <w:r>
              <w:rPr>
                <w:color w:val="auto"/>
                <w:lang w:val="zh-CN"/>
              </w:rPr>
              <w:t>确定危险目标及其危险特性对周围的影响</w:t>
            </w:r>
          </w:p>
        </w:tc>
        <w:tc>
          <w:tcPr>
            <w:tcW w:w="3602" w:type="pct"/>
            <w:tcBorders>
              <w:tl2br w:val="nil"/>
              <w:tr2bl w:val="nil"/>
            </w:tcBorders>
            <w:vAlign w:val="center"/>
          </w:tcPr>
          <w:p>
            <w:pPr>
              <w:pStyle w:val="182"/>
              <w:bidi w:val="0"/>
              <w:jc w:val="left"/>
              <w:rPr>
                <w:color w:val="auto"/>
                <w:lang w:val="zh-CN"/>
              </w:rPr>
            </w:pPr>
            <w:r>
              <w:rPr>
                <w:color w:val="auto"/>
                <w:lang w:val="zh-CN"/>
              </w:rPr>
              <w:t>(1</w:t>
            </w:r>
            <w:r>
              <w:rPr>
                <w:rFonts w:hint="eastAsia"/>
                <w:color w:val="auto"/>
                <w:lang w:val="zh-CN"/>
              </w:rPr>
              <w:t>)</w:t>
            </w:r>
            <w:r>
              <w:rPr>
                <w:color w:val="auto"/>
                <w:lang w:val="zh-CN"/>
              </w:rPr>
              <w:t>根据事故类别、综合分析的危害程度，确定危险目标</w:t>
            </w:r>
          </w:p>
          <w:p>
            <w:pPr>
              <w:pStyle w:val="182"/>
              <w:bidi w:val="0"/>
              <w:jc w:val="left"/>
              <w:rPr>
                <w:color w:val="auto"/>
                <w:lang w:val="zh-CN"/>
              </w:rPr>
            </w:pPr>
            <w:r>
              <w:rPr>
                <w:color w:val="auto"/>
                <w:lang w:val="zh-CN"/>
              </w:rPr>
              <w:t>(2</w:t>
            </w:r>
            <w:r>
              <w:rPr>
                <w:rFonts w:hint="eastAsia"/>
                <w:color w:val="auto"/>
                <w:lang w:val="zh-CN"/>
              </w:rPr>
              <w:t>)</w:t>
            </w:r>
            <w:r>
              <w:rPr>
                <w:color w:val="auto"/>
                <w:lang w:val="zh-CN"/>
              </w:rPr>
              <w:t>根据确定的危险目标，明确其危险特性及对周边的影响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3</w:t>
            </w:r>
          </w:p>
        </w:tc>
        <w:tc>
          <w:tcPr>
            <w:tcW w:w="1023" w:type="pct"/>
            <w:tcBorders>
              <w:tl2br w:val="nil"/>
              <w:tr2bl w:val="nil"/>
            </w:tcBorders>
            <w:vAlign w:val="center"/>
          </w:tcPr>
          <w:p>
            <w:pPr>
              <w:pStyle w:val="182"/>
              <w:bidi w:val="0"/>
              <w:rPr>
                <w:color w:val="auto"/>
                <w:lang w:val="zh-CN" w:eastAsia="en-US"/>
              </w:rPr>
            </w:pPr>
            <w:r>
              <w:rPr>
                <w:color w:val="auto"/>
                <w:lang w:val="zh-CN" w:eastAsia="en-US"/>
              </w:rPr>
              <w:t>设备、器材</w:t>
            </w:r>
          </w:p>
        </w:tc>
        <w:tc>
          <w:tcPr>
            <w:tcW w:w="3602" w:type="pct"/>
            <w:tcBorders>
              <w:tl2br w:val="nil"/>
              <w:tr2bl w:val="nil"/>
            </w:tcBorders>
            <w:vAlign w:val="center"/>
          </w:tcPr>
          <w:p>
            <w:pPr>
              <w:pStyle w:val="182"/>
              <w:bidi w:val="0"/>
              <w:jc w:val="left"/>
              <w:rPr>
                <w:color w:val="auto"/>
                <w:lang w:val="zh-CN"/>
              </w:rPr>
            </w:pPr>
            <w:r>
              <w:rPr>
                <w:color w:val="auto"/>
                <w:lang w:val="zh-CN"/>
              </w:rPr>
              <w:t>危险目标周围可利用的安全、消防、个体防护的设备、器材及其分布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4</w:t>
            </w:r>
          </w:p>
        </w:tc>
        <w:tc>
          <w:tcPr>
            <w:tcW w:w="1023" w:type="pct"/>
            <w:tcBorders>
              <w:tl2br w:val="nil"/>
              <w:tr2bl w:val="nil"/>
            </w:tcBorders>
            <w:vAlign w:val="center"/>
          </w:tcPr>
          <w:p>
            <w:pPr>
              <w:pStyle w:val="182"/>
              <w:bidi w:val="0"/>
              <w:rPr>
                <w:color w:val="auto"/>
                <w:lang w:val="zh-CN"/>
              </w:rPr>
            </w:pPr>
            <w:r>
              <w:rPr>
                <w:color w:val="auto"/>
                <w:lang w:val="zh-CN"/>
              </w:rPr>
              <w:t>组织机构、组成人员和职责划分</w:t>
            </w:r>
          </w:p>
        </w:tc>
        <w:tc>
          <w:tcPr>
            <w:tcW w:w="3602" w:type="pct"/>
            <w:tcBorders>
              <w:tl2br w:val="nil"/>
              <w:tr2bl w:val="nil"/>
            </w:tcBorders>
            <w:vAlign w:val="center"/>
          </w:tcPr>
          <w:p>
            <w:pPr>
              <w:pStyle w:val="182"/>
              <w:bidi w:val="0"/>
              <w:jc w:val="left"/>
              <w:rPr>
                <w:color w:val="auto"/>
                <w:lang w:val="zh-CN"/>
              </w:rPr>
            </w:pPr>
            <w:r>
              <w:rPr>
                <w:color w:val="auto"/>
                <w:lang w:val="zh-CN"/>
              </w:rPr>
              <w:t>(1</w:t>
            </w:r>
            <w:r>
              <w:rPr>
                <w:rFonts w:hint="eastAsia"/>
                <w:color w:val="auto"/>
                <w:lang w:val="zh-CN"/>
              </w:rPr>
              <w:t>)</w:t>
            </w:r>
            <w:r>
              <w:rPr>
                <w:color w:val="auto"/>
                <w:lang w:val="zh-CN"/>
              </w:rPr>
              <w:t>依据危险品事故危害程度的级别，设置分级应急救援组织机构。</w:t>
            </w:r>
          </w:p>
          <w:p>
            <w:pPr>
              <w:pStyle w:val="182"/>
              <w:bidi w:val="0"/>
              <w:jc w:val="left"/>
              <w:rPr>
                <w:color w:val="auto"/>
                <w:lang w:val="zh-CN"/>
              </w:rPr>
            </w:pPr>
            <w:r>
              <w:rPr>
                <w:color w:val="auto"/>
                <w:lang w:val="zh-CN"/>
              </w:rPr>
              <w:t>(2</w:t>
            </w:r>
            <w:r>
              <w:rPr>
                <w:rFonts w:hint="eastAsia"/>
                <w:color w:val="auto"/>
                <w:lang w:val="zh-CN"/>
              </w:rPr>
              <w:t>)</w:t>
            </w:r>
            <w:r>
              <w:rPr>
                <w:color w:val="auto"/>
                <w:lang w:val="zh-CN"/>
              </w:rPr>
              <w:t>组成人员和主要职责，确定负责人、资源配置、应急队伍的调动</w:t>
            </w:r>
          </w:p>
          <w:p>
            <w:pPr>
              <w:pStyle w:val="182"/>
              <w:bidi w:val="0"/>
              <w:jc w:val="left"/>
              <w:rPr>
                <w:color w:val="auto"/>
                <w:lang w:val="zh-CN"/>
              </w:rPr>
            </w:pPr>
            <w:r>
              <w:rPr>
                <w:color w:val="auto"/>
                <w:lang w:val="zh-CN"/>
              </w:rPr>
              <w:t>(3</w:t>
            </w:r>
            <w:r>
              <w:rPr>
                <w:rFonts w:hint="eastAsia"/>
                <w:color w:val="auto"/>
                <w:lang w:val="zh-CN"/>
              </w:rPr>
              <w:t>)</w:t>
            </w:r>
            <w:r>
              <w:rPr>
                <w:color w:val="auto"/>
                <w:lang w:val="zh-CN"/>
              </w:rPr>
              <w:t>组织制订危险化学品事故应急救援预案</w:t>
            </w:r>
          </w:p>
          <w:p>
            <w:pPr>
              <w:pStyle w:val="182"/>
              <w:bidi w:val="0"/>
              <w:jc w:val="left"/>
              <w:rPr>
                <w:color w:val="auto"/>
                <w:lang w:val="zh-CN"/>
              </w:rPr>
            </w:pPr>
            <w:r>
              <w:rPr>
                <w:color w:val="auto"/>
                <w:lang w:val="zh-CN"/>
              </w:rPr>
              <w:t>(4</w:t>
            </w:r>
            <w:r>
              <w:rPr>
                <w:rFonts w:hint="eastAsia"/>
                <w:color w:val="auto"/>
                <w:lang w:val="zh-CN"/>
              </w:rPr>
              <w:t>)</w:t>
            </w:r>
            <w:r>
              <w:rPr>
                <w:color w:val="auto"/>
                <w:lang w:val="zh-CN"/>
              </w:rPr>
              <w:t>确定事故现场协调方案，预案启动与终止的批准，事故信息的上报，保护事故现场及相关数据采集，接受政府的指令和调动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5</w:t>
            </w:r>
          </w:p>
        </w:tc>
        <w:tc>
          <w:tcPr>
            <w:tcW w:w="1023" w:type="pct"/>
            <w:tcBorders>
              <w:tl2br w:val="nil"/>
              <w:tr2bl w:val="nil"/>
            </w:tcBorders>
            <w:vAlign w:val="center"/>
          </w:tcPr>
          <w:p>
            <w:pPr>
              <w:pStyle w:val="182"/>
              <w:bidi w:val="0"/>
              <w:rPr>
                <w:color w:val="auto"/>
                <w:lang w:val="zh-CN" w:eastAsia="en-US"/>
              </w:rPr>
            </w:pPr>
            <w:r>
              <w:rPr>
                <w:color w:val="auto"/>
                <w:lang w:val="zh-CN" w:eastAsia="en-US"/>
              </w:rPr>
              <w:t>报警、通讯联络方式</w:t>
            </w:r>
          </w:p>
        </w:tc>
        <w:tc>
          <w:tcPr>
            <w:tcW w:w="3602" w:type="pct"/>
            <w:tcBorders>
              <w:tl2br w:val="nil"/>
              <w:tr2bl w:val="nil"/>
            </w:tcBorders>
            <w:vAlign w:val="center"/>
          </w:tcPr>
          <w:p>
            <w:pPr>
              <w:pStyle w:val="182"/>
              <w:bidi w:val="0"/>
              <w:jc w:val="left"/>
              <w:rPr>
                <w:color w:val="auto"/>
                <w:lang w:val="zh-CN"/>
              </w:rPr>
            </w:pPr>
            <w:r>
              <w:rPr>
                <w:color w:val="auto"/>
                <w:lang w:val="zh-CN"/>
              </w:rPr>
              <w:t>设置24小时有效报警装置，确定内外部通讯联络手段，包括运输危险品驾驶员、押运员报警及与单位、生产厂、托运方联系的方式方法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6</w:t>
            </w:r>
          </w:p>
        </w:tc>
        <w:tc>
          <w:tcPr>
            <w:tcW w:w="1023" w:type="pct"/>
            <w:tcBorders>
              <w:tl2br w:val="nil"/>
              <w:tr2bl w:val="nil"/>
            </w:tcBorders>
            <w:vAlign w:val="center"/>
          </w:tcPr>
          <w:p>
            <w:pPr>
              <w:pStyle w:val="182"/>
              <w:bidi w:val="0"/>
              <w:rPr>
                <w:color w:val="auto"/>
                <w:lang w:val="zh-CN" w:eastAsia="en-US"/>
              </w:rPr>
            </w:pPr>
            <w:r>
              <w:rPr>
                <w:color w:val="auto"/>
                <w:lang w:val="zh-CN" w:eastAsia="en-US"/>
              </w:rPr>
              <w:t>处理措施</w:t>
            </w:r>
          </w:p>
        </w:tc>
        <w:tc>
          <w:tcPr>
            <w:tcW w:w="3602" w:type="pct"/>
            <w:tcBorders>
              <w:tl2br w:val="nil"/>
              <w:tr2bl w:val="nil"/>
            </w:tcBorders>
            <w:vAlign w:val="center"/>
          </w:tcPr>
          <w:p>
            <w:pPr>
              <w:pStyle w:val="182"/>
              <w:bidi w:val="0"/>
              <w:jc w:val="left"/>
              <w:rPr>
                <w:color w:val="auto"/>
                <w:lang w:val="zh-CN"/>
              </w:rPr>
            </w:pPr>
            <w:r>
              <w:rPr>
                <w:color w:val="auto"/>
                <w:lang w:val="zh-CN"/>
              </w:rPr>
              <w:t>(1</w:t>
            </w:r>
            <w:r>
              <w:rPr>
                <w:rFonts w:hint="eastAsia"/>
                <w:color w:val="auto"/>
                <w:lang w:val="zh-CN"/>
              </w:rPr>
              <w:t>)</w:t>
            </w:r>
            <w:r>
              <w:rPr>
                <w:color w:val="auto"/>
                <w:lang w:val="zh-CN"/>
              </w:rPr>
              <w:t>根据工艺、操作规程技术要求，确定采取的紧急处理措施</w:t>
            </w:r>
          </w:p>
          <w:p>
            <w:pPr>
              <w:pStyle w:val="182"/>
              <w:bidi w:val="0"/>
              <w:jc w:val="left"/>
              <w:rPr>
                <w:color w:val="auto"/>
                <w:lang w:val="zh-CN"/>
              </w:rPr>
            </w:pPr>
            <w:r>
              <w:rPr>
                <w:color w:val="auto"/>
                <w:lang w:val="zh-CN"/>
              </w:rPr>
              <w:t>(2</w:t>
            </w:r>
            <w:r>
              <w:rPr>
                <w:rFonts w:hint="eastAsia"/>
                <w:color w:val="auto"/>
                <w:lang w:val="zh-CN"/>
              </w:rPr>
              <w:t>)</w:t>
            </w:r>
            <w:r>
              <w:rPr>
                <w:color w:val="auto"/>
                <w:lang w:val="zh-CN"/>
              </w:rPr>
              <w:t>根据安全运输、本单位、相关厂家、托运方信息采取的应急措施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7</w:t>
            </w:r>
          </w:p>
        </w:tc>
        <w:tc>
          <w:tcPr>
            <w:tcW w:w="1023" w:type="pct"/>
            <w:tcBorders>
              <w:tl2br w:val="nil"/>
              <w:tr2bl w:val="nil"/>
            </w:tcBorders>
            <w:vAlign w:val="center"/>
          </w:tcPr>
          <w:p>
            <w:pPr>
              <w:pStyle w:val="182"/>
              <w:bidi w:val="0"/>
              <w:rPr>
                <w:color w:val="auto"/>
                <w:lang w:val="zh-CN" w:eastAsia="en-US"/>
              </w:rPr>
            </w:pPr>
            <w:r>
              <w:rPr>
                <w:color w:val="auto"/>
                <w:lang w:val="zh-CN" w:eastAsia="en-US"/>
              </w:rPr>
              <w:t>人员紧急疏散、撤离</w:t>
            </w:r>
          </w:p>
        </w:tc>
        <w:tc>
          <w:tcPr>
            <w:tcW w:w="3602" w:type="pct"/>
            <w:tcBorders>
              <w:tl2br w:val="nil"/>
              <w:tr2bl w:val="nil"/>
            </w:tcBorders>
            <w:vAlign w:val="center"/>
          </w:tcPr>
          <w:p>
            <w:pPr>
              <w:pStyle w:val="182"/>
              <w:bidi w:val="0"/>
              <w:jc w:val="left"/>
              <w:rPr>
                <w:color w:val="auto"/>
                <w:lang w:val="zh-CN"/>
              </w:rPr>
            </w:pPr>
            <w:r>
              <w:rPr>
                <w:color w:val="auto"/>
                <w:lang w:val="zh-CN"/>
              </w:rPr>
              <w:t>事故现场人员清点与撤离、非事故现场人员紧急疏散、周边区域单位和社区人员疏散的方式方法。抢救人员在撤离前、撤离后的报告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8</w:t>
            </w:r>
          </w:p>
        </w:tc>
        <w:tc>
          <w:tcPr>
            <w:tcW w:w="1023" w:type="pct"/>
            <w:tcBorders>
              <w:tl2br w:val="nil"/>
              <w:tr2bl w:val="nil"/>
            </w:tcBorders>
            <w:vAlign w:val="center"/>
          </w:tcPr>
          <w:p>
            <w:pPr>
              <w:pStyle w:val="182"/>
              <w:bidi w:val="0"/>
              <w:rPr>
                <w:color w:val="auto"/>
                <w:lang w:val="zh-CN" w:eastAsia="en-US"/>
              </w:rPr>
            </w:pPr>
            <w:r>
              <w:rPr>
                <w:color w:val="auto"/>
                <w:lang w:val="zh-CN" w:eastAsia="en-US"/>
              </w:rPr>
              <w:t>危险区的隔离</w:t>
            </w:r>
          </w:p>
        </w:tc>
        <w:tc>
          <w:tcPr>
            <w:tcW w:w="3602" w:type="pct"/>
            <w:tcBorders>
              <w:tl2br w:val="nil"/>
              <w:tr2bl w:val="nil"/>
            </w:tcBorders>
            <w:vAlign w:val="center"/>
          </w:tcPr>
          <w:p>
            <w:pPr>
              <w:pStyle w:val="182"/>
              <w:bidi w:val="0"/>
              <w:jc w:val="left"/>
              <w:rPr>
                <w:color w:val="auto"/>
                <w:lang w:val="zh-CN"/>
              </w:rPr>
            </w:pPr>
            <w:r>
              <w:rPr>
                <w:color w:val="auto"/>
                <w:lang w:val="zh-CN"/>
              </w:rPr>
              <w:t>设定危险区、事故现场隔离区的划定方式方法和事故现场隔离方法，事故现场周边区域的道路隔离或交通疏导办法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9</w:t>
            </w:r>
          </w:p>
        </w:tc>
        <w:tc>
          <w:tcPr>
            <w:tcW w:w="1023" w:type="pct"/>
            <w:tcBorders>
              <w:tl2br w:val="nil"/>
              <w:tr2bl w:val="nil"/>
            </w:tcBorders>
            <w:vAlign w:val="center"/>
          </w:tcPr>
          <w:p>
            <w:pPr>
              <w:pStyle w:val="182"/>
              <w:bidi w:val="0"/>
              <w:rPr>
                <w:color w:val="auto"/>
                <w:lang w:val="zh-CN"/>
              </w:rPr>
            </w:pPr>
            <w:r>
              <w:rPr>
                <w:color w:val="auto"/>
                <w:lang w:val="zh-CN"/>
              </w:rPr>
              <w:t>监测、抢险、救援及控制措施</w:t>
            </w:r>
          </w:p>
        </w:tc>
        <w:tc>
          <w:tcPr>
            <w:tcW w:w="3602" w:type="pct"/>
            <w:tcBorders>
              <w:tl2br w:val="nil"/>
              <w:tr2bl w:val="nil"/>
            </w:tcBorders>
            <w:vAlign w:val="center"/>
          </w:tcPr>
          <w:p>
            <w:pPr>
              <w:pStyle w:val="182"/>
              <w:bidi w:val="0"/>
              <w:jc w:val="left"/>
              <w:rPr>
                <w:color w:val="auto"/>
                <w:lang w:val="zh-CN"/>
              </w:rPr>
            </w:pPr>
            <w:r>
              <w:rPr>
                <w:color w:val="auto"/>
                <w:lang w:val="zh-CN"/>
              </w:rPr>
              <w:t>(1</w:t>
            </w:r>
            <w:r>
              <w:rPr>
                <w:rFonts w:hint="eastAsia"/>
                <w:color w:val="auto"/>
                <w:lang w:val="zh-CN"/>
              </w:rPr>
              <w:t>)</w:t>
            </w:r>
            <w:r>
              <w:rPr>
                <w:color w:val="auto"/>
                <w:lang w:val="zh-CN"/>
              </w:rPr>
              <w:t>制定事故快速环境监测方法及监测人员防护监护措施</w:t>
            </w:r>
          </w:p>
          <w:p>
            <w:pPr>
              <w:pStyle w:val="182"/>
              <w:bidi w:val="0"/>
              <w:jc w:val="left"/>
              <w:rPr>
                <w:color w:val="auto"/>
                <w:lang w:val="zh-CN"/>
              </w:rPr>
            </w:pPr>
            <w:r>
              <w:rPr>
                <w:color w:val="auto"/>
                <w:lang w:val="zh-CN"/>
              </w:rPr>
              <w:t>(2</w:t>
            </w:r>
            <w:r>
              <w:rPr>
                <w:rFonts w:hint="eastAsia"/>
                <w:color w:val="auto"/>
                <w:lang w:val="zh-CN"/>
              </w:rPr>
              <w:t>)</w:t>
            </w:r>
            <w:r>
              <w:rPr>
                <w:color w:val="auto"/>
                <w:lang w:val="zh-CN"/>
              </w:rPr>
              <w:t>抢险救援方式方法及人员的防护监护措施</w:t>
            </w:r>
          </w:p>
          <w:p>
            <w:pPr>
              <w:pStyle w:val="182"/>
              <w:bidi w:val="0"/>
              <w:jc w:val="left"/>
              <w:rPr>
                <w:color w:val="auto"/>
                <w:lang w:val="zh-CN"/>
              </w:rPr>
            </w:pPr>
            <w:r>
              <w:rPr>
                <w:color w:val="auto"/>
                <w:lang w:val="zh-CN"/>
              </w:rPr>
              <w:t>(3</w:t>
            </w:r>
            <w:r>
              <w:rPr>
                <w:rFonts w:hint="eastAsia"/>
                <w:color w:val="auto"/>
                <w:lang w:val="zh-CN"/>
              </w:rPr>
              <w:t>)</w:t>
            </w:r>
            <w:r>
              <w:rPr>
                <w:color w:val="auto"/>
                <w:lang w:val="zh-CN"/>
              </w:rPr>
              <w:t>现场实时监测及异常情况下抢险人员的撤离条件和方法</w:t>
            </w:r>
          </w:p>
          <w:p>
            <w:pPr>
              <w:pStyle w:val="182"/>
              <w:bidi w:val="0"/>
              <w:jc w:val="left"/>
              <w:rPr>
                <w:color w:val="auto"/>
                <w:lang w:val="zh-CN"/>
              </w:rPr>
            </w:pPr>
            <w:r>
              <w:rPr>
                <w:color w:val="auto"/>
                <w:lang w:val="zh-CN"/>
              </w:rPr>
              <w:t>(4</w:t>
            </w:r>
            <w:r>
              <w:rPr>
                <w:rFonts w:hint="eastAsia"/>
                <w:color w:val="auto"/>
                <w:lang w:val="zh-CN"/>
              </w:rPr>
              <w:t>)</w:t>
            </w:r>
            <w:r>
              <w:rPr>
                <w:color w:val="auto"/>
                <w:lang w:val="zh-CN"/>
              </w:rPr>
              <w:t>控制事故扩大的措施和事故可能扩大后的应急措施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10</w:t>
            </w:r>
          </w:p>
        </w:tc>
        <w:tc>
          <w:tcPr>
            <w:tcW w:w="1023" w:type="pct"/>
            <w:tcBorders>
              <w:tl2br w:val="nil"/>
              <w:tr2bl w:val="nil"/>
            </w:tcBorders>
            <w:vAlign w:val="center"/>
          </w:tcPr>
          <w:p>
            <w:pPr>
              <w:pStyle w:val="182"/>
              <w:bidi w:val="0"/>
              <w:rPr>
                <w:color w:val="auto"/>
                <w:lang w:val="zh-CN"/>
              </w:rPr>
            </w:pPr>
            <w:r>
              <w:rPr>
                <w:color w:val="auto"/>
                <w:lang w:val="zh-CN"/>
              </w:rPr>
              <w:t>受伤人员现场救护、救治及医院救治</w:t>
            </w:r>
          </w:p>
        </w:tc>
        <w:tc>
          <w:tcPr>
            <w:tcW w:w="3602" w:type="pct"/>
            <w:tcBorders>
              <w:tl2br w:val="nil"/>
              <w:tr2bl w:val="nil"/>
            </w:tcBorders>
            <w:vAlign w:val="center"/>
          </w:tcPr>
          <w:p>
            <w:pPr>
              <w:pStyle w:val="182"/>
              <w:bidi w:val="0"/>
              <w:jc w:val="left"/>
              <w:rPr>
                <w:color w:val="auto"/>
                <w:lang w:val="zh-CN"/>
              </w:rPr>
            </w:pPr>
            <w:r>
              <w:rPr>
                <w:color w:val="auto"/>
                <w:lang w:val="zh-CN"/>
              </w:rPr>
              <w:t>(1</w:t>
            </w:r>
            <w:r>
              <w:rPr>
                <w:rFonts w:hint="eastAsia"/>
                <w:color w:val="auto"/>
                <w:lang w:val="zh-CN"/>
              </w:rPr>
              <w:t>)</w:t>
            </w:r>
            <w:r>
              <w:rPr>
                <w:color w:val="auto"/>
                <w:lang w:val="zh-CN"/>
              </w:rPr>
              <w:t>接触人群检伤分类方案及执行人员；进行分类现场紧急抢救方案；</w:t>
            </w:r>
          </w:p>
          <w:p>
            <w:pPr>
              <w:pStyle w:val="182"/>
              <w:bidi w:val="0"/>
              <w:jc w:val="left"/>
              <w:rPr>
                <w:color w:val="auto"/>
                <w:lang w:val="zh-CN"/>
              </w:rPr>
            </w:pPr>
            <w:r>
              <w:rPr>
                <w:color w:val="auto"/>
                <w:lang w:val="zh-CN"/>
              </w:rPr>
              <w:t>(2</w:t>
            </w:r>
            <w:r>
              <w:rPr>
                <w:rFonts w:hint="eastAsia"/>
                <w:color w:val="auto"/>
                <w:lang w:val="zh-CN"/>
              </w:rPr>
              <w:t>)</w:t>
            </w:r>
            <w:r>
              <w:rPr>
                <w:color w:val="auto"/>
                <w:lang w:val="zh-CN"/>
              </w:rPr>
              <w:t>接触者医学观察方案；转运及转运中的救治方案；患者治疗方案；</w:t>
            </w:r>
          </w:p>
          <w:p>
            <w:pPr>
              <w:pStyle w:val="182"/>
              <w:bidi w:val="0"/>
              <w:jc w:val="left"/>
              <w:rPr>
                <w:color w:val="auto"/>
                <w:lang w:val="zh-CN"/>
              </w:rPr>
            </w:pPr>
            <w:r>
              <w:rPr>
                <w:color w:val="auto"/>
                <w:lang w:val="zh-CN"/>
              </w:rPr>
              <w:t>(3</w:t>
            </w:r>
            <w:r>
              <w:rPr>
                <w:rFonts w:hint="eastAsia"/>
                <w:color w:val="auto"/>
                <w:lang w:val="zh-CN"/>
              </w:rPr>
              <w:t>)</w:t>
            </w:r>
            <w:r>
              <w:rPr>
                <w:color w:val="auto"/>
                <w:lang w:val="zh-CN"/>
              </w:rPr>
              <w:t>入院前和医院救治机构确定及处置方案；</w:t>
            </w:r>
          </w:p>
          <w:p>
            <w:pPr>
              <w:pStyle w:val="182"/>
              <w:bidi w:val="0"/>
              <w:jc w:val="left"/>
              <w:rPr>
                <w:color w:val="auto"/>
                <w:lang w:val="zh-CN"/>
              </w:rPr>
            </w:pPr>
            <w:r>
              <w:rPr>
                <w:color w:val="auto"/>
                <w:lang w:val="zh-CN"/>
              </w:rPr>
              <w:t>(4</w:t>
            </w:r>
            <w:r>
              <w:rPr>
                <w:rFonts w:hint="eastAsia"/>
                <w:color w:val="auto"/>
                <w:lang w:val="zh-CN"/>
              </w:rPr>
              <w:t>)</w:t>
            </w:r>
            <w:r>
              <w:rPr>
                <w:color w:val="auto"/>
                <w:lang w:val="zh-CN"/>
              </w:rPr>
              <w:t>信息、药物、器材的储备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11</w:t>
            </w:r>
          </w:p>
        </w:tc>
        <w:tc>
          <w:tcPr>
            <w:tcW w:w="1023" w:type="pct"/>
            <w:tcBorders>
              <w:tl2br w:val="nil"/>
              <w:tr2bl w:val="nil"/>
            </w:tcBorders>
            <w:vAlign w:val="center"/>
          </w:tcPr>
          <w:p>
            <w:pPr>
              <w:pStyle w:val="182"/>
              <w:bidi w:val="0"/>
              <w:rPr>
                <w:color w:val="auto"/>
                <w:lang w:val="zh-CN" w:eastAsia="en-US"/>
              </w:rPr>
            </w:pPr>
            <w:r>
              <w:rPr>
                <w:color w:val="auto"/>
                <w:lang w:val="zh-CN" w:eastAsia="en-US"/>
              </w:rPr>
              <w:t>现场保护与现场洗消</w:t>
            </w:r>
          </w:p>
        </w:tc>
        <w:tc>
          <w:tcPr>
            <w:tcW w:w="3602" w:type="pct"/>
            <w:tcBorders>
              <w:tl2br w:val="nil"/>
              <w:tr2bl w:val="nil"/>
            </w:tcBorders>
            <w:vAlign w:val="center"/>
          </w:tcPr>
          <w:p>
            <w:pPr>
              <w:pStyle w:val="182"/>
              <w:bidi w:val="0"/>
              <w:jc w:val="left"/>
              <w:rPr>
                <w:color w:val="auto"/>
                <w:lang w:val="zh-CN"/>
              </w:rPr>
            </w:pPr>
            <w:r>
              <w:rPr>
                <w:color w:val="auto"/>
                <w:lang w:val="zh-CN"/>
              </w:rPr>
              <w:t>(1</w:t>
            </w:r>
            <w:r>
              <w:rPr>
                <w:rFonts w:hint="eastAsia"/>
                <w:color w:val="auto"/>
                <w:lang w:val="zh-CN"/>
              </w:rPr>
              <w:t>)</w:t>
            </w:r>
            <w:r>
              <w:rPr>
                <w:color w:val="auto"/>
                <w:lang w:val="zh-CN"/>
              </w:rPr>
              <w:t>事故现场的保护措施</w:t>
            </w:r>
          </w:p>
          <w:p>
            <w:pPr>
              <w:pStyle w:val="182"/>
              <w:bidi w:val="0"/>
              <w:jc w:val="left"/>
              <w:rPr>
                <w:color w:val="auto"/>
                <w:lang w:val="zh-CN"/>
              </w:rPr>
            </w:pPr>
            <w:r>
              <w:rPr>
                <w:color w:val="auto"/>
                <w:lang w:val="zh-CN"/>
              </w:rPr>
              <w:t>(2</w:t>
            </w:r>
            <w:r>
              <w:rPr>
                <w:rFonts w:hint="eastAsia"/>
                <w:color w:val="auto"/>
                <w:lang w:val="zh-CN"/>
              </w:rPr>
              <w:t>)</w:t>
            </w:r>
            <w:r>
              <w:rPr>
                <w:color w:val="auto"/>
                <w:lang w:val="zh-CN"/>
              </w:rPr>
              <w:t>明确事故现场洗消工作的负责人和专业队伍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12</w:t>
            </w:r>
          </w:p>
        </w:tc>
        <w:tc>
          <w:tcPr>
            <w:tcW w:w="1023" w:type="pct"/>
            <w:tcBorders>
              <w:tl2br w:val="nil"/>
              <w:tr2bl w:val="nil"/>
            </w:tcBorders>
            <w:vAlign w:val="center"/>
          </w:tcPr>
          <w:p>
            <w:pPr>
              <w:pStyle w:val="182"/>
              <w:bidi w:val="0"/>
              <w:rPr>
                <w:color w:val="auto"/>
                <w:lang w:val="zh-CN" w:eastAsia="en-US"/>
              </w:rPr>
            </w:pPr>
            <w:r>
              <w:rPr>
                <w:color w:val="auto"/>
                <w:lang w:val="zh-CN" w:eastAsia="en-US"/>
              </w:rPr>
              <w:t>应急救援保障</w:t>
            </w:r>
          </w:p>
        </w:tc>
        <w:tc>
          <w:tcPr>
            <w:tcW w:w="3602" w:type="pct"/>
            <w:tcBorders>
              <w:tl2br w:val="nil"/>
              <w:tr2bl w:val="nil"/>
            </w:tcBorders>
            <w:vAlign w:val="center"/>
          </w:tcPr>
          <w:p>
            <w:pPr>
              <w:pStyle w:val="182"/>
              <w:bidi w:val="0"/>
              <w:jc w:val="left"/>
              <w:rPr>
                <w:color w:val="auto"/>
                <w:lang w:val="zh-CN"/>
              </w:rPr>
            </w:pPr>
            <w:r>
              <w:rPr>
                <w:color w:val="auto"/>
                <w:lang w:val="zh-CN"/>
              </w:rPr>
              <w:t>(1</w:t>
            </w:r>
            <w:r>
              <w:rPr>
                <w:rFonts w:hint="eastAsia"/>
                <w:color w:val="auto"/>
                <w:lang w:val="zh-CN"/>
              </w:rPr>
              <w:t>)</w:t>
            </w:r>
            <w:r>
              <w:rPr>
                <w:color w:val="auto"/>
                <w:lang w:val="zh-CN"/>
              </w:rPr>
              <w:t>内部保障包括</w:t>
            </w:r>
            <w:r>
              <w:rPr>
                <w:rFonts w:hint="eastAsia"/>
                <w:color w:val="auto"/>
                <w:lang w:val="zh-CN"/>
              </w:rPr>
              <w:t>（</w:t>
            </w:r>
            <w:r>
              <w:rPr>
                <w:color w:val="auto"/>
                <w:lang w:val="zh-CN"/>
              </w:rPr>
              <w:t>a</w:t>
            </w:r>
            <w:r>
              <w:rPr>
                <w:rFonts w:hint="eastAsia"/>
                <w:color w:val="auto"/>
                <w:lang w:val="zh-CN"/>
              </w:rPr>
              <w:t>）</w:t>
            </w:r>
            <w:r>
              <w:rPr>
                <w:color w:val="auto"/>
                <w:lang w:val="zh-CN"/>
              </w:rPr>
              <w:t>确定应急队伍；(b</w:t>
            </w:r>
            <w:r>
              <w:rPr>
                <w:rFonts w:hint="eastAsia"/>
                <w:color w:val="auto"/>
                <w:lang w:val="zh-CN"/>
              </w:rPr>
              <w:t>)</w:t>
            </w:r>
            <w:r>
              <w:rPr>
                <w:color w:val="auto"/>
                <w:lang w:val="zh-CN"/>
              </w:rPr>
              <w:t>消防设施配置图、工艺流程图、现场平面布置图和周围地区图、气象资料、危险品安全技术说明书、互救信息等存放地点、保管人；(c</w:t>
            </w:r>
            <w:r>
              <w:rPr>
                <w:rFonts w:hint="eastAsia"/>
                <w:color w:val="auto"/>
                <w:lang w:val="zh-CN"/>
              </w:rPr>
              <w:t>)</w:t>
            </w:r>
            <w:r>
              <w:rPr>
                <w:color w:val="auto"/>
                <w:lang w:val="zh-CN"/>
              </w:rPr>
              <w:t>应急通信系统；(d</w:t>
            </w:r>
            <w:r>
              <w:rPr>
                <w:rFonts w:hint="eastAsia"/>
                <w:color w:val="auto"/>
                <w:lang w:val="zh-CN"/>
              </w:rPr>
              <w:t>)</w:t>
            </w:r>
            <w:r>
              <w:rPr>
                <w:color w:val="auto"/>
                <w:lang w:val="zh-CN"/>
              </w:rPr>
              <w:t>应急电源、照明；(e</w:t>
            </w:r>
            <w:r>
              <w:rPr>
                <w:rFonts w:hint="eastAsia"/>
                <w:color w:val="auto"/>
                <w:lang w:val="zh-CN"/>
              </w:rPr>
              <w:t>)</w:t>
            </w:r>
            <w:r>
              <w:rPr>
                <w:color w:val="auto"/>
                <w:lang w:val="zh-CN"/>
              </w:rPr>
              <w:t>应急救援装备、物资、药品等；(f</w:t>
            </w:r>
            <w:r>
              <w:rPr>
                <w:rFonts w:hint="eastAsia"/>
                <w:color w:val="auto"/>
                <w:lang w:val="zh-CN"/>
              </w:rPr>
              <w:t>)</w:t>
            </w:r>
            <w:r>
              <w:rPr>
                <w:color w:val="auto"/>
                <w:lang w:val="zh-CN"/>
              </w:rPr>
              <w:t>危险化学品运输车辆的安全、消防设备、器材及人员防护装备；(g</w:t>
            </w:r>
            <w:r>
              <w:rPr>
                <w:rFonts w:hint="eastAsia"/>
                <w:color w:val="auto"/>
                <w:lang w:val="zh-CN"/>
              </w:rPr>
              <w:t>)</w:t>
            </w:r>
            <w:r>
              <w:rPr>
                <w:color w:val="auto"/>
                <w:lang w:val="zh-CN"/>
              </w:rPr>
              <w:t>保障制度目录</w:t>
            </w:r>
          </w:p>
          <w:p>
            <w:pPr>
              <w:pStyle w:val="182"/>
              <w:bidi w:val="0"/>
              <w:jc w:val="left"/>
              <w:rPr>
                <w:color w:val="auto"/>
                <w:lang w:val="zh-CN"/>
              </w:rPr>
            </w:pPr>
            <w:r>
              <w:rPr>
                <w:color w:val="auto"/>
                <w:lang w:val="zh-CN"/>
              </w:rPr>
              <w:t>(2</w:t>
            </w:r>
            <w:r>
              <w:rPr>
                <w:rFonts w:hint="eastAsia"/>
                <w:color w:val="auto"/>
                <w:lang w:val="zh-CN"/>
              </w:rPr>
              <w:t>)</w:t>
            </w:r>
            <w:r>
              <w:rPr>
                <w:color w:val="auto"/>
                <w:lang w:val="zh-CN"/>
              </w:rPr>
              <w:t>外部救援包括</w:t>
            </w:r>
            <w:r>
              <w:rPr>
                <w:rFonts w:hint="eastAsia"/>
                <w:color w:val="auto"/>
                <w:lang w:val="zh-CN"/>
              </w:rPr>
              <w:t>（</w:t>
            </w:r>
            <w:r>
              <w:rPr>
                <w:color w:val="auto"/>
                <w:lang w:val="zh-CN"/>
              </w:rPr>
              <w:t>a</w:t>
            </w:r>
            <w:r>
              <w:rPr>
                <w:rFonts w:hint="eastAsia"/>
                <w:color w:val="auto"/>
                <w:lang w:val="zh-CN"/>
              </w:rPr>
              <w:t>）</w:t>
            </w:r>
            <w:r>
              <w:rPr>
                <w:color w:val="auto"/>
                <w:lang w:val="zh-CN"/>
              </w:rPr>
              <w:t>单位互助的方式；(b</w:t>
            </w:r>
            <w:r>
              <w:rPr>
                <w:rFonts w:hint="eastAsia"/>
                <w:color w:val="auto"/>
                <w:lang w:val="zh-CN"/>
              </w:rPr>
              <w:t>)</w:t>
            </w:r>
            <w:r>
              <w:rPr>
                <w:color w:val="auto"/>
                <w:lang w:val="zh-CN"/>
              </w:rPr>
              <w:t>请求政府协调应急救援力量；(c</w:t>
            </w:r>
            <w:r>
              <w:rPr>
                <w:rFonts w:hint="eastAsia"/>
                <w:color w:val="auto"/>
                <w:lang w:val="zh-CN"/>
              </w:rPr>
              <w:t>)</w:t>
            </w:r>
            <w:r>
              <w:rPr>
                <w:color w:val="auto"/>
                <w:lang w:val="zh-CN"/>
              </w:rPr>
              <w:t>应急救援信息咨询；(d</w:t>
            </w:r>
            <w:r>
              <w:rPr>
                <w:rFonts w:hint="eastAsia"/>
                <w:color w:val="auto"/>
                <w:lang w:val="zh-CN"/>
              </w:rPr>
              <w:t>)</w:t>
            </w:r>
            <w:r>
              <w:rPr>
                <w:color w:val="auto"/>
                <w:lang w:val="zh-CN"/>
              </w:rPr>
              <w:t>专家信息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13</w:t>
            </w:r>
          </w:p>
        </w:tc>
        <w:tc>
          <w:tcPr>
            <w:tcW w:w="1023" w:type="pct"/>
            <w:tcBorders>
              <w:tl2br w:val="nil"/>
              <w:tr2bl w:val="nil"/>
            </w:tcBorders>
            <w:vAlign w:val="center"/>
          </w:tcPr>
          <w:p>
            <w:pPr>
              <w:pStyle w:val="182"/>
              <w:bidi w:val="0"/>
              <w:rPr>
                <w:color w:val="auto"/>
                <w:lang w:val="zh-CN" w:eastAsia="en-US"/>
              </w:rPr>
            </w:pPr>
            <w:r>
              <w:rPr>
                <w:color w:val="auto"/>
                <w:lang w:val="zh-CN" w:eastAsia="en-US"/>
              </w:rPr>
              <w:t>预案分级响应条件</w:t>
            </w:r>
          </w:p>
        </w:tc>
        <w:tc>
          <w:tcPr>
            <w:tcW w:w="3602" w:type="pct"/>
            <w:tcBorders>
              <w:tl2br w:val="nil"/>
              <w:tr2bl w:val="nil"/>
            </w:tcBorders>
            <w:vAlign w:val="center"/>
          </w:tcPr>
          <w:p>
            <w:pPr>
              <w:pStyle w:val="182"/>
              <w:bidi w:val="0"/>
              <w:jc w:val="left"/>
              <w:rPr>
                <w:color w:val="auto"/>
                <w:lang w:val="zh-CN"/>
              </w:rPr>
            </w:pPr>
            <w:r>
              <w:rPr>
                <w:color w:val="auto"/>
                <w:lang w:val="zh-CN"/>
              </w:rPr>
              <w:t>依据危险品事故类别、危害程度和现场评估结果，设定预案启动条件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14</w:t>
            </w:r>
          </w:p>
        </w:tc>
        <w:tc>
          <w:tcPr>
            <w:tcW w:w="1023" w:type="pct"/>
            <w:tcBorders>
              <w:tl2br w:val="nil"/>
              <w:tr2bl w:val="nil"/>
            </w:tcBorders>
            <w:vAlign w:val="center"/>
          </w:tcPr>
          <w:p>
            <w:pPr>
              <w:pStyle w:val="182"/>
              <w:bidi w:val="0"/>
              <w:rPr>
                <w:color w:val="auto"/>
                <w:lang w:val="zh-CN"/>
              </w:rPr>
            </w:pPr>
            <w:r>
              <w:rPr>
                <w:color w:val="auto"/>
                <w:lang w:val="zh-CN"/>
              </w:rPr>
              <w:t>事故应急救援终止程序</w:t>
            </w:r>
          </w:p>
        </w:tc>
        <w:tc>
          <w:tcPr>
            <w:tcW w:w="3602" w:type="pct"/>
            <w:tcBorders>
              <w:tl2br w:val="nil"/>
              <w:tr2bl w:val="nil"/>
            </w:tcBorders>
            <w:vAlign w:val="center"/>
          </w:tcPr>
          <w:p>
            <w:pPr>
              <w:pStyle w:val="182"/>
              <w:bidi w:val="0"/>
              <w:jc w:val="left"/>
              <w:rPr>
                <w:color w:val="auto"/>
                <w:lang w:val="zh-CN"/>
              </w:rPr>
            </w:pPr>
            <w:r>
              <w:rPr>
                <w:color w:val="auto"/>
                <w:lang w:val="zh-CN"/>
              </w:rPr>
              <w:t>(1</w:t>
            </w:r>
            <w:r>
              <w:rPr>
                <w:rFonts w:hint="eastAsia"/>
                <w:color w:val="auto"/>
                <w:lang w:val="zh-CN"/>
              </w:rPr>
              <w:t>)</w:t>
            </w:r>
            <w:r>
              <w:rPr>
                <w:color w:val="auto"/>
                <w:lang w:val="zh-CN"/>
              </w:rPr>
              <w:t>确定事故应急救援工作结束</w:t>
            </w:r>
          </w:p>
          <w:p>
            <w:pPr>
              <w:pStyle w:val="182"/>
              <w:bidi w:val="0"/>
              <w:jc w:val="left"/>
              <w:rPr>
                <w:color w:val="auto"/>
                <w:lang w:val="zh-CN"/>
              </w:rPr>
            </w:pPr>
            <w:r>
              <w:rPr>
                <w:color w:val="auto"/>
                <w:lang w:val="zh-CN"/>
              </w:rPr>
              <w:t>(2</w:t>
            </w:r>
            <w:r>
              <w:rPr>
                <w:rFonts w:hint="eastAsia"/>
                <w:color w:val="auto"/>
                <w:lang w:val="zh-CN"/>
              </w:rPr>
              <w:t>)</w:t>
            </w:r>
            <w:r>
              <w:rPr>
                <w:color w:val="auto"/>
                <w:lang w:val="zh-CN"/>
              </w:rPr>
              <w:t>通知本单位相关部门、周边社区及人员事故危险解除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15</w:t>
            </w:r>
          </w:p>
        </w:tc>
        <w:tc>
          <w:tcPr>
            <w:tcW w:w="1023" w:type="pct"/>
            <w:tcBorders>
              <w:tl2br w:val="nil"/>
              <w:tr2bl w:val="nil"/>
            </w:tcBorders>
            <w:vAlign w:val="center"/>
          </w:tcPr>
          <w:p>
            <w:pPr>
              <w:pStyle w:val="182"/>
              <w:bidi w:val="0"/>
              <w:rPr>
                <w:color w:val="auto"/>
                <w:lang w:val="zh-CN" w:eastAsia="en-US"/>
              </w:rPr>
            </w:pPr>
            <w:r>
              <w:rPr>
                <w:color w:val="auto"/>
                <w:lang w:val="zh-CN" w:eastAsia="en-US"/>
              </w:rPr>
              <w:t>应急培训计划</w:t>
            </w:r>
          </w:p>
        </w:tc>
        <w:tc>
          <w:tcPr>
            <w:tcW w:w="3602" w:type="pct"/>
            <w:tcBorders>
              <w:tl2br w:val="nil"/>
              <w:tr2bl w:val="nil"/>
            </w:tcBorders>
            <w:vAlign w:val="center"/>
          </w:tcPr>
          <w:p>
            <w:pPr>
              <w:pStyle w:val="182"/>
              <w:bidi w:val="0"/>
              <w:jc w:val="left"/>
              <w:rPr>
                <w:color w:val="auto"/>
                <w:lang w:val="zh-CN"/>
              </w:rPr>
            </w:pPr>
            <w:r>
              <w:rPr>
                <w:color w:val="auto"/>
                <w:lang w:val="zh-CN"/>
              </w:rPr>
              <w:t>依据对从业人员能力评估和周边社区人员素质分析结果，确定培训内容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16</w:t>
            </w:r>
          </w:p>
        </w:tc>
        <w:tc>
          <w:tcPr>
            <w:tcW w:w="1023" w:type="pct"/>
            <w:tcBorders>
              <w:tl2br w:val="nil"/>
              <w:tr2bl w:val="nil"/>
            </w:tcBorders>
            <w:vAlign w:val="center"/>
          </w:tcPr>
          <w:p>
            <w:pPr>
              <w:pStyle w:val="182"/>
              <w:bidi w:val="0"/>
              <w:rPr>
                <w:color w:val="auto"/>
                <w:lang w:val="zh-CN" w:eastAsia="en-US"/>
              </w:rPr>
            </w:pPr>
            <w:r>
              <w:rPr>
                <w:color w:val="auto"/>
                <w:lang w:val="zh-CN" w:eastAsia="en-US"/>
              </w:rPr>
              <w:t>演练计划</w:t>
            </w:r>
          </w:p>
        </w:tc>
        <w:tc>
          <w:tcPr>
            <w:tcW w:w="3602" w:type="pct"/>
            <w:tcBorders>
              <w:tl2br w:val="nil"/>
              <w:tr2bl w:val="nil"/>
            </w:tcBorders>
            <w:vAlign w:val="center"/>
          </w:tcPr>
          <w:p>
            <w:pPr>
              <w:pStyle w:val="182"/>
              <w:bidi w:val="0"/>
              <w:jc w:val="left"/>
              <w:rPr>
                <w:color w:val="auto"/>
                <w:lang w:val="zh-CN"/>
              </w:rPr>
            </w:pPr>
            <w:r>
              <w:rPr>
                <w:color w:val="auto"/>
                <w:lang w:val="zh-CN"/>
              </w:rPr>
              <w:t>依据对从业人员能力评估和周边社区人员素质分析结果，确定培训内容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75" w:type="pct"/>
            <w:tcBorders>
              <w:tl2br w:val="nil"/>
              <w:tr2bl w:val="nil"/>
            </w:tcBorders>
            <w:vAlign w:val="center"/>
          </w:tcPr>
          <w:p>
            <w:pPr>
              <w:pStyle w:val="182"/>
              <w:bidi w:val="0"/>
              <w:rPr>
                <w:color w:val="auto"/>
                <w:lang w:val="zh-CN" w:eastAsia="en-US"/>
              </w:rPr>
            </w:pPr>
            <w:r>
              <w:rPr>
                <w:color w:val="auto"/>
                <w:lang w:val="zh-CN" w:eastAsia="en-US"/>
              </w:rPr>
              <w:t>17</w:t>
            </w:r>
          </w:p>
        </w:tc>
        <w:tc>
          <w:tcPr>
            <w:tcW w:w="1023" w:type="pct"/>
            <w:tcBorders>
              <w:tl2br w:val="nil"/>
              <w:tr2bl w:val="nil"/>
            </w:tcBorders>
            <w:vAlign w:val="center"/>
          </w:tcPr>
          <w:p>
            <w:pPr>
              <w:pStyle w:val="182"/>
              <w:bidi w:val="0"/>
              <w:rPr>
                <w:color w:val="auto"/>
                <w:lang w:val="zh-CN" w:eastAsia="en-US"/>
              </w:rPr>
            </w:pPr>
            <w:r>
              <w:rPr>
                <w:color w:val="auto"/>
                <w:lang w:val="zh-CN" w:eastAsia="en-US"/>
              </w:rPr>
              <w:t>附件</w:t>
            </w:r>
          </w:p>
        </w:tc>
        <w:tc>
          <w:tcPr>
            <w:tcW w:w="3602" w:type="pct"/>
            <w:tcBorders>
              <w:tl2br w:val="nil"/>
              <w:tr2bl w:val="nil"/>
            </w:tcBorders>
            <w:vAlign w:val="center"/>
          </w:tcPr>
          <w:p>
            <w:pPr>
              <w:pStyle w:val="182"/>
              <w:bidi w:val="0"/>
              <w:jc w:val="left"/>
              <w:rPr>
                <w:color w:val="auto"/>
                <w:lang w:val="zh-CN"/>
              </w:rPr>
            </w:pPr>
            <w:r>
              <w:rPr>
                <w:color w:val="auto"/>
                <w:lang w:val="zh-CN"/>
              </w:rPr>
              <w:t>(1</w:t>
            </w:r>
            <w:r>
              <w:rPr>
                <w:rFonts w:hint="eastAsia"/>
                <w:color w:val="auto"/>
                <w:lang w:val="zh-CN"/>
              </w:rPr>
              <w:t>)</w:t>
            </w:r>
            <w:r>
              <w:rPr>
                <w:color w:val="auto"/>
                <w:lang w:val="zh-CN"/>
              </w:rPr>
              <w:t>组织机构名单</w:t>
            </w:r>
          </w:p>
          <w:p>
            <w:pPr>
              <w:pStyle w:val="182"/>
              <w:bidi w:val="0"/>
              <w:jc w:val="left"/>
              <w:rPr>
                <w:color w:val="auto"/>
                <w:lang w:val="zh-CN"/>
              </w:rPr>
            </w:pPr>
            <w:r>
              <w:rPr>
                <w:color w:val="auto"/>
                <w:lang w:val="zh-CN"/>
              </w:rPr>
              <w:t>(2</w:t>
            </w:r>
            <w:r>
              <w:rPr>
                <w:rFonts w:hint="eastAsia"/>
                <w:color w:val="auto"/>
                <w:lang w:val="zh-CN"/>
              </w:rPr>
              <w:t>)</w:t>
            </w:r>
            <w:r>
              <w:rPr>
                <w:color w:val="auto"/>
                <w:lang w:val="zh-CN"/>
              </w:rPr>
              <w:t>值班联系、组织应急救援有关人员、危险品生产单位应急咨询服务、外部救援单位、供水和供电单位、周边区域单位和社区、政府有关部门联系电话</w:t>
            </w:r>
          </w:p>
          <w:p>
            <w:pPr>
              <w:pStyle w:val="182"/>
              <w:bidi w:val="0"/>
              <w:jc w:val="left"/>
              <w:rPr>
                <w:color w:val="auto"/>
                <w:lang w:val="zh-CN"/>
              </w:rPr>
            </w:pPr>
            <w:r>
              <w:rPr>
                <w:color w:val="auto"/>
                <w:lang w:val="zh-CN"/>
              </w:rPr>
              <w:t>(3</w:t>
            </w:r>
            <w:r>
              <w:rPr>
                <w:rFonts w:hint="eastAsia"/>
                <w:color w:val="auto"/>
                <w:lang w:val="zh-CN"/>
              </w:rPr>
              <w:t>)</w:t>
            </w:r>
            <w:r>
              <w:rPr>
                <w:color w:val="auto"/>
                <w:lang w:val="zh-CN"/>
              </w:rPr>
              <w:t>单位平面布置图、消防设施配置图、周边区域道路交通示意图和疏散路线、交通管制示意图、周边区域的单位、社区、重要基础设施分布图</w:t>
            </w:r>
          </w:p>
          <w:p>
            <w:pPr>
              <w:pStyle w:val="182"/>
              <w:bidi w:val="0"/>
              <w:jc w:val="left"/>
              <w:rPr>
                <w:color w:val="auto"/>
                <w:lang w:val="zh-CN" w:eastAsia="en-US"/>
              </w:rPr>
            </w:pPr>
            <w:r>
              <w:rPr>
                <w:color w:val="auto"/>
                <w:lang w:val="zh-CN" w:eastAsia="en-US"/>
              </w:rPr>
              <w:t>(4</w:t>
            </w:r>
            <w:r>
              <w:rPr>
                <w:rFonts w:hint="eastAsia"/>
                <w:color w:val="auto"/>
                <w:lang w:val="zh-CN" w:eastAsia="en-US"/>
              </w:rPr>
              <w:t>)</w:t>
            </w:r>
            <w:r>
              <w:rPr>
                <w:color w:val="auto"/>
                <w:lang w:val="zh-CN" w:eastAsia="en-US"/>
              </w:rPr>
              <w:t>保障制度</w:t>
            </w:r>
          </w:p>
        </w:tc>
      </w:tr>
    </w:tbl>
    <w:p>
      <w:pPr>
        <w:pStyle w:val="9"/>
        <w:bidi w:val="0"/>
        <w:rPr>
          <w:rFonts w:hint="eastAsia"/>
          <w:b/>
          <w:bCs/>
          <w:color w:val="auto"/>
          <w:u w:val="single"/>
          <w:lang w:val="en-US" w:eastAsia="zh-CN"/>
        </w:rPr>
      </w:pPr>
      <w:r>
        <w:rPr>
          <w:rFonts w:hint="eastAsia"/>
          <w:b/>
          <w:bCs/>
          <w:color w:val="auto"/>
          <w:u w:val="single"/>
          <w:lang w:val="en-US" w:eastAsia="zh-CN"/>
        </w:rPr>
        <w:t>5.10.7 企业现有风险防范措施及应急预案开展情况</w:t>
      </w:r>
    </w:p>
    <w:p>
      <w:pPr>
        <w:pStyle w:val="10"/>
        <w:bidi w:val="0"/>
        <w:rPr>
          <w:rFonts w:hint="eastAsia"/>
          <w:b/>
          <w:bCs/>
          <w:color w:val="auto"/>
          <w:u w:val="single"/>
          <w:lang w:val="en-US" w:eastAsia="zh-CN"/>
        </w:rPr>
      </w:pPr>
      <w:r>
        <w:rPr>
          <w:rFonts w:hint="eastAsia"/>
          <w:b/>
          <w:bCs/>
          <w:color w:val="auto"/>
          <w:u w:val="single"/>
          <w:lang w:val="en-US" w:eastAsia="zh-CN"/>
        </w:rPr>
        <w:t>5.10.7.1  企业现有风险防范措施及应急预案开展情况</w:t>
      </w:r>
    </w:p>
    <w:p>
      <w:pPr>
        <w:bidi w:val="0"/>
        <w:rPr>
          <w:rFonts w:hint="eastAsia"/>
          <w:b/>
          <w:bCs/>
          <w:color w:val="auto"/>
          <w:u w:val="single"/>
          <w:lang w:val="en-US" w:eastAsia="zh-CN"/>
        </w:rPr>
      </w:pPr>
      <w:r>
        <w:rPr>
          <w:rFonts w:hint="eastAsia"/>
          <w:b/>
          <w:bCs/>
          <w:color w:val="auto"/>
          <w:u w:val="single"/>
          <w:lang w:val="en-US" w:eastAsia="zh-CN"/>
        </w:rPr>
        <w:t>（1）二硫化碳泄漏、着火事故处置措施</w:t>
      </w:r>
    </w:p>
    <w:p>
      <w:pPr>
        <w:bidi w:val="0"/>
        <w:rPr>
          <w:rFonts w:hint="eastAsia"/>
          <w:b/>
          <w:bCs/>
          <w:color w:val="auto"/>
          <w:u w:val="single"/>
          <w:lang w:val="en-US" w:eastAsia="zh-CN"/>
        </w:rPr>
      </w:pPr>
      <w:r>
        <w:rPr>
          <w:rFonts w:hint="eastAsia"/>
          <w:b/>
          <w:bCs/>
          <w:color w:val="auto"/>
          <w:u w:val="single"/>
          <w:lang w:val="en-US" w:eastAsia="zh-CN"/>
        </w:rPr>
        <w:t>泄漏应急处理：发现者应保持冷静，要用最快的速度通知新区保卫处消防队3689119，并及时通知公司调度3689610和处办领导3689608，组长或安全员做好消防队到前面现场指挥组织施救工作。要迅速撤离泄漏污染区人员至安全区，并进行隔离，严格限制出入。切断火源。应急人员应佩戴好劳保用品，用库区消防器材对泄漏处进行雾状喷淋，不要直接接触泄漏物。尽可能切断泄漏源，防止进入下水道、排洪沟等限制性空间。小量（15公斤以下）泄漏时，用沙土吸附后搜集送污水处理场或废物处理场。（车辆罐体或阀门泄漏时，边喷淋边卸车，直到卸完结束；卸车皮管、卸车罐阀门泄漏时，关闭卸车阀门，边喷淋边通知车间维修；库区管阀泄漏，关闭前后阀门，边喷淋边通知车间维修；地上罐泄漏时，做好喷淋的同时，导入其他库罐，通知车间维修；出库发生泄漏时，要及时找到泄漏点，必要时用湿布堵塞泄漏点，关闭管路两端的旋塞阀门，断绝二硫化碳来源，尽可能用容器接住泄漏的二硫化碳液体）大量泄漏时，由公司消防队进行处理：启用公司现有的应急设施（消防泵站），进行雾状喷淋或泡沫覆盖，将泄漏的二硫化碳通过回收系统引入到0号泄漏应急罐进行回收。</w:t>
      </w:r>
    </w:p>
    <w:p>
      <w:pPr>
        <w:bidi w:val="0"/>
        <w:rPr>
          <w:rFonts w:hint="eastAsia"/>
          <w:b/>
          <w:bCs/>
          <w:color w:val="auto"/>
          <w:u w:val="single"/>
          <w:lang w:val="en-US" w:eastAsia="zh-CN"/>
        </w:rPr>
      </w:pPr>
      <w:r>
        <w:rPr>
          <w:rFonts w:hint="eastAsia"/>
          <w:b/>
          <w:bCs/>
          <w:color w:val="auto"/>
          <w:u w:val="single"/>
          <w:lang w:val="en-US" w:eastAsia="zh-CN"/>
        </w:rPr>
        <w:t>着火处理方法：发现者应保持冷静，要用最快的速度通知新区保卫处消防队3689119），并及时通知公司调度3689610）和处办领导3689608，组长或安全员做好消防队到前面现场指挥组织施救工作。要迅速撤离库区人员至安全区，并进行隔离，严格限制出入。停止库区所有作业。应急人员应佩戴好劳保用品，用库区消防器材对着火处进行扑救，少量泄漏发生火灾，可立即用水、沙、消防器材扑灭；泄漏量比较大，火势较猛而无法靠自己力量扑灭时，采取措施，用雾状水灭火，防止事故蔓延，待消防队赶到后由消防专业人员进行扑救。若库区意外泄漏爆炸着火，当班人员应按照应急预案立即疏散到集合点，清点人数并汇报车间、公司领导。</w:t>
      </w:r>
    </w:p>
    <w:p>
      <w:pPr>
        <w:rPr>
          <w:rFonts w:hint="eastAsia"/>
          <w:b/>
          <w:bCs/>
          <w:color w:val="auto"/>
          <w:u w:val="single"/>
          <w:lang w:val="en-US" w:eastAsia="zh-CN"/>
        </w:rPr>
      </w:pPr>
      <w:r>
        <w:rPr>
          <w:rFonts w:hint="eastAsia"/>
          <w:b/>
          <w:bCs/>
          <w:color w:val="auto"/>
          <w:u w:val="single"/>
          <w:lang w:val="en-US" w:eastAsia="zh-CN"/>
        </w:rPr>
        <w:t>（2）液氨泄漏事故处置措施</w:t>
      </w:r>
    </w:p>
    <w:p>
      <w:pPr>
        <w:rPr>
          <w:rFonts w:hint="eastAsia"/>
          <w:b/>
          <w:bCs/>
          <w:color w:val="auto"/>
          <w:u w:val="single"/>
          <w:lang w:val="en-US" w:eastAsia="zh-CN"/>
        </w:rPr>
      </w:pPr>
      <w:r>
        <w:rPr>
          <w:rFonts w:hint="eastAsia"/>
          <w:b/>
          <w:bCs/>
          <w:color w:val="auto"/>
          <w:u w:val="single"/>
          <w:lang w:val="en-US" w:eastAsia="zh-CN"/>
        </w:rPr>
        <w:t>泄漏应急处理：</w:t>
      </w:r>
    </w:p>
    <w:p>
      <w:pPr>
        <w:rPr>
          <w:rFonts w:hint="eastAsia"/>
          <w:b/>
          <w:bCs/>
          <w:color w:val="auto"/>
          <w:u w:val="single"/>
          <w:lang w:val="en-US" w:eastAsia="zh-CN"/>
        </w:rPr>
      </w:pPr>
      <w:r>
        <w:rPr>
          <w:rFonts w:hint="eastAsia"/>
          <w:b/>
          <w:bCs/>
          <w:color w:val="auto"/>
          <w:u w:val="single"/>
          <w:lang w:val="en-US" w:eastAsia="zh-CN"/>
        </w:rPr>
        <w:t>6.3.2.1发现漏氨现象，立即通知组长，组长或者岗位责任人立即安排人员佩戴防护用品及准备处理工具（防毒面具、橡胶手套、试纸、卡布、扳手），并安排人员把漏氨专用水管拖到现场。</w:t>
      </w:r>
    </w:p>
    <w:p>
      <w:pPr>
        <w:rPr>
          <w:rFonts w:hint="eastAsia"/>
          <w:b/>
          <w:bCs/>
          <w:color w:val="auto"/>
          <w:u w:val="single"/>
          <w:lang w:val="en-US" w:eastAsia="zh-CN"/>
        </w:rPr>
      </w:pPr>
      <w:r>
        <w:rPr>
          <w:rFonts w:hint="eastAsia"/>
          <w:b/>
          <w:bCs/>
          <w:color w:val="auto"/>
          <w:u w:val="single"/>
          <w:lang w:val="en-US" w:eastAsia="zh-CN"/>
        </w:rPr>
        <w:t>6.3.2.2 如漏氨点泄漏较小时，戴好防护用品，可迅速用湿布之类的物品将漏处包住并用清水喷洒，用工具处理好漏点，组长负责向上级汇报。</w:t>
      </w:r>
    </w:p>
    <w:p>
      <w:pPr>
        <w:rPr>
          <w:rFonts w:hint="eastAsia"/>
          <w:b/>
          <w:bCs/>
          <w:color w:val="auto"/>
          <w:u w:val="single"/>
          <w:lang w:val="en-US" w:eastAsia="zh-CN"/>
        </w:rPr>
      </w:pPr>
      <w:r>
        <w:rPr>
          <w:rFonts w:hint="eastAsia"/>
          <w:b/>
          <w:bCs/>
          <w:color w:val="auto"/>
          <w:u w:val="single"/>
          <w:lang w:val="en-US" w:eastAsia="zh-CN"/>
        </w:rPr>
        <w:t>6.3.2.3 如漏点不易处理，当班人员应将漏点两端离漏点最近的阀门关闭，关闭时先关高压部分，后关闭低压部分，并向保全、车间、调度等有关部门汇报。</w:t>
      </w:r>
    </w:p>
    <w:p>
      <w:pPr>
        <w:rPr>
          <w:rFonts w:hint="eastAsia"/>
          <w:b/>
          <w:bCs/>
          <w:color w:val="auto"/>
          <w:u w:val="single"/>
          <w:lang w:val="en-US" w:eastAsia="zh-CN"/>
        </w:rPr>
      </w:pPr>
      <w:r>
        <w:rPr>
          <w:rFonts w:hint="eastAsia"/>
          <w:b/>
          <w:bCs/>
          <w:color w:val="auto"/>
          <w:u w:val="single"/>
          <w:lang w:val="en-US" w:eastAsia="zh-CN"/>
        </w:rPr>
        <w:t>6.3.2.4 如泄漏情况严重，无法采取上述措施控制时，应迅速停运全部主机，关闭调节阀，组织现场无关人员撤离，同时向调度、车间汇报，并拨打3689119救助，利用消防水遏制漏氨处。</w:t>
      </w:r>
    </w:p>
    <w:p>
      <w:pPr>
        <w:rPr>
          <w:rFonts w:hint="eastAsia"/>
          <w:b/>
          <w:bCs/>
          <w:color w:val="auto"/>
          <w:u w:val="single"/>
          <w:lang w:val="en-US" w:eastAsia="zh-CN"/>
        </w:rPr>
      </w:pPr>
      <w:r>
        <w:rPr>
          <w:rFonts w:hint="eastAsia"/>
          <w:b/>
          <w:bCs/>
          <w:color w:val="auto"/>
          <w:u w:val="single"/>
          <w:lang w:val="en-US" w:eastAsia="zh-CN"/>
        </w:rPr>
        <w:t>6.3.2.5 如泄漏情况特别严重无法处理，应立即按紧急停车按钮，组织现场人员向逆风方向撤离，清点人数，向调度、车间汇报。</w:t>
      </w:r>
    </w:p>
    <w:p>
      <w:pPr>
        <w:rPr>
          <w:rFonts w:hint="eastAsia"/>
          <w:b/>
          <w:bCs/>
          <w:color w:val="auto"/>
          <w:u w:val="single"/>
          <w:lang w:val="en-US" w:eastAsia="zh-CN"/>
        </w:rPr>
      </w:pPr>
      <w:r>
        <w:rPr>
          <w:rFonts w:hint="eastAsia"/>
          <w:b/>
          <w:bCs/>
          <w:color w:val="auto"/>
          <w:u w:val="single"/>
          <w:lang w:val="en-US" w:eastAsia="zh-CN"/>
        </w:rPr>
        <w:t>6.3.2.6 为了防止污染环境，将稀释氨的水溶液进行回收，严禁随意排入地沟污染环境。</w:t>
      </w:r>
    </w:p>
    <w:p>
      <w:pPr>
        <w:rPr>
          <w:rFonts w:hint="eastAsia"/>
          <w:b/>
          <w:bCs/>
          <w:color w:val="auto"/>
          <w:u w:val="single"/>
          <w:lang w:val="en-US" w:eastAsia="zh-CN"/>
        </w:rPr>
      </w:pPr>
      <w:r>
        <w:rPr>
          <w:rFonts w:hint="eastAsia"/>
          <w:b/>
          <w:bCs/>
          <w:color w:val="auto"/>
          <w:u w:val="single"/>
          <w:lang w:val="en-US" w:eastAsia="zh-CN"/>
        </w:rPr>
        <w:t>（3） 硫酸泄漏事故处置措施</w:t>
      </w:r>
    </w:p>
    <w:p>
      <w:pPr>
        <w:rPr>
          <w:rFonts w:hint="eastAsia"/>
          <w:b/>
          <w:bCs/>
          <w:color w:val="auto"/>
          <w:u w:val="single"/>
          <w:lang w:val="en-US" w:eastAsia="zh-CN"/>
        </w:rPr>
      </w:pPr>
      <w:r>
        <w:rPr>
          <w:rFonts w:hint="eastAsia"/>
          <w:b/>
          <w:bCs/>
          <w:color w:val="auto"/>
          <w:u w:val="single"/>
          <w:lang w:val="en-US" w:eastAsia="zh-CN"/>
        </w:rPr>
        <w:t>泄漏应急处理：泄漏污染人员迅速撤离至安全区域，并隔离污染区，严禁出入；应急处置人员着必要的防护用品迅速进入泄漏污染区，切断泄漏源，采取有效措施防止进入下水道；对泄漏污染区用砂土、石灰覆盖或用大量水冲洗稀释中和后排入应急池系统，经处理达标排放。泄漏处理方法：小量泄漏，用沙土、水泥粉、煤灰进行覆盖；大量泄漏，构筑围堤或调整送入事故池或挖坑收容或生石灰、烧碱、纯碱进行中和吸附，减少硫酸的腐蚀性；也可以用大量清水冲洗，洗水稀释后送入事故池。用防爆泵转移至槽车内或专用收集容器内，回收或运至事故池内处置。</w:t>
      </w:r>
    </w:p>
    <w:p>
      <w:pPr>
        <w:bidi w:val="0"/>
        <w:rPr>
          <w:rFonts w:hint="default"/>
          <w:b/>
          <w:bCs/>
          <w:color w:val="auto"/>
          <w:u w:val="single"/>
          <w:lang w:val="en-US" w:eastAsia="zh-CN"/>
        </w:rPr>
      </w:pPr>
      <w:r>
        <w:rPr>
          <w:rFonts w:hint="default" w:ascii="Arial" w:hAnsi="Arial" w:cs="Arial"/>
          <w:b/>
          <w:bCs/>
          <w:color w:val="auto"/>
          <w:u w:val="single"/>
          <w:lang w:val="en-US" w:eastAsia="zh-CN"/>
        </w:rPr>
        <w:t>……</w:t>
      </w:r>
    </w:p>
    <w:p>
      <w:pPr>
        <w:bidi w:val="0"/>
        <w:rPr>
          <w:rFonts w:hint="eastAsia"/>
          <w:b/>
          <w:bCs/>
          <w:color w:val="auto"/>
          <w:u w:val="single"/>
          <w:lang w:val="en-US" w:eastAsia="zh-CN"/>
        </w:rPr>
      </w:pPr>
      <w:r>
        <w:rPr>
          <w:rFonts w:hint="eastAsia"/>
          <w:b/>
          <w:bCs/>
          <w:color w:val="auto"/>
          <w:u w:val="single"/>
          <w:lang w:val="en-US" w:eastAsia="zh-CN"/>
        </w:rPr>
        <w:t>6、危险废物泄漏、着火事故</w:t>
      </w:r>
    </w:p>
    <w:p>
      <w:pPr>
        <w:bidi w:val="0"/>
        <w:rPr>
          <w:rFonts w:hint="eastAsia"/>
          <w:b/>
          <w:bCs/>
          <w:color w:val="auto"/>
          <w:u w:val="single"/>
          <w:lang w:val="en-US" w:eastAsia="zh-CN"/>
        </w:rPr>
      </w:pPr>
      <w:r>
        <w:rPr>
          <w:rFonts w:hint="eastAsia"/>
          <w:b/>
          <w:bCs/>
          <w:color w:val="auto"/>
          <w:u w:val="single"/>
          <w:lang w:val="en-US" w:eastAsia="zh-CN"/>
        </w:rPr>
        <w:t>6.1 应急处理措施：</w:t>
      </w:r>
    </w:p>
    <w:p>
      <w:pPr>
        <w:bidi w:val="0"/>
        <w:rPr>
          <w:rFonts w:hint="eastAsia"/>
          <w:b/>
          <w:bCs/>
          <w:color w:val="auto"/>
          <w:u w:val="single"/>
          <w:lang w:val="en-US" w:eastAsia="zh-CN"/>
        </w:rPr>
      </w:pPr>
      <w:r>
        <w:rPr>
          <w:rFonts w:hint="eastAsia"/>
          <w:b/>
          <w:bCs/>
          <w:color w:val="auto"/>
          <w:u w:val="single"/>
          <w:lang w:val="en-US" w:eastAsia="zh-CN"/>
        </w:rPr>
        <w:t>6.1.1 操作工发现危废间泄漏或着火时，迅速电话通知调度；</w:t>
      </w:r>
    </w:p>
    <w:p>
      <w:pPr>
        <w:bidi w:val="0"/>
        <w:rPr>
          <w:rFonts w:hint="eastAsia"/>
          <w:b/>
          <w:bCs/>
          <w:color w:val="auto"/>
          <w:u w:val="single"/>
          <w:lang w:val="en-US" w:eastAsia="zh-CN"/>
        </w:rPr>
      </w:pPr>
      <w:r>
        <w:rPr>
          <w:rFonts w:hint="eastAsia"/>
          <w:b/>
          <w:bCs/>
          <w:color w:val="auto"/>
          <w:u w:val="single"/>
          <w:lang w:val="en-US" w:eastAsia="zh-CN"/>
        </w:rPr>
        <w:t>6.1.2 危废泄露时，操作工、当班长负责对现场收集池内废矿物油进行清理；危险废物着火时，操作工及班长快速到危废间外用消防钎取消防桶到危废间内着火处灭火。班长、操作工快速到危废间内取灭火器灭火；</w:t>
      </w:r>
    </w:p>
    <w:p>
      <w:pPr>
        <w:bidi w:val="0"/>
        <w:rPr>
          <w:rFonts w:hint="eastAsia"/>
          <w:b/>
          <w:bCs/>
          <w:color w:val="auto"/>
          <w:u w:val="single"/>
          <w:lang w:val="en-US" w:eastAsia="zh-CN"/>
        </w:rPr>
      </w:pPr>
      <w:r>
        <w:rPr>
          <w:rFonts w:hint="eastAsia"/>
          <w:b/>
          <w:bCs/>
          <w:color w:val="auto"/>
          <w:u w:val="single"/>
          <w:lang w:val="en-US" w:eastAsia="zh-CN"/>
        </w:rPr>
        <w:t>6.1.3 当危险废物着火时，车间领导立即安排调整事故影响区域的生产作业；</w:t>
      </w:r>
    </w:p>
    <w:p>
      <w:pPr>
        <w:bidi w:val="0"/>
        <w:rPr>
          <w:rFonts w:hint="eastAsia"/>
          <w:b/>
          <w:bCs/>
          <w:color w:val="auto"/>
          <w:u w:val="single"/>
          <w:lang w:val="en-US" w:eastAsia="zh-CN"/>
        </w:rPr>
      </w:pPr>
      <w:r>
        <w:rPr>
          <w:rFonts w:hint="eastAsia"/>
          <w:b/>
          <w:bCs/>
          <w:color w:val="auto"/>
          <w:u w:val="single"/>
          <w:lang w:val="en-US" w:eastAsia="zh-CN"/>
        </w:rPr>
        <w:t>6.1.4 环保部组织应急人员赶到现场后立即开展救火作业；</w:t>
      </w:r>
    </w:p>
    <w:p>
      <w:pPr>
        <w:bidi w:val="0"/>
        <w:rPr>
          <w:rFonts w:hint="eastAsia"/>
          <w:b/>
          <w:bCs/>
          <w:color w:val="auto"/>
          <w:u w:val="single"/>
          <w:lang w:val="en-US" w:eastAsia="zh-CN"/>
        </w:rPr>
      </w:pPr>
      <w:r>
        <w:rPr>
          <w:rFonts w:hint="eastAsia"/>
          <w:b/>
          <w:bCs/>
          <w:color w:val="auto"/>
          <w:u w:val="single"/>
          <w:lang w:val="en-US" w:eastAsia="zh-CN"/>
        </w:rPr>
        <w:t>6.1.5 应急人员戴好防护用具做好事故现场的隔离警戒、人员疏散、环境可燃气和有毒气体浓度监测、消防应急等处理。</w:t>
      </w:r>
    </w:p>
    <w:p>
      <w:pPr>
        <w:bidi w:val="0"/>
        <w:rPr>
          <w:rFonts w:hint="default" w:ascii="Arial" w:hAnsi="Arial" w:cs="Arial"/>
          <w:b/>
          <w:bCs/>
          <w:color w:val="auto"/>
          <w:u w:val="single"/>
          <w:lang w:val="en-US" w:eastAsia="zh-CN"/>
        </w:rPr>
      </w:pPr>
      <w:r>
        <w:rPr>
          <w:rFonts w:hint="default" w:ascii="Arial" w:hAnsi="Arial" w:cs="Arial"/>
          <w:b/>
          <w:bCs/>
          <w:color w:val="auto"/>
          <w:u w:val="single"/>
          <w:lang w:val="en-US" w:eastAsia="zh-CN"/>
        </w:rPr>
        <w:t>……</w:t>
      </w:r>
    </w:p>
    <w:p>
      <w:pPr>
        <w:bidi w:val="0"/>
        <w:rPr>
          <w:rFonts w:hint="eastAsia"/>
          <w:b/>
          <w:bCs/>
          <w:color w:val="auto"/>
          <w:u w:val="single"/>
          <w:lang w:val="en-US" w:eastAsia="zh-CN"/>
        </w:rPr>
      </w:pPr>
      <w:r>
        <w:rPr>
          <w:rFonts w:hint="eastAsia"/>
          <w:b/>
          <w:bCs/>
          <w:color w:val="auto"/>
          <w:u w:val="single"/>
          <w:lang w:val="en-US" w:eastAsia="zh-CN"/>
        </w:rPr>
        <w:t>综上，企业制定有严格的风险防范措施及应急预案，且每年组织一次综合演练，专项预案演练及现场应急处置演练每半年一次。详细记录演练实施过程，包括演练实施时间、实施地点、参加人员、演练内容等。</w:t>
      </w:r>
    </w:p>
    <w:p>
      <w:pPr>
        <w:bidi w:val="0"/>
        <w:rPr>
          <w:rFonts w:hint="default"/>
          <w:b/>
          <w:bCs/>
          <w:color w:val="auto"/>
          <w:u w:val="single"/>
          <w:lang w:val="en-US" w:eastAsia="zh-CN"/>
        </w:rPr>
      </w:pPr>
      <w:r>
        <w:rPr>
          <w:rFonts w:hint="eastAsia"/>
          <w:b/>
          <w:bCs/>
          <w:color w:val="auto"/>
          <w:u w:val="single"/>
          <w:lang w:val="en-US" w:eastAsia="zh-CN"/>
        </w:rPr>
        <w:t>每次演练结束后应急指挥部的负责人要对预案演练效果进行分析评价，提交演练报告，提出有针对性的内容、要求和措施，以便提高员工的应急处理能力，做到持续改进。</w:t>
      </w:r>
    </w:p>
    <w:p>
      <w:pPr>
        <w:pStyle w:val="10"/>
        <w:bidi w:val="0"/>
        <w:rPr>
          <w:rFonts w:hint="eastAsia"/>
          <w:b/>
          <w:bCs/>
          <w:color w:val="auto"/>
          <w:u w:val="single"/>
          <w:lang w:val="en-US" w:eastAsia="zh-CN"/>
        </w:rPr>
      </w:pPr>
      <w:r>
        <w:rPr>
          <w:rFonts w:hint="eastAsia"/>
          <w:b/>
          <w:bCs/>
          <w:color w:val="auto"/>
          <w:u w:val="single"/>
          <w:lang w:val="en-US" w:eastAsia="zh-CN"/>
        </w:rPr>
        <w:t xml:space="preserve">5.10.7.2  </w:t>
      </w:r>
      <w:r>
        <w:rPr>
          <w:rFonts w:hint="eastAsia"/>
          <w:b/>
          <w:bCs/>
          <w:color w:val="auto"/>
          <w:u w:val="single"/>
          <w:lang w:val="zh-CN" w:eastAsia="zh-CN"/>
        </w:rPr>
        <w:t>依托现有风险防范措施的可行性</w:t>
      </w:r>
    </w:p>
    <w:p>
      <w:pPr>
        <w:bidi w:val="0"/>
        <w:rPr>
          <w:rFonts w:hint="default"/>
          <w:b/>
          <w:bCs/>
          <w:color w:val="auto"/>
          <w:u w:val="single"/>
          <w:lang w:val="en-US" w:eastAsia="zh-CN"/>
        </w:rPr>
      </w:pPr>
      <w:r>
        <w:rPr>
          <w:rFonts w:hint="eastAsia"/>
          <w:b/>
          <w:bCs/>
          <w:color w:val="auto"/>
          <w:u w:val="single"/>
          <w:lang w:val="en-US" w:eastAsia="zh-CN"/>
        </w:rPr>
        <w:t>本项目为中试项目，依托厂区的蒸汽系统、公用工程、硫酸设施及危险废物暂存间等设施，本项目在现有厂区内进行建设，统一运行管理，因此本项目依托</w:t>
      </w:r>
      <w:r>
        <w:rPr>
          <w:rFonts w:hint="eastAsia"/>
          <w:b/>
          <w:bCs/>
          <w:color w:val="auto"/>
          <w:u w:val="single"/>
          <w:lang w:val="zh-CN" w:eastAsia="zh-CN"/>
        </w:rPr>
        <w:t>现有风险防范措施</w:t>
      </w:r>
      <w:r>
        <w:rPr>
          <w:rFonts w:hint="eastAsia"/>
          <w:b/>
          <w:bCs/>
          <w:color w:val="auto"/>
          <w:u w:val="single"/>
          <w:lang w:val="en-US" w:eastAsia="zh-CN"/>
        </w:rPr>
        <w:t>是</w:t>
      </w:r>
      <w:r>
        <w:rPr>
          <w:rFonts w:hint="eastAsia"/>
          <w:b/>
          <w:bCs/>
          <w:color w:val="auto"/>
          <w:u w:val="single"/>
          <w:lang w:val="zh-CN" w:eastAsia="zh-CN"/>
        </w:rPr>
        <w:t>可行</w:t>
      </w:r>
      <w:r>
        <w:rPr>
          <w:rFonts w:hint="eastAsia"/>
          <w:b/>
          <w:bCs/>
          <w:color w:val="auto"/>
          <w:u w:val="single"/>
          <w:lang w:val="en-US" w:eastAsia="zh-CN"/>
        </w:rPr>
        <w:t>的。</w:t>
      </w:r>
    </w:p>
    <w:p>
      <w:pPr>
        <w:pStyle w:val="9"/>
        <w:bidi w:val="0"/>
        <w:rPr>
          <w:color w:val="auto"/>
        </w:rPr>
      </w:pPr>
      <w:r>
        <w:rPr>
          <w:rFonts w:hint="eastAsia"/>
          <w:color w:val="auto"/>
        </w:rPr>
        <w:t>5.</w:t>
      </w:r>
      <w:r>
        <w:rPr>
          <w:rFonts w:hint="eastAsia"/>
          <w:color w:val="auto"/>
          <w:lang w:val="en-US" w:eastAsia="zh-CN"/>
        </w:rPr>
        <w:t>10</w:t>
      </w:r>
      <w:r>
        <w:rPr>
          <w:rFonts w:hint="eastAsia"/>
          <w:color w:val="auto"/>
        </w:rPr>
        <w:t>.</w:t>
      </w:r>
      <w:r>
        <w:rPr>
          <w:rFonts w:hint="eastAsia"/>
          <w:color w:val="auto"/>
          <w:lang w:val="en-US" w:eastAsia="zh-CN"/>
        </w:rPr>
        <w:t xml:space="preserve">8 </w:t>
      </w:r>
      <w:r>
        <w:rPr>
          <w:rFonts w:hint="eastAsia"/>
          <w:color w:val="auto"/>
        </w:rPr>
        <w:t>环境风险评价结论</w:t>
      </w:r>
    </w:p>
    <w:p>
      <w:pPr>
        <w:bidi w:val="0"/>
        <w:rPr>
          <w:color w:val="auto"/>
        </w:rPr>
      </w:pPr>
      <w:r>
        <w:rPr>
          <w:rFonts w:hint="default"/>
          <w:color w:val="auto"/>
        </w:rPr>
        <w:t>本项目在生产及储运过程中涉及的主要危险物质为</w:t>
      </w:r>
      <w:r>
        <w:rPr>
          <w:rFonts w:hint="default"/>
          <w:color w:val="auto"/>
          <w:lang w:val="en-US" w:eastAsia="zh-CN"/>
        </w:rPr>
        <w:t>固体二氧化氯释放剂、硫酸</w:t>
      </w:r>
      <w:r>
        <w:rPr>
          <w:rFonts w:hint="default"/>
          <w:color w:val="auto"/>
        </w:rPr>
        <w:t>等，存在一定的环境风险，在按照环评提出的防范与防控措施后，本项目环境风险是可防控的，环境风险影响可接受。</w:t>
      </w:r>
    </w:p>
    <w:p>
      <w:pPr>
        <w:bidi w:val="0"/>
        <w:rPr>
          <w:rFonts w:hint="default"/>
          <w:color w:val="auto"/>
        </w:rPr>
      </w:pPr>
      <w:r>
        <w:rPr>
          <w:rFonts w:hint="default"/>
          <w:color w:val="auto"/>
        </w:rPr>
        <w:t>为了提高环境风险事故的影响，建议企业定期安排环境风险应急演练，提高职工防范环境风险的素质，另外加强与园区总体应急方案的衔接，进一步减少项目环境风险可能造成的影响。</w:t>
      </w:r>
    </w:p>
    <w:p>
      <w:pPr>
        <w:ind w:firstLine="0"/>
        <w:rPr>
          <w:color w:val="auto"/>
        </w:rPr>
      </w:pPr>
    </w:p>
    <w:p>
      <w:pPr>
        <w:spacing w:line="240" w:lineRule="auto"/>
        <w:jc w:val="center"/>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6"/>
        <w:bidi w:val="0"/>
        <w:rPr>
          <w:color w:val="auto"/>
        </w:rPr>
      </w:pPr>
      <w:bookmarkStart w:id="334" w:name="_Toc32602"/>
      <w:bookmarkStart w:id="335" w:name="_Toc12129"/>
      <w:bookmarkStart w:id="336" w:name="_Toc67041064"/>
      <w:bookmarkStart w:id="337" w:name="_Toc5085"/>
      <w:bookmarkStart w:id="338" w:name="_Toc324839281"/>
      <w:bookmarkStart w:id="339" w:name="_Toc311812653"/>
      <w:bookmarkStart w:id="340" w:name="_Toc324839578"/>
      <w:bookmarkStart w:id="341" w:name="_Toc28866839"/>
      <w:r>
        <w:rPr>
          <w:rFonts w:hint="eastAsia"/>
          <w:color w:val="auto"/>
        </w:rPr>
        <w:t xml:space="preserve">第六章  </w:t>
      </w:r>
      <w:r>
        <w:rPr>
          <w:color w:val="auto"/>
        </w:rPr>
        <w:t>环境保护措施及其可行性分析</w:t>
      </w:r>
      <w:bookmarkEnd w:id="334"/>
      <w:bookmarkEnd w:id="335"/>
      <w:bookmarkEnd w:id="336"/>
      <w:bookmarkEnd w:id="337"/>
      <w:bookmarkEnd w:id="338"/>
      <w:bookmarkEnd w:id="339"/>
      <w:bookmarkEnd w:id="340"/>
      <w:bookmarkEnd w:id="341"/>
    </w:p>
    <w:p>
      <w:pPr>
        <w:pStyle w:val="7"/>
        <w:bidi w:val="0"/>
        <w:rPr>
          <w:color w:val="auto"/>
        </w:rPr>
      </w:pPr>
      <w:bookmarkStart w:id="342" w:name="_Toc13210"/>
      <w:bookmarkStart w:id="343" w:name="_Toc84780770"/>
      <w:bookmarkStart w:id="344" w:name="_Toc28770"/>
      <w:bookmarkStart w:id="345" w:name="_Toc16192"/>
      <w:r>
        <w:rPr>
          <w:rFonts w:hint="eastAsia"/>
          <w:color w:val="auto"/>
        </w:rPr>
        <w:t>6.1施工期治理措施分析</w:t>
      </w:r>
      <w:bookmarkEnd w:id="342"/>
    </w:p>
    <w:p>
      <w:pPr>
        <w:bidi w:val="0"/>
        <w:rPr>
          <w:color w:val="auto"/>
        </w:rPr>
      </w:pPr>
      <w:r>
        <w:rPr>
          <w:rFonts w:hint="eastAsia"/>
          <w:color w:val="auto"/>
        </w:rPr>
        <w:t>施工期排放的污染物主要是扬尘、废水、固废、噪声及水土流失，其特点是施工期较短，施工完成后随之消失。</w:t>
      </w:r>
    </w:p>
    <w:p>
      <w:pPr>
        <w:pStyle w:val="9"/>
        <w:bidi w:val="0"/>
        <w:rPr>
          <w:color w:val="auto"/>
        </w:rPr>
      </w:pPr>
      <w:r>
        <w:rPr>
          <w:rFonts w:hint="eastAsia"/>
          <w:color w:val="auto"/>
        </w:rPr>
        <w:t>6.1.1施工期废气污染防治措施分析</w:t>
      </w:r>
    </w:p>
    <w:p>
      <w:pPr>
        <w:bidi w:val="0"/>
        <w:rPr>
          <w:color w:val="auto"/>
        </w:rPr>
      </w:pPr>
      <w:r>
        <w:rPr>
          <w:rFonts w:hint="eastAsia"/>
          <w:color w:val="auto"/>
        </w:rPr>
        <w:t>施工期大气污染源主要为施工扬尘、施工机械和运输车辆排放的尾气。</w:t>
      </w:r>
    </w:p>
    <w:p>
      <w:pPr>
        <w:bidi w:val="0"/>
        <w:rPr>
          <w:color w:val="auto"/>
        </w:rPr>
      </w:pPr>
      <w:r>
        <w:rPr>
          <w:rFonts w:hint="eastAsia"/>
          <w:color w:val="auto"/>
        </w:rPr>
        <w:t>（1）施工扬尘</w:t>
      </w:r>
    </w:p>
    <w:p>
      <w:pPr>
        <w:bidi w:val="0"/>
        <w:rPr>
          <w:color w:val="auto"/>
        </w:rPr>
      </w:pPr>
      <w:r>
        <w:rPr>
          <w:rFonts w:hint="eastAsia"/>
          <w:color w:val="auto"/>
        </w:rPr>
        <w:t>在整个施工过程期间，施工产生的扬尘主要集中在土建施工阶段。扬尘的大小与施工现场条件、管理水平、施工季节及天气等诸多因素有关。施工期扬尘来源主要有以下几方面：</w:t>
      </w:r>
    </w:p>
    <w:p>
      <w:pPr>
        <w:bidi w:val="0"/>
        <w:rPr>
          <w:color w:val="auto"/>
        </w:rPr>
      </w:pPr>
      <w:r>
        <w:rPr>
          <w:rFonts w:hint="eastAsia"/>
          <w:color w:val="auto"/>
        </w:rPr>
        <w:t>土方挖掘、低洼处回填土时产生的扬尘；土方及建筑材料堆放过程产生的扬尘；施工垃圾的清理及堆放过程产生的扬尘；土方运输、建筑材料的运输途中产生的扬尘。施工扬尘的大小随施工季节、气象条件、工程内容和施工管理不同差别较大，影响范围可达100m～300m。因此，在建设期应对运输的道路及时清扫和浇水，并加强施工管理，控制施工期间的粉尘，避免对周围环境产生较大的影响。施工单位应加强管理，按进度、有计划地进行文明施工，并进一步采取以下措施：</w:t>
      </w:r>
    </w:p>
    <w:p>
      <w:pPr>
        <w:bidi w:val="0"/>
        <w:rPr>
          <w:color w:val="auto"/>
        </w:rPr>
      </w:pPr>
      <w:r>
        <w:rPr>
          <w:rFonts w:hint="eastAsia"/>
          <w:color w:val="auto"/>
        </w:rPr>
        <w:t>1）施工区域四周建设2.5m高围挡，减少扬尘对周边环境敏感点的影响，围挡上方设置水雾降尘装置。</w:t>
      </w:r>
    </w:p>
    <w:p>
      <w:pPr>
        <w:bidi w:val="0"/>
        <w:rPr>
          <w:color w:val="auto"/>
        </w:rPr>
      </w:pPr>
      <w:r>
        <w:rPr>
          <w:rFonts w:hint="eastAsia"/>
          <w:color w:val="auto"/>
        </w:rPr>
        <w:t>2）严格控制车辆超载，尽量避免</w:t>
      </w:r>
      <w:r>
        <w:rPr>
          <w:rFonts w:hint="eastAsia"/>
          <w:color w:val="auto"/>
          <w:lang w:eastAsia="zh-CN"/>
        </w:rPr>
        <w:t>沙土撒漏</w:t>
      </w:r>
      <w:r>
        <w:rPr>
          <w:rFonts w:hint="eastAsia"/>
          <w:color w:val="auto"/>
        </w:rPr>
        <w:t>，减少二次扬尘产生的来源。</w:t>
      </w:r>
    </w:p>
    <w:p>
      <w:pPr>
        <w:bidi w:val="0"/>
        <w:rPr>
          <w:color w:val="auto"/>
        </w:rPr>
      </w:pPr>
      <w:r>
        <w:rPr>
          <w:rFonts w:hint="eastAsia"/>
          <w:color w:val="auto"/>
        </w:rPr>
        <w:t>3）施工过程的渣土、垃圾、土堆必须有防尘措施并及时清运；建筑材料应存放在临时仓库内，或加盖苫布，防止风致扬尘。</w:t>
      </w:r>
    </w:p>
    <w:p>
      <w:pPr>
        <w:bidi w:val="0"/>
        <w:rPr>
          <w:color w:val="auto"/>
        </w:rPr>
      </w:pPr>
      <w:r>
        <w:rPr>
          <w:rFonts w:hint="eastAsia"/>
          <w:color w:val="auto"/>
        </w:rPr>
        <w:t>4）基建完成应及时清理和平整场地，并立即着手项目绿化工作，绿化应与主体工程同步设计、建设和验收。</w:t>
      </w:r>
    </w:p>
    <w:p>
      <w:pPr>
        <w:bidi w:val="0"/>
        <w:rPr>
          <w:color w:val="auto"/>
        </w:rPr>
      </w:pPr>
      <w:r>
        <w:rPr>
          <w:rFonts w:hint="eastAsia"/>
          <w:color w:val="auto"/>
        </w:rPr>
        <w:t>5）施工现场严禁焚烧各类废弃物。</w:t>
      </w:r>
    </w:p>
    <w:p>
      <w:pPr>
        <w:bidi w:val="0"/>
        <w:rPr>
          <w:color w:val="auto"/>
        </w:rPr>
      </w:pPr>
      <w:r>
        <w:rPr>
          <w:color w:val="auto"/>
        </w:rPr>
        <w:t>6</w:t>
      </w:r>
      <w:r>
        <w:rPr>
          <w:rFonts w:hint="eastAsia"/>
          <w:color w:val="auto"/>
        </w:rPr>
        <w:t>）根据《新乡市人民政府办公室关于进一步加强大气污染防治工作持续改善大气环境质量的通知》（新政办明电</w:t>
      </w:r>
      <w:r>
        <w:rPr>
          <w:rFonts w:hint="eastAsia"/>
          <w:color w:val="auto"/>
          <w:lang w:eastAsia="zh-CN"/>
        </w:rPr>
        <w:t>〔</w:t>
      </w:r>
      <w:r>
        <w:rPr>
          <w:color w:val="auto"/>
        </w:rPr>
        <w:t>2015</w:t>
      </w:r>
      <w:r>
        <w:rPr>
          <w:rFonts w:hint="eastAsia"/>
          <w:color w:val="auto"/>
          <w:lang w:eastAsia="zh-CN"/>
        </w:rPr>
        <w:t>〕</w:t>
      </w:r>
      <w:r>
        <w:rPr>
          <w:color w:val="auto"/>
        </w:rPr>
        <w:t>422</w:t>
      </w:r>
      <w:r>
        <w:rPr>
          <w:rFonts w:hint="eastAsia"/>
          <w:color w:val="auto"/>
        </w:rPr>
        <w:t>号文），建设单位应积极推进绿色工地创建，实施施工工地封闭管理，做到七个</w:t>
      </w:r>
      <w:r>
        <w:rPr>
          <w:color w:val="auto"/>
        </w:rPr>
        <w:t>100%</w:t>
      </w:r>
      <w:r>
        <w:rPr>
          <w:rFonts w:hint="eastAsia"/>
          <w:color w:val="auto"/>
        </w:rPr>
        <w:t>，即施工现场</w:t>
      </w:r>
      <w:r>
        <w:rPr>
          <w:color w:val="auto"/>
        </w:rPr>
        <w:t>100%</w:t>
      </w:r>
      <w:r>
        <w:rPr>
          <w:rFonts w:hint="eastAsia"/>
          <w:color w:val="auto"/>
        </w:rPr>
        <w:t>围挡，工地沙土</w:t>
      </w:r>
      <w:r>
        <w:rPr>
          <w:color w:val="auto"/>
        </w:rPr>
        <w:t>100%</w:t>
      </w:r>
      <w:r>
        <w:rPr>
          <w:rFonts w:hint="eastAsia"/>
          <w:color w:val="auto"/>
        </w:rPr>
        <w:t>覆盖或围挡，工地路面</w:t>
      </w:r>
      <w:r>
        <w:rPr>
          <w:color w:val="auto"/>
        </w:rPr>
        <w:t>100%</w:t>
      </w:r>
      <w:r>
        <w:rPr>
          <w:rFonts w:hint="eastAsia"/>
          <w:color w:val="auto"/>
        </w:rPr>
        <w:t>硬化，拆除工程</w:t>
      </w:r>
      <w:r>
        <w:rPr>
          <w:color w:val="auto"/>
        </w:rPr>
        <w:t>100%</w:t>
      </w:r>
      <w:r>
        <w:rPr>
          <w:rFonts w:hint="eastAsia"/>
          <w:color w:val="auto"/>
        </w:rPr>
        <w:t>洒水，出工地运输车辆</w:t>
      </w:r>
      <w:r>
        <w:rPr>
          <w:color w:val="auto"/>
        </w:rPr>
        <w:t>100%</w:t>
      </w:r>
      <w:r>
        <w:rPr>
          <w:rFonts w:hint="eastAsia"/>
          <w:color w:val="auto"/>
        </w:rPr>
        <w:t>冲净；车轮车身且密闭无洒漏，暂不开发的场地</w:t>
      </w:r>
      <w:r>
        <w:rPr>
          <w:color w:val="auto"/>
        </w:rPr>
        <w:t>100%</w:t>
      </w:r>
      <w:r>
        <w:rPr>
          <w:rFonts w:hint="eastAsia"/>
          <w:color w:val="auto"/>
        </w:rPr>
        <w:t>绿化，以及外脚手架密目式安全网</w:t>
      </w:r>
      <w:r>
        <w:rPr>
          <w:color w:val="auto"/>
        </w:rPr>
        <w:t>100%</w:t>
      </w:r>
      <w:r>
        <w:rPr>
          <w:rFonts w:hint="eastAsia"/>
          <w:color w:val="auto"/>
        </w:rPr>
        <w:t>安装。</w:t>
      </w:r>
    </w:p>
    <w:p>
      <w:pPr>
        <w:bidi w:val="0"/>
        <w:rPr>
          <w:color w:val="auto"/>
        </w:rPr>
      </w:pPr>
      <w:r>
        <w:rPr>
          <w:rFonts w:hint="eastAsia"/>
          <w:color w:val="auto"/>
        </w:rPr>
        <w:t>7）根据新乡市环境污染防治攻坚指挥部办公室关于印发《新乡市</w:t>
      </w:r>
      <w:r>
        <w:rPr>
          <w:color w:val="auto"/>
        </w:rPr>
        <w:t>2022</w:t>
      </w:r>
      <w:r>
        <w:rPr>
          <w:rFonts w:hint="eastAsia"/>
          <w:color w:val="auto"/>
        </w:rPr>
        <w:t>年大气、水、土壤污染防治攻坚战实施方案》的通知及《《2021</w:t>
      </w:r>
      <w:r>
        <w:rPr>
          <w:rFonts w:hint="eastAsia"/>
          <w:color w:val="auto"/>
          <w:lang w:eastAsia="zh-CN"/>
        </w:rPr>
        <w:t>—</w:t>
      </w:r>
      <w:r>
        <w:rPr>
          <w:rFonts w:hint="eastAsia"/>
          <w:color w:val="auto"/>
        </w:rPr>
        <w:t>2022年秋冬季大气污染综合治理攻坚方案》》所提防扬尘措施，建立施工工地动态管理清单，全面开展标准化施工，按照</w:t>
      </w:r>
      <w:r>
        <w:rPr>
          <w:color w:val="auto"/>
        </w:rPr>
        <w:t>“</w:t>
      </w:r>
      <w:r>
        <w:rPr>
          <w:rFonts w:hint="eastAsia"/>
          <w:color w:val="auto"/>
        </w:rPr>
        <w:t>谁施工、谁负责，谁主管、谁监督</w:t>
      </w:r>
      <w:r>
        <w:rPr>
          <w:color w:val="auto"/>
        </w:rPr>
        <w:t>”</w:t>
      </w:r>
      <w:r>
        <w:rPr>
          <w:rFonts w:hint="eastAsia"/>
          <w:color w:val="auto"/>
        </w:rPr>
        <w:t>的原则，严格落实</w:t>
      </w:r>
      <w:r>
        <w:rPr>
          <w:color w:val="auto"/>
        </w:rPr>
        <w:t>“</w:t>
      </w:r>
      <w:r>
        <w:rPr>
          <w:rFonts w:hint="eastAsia"/>
          <w:color w:val="auto"/>
        </w:rPr>
        <w:t>八个百分之百</w:t>
      </w:r>
      <w:r>
        <w:rPr>
          <w:color w:val="auto"/>
        </w:rPr>
        <w:t>”</w:t>
      </w:r>
      <w:r>
        <w:rPr>
          <w:rFonts w:hint="eastAsia"/>
          <w:color w:val="auto"/>
        </w:rPr>
        <w:t>（施工现场</w:t>
      </w:r>
      <w:r>
        <w:rPr>
          <w:color w:val="auto"/>
        </w:rPr>
        <w:t>100%</w:t>
      </w:r>
      <w:r>
        <w:rPr>
          <w:rFonts w:hint="eastAsia"/>
          <w:color w:val="auto"/>
        </w:rPr>
        <w:t>封闭管理，施工现场</w:t>
      </w:r>
      <w:r>
        <w:rPr>
          <w:color w:val="auto"/>
        </w:rPr>
        <w:t>100%</w:t>
      </w:r>
      <w:r>
        <w:rPr>
          <w:rFonts w:hint="eastAsia"/>
          <w:color w:val="auto"/>
        </w:rPr>
        <w:t>湿法作业，场区道路</w:t>
      </w:r>
      <w:r>
        <w:rPr>
          <w:color w:val="auto"/>
        </w:rPr>
        <w:t>100%</w:t>
      </w:r>
      <w:r>
        <w:rPr>
          <w:rFonts w:hint="eastAsia"/>
          <w:color w:val="auto"/>
        </w:rPr>
        <w:t>硬化，渣土物料</w:t>
      </w:r>
      <w:r>
        <w:rPr>
          <w:color w:val="auto"/>
        </w:rPr>
        <w:t>100</w:t>
      </w:r>
      <w:r>
        <w:rPr>
          <w:rFonts w:hint="eastAsia"/>
          <w:color w:val="auto"/>
        </w:rPr>
        <w:t>％覆盖，物料</w:t>
      </w:r>
      <w:r>
        <w:rPr>
          <w:color w:val="auto"/>
        </w:rPr>
        <w:t>100</w:t>
      </w:r>
      <w:r>
        <w:rPr>
          <w:rFonts w:hint="eastAsia"/>
          <w:color w:val="auto"/>
        </w:rPr>
        <w:t>％密闭运输，出入车辆</w:t>
      </w:r>
      <w:r>
        <w:rPr>
          <w:color w:val="auto"/>
        </w:rPr>
        <w:t>100</w:t>
      </w:r>
      <w:r>
        <w:rPr>
          <w:rFonts w:hint="eastAsia"/>
          <w:color w:val="auto"/>
        </w:rPr>
        <w:t>％清洗，远程视频监控</w:t>
      </w:r>
      <w:r>
        <w:rPr>
          <w:color w:val="auto"/>
        </w:rPr>
        <w:t>100</w:t>
      </w:r>
      <w:r>
        <w:rPr>
          <w:rFonts w:hint="eastAsia"/>
          <w:color w:val="auto"/>
        </w:rPr>
        <w:t>％安装，工地内非道路移动机械</w:t>
      </w:r>
      <w:r>
        <w:rPr>
          <w:color w:val="auto"/>
        </w:rPr>
        <w:t>100</w:t>
      </w:r>
      <w:r>
        <w:rPr>
          <w:rFonts w:hint="eastAsia"/>
          <w:color w:val="auto"/>
        </w:rPr>
        <w:t>％达标）、开复工验收、</w:t>
      </w:r>
      <w:r>
        <w:rPr>
          <w:color w:val="auto"/>
        </w:rPr>
        <w:t>“</w:t>
      </w:r>
      <w:r>
        <w:rPr>
          <w:rFonts w:hint="eastAsia"/>
          <w:color w:val="auto"/>
        </w:rPr>
        <w:t>三员</w:t>
      </w:r>
      <w:r>
        <w:rPr>
          <w:color w:val="auto"/>
        </w:rPr>
        <w:t>”</w:t>
      </w:r>
      <w:r>
        <w:rPr>
          <w:rFonts w:hint="eastAsia"/>
          <w:color w:val="auto"/>
        </w:rPr>
        <w:t>管理等制度。实施扬尘污染防治守信联合激励、失信联合惩戒，将扬尘管理不到位的不良信息纳入建筑市场信用管理体系，情节严重的，列入建筑市场主体</w:t>
      </w:r>
      <w:r>
        <w:rPr>
          <w:color w:val="auto"/>
        </w:rPr>
        <w:t>“</w:t>
      </w:r>
      <w:r>
        <w:rPr>
          <w:rFonts w:hint="eastAsia"/>
          <w:color w:val="auto"/>
        </w:rPr>
        <w:t>黑名单</w:t>
      </w:r>
      <w:r>
        <w:rPr>
          <w:color w:val="auto"/>
        </w:rPr>
        <w:t>”</w:t>
      </w:r>
      <w:r>
        <w:rPr>
          <w:rFonts w:hint="eastAsia"/>
          <w:color w:val="auto"/>
        </w:rPr>
        <w:t>。严格渣土运输车辆规范化管理，实行建筑垃圾从产生、清运到消纳处置的全过程监管。严格落实城市建成区内</w:t>
      </w:r>
      <w:r>
        <w:rPr>
          <w:color w:val="auto"/>
        </w:rPr>
        <w:t>“</w:t>
      </w:r>
      <w:r>
        <w:rPr>
          <w:rFonts w:hint="eastAsia"/>
          <w:color w:val="auto"/>
        </w:rPr>
        <w:t>两个禁止</w:t>
      </w:r>
      <w:r>
        <w:rPr>
          <w:color w:val="auto"/>
        </w:rPr>
        <w:t>”</w:t>
      </w:r>
      <w:r>
        <w:rPr>
          <w:rFonts w:hint="eastAsia"/>
          <w:color w:val="auto"/>
        </w:rPr>
        <w:t>（禁止现场搅拌混凝土和禁止现场配置砂浆）要求，加快</w:t>
      </w:r>
      <w:r>
        <w:rPr>
          <w:color w:val="auto"/>
        </w:rPr>
        <w:t>“</w:t>
      </w:r>
      <w:r>
        <w:rPr>
          <w:rFonts w:hint="eastAsia"/>
          <w:color w:val="auto"/>
        </w:rPr>
        <w:t>两个禁止</w:t>
      </w:r>
      <w:r>
        <w:rPr>
          <w:color w:val="auto"/>
        </w:rPr>
        <w:t>”</w:t>
      </w:r>
      <w:r>
        <w:rPr>
          <w:rFonts w:hint="eastAsia"/>
          <w:color w:val="auto"/>
        </w:rPr>
        <w:t>综合信息监管平台建设，实施动态监管。施工现场出入口应标有企业名称或企业标识，主要出入口明显处应设置工程概况牌，大门内应有施工现场总平面图和安全生产、消防保卫、环境保护、文明施工等制度牌。四级以上大风天气或市政府发布空气质量预警时，严禁进行土方开挖、回填等可能产生扬尘的施工，同时覆网防尘。施工现场的材料和大模板等存放场地必须平整坚实。水泥和其他易飞扬的细颗粒建筑材料应密闭存放或采取覆盖等措施。建筑垃圾清运全部实现自动化密闭运输，统一安装卫星定位装置，并与主管部门联网。</w:t>
      </w:r>
    </w:p>
    <w:p>
      <w:pPr>
        <w:bidi w:val="0"/>
        <w:rPr>
          <w:color w:val="auto"/>
        </w:rPr>
      </w:pPr>
      <w:r>
        <w:rPr>
          <w:rFonts w:hint="eastAsia"/>
          <w:color w:val="auto"/>
        </w:rPr>
        <w:t>（</w:t>
      </w:r>
      <w:r>
        <w:rPr>
          <w:color w:val="auto"/>
        </w:rPr>
        <w:t>2</w:t>
      </w:r>
      <w:r>
        <w:rPr>
          <w:rFonts w:hint="eastAsia"/>
          <w:color w:val="auto"/>
        </w:rPr>
        <w:t>）车辆尾气</w:t>
      </w:r>
    </w:p>
    <w:p>
      <w:pPr>
        <w:bidi w:val="0"/>
        <w:rPr>
          <w:color w:val="auto"/>
        </w:rPr>
      </w:pPr>
      <w:r>
        <w:rPr>
          <w:rFonts w:hint="eastAsia"/>
          <w:color w:val="auto"/>
        </w:rPr>
        <w:t>施工阶段，频繁使用机动车辆运输建筑原材料、施工设备及器材、建筑垃圾等排出的机动车尾气，主要污染物是</w:t>
      </w:r>
      <w:r>
        <w:rPr>
          <w:color w:val="auto"/>
        </w:rPr>
        <w:t>NOx</w:t>
      </w:r>
      <w:r>
        <w:rPr>
          <w:rFonts w:hint="eastAsia"/>
          <w:color w:val="auto"/>
        </w:rPr>
        <w:t>、</w:t>
      </w:r>
      <w:r>
        <w:rPr>
          <w:color w:val="auto"/>
        </w:rPr>
        <w:t>CO</w:t>
      </w:r>
      <w:r>
        <w:rPr>
          <w:rFonts w:hint="eastAsia"/>
          <w:color w:val="auto"/>
        </w:rPr>
        <w:t>、</w:t>
      </w:r>
      <w:r>
        <w:rPr>
          <w:color w:val="auto"/>
        </w:rPr>
        <w:t>THC</w:t>
      </w:r>
      <w:r>
        <w:rPr>
          <w:rFonts w:hint="eastAsia"/>
          <w:color w:val="auto"/>
        </w:rPr>
        <w:t>等。由于机动车尾气的排放量较小，且燃油机械和运输车辆均在室外进行作业，其排放的机动车尾气能够迅速扩散，对周围大气环境影响较小。</w:t>
      </w:r>
    </w:p>
    <w:p>
      <w:pPr>
        <w:bidi w:val="0"/>
        <w:rPr>
          <w:color w:val="auto"/>
        </w:rPr>
      </w:pPr>
      <w:r>
        <w:rPr>
          <w:rFonts w:hint="eastAsia"/>
          <w:color w:val="auto"/>
        </w:rPr>
        <w:t>总之，只要加强管理，切实落实好上述这些措施，施工扬尘对环境的影响将会大大降低，不会对区域大气环境产生明显的影响，其对周围环境的影响会随着施工期的结束而结束。</w:t>
      </w:r>
    </w:p>
    <w:p>
      <w:pPr>
        <w:pStyle w:val="9"/>
        <w:bidi w:val="0"/>
        <w:rPr>
          <w:color w:val="auto"/>
        </w:rPr>
      </w:pPr>
      <w:r>
        <w:rPr>
          <w:rFonts w:hint="eastAsia"/>
          <w:color w:val="auto"/>
        </w:rPr>
        <w:t>6.1.2施工期废水污染防治措施分析</w:t>
      </w:r>
    </w:p>
    <w:p>
      <w:pPr>
        <w:bidi w:val="0"/>
        <w:rPr>
          <w:color w:val="auto"/>
        </w:rPr>
      </w:pPr>
      <w:r>
        <w:rPr>
          <w:rFonts w:hint="eastAsia"/>
          <w:color w:val="auto"/>
        </w:rPr>
        <w:t>本项目施工期间产生的废水主要为施工废水和施工人员的生活废水。施工期间生产用水主要为场地内洒扫抑尘用水和水泥管道设置时混凝土养护用水、施工车辆清洗用水等，施工场地道路将采用硬化路面，场地四周将铺设排水沟管，修建临时沉淀池，含SS的雨水以及进出施工场地的车辆清洗废水排入沉淀池进行沉淀澄清处理后回用。施工场地不设食堂和厕所，施工人员依托厂区现有食堂和卫生间，产生的生活污水进入厂区污水处理站进行处理，处理达标后排入小店污水处理厂。因此施工期产生的污水对周围环境影响较小。</w:t>
      </w:r>
    </w:p>
    <w:p>
      <w:pPr>
        <w:pStyle w:val="9"/>
        <w:bidi w:val="0"/>
        <w:rPr>
          <w:color w:val="auto"/>
        </w:rPr>
      </w:pPr>
      <w:r>
        <w:rPr>
          <w:rFonts w:hint="eastAsia"/>
          <w:color w:val="auto"/>
        </w:rPr>
        <w:t>6.1.3施工期噪声污染防治措施分析</w:t>
      </w:r>
    </w:p>
    <w:p>
      <w:pPr>
        <w:bidi w:val="0"/>
        <w:rPr>
          <w:color w:val="auto"/>
        </w:rPr>
      </w:pPr>
      <w:r>
        <w:rPr>
          <w:rFonts w:hint="eastAsia"/>
          <w:color w:val="auto"/>
        </w:rPr>
        <w:t>施工期的噪声主要分为机械噪声、施工作业噪声和施工车辆噪声。机械噪声主要由施工机械所造成，如挖土机械、打桩机械、混凝土搅拌机、升降机等，多为点声源；施工作业噪声主要指一些零星的敲打声、装卸车辆的撞击声、拆装模板的撞击声等，多为瞬间噪声。在这些噪声中对声环境影响最大的是机械噪声，经调查，典型施工机械开动时噪声源强较高，噪声源强约在75~95dB(A)，具有噪声源相对稳定和施工作业时间不稳定、波动性大的特点。</w:t>
      </w:r>
    </w:p>
    <w:p>
      <w:pPr>
        <w:bidi w:val="0"/>
        <w:rPr>
          <w:color w:val="auto"/>
        </w:rPr>
      </w:pPr>
      <w:r>
        <w:rPr>
          <w:rFonts w:hint="eastAsia"/>
          <w:color w:val="auto"/>
        </w:rPr>
        <w:t>为减小施工噪声对周围环境敏感点的影响，评价建议应采取适当的措施来减轻其噪声的影响。主要包括：</w:t>
      </w:r>
    </w:p>
    <w:p>
      <w:pPr>
        <w:bidi w:val="0"/>
        <w:rPr>
          <w:color w:val="auto"/>
        </w:rPr>
      </w:pPr>
      <w:r>
        <w:rPr>
          <w:rFonts w:hint="eastAsia"/>
          <w:color w:val="auto"/>
        </w:rPr>
        <w:t>（1）尽量采用低噪声机械，工程施工所用的施工机械设备应事先对其进行常规工作状态下的噪声测量，超过国家标准的机械应禁止其入场施工。施工过程中还应经常对设备进行维修保养，避免由于设备性能差而使噪声增强现象的发生。</w:t>
      </w:r>
    </w:p>
    <w:p>
      <w:pPr>
        <w:bidi w:val="0"/>
        <w:rPr>
          <w:color w:val="auto"/>
        </w:rPr>
      </w:pPr>
      <w:r>
        <w:rPr>
          <w:rFonts w:hint="eastAsia"/>
          <w:color w:val="auto"/>
        </w:rPr>
        <w:t>（2）施工区域四周建设2.5m高围挡，作为隔声墙。</w:t>
      </w:r>
    </w:p>
    <w:p>
      <w:pPr>
        <w:bidi w:val="0"/>
        <w:rPr>
          <w:color w:val="auto"/>
        </w:rPr>
      </w:pPr>
      <w:r>
        <w:rPr>
          <w:rFonts w:hint="eastAsia"/>
          <w:color w:val="auto"/>
        </w:rPr>
        <w:t>（3）做好施工期的噪声监理工作。应注意合理安排施工物料的运输，在途经村镇、学校时，应减速慢行、禁止鸣笛。</w:t>
      </w:r>
    </w:p>
    <w:p>
      <w:pPr>
        <w:bidi w:val="0"/>
        <w:rPr>
          <w:color w:val="auto"/>
        </w:rPr>
      </w:pPr>
      <w:r>
        <w:rPr>
          <w:rFonts w:hint="eastAsia"/>
          <w:color w:val="auto"/>
        </w:rPr>
        <w:t>（4）需要进行夜间连续施工时，建设单位应责成施工单位在施工现场张贴通告和投诉电话，建设单位在接到报案后应及时与当地环保部门取得联系，以便及时处理各种环境纠纷。</w:t>
      </w:r>
    </w:p>
    <w:p>
      <w:pPr>
        <w:bidi w:val="0"/>
        <w:rPr>
          <w:color w:val="auto"/>
        </w:rPr>
      </w:pPr>
      <w:r>
        <w:rPr>
          <w:rFonts w:hint="eastAsia"/>
          <w:color w:val="auto"/>
        </w:rPr>
        <w:t>通过加强管理，采取评价建议措施，切实落实好各项噪声防治措施，施工噪声不会对周围环境产生较大影响，同时其对环境的影响也将随着施工的结束而消失。</w:t>
      </w:r>
    </w:p>
    <w:p>
      <w:pPr>
        <w:pStyle w:val="9"/>
        <w:bidi w:val="0"/>
        <w:rPr>
          <w:color w:val="auto"/>
        </w:rPr>
      </w:pPr>
      <w:r>
        <w:rPr>
          <w:rFonts w:hint="eastAsia"/>
          <w:color w:val="auto"/>
        </w:rPr>
        <w:t>6.1.4施工期固体废物污染防治措施分析</w:t>
      </w:r>
    </w:p>
    <w:p>
      <w:pPr>
        <w:bidi w:val="0"/>
        <w:rPr>
          <w:color w:val="auto"/>
        </w:rPr>
      </w:pPr>
      <w:r>
        <w:rPr>
          <w:rFonts w:hint="eastAsia"/>
          <w:color w:val="auto"/>
        </w:rPr>
        <w:t>施工期产生的固体废物主要为：生活垃圾和建筑垃圾。</w:t>
      </w:r>
    </w:p>
    <w:p>
      <w:pPr>
        <w:bidi w:val="0"/>
        <w:rPr>
          <w:color w:val="auto"/>
        </w:rPr>
      </w:pPr>
      <w:r>
        <w:rPr>
          <w:rFonts w:hint="eastAsia"/>
          <w:color w:val="auto"/>
        </w:rPr>
        <w:t>（1）生活垃圾：施工期高峰期施工人员80人，生活垃圾按0.5kg/人•d计算，经计算，生活垃圾产生量约为0.04t/d，项目施工期约为</w:t>
      </w:r>
      <w:r>
        <w:rPr>
          <w:color w:val="auto"/>
        </w:rPr>
        <w:t>6</w:t>
      </w:r>
      <w:r>
        <w:rPr>
          <w:rFonts w:hint="eastAsia"/>
          <w:color w:val="auto"/>
        </w:rPr>
        <w:t>个月，合计固废产生量为</w:t>
      </w:r>
      <w:r>
        <w:rPr>
          <w:color w:val="auto"/>
        </w:rPr>
        <w:t>7.2</w:t>
      </w:r>
      <w:r>
        <w:rPr>
          <w:rFonts w:hint="eastAsia"/>
          <w:color w:val="auto"/>
        </w:rPr>
        <w:t>t/a。评价提出：生活垃圾应集中堆放，由厂区环卫车送至园区垃圾中转站，最终由环卫部门统一处置。</w:t>
      </w:r>
    </w:p>
    <w:p>
      <w:pPr>
        <w:bidi w:val="0"/>
        <w:rPr>
          <w:color w:val="auto"/>
        </w:rPr>
      </w:pPr>
      <w:r>
        <w:rPr>
          <w:rFonts w:hint="eastAsia"/>
          <w:color w:val="auto"/>
        </w:rPr>
        <w:t>（2）建筑垃圾：施工期建筑垃圾主要包括多余泥土、混凝土、残砖断瓦、破残的瓷片、玻璃、钢筋头、金属碎片、塑料碎粒、抛弃在现场的破损工具、零件、容器甚至报废的机械、装修垃圾等。建筑垃圾若长期堆存，会产生大量扬尘，影响周围环境，建议定期由有资质专业的建筑垃圾清运单位和城市环境卫生部门按照新乡市的有关要求进行处理。</w:t>
      </w:r>
    </w:p>
    <w:p>
      <w:pPr>
        <w:bidi w:val="0"/>
        <w:rPr>
          <w:color w:val="auto"/>
        </w:rPr>
      </w:pPr>
      <w:r>
        <w:rPr>
          <w:rFonts w:hint="eastAsia"/>
          <w:color w:val="auto"/>
          <w:lang w:eastAsia="zh-CN"/>
        </w:rPr>
        <w:t>施工</w:t>
      </w:r>
      <w:r>
        <w:rPr>
          <w:rFonts w:hint="eastAsia"/>
          <w:color w:val="auto"/>
        </w:rPr>
        <w:t>过程中，固体废物经过以上措施处理后，不会对环境质量造成影响。</w:t>
      </w:r>
    </w:p>
    <w:p>
      <w:pPr>
        <w:pStyle w:val="7"/>
        <w:bidi w:val="0"/>
        <w:rPr>
          <w:color w:val="auto"/>
        </w:rPr>
      </w:pPr>
      <w:bookmarkStart w:id="346" w:name="_Toc31889"/>
      <w:r>
        <w:rPr>
          <w:color w:val="auto"/>
        </w:rPr>
        <w:t>6.2</w:t>
      </w:r>
      <w:r>
        <w:rPr>
          <w:rFonts w:hint="eastAsia"/>
          <w:color w:val="auto"/>
        </w:rPr>
        <w:t>运营期污染防治措施分析</w:t>
      </w:r>
      <w:bookmarkEnd w:id="346"/>
    </w:p>
    <w:p>
      <w:pPr>
        <w:pStyle w:val="9"/>
        <w:bidi w:val="0"/>
        <w:rPr>
          <w:color w:val="auto"/>
        </w:rPr>
      </w:pPr>
      <w:r>
        <w:rPr>
          <w:color w:val="auto"/>
        </w:rPr>
        <w:t>6.2.1</w:t>
      </w:r>
      <w:r>
        <w:rPr>
          <w:rFonts w:hint="eastAsia"/>
          <w:color w:val="auto"/>
        </w:rPr>
        <w:t>废水污染防治措施分析</w:t>
      </w:r>
    </w:p>
    <w:p>
      <w:pPr>
        <w:pStyle w:val="10"/>
        <w:bidi w:val="0"/>
        <w:rPr>
          <w:color w:val="auto"/>
        </w:rPr>
      </w:pPr>
      <w:r>
        <w:rPr>
          <w:color w:val="auto"/>
        </w:rPr>
        <w:t>6.2.1.1</w:t>
      </w:r>
      <w:r>
        <w:rPr>
          <w:rFonts w:hint="eastAsia"/>
          <w:color w:val="auto"/>
        </w:rPr>
        <w:t>工程废水特点及适合的处理工艺</w:t>
      </w:r>
    </w:p>
    <w:p>
      <w:pPr>
        <w:bidi w:val="0"/>
        <w:rPr>
          <w:rFonts w:hint="eastAsia"/>
          <w:color w:val="auto"/>
          <w:lang w:val="en-US" w:eastAsia="zh-CN"/>
        </w:rPr>
      </w:pPr>
      <w:r>
        <w:rPr>
          <w:rFonts w:hint="eastAsia"/>
          <w:color w:val="auto"/>
        </w:rPr>
        <w:t>本项目废水主要是生活污水以及水洗、漂白工序产生的废水。</w:t>
      </w:r>
      <w:r>
        <w:rPr>
          <w:rFonts w:hint="eastAsia"/>
          <w:color w:val="auto"/>
          <w:lang w:val="en-US" w:eastAsia="zh-CN"/>
        </w:rPr>
        <w:t>本项目废水排入氨纶、绿纤废水处理单元，处理工艺为“调节+混合池+沉淀+水解酸化+氧化沟+二沉池+混凝池+终沉池”，</w:t>
      </w:r>
      <w:r>
        <w:rPr>
          <w:rFonts w:hint="eastAsia"/>
          <w:color w:val="auto"/>
        </w:rPr>
        <w:t>本项目建成后</w:t>
      </w:r>
      <w:r>
        <w:rPr>
          <w:rFonts w:hint="eastAsia"/>
          <w:color w:val="auto"/>
          <w:lang w:val="en-US" w:eastAsia="zh-CN"/>
        </w:rPr>
        <w:t>生产</w:t>
      </w:r>
      <w:r>
        <w:rPr>
          <w:rFonts w:hint="eastAsia"/>
          <w:color w:val="auto"/>
        </w:rPr>
        <w:t>废水产生量为</w:t>
      </w:r>
      <w:r>
        <w:rPr>
          <w:rFonts w:hint="eastAsia"/>
          <w:color w:val="auto"/>
          <w:lang w:val="en-US" w:eastAsia="zh-CN"/>
        </w:rPr>
        <w:t>947.73</w:t>
      </w:r>
      <w:r>
        <w:rPr>
          <w:color w:val="auto"/>
        </w:rPr>
        <w:t>m</w:t>
      </w:r>
      <w:r>
        <w:rPr>
          <w:color w:val="auto"/>
          <w:vertAlign w:val="superscript"/>
        </w:rPr>
        <w:t>3</w:t>
      </w:r>
      <w:r>
        <w:rPr>
          <w:color w:val="auto"/>
        </w:rPr>
        <w:t>/d</w:t>
      </w:r>
      <w:r>
        <w:rPr>
          <w:rFonts w:hint="eastAsia"/>
          <w:color w:val="auto"/>
          <w:lang w:eastAsia="zh-CN"/>
        </w:rPr>
        <w:t>。</w:t>
      </w:r>
      <w:r>
        <w:rPr>
          <w:rFonts w:hint="eastAsia"/>
          <w:color w:val="auto"/>
        </w:rPr>
        <w:t>根据企业提供数据，新厂区污水处理站</w:t>
      </w:r>
      <w:r>
        <w:rPr>
          <w:rFonts w:hint="eastAsia"/>
          <w:color w:val="auto"/>
          <w:lang w:val="en-US" w:eastAsia="zh-CN"/>
        </w:rPr>
        <w:t>氨纶、绿纤废水处理单元目前富余处理能力为418.47</w:t>
      </w:r>
      <w:r>
        <w:rPr>
          <w:color w:val="auto"/>
        </w:rPr>
        <w:t>m</w:t>
      </w:r>
      <w:r>
        <w:rPr>
          <w:color w:val="auto"/>
          <w:vertAlign w:val="superscript"/>
        </w:rPr>
        <w:t>3</w:t>
      </w:r>
      <w:r>
        <w:rPr>
          <w:color w:val="auto"/>
        </w:rPr>
        <w:t>/d</w:t>
      </w:r>
      <w:r>
        <w:rPr>
          <w:rFonts w:hint="eastAsia"/>
          <w:color w:val="auto"/>
          <w:lang w:eastAsia="zh-CN"/>
        </w:rPr>
        <w:t>，</w:t>
      </w:r>
      <w:r>
        <w:rPr>
          <w:rFonts w:hint="eastAsia"/>
          <w:color w:val="auto"/>
          <w:lang w:val="en-US" w:eastAsia="zh-CN"/>
        </w:rPr>
        <w:t>但是</w:t>
      </w:r>
      <w:r>
        <w:rPr>
          <w:color w:val="auto"/>
        </w:rPr>
        <w:t>绿纤</w:t>
      </w:r>
      <w:r>
        <w:rPr>
          <w:rFonts w:hint="eastAsia"/>
          <w:color w:val="auto"/>
          <w:lang w:val="en-US" w:eastAsia="zh-CN"/>
        </w:rPr>
        <w:t>公司已自建污水处理站，2023年5月份投入使用，本新厂区污水处理站不再接收来自绿纤公司的所有废水，届时氨纶、绿纤废水处理单元富余处理能力为2130.21，满足本项目的排水需求。</w:t>
      </w:r>
    </w:p>
    <w:p>
      <w:pPr>
        <w:bidi w:val="0"/>
        <w:rPr>
          <w:color w:val="auto"/>
        </w:rPr>
      </w:pPr>
      <w:r>
        <w:rPr>
          <w:rFonts w:hint="eastAsia"/>
          <w:color w:val="auto"/>
        </w:rPr>
        <w:t>本项目废水源强与该套污水处理系统中现有污水源强基本一致，混合后水质不会恶化，因此本项目建成后不会对该套污水处理系统的出水水质产生不利影响。因此评价认为本项目建成后对该污水处理系统的水质不会产生明显影响，本项目利用该污水处理系统处理可行。</w:t>
      </w:r>
    </w:p>
    <w:p>
      <w:pPr>
        <w:bidi w:val="0"/>
        <w:rPr>
          <w:color w:val="auto"/>
        </w:rPr>
      </w:pPr>
      <w:r>
        <w:rPr>
          <w:rFonts w:hint="eastAsia"/>
          <w:color w:val="auto"/>
        </w:rPr>
        <w:t>本项目废水水质主要污染因子为</w:t>
      </w:r>
      <w:r>
        <w:rPr>
          <w:color w:val="auto"/>
        </w:rPr>
        <w:t>pH</w:t>
      </w:r>
      <w:r>
        <w:rPr>
          <w:rFonts w:hint="eastAsia"/>
          <w:color w:val="auto"/>
        </w:rPr>
        <w:t>、</w:t>
      </w:r>
      <w:r>
        <w:rPr>
          <w:color w:val="auto"/>
        </w:rPr>
        <w:t>COD</w:t>
      </w:r>
      <w:r>
        <w:rPr>
          <w:rFonts w:hint="eastAsia"/>
          <w:color w:val="auto"/>
        </w:rPr>
        <w:t>、BOD和</w:t>
      </w:r>
      <w:r>
        <w:rPr>
          <w:color w:val="auto"/>
        </w:rPr>
        <w:t>SS</w:t>
      </w:r>
      <w:r>
        <w:rPr>
          <w:rFonts w:hint="eastAsia"/>
          <w:color w:val="auto"/>
        </w:rPr>
        <w:t>，且B/C值约为</w:t>
      </w:r>
      <w:r>
        <w:rPr>
          <w:rFonts w:hint="eastAsia"/>
          <w:color w:val="auto"/>
          <w:lang w:val="en-US" w:eastAsia="zh-CN"/>
        </w:rPr>
        <w:t>0.27</w:t>
      </w:r>
      <w:r>
        <w:rPr>
          <w:rFonts w:hint="eastAsia"/>
          <w:color w:val="auto"/>
        </w:rPr>
        <w:t>，</w:t>
      </w:r>
      <w:r>
        <w:rPr>
          <w:rFonts w:hint="eastAsia"/>
          <w:color w:val="auto"/>
          <w:lang w:val="en-US" w:eastAsia="zh-CN"/>
        </w:rPr>
        <w:t>具有一定的可</w:t>
      </w:r>
      <w:r>
        <w:rPr>
          <w:rFonts w:hint="eastAsia"/>
          <w:color w:val="auto"/>
        </w:rPr>
        <w:t>生化性</w:t>
      </w:r>
      <w:r>
        <w:rPr>
          <w:rFonts w:hint="eastAsia"/>
          <w:color w:val="auto"/>
          <w:lang w:eastAsia="zh-CN"/>
        </w:rPr>
        <w:t>，</w:t>
      </w:r>
      <w:r>
        <w:rPr>
          <w:rFonts w:hint="eastAsia"/>
          <w:color w:val="auto"/>
          <w:lang w:val="en-US" w:eastAsia="zh-CN"/>
        </w:rPr>
        <w:t>水解酸化工艺可以增加其可生化性</w:t>
      </w:r>
      <w:r>
        <w:rPr>
          <w:rFonts w:hint="eastAsia"/>
          <w:color w:val="auto"/>
        </w:rPr>
        <w:t>。“</w:t>
      </w:r>
      <w:r>
        <w:rPr>
          <w:rFonts w:hint="eastAsia"/>
          <w:color w:val="auto"/>
          <w:lang w:val="en-US" w:eastAsia="zh-CN"/>
        </w:rPr>
        <w:t>氨纶、绿纤废水处理单元</w:t>
      </w:r>
      <w:r>
        <w:rPr>
          <w:rFonts w:hint="eastAsia"/>
          <w:color w:val="auto"/>
        </w:rPr>
        <w:t>”处理工艺为“</w:t>
      </w:r>
      <w:r>
        <w:rPr>
          <w:rFonts w:hint="eastAsia"/>
          <w:color w:val="auto"/>
          <w:lang w:val="en-US" w:eastAsia="zh-CN"/>
        </w:rPr>
        <w:t>调节+混合池+沉淀+水解酸化+氧化沟+二沉池+混凝池+终沉池</w:t>
      </w:r>
      <w:r>
        <w:rPr>
          <w:rFonts w:hint="eastAsia"/>
          <w:color w:val="auto"/>
        </w:rPr>
        <w:t>”，沉淀池可有效去除</w:t>
      </w:r>
      <w:r>
        <w:rPr>
          <w:color w:val="auto"/>
        </w:rPr>
        <w:t>SS</w:t>
      </w:r>
      <w:r>
        <w:rPr>
          <w:rFonts w:hint="eastAsia"/>
          <w:color w:val="auto"/>
        </w:rPr>
        <w:t>并维持</w:t>
      </w:r>
      <w:r>
        <w:rPr>
          <w:color w:val="auto"/>
        </w:rPr>
        <w:t>pH</w:t>
      </w:r>
      <w:r>
        <w:rPr>
          <w:rFonts w:hint="eastAsia"/>
          <w:color w:val="auto"/>
        </w:rPr>
        <w:t>满足排放标准要求。</w:t>
      </w:r>
      <w:r>
        <w:rPr>
          <w:rFonts w:hint="eastAsia"/>
          <w:color w:val="auto"/>
          <w:lang w:val="en-US" w:eastAsia="zh-CN"/>
        </w:rPr>
        <w:t>水解酸化可将大分子有机物分解为小分子有机物，提高曝气池中活性污泥对有机物的去除率。</w:t>
      </w:r>
      <w:r>
        <w:rPr>
          <w:rFonts w:hint="eastAsia"/>
          <w:color w:val="auto"/>
        </w:rPr>
        <w:t>氧化沟将曝气、沉淀和污泥稳定等处理过程集于一体，具有推流特性，使得溶解氧浓度在沿池长方向形成浓度梯度，形成好氧、缺氧和厌氧条件，通过对系统合理的设计与控制，可以取得较好的处理效果，并可取得较好的脱氮除磷效果。因此，本项目废水采用“</w:t>
      </w:r>
      <w:r>
        <w:rPr>
          <w:rFonts w:hint="eastAsia"/>
          <w:color w:val="auto"/>
          <w:lang w:val="en-US" w:eastAsia="zh-CN"/>
        </w:rPr>
        <w:t>氨纶、绿纤废水处理单元</w:t>
      </w:r>
      <w:r>
        <w:rPr>
          <w:rFonts w:hint="eastAsia"/>
          <w:color w:val="auto"/>
        </w:rPr>
        <w:t>”进行处理可行。</w:t>
      </w:r>
    </w:p>
    <w:p>
      <w:pPr>
        <w:pStyle w:val="10"/>
        <w:bidi w:val="0"/>
        <w:rPr>
          <w:color w:val="auto"/>
        </w:rPr>
      </w:pPr>
      <w:r>
        <w:rPr>
          <w:rFonts w:hint="eastAsia"/>
          <w:color w:val="auto"/>
        </w:rPr>
        <w:t>6.</w:t>
      </w:r>
      <w:r>
        <w:rPr>
          <w:color w:val="auto"/>
        </w:rPr>
        <w:t>2.</w:t>
      </w:r>
      <w:r>
        <w:rPr>
          <w:rFonts w:hint="eastAsia"/>
          <w:color w:val="auto"/>
        </w:rPr>
        <w:t>1.2厂区污水处理站及处理工艺情况介绍</w:t>
      </w:r>
    </w:p>
    <w:p>
      <w:pPr>
        <w:bidi w:val="0"/>
        <w:rPr>
          <w:color w:val="auto"/>
        </w:rPr>
      </w:pPr>
      <w:r>
        <w:rPr>
          <w:rFonts w:hint="eastAsia"/>
          <w:color w:val="auto"/>
        </w:rPr>
        <w:t>本项目废水处理设施依托公司新厂区的现有污水处理站进行处理，污水处理能力为3.8万t/d。针对厂区各类废水特点，采取废水分质处理的方式，同类项目的废水采取相应的处理工艺，污水处理站共分为4个处理单元，分别为“粘胶废水处理单元</w:t>
      </w:r>
      <w:r>
        <w:rPr>
          <w:rFonts w:hint="eastAsia"/>
          <w:color w:val="auto"/>
          <w:lang w:eastAsia="zh-CN"/>
        </w:rPr>
        <w:t>”“</w:t>
      </w:r>
      <w:r>
        <w:rPr>
          <w:rFonts w:hint="eastAsia"/>
          <w:color w:val="auto"/>
        </w:rPr>
        <w:t>长丝酸性废水处理</w:t>
      </w:r>
      <w:r>
        <w:rPr>
          <w:rFonts w:hint="eastAsia"/>
          <w:color w:val="auto"/>
          <w:lang w:val="en-US" w:eastAsia="zh-CN"/>
        </w:rPr>
        <w:t>二区”“</w:t>
      </w:r>
      <w:r>
        <w:rPr>
          <w:rFonts w:hint="eastAsia"/>
          <w:color w:val="auto"/>
        </w:rPr>
        <w:t>氨纶、绿纤废水处理单元”和“长丝酸性废水处理</w:t>
      </w:r>
      <w:r>
        <w:rPr>
          <w:rFonts w:hint="eastAsia"/>
          <w:color w:val="auto"/>
          <w:lang w:val="en-US" w:eastAsia="zh-CN"/>
        </w:rPr>
        <w:t>二区</w:t>
      </w:r>
      <w:r>
        <w:rPr>
          <w:rFonts w:hint="eastAsia"/>
          <w:color w:val="auto"/>
        </w:rPr>
        <w:t>”，各单元</w:t>
      </w:r>
      <w:r>
        <w:rPr>
          <w:rFonts w:hint="eastAsia"/>
          <w:color w:val="auto"/>
          <w:lang w:val="en-US" w:eastAsia="zh-CN"/>
        </w:rPr>
        <w:t>处理</w:t>
      </w:r>
      <w:r>
        <w:rPr>
          <w:rFonts w:hint="eastAsia"/>
          <w:color w:val="auto"/>
        </w:rPr>
        <w:t>后再进行混合，最后经管网进入新乡市小店污水处理厂。各单元处理工艺及处理能力情况如下表：</w:t>
      </w:r>
    </w:p>
    <w:p>
      <w:pPr>
        <w:pStyle w:val="181"/>
        <w:bidi w:val="0"/>
        <w:rPr>
          <w:rFonts w:hint="eastAsia"/>
          <w:color w:val="auto"/>
        </w:rPr>
      </w:pPr>
      <w:r>
        <w:rPr>
          <w:rFonts w:hint="eastAsia"/>
          <w:color w:val="auto"/>
        </w:rPr>
        <w:t>表</w:t>
      </w:r>
      <w:r>
        <w:rPr>
          <w:color w:val="auto"/>
        </w:rPr>
        <w:t>6.2</w:t>
      </w:r>
      <w:r>
        <w:rPr>
          <w:rFonts w:hint="eastAsia"/>
          <w:color w:val="auto"/>
        </w:rPr>
        <w:t xml:space="preserve">-1 </w:t>
      </w:r>
      <w:r>
        <w:rPr>
          <w:color w:val="auto"/>
        </w:rPr>
        <w:t xml:space="preserve"> </w:t>
      </w:r>
      <w:r>
        <w:rPr>
          <w:rFonts w:hint="eastAsia"/>
          <w:color w:val="auto"/>
          <w:lang w:val="en-US" w:eastAsia="zh-CN"/>
        </w:rPr>
        <w:t xml:space="preserve">    </w:t>
      </w:r>
      <w:r>
        <w:rPr>
          <w:rFonts w:hint="eastAsia"/>
          <w:color w:val="auto"/>
        </w:rPr>
        <w:t>各污水处理单元处理工艺及富余处理能力</w:t>
      </w:r>
    </w:p>
    <w:tbl>
      <w:tblPr>
        <w:tblStyle w:val="32"/>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92"/>
        <w:gridCol w:w="2627"/>
        <w:gridCol w:w="1054"/>
        <w:gridCol w:w="2759"/>
        <w:gridCol w:w="99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jc w:val="center"/>
        </w:trPr>
        <w:tc>
          <w:tcPr>
            <w:tcW w:w="1092" w:type="dxa"/>
            <w:tcBorders>
              <w:bottom w:val="single" w:color="000000" w:sz="4" w:space="0"/>
              <w:right w:val="single" w:color="000000" w:sz="4" w:space="0"/>
            </w:tcBorders>
            <w:vAlign w:val="center"/>
          </w:tcPr>
          <w:p>
            <w:pPr>
              <w:pStyle w:val="182"/>
              <w:bidi w:val="0"/>
              <w:rPr>
                <w:b/>
                <w:bCs/>
                <w:color w:val="auto"/>
              </w:rPr>
            </w:pPr>
            <w:r>
              <w:rPr>
                <w:b/>
                <w:bCs/>
                <w:color w:val="auto"/>
              </w:rPr>
              <w:t>单元名称</w:t>
            </w:r>
          </w:p>
        </w:tc>
        <w:tc>
          <w:tcPr>
            <w:tcW w:w="2627" w:type="dxa"/>
            <w:tcBorders>
              <w:left w:val="single" w:color="000000" w:sz="4" w:space="0"/>
              <w:bottom w:val="single" w:color="000000" w:sz="4" w:space="0"/>
              <w:right w:val="single" w:color="000000" w:sz="4" w:space="0"/>
            </w:tcBorders>
            <w:vAlign w:val="center"/>
          </w:tcPr>
          <w:p>
            <w:pPr>
              <w:pStyle w:val="182"/>
              <w:bidi w:val="0"/>
              <w:rPr>
                <w:b/>
                <w:bCs/>
                <w:color w:val="auto"/>
              </w:rPr>
            </w:pPr>
            <w:r>
              <w:rPr>
                <w:b/>
                <w:bCs/>
                <w:color w:val="auto"/>
              </w:rPr>
              <w:t>处理工艺</w:t>
            </w:r>
          </w:p>
        </w:tc>
        <w:tc>
          <w:tcPr>
            <w:tcW w:w="1054" w:type="dxa"/>
            <w:tcBorders>
              <w:left w:val="single" w:color="000000" w:sz="4" w:space="0"/>
              <w:bottom w:val="single" w:color="000000" w:sz="4" w:space="0"/>
              <w:right w:val="single" w:color="000000" w:sz="4" w:space="0"/>
            </w:tcBorders>
            <w:vAlign w:val="center"/>
          </w:tcPr>
          <w:p>
            <w:pPr>
              <w:pStyle w:val="182"/>
              <w:bidi w:val="0"/>
              <w:rPr>
                <w:b/>
                <w:bCs/>
                <w:color w:val="auto"/>
              </w:rPr>
            </w:pPr>
            <w:r>
              <w:rPr>
                <w:b/>
                <w:bCs/>
                <w:color w:val="auto"/>
              </w:rPr>
              <w:t>处理规</w:t>
            </w:r>
          </w:p>
          <w:p>
            <w:pPr>
              <w:pStyle w:val="182"/>
              <w:bidi w:val="0"/>
              <w:rPr>
                <w:b/>
                <w:bCs/>
                <w:color w:val="auto"/>
              </w:rPr>
            </w:pPr>
            <w:r>
              <w:rPr>
                <w:b/>
                <w:bCs/>
                <w:color w:val="auto"/>
              </w:rPr>
              <w:t>模m</w:t>
            </w:r>
            <w:r>
              <w:rPr>
                <w:b/>
                <w:bCs/>
                <w:color w:val="auto"/>
                <w:vertAlign w:val="superscript"/>
              </w:rPr>
              <w:t>3</w:t>
            </w:r>
            <w:r>
              <w:rPr>
                <w:b/>
                <w:bCs/>
                <w:color w:val="auto"/>
              </w:rPr>
              <w:t>/d</w:t>
            </w:r>
          </w:p>
        </w:tc>
        <w:tc>
          <w:tcPr>
            <w:tcW w:w="2759" w:type="dxa"/>
            <w:tcBorders>
              <w:left w:val="single" w:color="000000" w:sz="4" w:space="0"/>
              <w:bottom w:val="single" w:color="000000" w:sz="4" w:space="0"/>
              <w:right w:val="single" w:color="000000" w:sz="4" w:space="0"/>
            </w:tcBorders>
            <w:vAlign w:val="center"/>
          </w:tcPr>
          <w:p>
            <w:pPr>
              <w:pStyle w:val="182"/>
              <w:bidi w:val="0"/>
              <w:rPr>
                <w:b/>
                <w:bCs/>
                <w:color w:val="auto"/>
              </w:rPr>
            </w:pPr>
            <w:r>
              <w:rPr>
                <w:b/>
                <w:bCs/>
                <w:color w:val="auto"/>
              </w:rPr>
              <w:t>已接收废水水量m</w:t>
            </w:r>
            <w:r>
              <w:rPr>
                <w:b/>
                <w:bCs/>
                <w:color w:val="auto"/>
                <w:vertAlign w:val="superscript"/>
              </w:rPr>
              <w:t>3</w:t>
            </w:r>
            <w:r>
              <w:rPr>
                <w:b/>
                <w:bCs/>
                <w:color w:val="auto"/>
              </w:rPr>
              <w:t>/d</w:t>
            </w:r>
          </w:p>
        </w:tc>
        <w:tc>
          <w:tcPr>
            <w:tcW w:w="997" w:type="dxa"/>
            <w:tcBorders>
              <w:left w:val="single" w:color="000000" w:sz="4" w:space="0"/>
              <w:bottom w:val="single" w:color="000000" w:sz="4" w:space="0"/>
            </w:tcBorders>
            <w:vAlign w:val="center"/>
          </w:tcPr>
          <w:p>
            <w:pPr>
              <w:pStyle w:val="182"/>
              <w:bidi w:val="0"/>
              <w:rPr>
                <w:b/>
                <w:bCs/>
                <w:color w:val="auto"/>
              </w:rPr>
            </w:pPr>
            <w:r>
              <w:rPr>
                <w:b/>
                <w:bCs/>
                <w:color w:val="auto"/>
              </w:rPr>
              <w:t>富余处理能力m</w:t>
            </w:r>
            <w:r>
              <w:rPr>
                <w:b/>
                <w:bCs/>
                <w:color w:val="auto"/>
                <w:vertAlign w:val="superscript"/>
              </w:rPr>
              <w:t>3</w:t>
            </w:r>
            <w:r>
              <w:rPr>
                <w:b/>
                <w:bCs/>
                <w:color w:val="auto"/>
              </w:rPr>
              <w:t>/d</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17"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color w:val="auto"/>
              </w:rPr>
              <w:t>粘胶废水综合处理单元</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粘胶纤维先进入酸化池内与部分酸性废水混合进行酸化，然后经“调节+中和+沉淀+氧化沟+二沉池”处理后排放</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6000</w:t>
            </w:r>
          </w:p>
        </w:tc>
        <w:tc>
          <w:tcPr>
            <w:tcW w:w="2759" w:type="dxa"/>
            <w:vMerge w:val="restart"/>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长丝项目废水：13422.9</w:t>
            </w:r>
          </w:p>
          <w:p>
            <w:pPr>
              <w:pStyle w:val="182"/>
              <w:bidi w:val="0"/>
              <w:rPr>
                <w:rFonts w:hint="eastAsia"/>
                <w:color w:val="auto"/>
                <w:lang w:eastAsia="zh-CN"/>
              </w:rPr>
            </w:pPr>
            <w:r>
              <w:rPr>
                <w:color w:val="auto"/>
              </w:rPr>
              <w:t>短丝项目废水：9361</w:t>
            </w:r>
            <w:r>
              <w:rPr>
                <w:rFonts w:hint="eastAsia"/>
                <w:color w:val="auto"/>
                <w:lang w:eastAsia="zh-CN"/>
              </w:rPr>
              <w:t>（</w:t>
            </w:r>
            <w:r>
              <w:rPr>
                <w:rFonts w:hint="eastAsia"/>
                <w:color w:val="auto"/>
                <w:lang w:val="en-US" w:eastAsia="zh-CN"/>
              </w:rPr>
              <w:t>已淘汰</w:t>
            </w:r>
            <w:r>
              <w:rPr>
                <w:rFonts w:hint="eastAsia"/>
                <w:color w:val="auto"/>
                <w:lang w:eastAsia="zh-CN"/>
              </w:rPr>
              <w:t>）</w:t>
            </w:r>
          </w:p>
          <w:p>
            <w:pPr>
              <w:pStyle w:val="182"/>
              <w:bidi w:val="0"/>
              <w:rPr>
                <w:rFonts w:hint="default" w:eastAsia="宋体"/>
                <w:color w:val="auto"/>
                <w:lang w:val="en-US" w:eastAsia="zh-CN"/>
              </w:rPr>
            </w:pPr>
            <w:r>
              <w:rPr>
                <w:color w:val="auto"/>
              </w:rPr>
              <w:t>脱硫除尘废水：</w:t>
            </w:r>
            <w:r>
              <w:rPr>
                <w:rFonts w:hint="eastAsia"/>
                <w:color w:val="auto"/>
                <w:lang w:val="en-US" w:eastAsia="zh-CN"/>
              </w:rPr>
              <w:t>400</w:t>
            </w:r>
          </w:p>
          <w:p>
            <w:pPr>
              <w:pStyle w:val="182"/>
              <w:bidi w:val="0"/>
              <w:rPr>
                <w:rFonts w:hint="default"/>
                <w:color w:val="auto"/>
                <w:lang w:val="en-US" w:eastAsia="zh-CN"/>
              </w:rPr>
            </w:pPr>
            <w:r>
              <w:rPr>
                <w:color w:val="auto"/>
              </w:rPr>
              <w:t>合计：</w:t>
            </w:r>
            <w:r>
              <w:rPr>
                <w:rFonts w:hint="eastAsia"/>
                <w:color w:val="auto"/>
                <w:lang w:val="en-US" w:eastAsia="zh-CN"/>
              </w:rPr>
              <w:t>13822.9</w:t>
            </w:r>
          </w:p>
        </w:tc>
        <w:tc>
          <w:tcPr>
            <w:tcW w:w="997" w:type="dxa"/>
            <w:vMerge w:val="restart"/>
            <w:tcBorders>
              <w:top w:val="single" w:color="000000" w:sz="4" w:space="0"/>
              <w:left w:val="single" w:color="000000" w:sz="4" w:space="0"/>
              <w:bottom w:val="single" w:color="000000" w:sz="4" w:space="0"/>
            </w:tcBorders>
            <w:vAlign w:val="center"/>
          </w:tcPr>
          <w:p>
            <w:pPr>
              <w:pStyle w:val="182"/>
              <w:bidi w:val="0"/>
              <w:rPr>
                <w:rFonts w:hint="default"/>
                <w:color w:val="auto"/>
                <w:lang w:val="en-US" w:eastAsia="zh-CN"/>
              </w:rPr>
            </w:pPr>
            <w:r>
              <w:rPr>
                <w:rFonts w:hint="eastAsia"/>
                <w:color w:val="auto"/>
                <w:lang w:val="en-US" w:eastAsia="zh-CN"/>
              </w:rPr>
              <w:t>21177.1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rFonts w:hint="eastAsia"/>
                <w:color w:val="auto"/>
                <w:lang w:val="en-US" w:eastAsia="zh-CN"/>
              </w:rPr>
              <w:t>长丝</w:t>
            </w:r>
            <w:r>
              <w:rPr>
                <w:color w:val="auto"/>
              </w:rPr>
              <w:t>酸性废水处理一区</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“中和</w:t>
            </w:r>
            <w:r>
              <w:rPr>
                <w:rFonts w:hint="eastAsia"/>
                <w:color w:val="auto"/>
                <w:lang w:eastAsia="zh-CN"/>
              </w:rPr>
              <w:t>－</w:t>
            </w:r>
            <w:r>
              <w:rPr>
                <w:color w:val="auto"/>
              </w:rPr>
              <w:t>沉淀-pH调节”</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19000</w:t>
            </w:r>
          </w:p>
        </w:tc>
        <w:tc>
          <w:tcPr>
            <w:tcW w:w="2759" w:type="dxa"/>
            <w:vMerge w:val="continue"/>
            <w:tcBorders>
              <w:top w:val="nil"/>
              <w:left w:val="single" w:color="000000" w:sz="4" w:space="0"/>
              <w:bottom w:val="single" w:color="000000" w:sz="4" w:space="0"/>
              <w:right w:val="single" w:color="000000" w:sz="4" w:space="0"/>
            </w:tcBorders>
            <w:vAlign w:val="center"/>
          </w:tcPr>
          <w:p>
            <w:pPr>
              <w:pStyle w:val="182"/>
              <w:bidi w:val="0"/>
              <w:rPr>
                <w:color w:val="auto"/>
              </w:rPr>
            </w:pPr>
          </w:p>
        </w:tc>
        <w:tc>
          <w:tcPr>
            <w:tcW w:w="997" w:type="dxa"/>
            <w:vMerge w:val="continue"/>
            <w:tcBorders>
              <w:top w:val="nil"/>
              <w:left w:val="single" w:color="000000" w:sz="4" w:space="0"/>
              <w:bottom w:val="single" w:color="000000" w:sz="4" w:space="0"/>
            </w:tcBorders>
            <w:vAlign w:val="center"/>
          </w:tcPr>
          <w:p>
            <w:pPr>
              <w:pStyle w:val="182"/>
              <w:bidi w:val="0"/>
              <w:rPr>
                <w:color w:val="auto"/>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3"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rFonts w:hint="eastAsia"/>
                <w:color w:val="auto"/>
                <w:lang w:val="en-US" w:eastAsia="zh-CN"/>
              </w:rPr>
              <w:t>长丝</w:t>
            </w:r>
            <w:r>
              <w:rPr>
                <w:color w:val="auto"/>
              </w:rPr>
              <w:t>酸性废水处理二区</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“中和-沉淀-pH 调节”</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10000</w:t>
            </w:r>
          </w:p>
        </w:tc>
        <w:tc>
          <w:tcPr>
            <w:tcW w:w="2759" w:type="dxa"/>
            <w:vMerge w:val="continue"/>
            <w:tcBorders>
              <w:top w:val="nil"/>
              <w:left w:val="single" w:color="000000" w:sz="4" w:space="0"/>
              <w:bottom w:val="single" w:color="000000" w:sz="4" w:space="0"/>
              <w:right w:val="single" w:color="000000" w:sz="4" w:space="0"/>
            </w:tcBorders>
            <w:vAlign w:val="center"/>
          </w:tcPr>
          <w:p>
            <w:pPr>
              <w:pStyle w:val="182"/>
              <w:bidi w:val="0"/>
              <w:rPr>
                <w:color w:val="auto"/>
              </w:rPr>
            </w:pPr>
          </w:p>
        </w:tc>
        <w:tc>
          <w:tcPr>
            <w:tcW w:w="997" w:type="dxa"/>
            <w:vMerge w:val="continue"/>
            <w:tcBorders>
              <w:top w:val="nil"/>
              <w:left w:val="single" w:color="000000" w:sz="4" w:space="0"/>
              <w:bottom w:val="single" w:color="000000" w:sz="4" w:space="0"/>
            </w:tcBorders>
            <w:vAlign w:val="center"/>
          </w:tcPr>
          <w:p>
            <w:pPr>
              <w:pStyle w:val="182"/>
              <w:bidi w:val="0"/>
              <w:rPr>
                <w:color w:val="auto"/>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17"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color w:val="auto"/>
              </w:rPr>
              <w:t>氨纶、绿纤废水处理单元</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“调节+混合池+沉淀+水解酸化+氧化沟+二沉池</w:t>
            </w:r>
            <w:r>
              <w:rPr>
                <w:rFonts w:hint="eastAsia"/>
                <w:color w:val="auto"/>
                <w:lang w:val="en-US" w:eastAsia="zh-CN"/>
              </w:rPr>
              <w:t>+混凝池+终沉池</w:t>
            </w:r>
            <w:r>
              <w:rPr>
                <w:color w:val="auto"/>
              </w:rPr>
              <w:t>”</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3000</w:t>
            </w:r>
          </w:p>
        </w:tc>
        <w:tc>
          <w:tcPr>
            <w:tcW w:w="2759" w:type="dxa"/>
            <w:tcBorders>
              <w:top w:val="single" w:color="000000" w:sz="4" w:space="0"/>
              <w:left w:val="single" w:color="000000" w:sz="4" w:space="0"/>
              <w:bottom w:val="single" w:color="000000" w:sz="4" w:space="0"/>
              <w:right w:val="single" w:color="000000" w:sz="4" w:space="0"/>
            </w:tcBorders>
            <w:vAlign w:val="center"/>
          </w:tcPr>
          <w:p>
            <w:pPr>
              <w:pStyle w:val="182"/>
              <w:bidi w:val="0"/>
              <w:rPr>
                <w:rFonts w:hint="eastAsia"/>
                <w:color w:val="auto"/>
                <w:lang w:eastAsia="zh-CN"/>
              </w:rPr>
            </w:pPr>
            <w:r>
              <w:rPr>
                <w:color w:val="auto"/>
              </w:rPr>
              <w:t>绿纤废水：1711.74</w:t>
            </w:r>
            <w:r>
              <w:rPr>
                <w:rFonts w:hint="eastAsia"/>
                <w:color w:val="auto"/>
                <w:lang w:eastAsia="zh-CN"/>
              </w:rPr>
              <w:t>（</w:t>
            </w:r>
            <w:r>
              <w:rPr>
                <w:rFonts w:hint="eastAsia"/>
                <w:color w:val="auto"/>
                <w:lang w:val="en-US" w:eastAsia="zh-CN"/>
              </w:rPr>
              <w:t>2023年5月份不再接收</w:t>
            </w:r>
            <w:r>
              <w:rPr>
                <w:rFonts w:hint="eastAsia"/>
                <w:color w:val="auto"/>
                <w:lang w:eastAsia="zh-CN"/>
              </w:rPr>
              <w:t>）</w:t>
            </w:r>
          </w:p>
          <w:p>
            <w:pPr>
              <w:pStyle w:val="182"/>
              <w:bidi w:val="0"/>
              <w:rPr>
                <w:color w:val="auto"/>
              </w:rPr>
            </w:pPr>
            <w:r>
              <w:rPr>
                <w:color w:val="auto"/>
              </w:rPr>
              <w:t>氨纶废水：869.792</w:t>
            </w:r>
          </w:p>
          <w:p>
            <w:pPr>
              <w:pStyle w:val="182"/>
              <w:bidi w:val="0"/>
              <w:rPr>
                <w:rFonts w:hint="default"/>
                <w:color w:val="auto"/>
                <w:lang w:val="en-US" w:eastAsia="zh-CN"/>
              </w:rPr>
            </w:pPr>
            <w:r>
              <w:rPr>
                <w:color w:val="auto"/>
              </w:rPr>
              <w:t>合计：</w:t>
            </w:r>
            <w:r>
              <w:rPr>
                <w:rFonts w:hint="default"/>
                <w:color w:val="auto"/>
                <w:lang w:val="en-US" w:eastAsia="zh-CN"/>
              </w:rPr>
              <w:t>2581.53</w:t>
            </w:r>
          </w:p>
        </w:tc>
        <w:tc>
          <w:tcPr>
            <w:tcW w:w="997" w:type="dxa"/>
            <w:tcBorders>
              <w:top w:val="single" w:color="000000" w:sz="4" w:space="0"/>
              <w:left w:val="single" w:color="000000" w:sz="4" w:space="0"/>
              <w:bottom w:val="single" w:color="000000" w:sz="4" w:space="0"/>
            </w:tcBorders>
            <w:vAlign w:val="center"/>
          </w:tcPr>
          <w:p>
            <w:pPr>
              <w:pStyle w:val="182"/>
              <w:bidi w:val="0"/>
              <w:rPr>
                <w:rFonts w:hint="default"/>
                <w:color w:val="auto"/>
                <w:lang w:val="en-US"/>
              </w:rPr>
            </w:pPr>
            <w:r>
              <w:rPr>
                <w:rFonts w:hint="default"/>
                <w:color w:val="auto"/>
                <w:lang w:val="en-US" w:eastAsia="zh-CN"/>
              </w:rPr>
              <w:t>418.4</w:t>
            </w:r>
            <w:r>
              <w:rPr>
                <w:rFonts w:hint="eastAsia"/>
                <w:color w:val="auto"/>
                <w:lang w:val="en-US" w:eastAsia="zh-CN"/>
              </w:rPr>
              <w:t>7</w:t>
            </w:r>
          </w:p>
          <w:p>
            <w:pPr>
              <w:pStyle w:val="182"/>
              <w:bidi w:val="0"/>
              <w:rPr>
                <w:rFonts w:hint="default"/>
                <w:color w:val="auto"/>
                <w:lang w:val="en-US" w:eastAsia="zh-CN"/>
              </w:rPr>
            </w:pPr>
            <w:r>
              <w:rPr>
                <w:rFonts w:hint="eastAsia"/>
                <w:color w:val="auto"/>
                <w:lang w:val="en-US" w:eastAsia="zh-CN"/>
              </w:rPr>
              <w:t>（2023年5月后2130.21）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color w:val="auto"/>
              </w:rPr>
              <w:t>清净下水</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w:t>
            </w:r>
          </w:p>
        </w:tc>
        <w:tc>
          <w:tcPr>
            <w:tcW w:w="2759" w:type="dxa"/>
            <w:tcBorders>
              <w:top w:val="single" w:color="000000" w:sz="4" w:space="0"/>
              <w:left w:val="single" w:color="000000" w:sz="4" w:space="0"/>
              <w:bottom w:val="single" w:color="000000" w:sz="4" w:space="0"/>
              <w:right w:val="single" w:color="000000" w:sz="4" w:space="0"/>
            </w:tcBorders>
            <w:vAlign w:val="center"/>
          </w:tcPr>
          <w:p>
            <w:pPr>
              <w:pStyle w:val="182"/>
              <w:bidi w:val="0"/>
              <w:ind w:firstLine="0" w:firstLineChars="0"/>
              <w:rPr>
                <w:rFonts w:hint="eastAsia"/>
                <w:color w:val="auto"/>
                <w:lang w:val="en-US" w:eastAsia="zh-CN"/>
              </w:rPr>
            </w:pPr>
            <w:r>
              <w:rPr>
                <w:rFonts w:hint="eastAsia"/>
                <w:color w:val="auto"/>
              </w:rPr>
              <w:t>3646.82</w:t>
            </w:r>
          </w:p>
        </w:tc>
        <w:tc>
          <w:tcPr>
            <w:tcW w:w="997" w:type="dxa"/>
            <w:tcBorders>
              <w:top w:val="single" w:color="000000" w:sz="4" w:space="0"/>
              <w:left w:val="single" w:color="000000" w:sz="4" w:space="0"/>
              <w:bottom w:val="single" w:color="000000" w:sz="4" w:space="0"/>
            </w:tcBorders>
            <w:vAlign w:val="center"/>
          </w:tcPr>
          <w:p>
            <w:pPr>
              <w:pStyle w:val="182"/>
              <w:bidi w:val="0"/>
              <w:rPr>
                <w:color w:val="auto"/>
              </w:rPr>
            </w:pPr>
            <w:r>
              <w:rPr>
                <w:color w:val="auto"/>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1092" w:type="dxa"/>
            <w:tcBorders>
              <w:top w:val="single" w:color="000000" w:sz="4" w:space="0"/>
              <w:bottom w:val="single" w:color="000000" w:sz="4" w:space="0"/>
              <w:right w:val="single" w:color="000000" w:sz="4" w:space="0"/>
            </w:tcBorders>
            <w:vAlign w:val="center"/>
          </w:tcPr>
          <w:p>
            <w:pPr>
              <w:pStyle w:val="182"/>
              <w:bidi w:val="0"/>
              <w:rPr>
                <w:color w:val="auto"/>
              </w:rPr>
            </w:pPr>
            <w:r>
              <w:rPr>
                <w:color w:val="auto"/>
              </w:rPr>
              <w:t>合计</w:t>
            </w:r>
          </w:p>
        </w:tc>
        <w:tc>
          <w:tcPr>
            <w:tcW w:w="2627"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w:t>
            </w:r>
          </w:p>
        </w:tc>
        <w:tc>
          <w:tcPr>
            <w:tcW w:w="1054" w:type="dxa"/>
            <w:tcBorders>
              <w:top w:val="single" w:color="000000" w:sz="4" w:space="0"/>
              <w:left w:val="single" w:color="000000" w:sz="4" w:space="0"/>
              <w:bottom w:val="single" w:color="000000" w:sz="4" w:space="0"/>
              <w:right w:val="single" w:color="000000" w:sz="4" w:space="0"/>
            </w:tcBorders>
            <w:vAlign w:val="center"/>
          </w:tcPr>
          <w:p>
            <w:pPr>
              <w:pStyle w:val="182"/>
              <w:bidi w:val="0"/>
              <w:rPr>
                <w:color w:val="auto"/>
              </w:rPr>
            </w:pPr>
            <w:r>
              <w:rPr>
                <w:color w:val="auto"/>
              </w:rPr>
              <w:t>/</w:t>
            </w:r>
          </w:p>
        </w:tc>
        <w:tc>
          <w:tcPr>
            <w:tcW w:w="2759" w:type="dxa"/>
            <w:tcBorders>
              <w:top w:val="single" w:color="000000" w:sz="4" w:space="0"/>
              <w:left w:val="single" w:color="000000" w:sz="4" w:space="0"/>
              <w:bottom w:val="single" w:color="000000" w:sz="4" w:space="0"/>
              <w:right w:val="single" w:color="000000" w:sz="4" w:space="0"/>
            </w:tcBorders>
            <w:vAlign w:val="center"/>
          </w:tcPr>
          <w:p>
            <w:pPr>
              <w:pStyle w:val="182"/>
              <w:bidi w:val="0"/>
              <w:ind w:firstLine="0" w:firstLineChars="0"/>
              <w:rPr>
                <w:rFonts w:hint="default" w:eastAsia="宋体"/>
                <w:color w:val="auto"/>
                <w:lang w:val="en-US" w:eastAsia="zh-CN"/>
              </w:rPr>
            </w:pPr>
            <w:r>
              <w:rPr>
                <w:rFonts w:hint="eastAsia"/>
                <w:color w:val="auto"/>
              </w:rPr>
              <w:t>20998.98</w:t>
            </w:r>
          </w:p>
        </w:tc>
        <w:tc>
          <w:tcPr>
            <w:tcW w:w="997" w:type="dxa"/>
            <w:tcBorders>
              <w:top w:val="single" w:color="000000" w:sz="4" w:space="0"/>
              <w:left w:val="single" w:color="000000" w:sz="4" w:space="0"/>
              <w:bottom w:val="single" w:color="000000" w:sz="4" w:space="0"/>
            </w:tcBorders>
            <w:vAlign w:val="center"/>
          </w:tcPr>
          <w:p>
            <w:pPr>
              <w:pStyle w:val="182"/>
              <w:bidi w:val="0"/>
              <w:rPr>
                <w:color w:val="auto"/>
              </w:rPr>
            </w:pPr>
            <w:r>
              <w:rPr>
                <w:color w:val="auto"/>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4" w:hRule="atLeast"/>
          <w:jc w:val="center"/>
        </w:trPr>
        <w:tc>
          <w:tcPr>
            <w:tcW w:w="1092" w:type="dxa"/>
            <w:tcBorders>
              <w:top w:val="single" w:color="000000" w:sz="4" w:space="0"/>
              <w:right w:val="single" w:color="000000" w:sz="4" w:space="0"/>
            </w:tcBorders>
            <w:vAlign w:val="center"/>
          </w:tcPr>
          <w:p>
            <w:pPr>
              <w:pStyle w:val="182"/>
              <w:bidi w:val="0"/>
              <w:rPr>
                <w:color w:val="auto"/>
              </w:rPr>
            </w:pPr>
            <w:r>
              <w:rPr>
                <w:color w:val="auto"/>
              </w:rPr>
              <w:t>备注</w:t>
            </w:r>
          </w:p>
        </w:tc>
        <w:tc>
          <w:tcPr>
            <w:tcW w:w="7437" w:type="dxa"/>
            <w:gridSpan w:val="4"/>
            <w:tcBorders>
              <w:top w:val="single" w:color="000000" w:sz="4" w:space="0"/>
              <w:left w:val="single" w:color="000000" w:sz="4" w:space="0"/>
            </w:tcBorders>
            <w:vAlign w:val="center"/>
          </w:tcPr>
          <w:p>
            <w:pPr>
              <w:pStyle w:val="182"/>
              <w:bidi w:val="0"/>
              <w:rPr>
                <w:color w:val="auto"/>
              </w:rPr>
            </w:pPr>
            <w:r>
              <w:rPr>
                <w:color w:val="auto"/>
              </w:rPr>
              <w:t>已接收废水考虑了现有厂区（包括绿纤）已建、在建及停产的所有项目废水</w:t>
            </w:r>
          </w:p>
        </w:tc>
      </w:tr>
    </w:tbl>
    <w:p>
      <w:pPr>
        <w:pStyle w:val="182"/>
        <w:bidi w:val="0"/>
        <w:jc w:val="both"/>
        <w:rPr>
          <w:rFonts w:hint="default"/>
          <w:color w:val="auto"/>
          <w:lang w:val="en-US" w:eastAsia="zh-CN"/>
        </w:rPr>
      </w:pPr>
      <w:r>
        <w:rPr>
          <w:rFonts w:hint="eastAsia"/>
          <w:color w:val="auto"/>
          <w:lang w:val="en-US" w:eastAsia="zh-CN"/>
        </w:rPr>
        <w:t>注：绿纤公司已自建污水处理厂，于2023年5月投入使用</w:t>
      </w:r>
    </w:p>
    <w:p>
      <w:pPr>
        <w:bidi w:val="0"/>
        <w:rPr>
          <w:rFonts w:hint="default" w:eastAsia="宋体"/>
          <w:color w:val="auto"/>
          <w:lang w:val="en-US" w:eastAsia="zh-CN"/>
        </w:rPr>
      </w:pPr>
      <w:r>
        <w:rPr>
          <w:rFonts w:hint="eastAsia"/>
          <w:color w:val="auto"/>
        </w:rPr>
        <w:t>本项目废水产生量为</w:t>
      </w:r>
      <w:r>
        <w:rPr>
          <w:rFonts w:hint="eastAsia"/>
          <w:color w:val="auto"/>
          <w:lang w:val="en-US" w:eastAsia="zh-CN"/>
        </w:rPr>
        <w:t xml:space="preserve">947.73 </w:t>
      </w:r>
      <w:r>
        <w:rPr>
          <w:rFonts w:hint="eastAsia"/>
          <w:color w:val="auto"/>
        </w:rPr>
        <w:t>m</w:t>
      </w:r>
      <w:r>
        <w:rPr>
          <w:color w:val="auto"/>
          <w:vertAlign w:val="superscript"/>
        </w:rPr>
        <w:t>3</w:t>
      </w:r>
      <w:r>
        <w:rPr>
          <w:color w:val="auto"/>
        </w:rPr>
        <w:t>/d</w:t>
      </w:r>
      <w:r>
        <w:rPr>
          <w:rFonts w:hint="eastAsia"/>
          <w:color w:val="auto"/>
        </w:rPr>
        <w:t>，由上表可知，项目厂区污水处理站污水处理能力可以满足本项目排水需求。本项目和公司</w:t>
      </w:r>
      <w:r>
        <w:rPr>
          <w:rFonts w:hint="eastAsia"/>
          <w:color w:val="auto"/>
          <w:lang w:val="en-US" w:eastAsia="zh-CN"/>
        </w:rPr>
        <w:t>氨纶</w:t>
      </w:r>
      <w:r>
        <w:rPr>
          <w:rFonts w:hint="eastAsia"/>
          <w:color w:val="auto"/>
        </w:rPr>
        <w:t>废水共用污水处理站的“</w:t>
      </w:r>
      <w:r>
        <w:rPr>
          <w:color w:val="auto"/>
        </w:rPr>
        <w:t>氨纶、绿纤废水处理单元</w:t>
      </w:r>
      <w:r>
        <w:rPr>
          <w:rFonts w:hint="eastAsia"/>
          <w:color w:val="auto"/>
        </w:rPr>
        <w:t>”，该单元处理工艺为：“</w:t>
      </w:r>
      <w:r>
        <w:rPr>
          <w:rFonts w:hint="eastAsia"/>
          <w:color w:val="auto"/>
          <w:lang w:val="en-US" w:eastAsia="zh-CN"/>
        </w:rPr>
        <w:t>调节+混合池+沉淀+水解酸化+氧化沟+二沉池+混凝池+终沉池</w:t>
      </w:r>
      <w:r>
        <w:rPr>
          <w:rFonts w:hint="eastAsia"/>
          <w:color w:val="auto"/>
        </w:rPr>
        <w:t>”，经处理后，本项目产生的pH、COD、SS均可满足排放标准，保证出水水质达标。</w:t>
      </w:r>
    </w:p>
    <w:p>
      <w:pPr>
        <w:adjustRightInd w:val="0"/>
        <w:spacing w:line="520" w:lineRule="exact"/>
        <w:jc w:val="left"/>
        <w:outlineLvl w:val="3"/>
        <w:rPr>
          <w:b/>
          <w:bCs/>
          <w:color w:val="auto"/>
        </w:rPr>
      </w:pPr>
      <w:r>
        <w:rPr>
          <w:rFonts w:hint="eastAsia"/>
          <w:b/>
          <w:bCs/>
          <w:color w:val="auto"/>
        </w:rPr>
        <w:t>6.</w:t>
      </w:r>
      <w:r>
        <w:rPr>
          <w:b/>
          <w:bCs/>
          <w:color w:val="auto"/>
        </w:rPr>
        <w:t>2.</w:t>
      </w:r>
      <w:r>
        <w:rPr>
          <w:rFonts w:hint="eastAsia"/>
          <w:b/>
          <w:bCs/>
          <w:color w:val="auto"/>
        </w:rPr>
        <w:t>1.</w:t>
      </w:r>
      <w:r>
        <w:rPr>
          <w:b/>
          <w:bCs/>
          <w:color w:val="auto"/>
        </w:rPr>
        <w:t>3</w:t>
      </w:r>
      <w:r>
        <w:rPr>
          <w:rFonts w:hint="eastAsia"/>
          <w:b/>
          <w:bCs/>
          <w:color w:val="auto"/>
        </w:rPr>
        <w:t>达标分析</w:t>
      </w:r>
    </w:p>
    <w:p>
      <w:pPr>
        <w:numPr>
          <w:ilvl w:val="0"/>
          <w:numId w:val="17"/>
        </w:numPr>
        <w:spacing w:line="500" w:lineRule="exact"/>
        <w:ind w:firstLine="482"/>
      </w:pPr>
      <w:r>
        <w:rPr>
          <w:rFonts w:hint="eastAsia"/>
          <w:color w:val="auto"/>
        </w:rPr>
        <w:t>现有工程</w:t>
      </w:r>
    </w:p>
    <w:p>
      <w:pPr>
        <w:spacing w:line="500" w:lineRule="exact"/>
        <w:ind w:firstLine="482"/>
        <w:rPr>
          <w:color w:val="FF0000"/>
        </w:rPr>
      </w:pPr>
      <w:r>
        <w:rPr>
          <w:rFonts w:hint="eastAsia"/>
          <w:color w:val="auto"/>
        </w:rPr>
        <w:t>根据新乡化纤提供的厂区内污水处理站的在线监测数据，出水中污染物的最大浓度分别为：COD</w:t>
      </w:r>
      <w:r>
        <w:rPr>
          <w:color w:val="auto"/>
        </w:rPr>
        <w:t xml:space="preserve"> </w:t>
      </w:r>
      <w:r>
        <w:rPr>
          <w:rFonts w:hint="eastAsia"/>
          <w:color w:val="auto"/>
        </w:rPr>
        <w:t>132.08mg/L、NH</w:t>
      </w:r>
      <w:r>
        <w:rPr>
          <w:rFonts w:hint="eastAsia"/>
          <w:color w:val="auto"/>
          <w:vertAlign w:val="subscript"/>
        </w:rPr>
        <w:t>3</w:t>
      </w:r>
      <w:r>
        <w:rPr>
          <w:rFonts w:hint="eastAsia"/>
          <w:color w:val="auto"/>
        </w:rPr>
        <w:t>-N</w:t>
      </w:r>
      <w:r>
        <w:rPr>
          <w:color w:val="auto"/>
        </w:rPr>
        <w:t xml:space="preserve"> </w:t>
      </w:r>
      <w:r>
        <w:rPr>
          <w:rFonts w:hint="eastAsia"/>
          <w:color w:val="auto"/>
        </w:rPr>
        <w:t>11.02mg/L、TP</w:t>
      </w:r>
      <w:r>
        <w:rPr>
          <w:color w:val="auto"/>
        </w:rPr>
        <w:t xml:space="preserve"> </w:t>
      </w:r>
      <w:r>
        <w:rPr>
          <w:rFonts w:hint="eastAsia"/>
          <w:color w:val="auto"/>
        </w:rPr>
        <w:t>0.29mg/L、TN</w:t>
      </w:r>
      <w:r>
        <w:rPr>
          <w:color w:val="auto"/>
        </w:rPr>
        <w:t xml:space="preserve"> </w:t>
      </w:r>
      <w:r>
        <w:rPr>
          <w:rFonts w:hint="eastAsia"/>
          <w:color w:val="auto"/>
        </w:rPr>
        <w:t>27.13mg/L，能够满足排污许可证废水污染物最高允许排放浓度及小店污水处理厂收水标准的要求COD</w:t>
      </w:r>
      <w:r>
        <w:rPr>
          <w:color w:val="auto"/>
        </w:rPr>
        <w:t xml:space="preserve"> </w:t>
      </w:r>
      <w:r>
        <w:rPr>
          <w:rFonts w:hint="eastAsia"/>
          <w:color w:val="auto"/>
        </w:rPr>
        <w:t>300mg/L、NH</w:t>
      </w:r>
      <w:r>
        <w:rPr>
          <w:rFonts w:hint="eastAsia"/>
          <w:color w:val="auto"/>
          <w:vertAlign w:val="subscript"/>
        </w:rPr>
        <w:t>3</w:t>
      </w:r>
      <w:r>
        <w:rPr>
          <w:rFonts w:hint="eastAsia"/>
          <w:color w:val="auto"/>
        </w:rPr>
        <w:t>-N</w:t>
      </w:r>
      <w:r>
        <w:rPr>
          <w:color w:val="auto"/>
        </w:rPr>
        <w:t xml:space="preserve"> </w:t>
      </w:r>
      <w:r>
        <w:rPr>
          <w:rFonts w:hint="eastAsia"/>
          <w:color w:val="auto"/>
          <w:lang w:val="en-US" w:eastAsia="zh-CN"/>
        </w:rPr>
        <w:t>1</w:t>
      </w:r>
      <w:r>
        <w:rPr>
          <w:rFonts w:hint="eastAsia"/>
          <w:color w:val="auto"/>
        </w:rPr>
        <w:t>5mg/L、TP</w:t>
      </w:r>
      <w:r>
        <w:rPr>
          <w:color w:val="auto"/>
        </w:rPr>
        <w:t xml:space="preserve"> </w:t>
      </w:r>
      <w:r>
        <w:rPr>
          <w:rFonts w:hint="eastAsia"/>
          <w:color w:val="auto"/>
        </w:rPr>
        <w:t>1.0mg/L</w:t>
      </w:r>
      <w:r>
        <w:rPr>
          <w:rFonts w:hint="eastAsia"/>
          <w:color w:val="auto"/>
          <w:lang w:eastAsia="zh-CN"/>
        </w:rPr>
        <w:t>、</w:t>
      </w:r>
      <w:r>
        <w:rPr>
          <w:rFonts w:hint="eastAsia"/>
          <w:color w:val="auto"/>
        </w:rPr>
        <w:t>TN</w:t>
      </w:r>
      <w:r>
        <w:rPr>
          <w:color w:val="auto"/>
        </w:rPr>
        <w:t xml:space="preserve"> </w:t>
      </w:r>
      <w:r>
        <w:rPr>
          <w:rFonts w:hint="eastAsia"/>
          <w:color w:val="auto"/>
        </w:rPr>
        <w:t>40mg/L</w:t>
      </w:r>
      <w:r>
        <w:rPr>
          <w:rFonts w:hint="eastAsia"/>
          <w:color w:val="auto"/>
          <w:lang w:eastAsia="zh-CN"/>
        </w:rPr>
        <w:t>。</w:t>
      </w:r>
    </w:p>
    <w:p>
      <w:pPr>
        <w:spacing w:line="500" w:lineRule="exact"/>
        <w:ind w:firstLine="482"/>
        <w:rPr>
          <w:color w:val="auto"/>
        </w:rPr>
      </w:pPr>
      <w:r>
        <w:rPr>
          <w:rFonts w:hint="eastAsia"/>
          <w:color w:val="auto"/>
        </w:rPr>
        <w:t>根据公司年产3</w:t>
      </w:r>
      <w:r>
        <w:rPr>
          <w:color w:val="auto"/>
        </w:rPr>
        <w:t>×</w:t>
      </w:r>
      <w:r>
        <w:rPr>
          <w:rFonts w:hint="eastAsia"/>
          <w:color w:val="auto"/>
        </w:rPr>
        <w:t>2万吨超细旦氨纶纤维项目（二期工程）验收监测报告中相关数据，厂区污水处理站外排废水中DMAC的检测值为未检出。新乡化纤厂化验室对厂区污水处理站总排口废水监测结果，DMAC浓度为2.16mg/L~3.12mg/L，平均值为2.78mg/L，满足前苏联（1975）水体中二甲基甲酰胺有害物质最高允许浓度10mg/L的标准。</w:t>
      </w:r>
    </w:p>
    <w:p>
      <w:pPr>
        <w:bidi w:val="0"/>
      </w:pPr>
      <w:r>
        <w:rPr>
          <w:rFonts w:hint="eastAsia"/>
        </w:rPr>
        <w:t>（2）在建工程建成后</w:t>
      </w:r>
    </w:p>
    <w:p>
      <w:pPr>
        <w:bidi w:val="0"/>
      </w:pPr>
      <w:r>
        <w:rPr>
          <w:rFonts w:hint="eastAsia"/>
        </w:rPr>
        <w:t>根据在建项目的环评，在建项目主要为氨纶纤维项目、再生氨纶项目和长丝项目。企业设计将氨纶生产工艺废水送入现有厂区污水处理站“氨纶</w:t>
      </w:r>
      <w:r>
        <w:rPr>
          <w:rFonts w:hint="eastAsia"/>
          <w:lang w:eastAsia="zh-CN"/>
        </w:rPr>
        <w:t>、</w:t>
      </w:r>
      <w:r>
        <w:rPr>
          <w:rFonts w:hint="eastAsia"/>
        </w:rPr>
        <w:t>绿纤处理单元”进行处置，污水处理站处理工艺为“调节+混合池+沉淀+水解酸化+氧化沟+二沉池+混凝池+终沉池”，将长丝工程废水采用分质分类处理，其中粘胶废水先进入酸化池内与少量酸性废水混合降低有机物浓度，经“调节+中和+沉淀+氧化沟+二沉池”处理，长丝酸性废水经“中和+沉淀”处理，处理后同厂区其他处理后的废水以及脱盐水产生的废水混合，外排进入厂外污水管网，最终进入小店污水处理厂进行处置；根据环评预测结果，外排废水水质可以满足新乡市小店污水处理厂收水标准、新乡市生态环境局文件及《污水综合排放标准》（GB8978-1996）表4</w:t>
      </w:r>
      <w:r>
        <w:rPr>
          <w:rFonts w:hint="eastAsia"/>
          <w:lang w:val="en-US" w:eastAsia="zh-CN"/>
        </w:rPr>
        <w:t>二级</w:t>
      </w:r>
      <w:r>
        <w:rPr>
          <w:rFonts w:hint="eastAsia"/>
        </w:rPr>
        <w:t>（化纤浆粕工业）标准要求。</w:t>
      </w:r>
    </w:p>
    <w:p>
      <w:pPr>
        <w:bidi w:val="0"/>
        <w:rPr>
          <w:color w:val="auto"/>
        </w:rPr>
      </w:pPr>
      <w:r>
        <w:rPr>
          <w:rFonts w:hint="eastAsia"/>
          <w:color w:val="auto"/>
        </w:rPr>
        <w:t>（3）本工程建成后</w:t>
      </w:r>
    </w:p>
    <w:p>
      <w:pPr>
        <w:bidi w:val="0"/>
        <w:rPr>
          <w:rFonts w:hint="eastAsia"/>
          <w:color w:val="auto"/>
        </w:rPr>
      </w:pPr>
      <w:r>
        <w:rPr>
          <w:rFonts w:hint="eastAsia"/>
          <w:color w:val="auto"/>
        </w:rPr>
        <w:t>本项目建成后废水产生量为</w:t>
      </w:r>
      <w:r>
        <w:rPr>
          <w:rFonts w:hint="eastAsia"/>
          <w:color w:val="auto"/>
          <w:lang w:val="en-US" w:eastAsia="zh-CN"/>
        </w:rPr>
        <w:t>947.73</w:t>
      </w:r>
      <w:r>
        <w:rPr>
          <w:rFonts w:hint="eastAsia"/>
          <w:color w:val="auto"/>
        </w:rPr>
        <w:t>m</w:t>
      </w:r>
      <w:r>
        <w:rPr>
          <w:rFonts w:hint="eastAsia"/>
          <w:color w:val="auto"/>
          <w:vertAlign w:val="superscript"/>
        </w:rPr>
        <w:t>3</w:t>
      </w:r>
      <w:r>
        <w:rPr>
          <w:rFonts w:hint="eastAsia"/>
          <w:color w:val="auto"/>
        </w:rPr>
        <w:t>/d，根据企业提供</w:t>
      </w:r>
      <w:r>
        <w:rPr>
          <w:rFonts w:hint="eastAsia"/>
          <w:color w:val="auto"/>
          <w:lang w:val="en-US" w:eastAsia="zh-CN"/>
        </w:rPr>
        <w:t>资料</w:t>
      </w:r>
      <w:r>
        <w:rPr>
          <w:rFonts w:hint="eastAsia"/>
          <w:color w:val="auto"/>
        </w:rPr>
        <w:t>，生产废水排入氨纶、绿纤废水处理单元，处理工艺为“调节+混合池+沉淀+水解酸化+氧化沟+二沉池</w:t>
      </w:r>
      <w:r>
        <w:rPr>
          <w:rFonts w:hint="eastAsia"/>
          <w:color w:val="auto"/>
          <w:lang w:val="en-US" w:eastAsia="zh-CN"/>
        </w:rPr>
        <w:t>+混凝池+终沉池</w:t>
      </w:r>
      <w:r>
        <w:rPr>
          <w:rFonts w:hint="eastAsia"/>
          <w:color w:val="auto"/>
        </w:rPr>
        <w:t>”。根据企业提供</w:t>
      </w:r>
      <w:r>
        <w:rPr>
          <w:rFonts w:hint="eastAsia"/>
          <w:color w:val="auto"/>
          <w:lang w:val="en-US" w:eastAsia="zh-CN"/>
        </w:rPr>
        <w:t>资料，</w:t>
      </w:r>
      <w:r>
        <w:rPr>
          <w:rFonts w:hint="eastAsia"/>
          <w:color w:val="auto"/>
        </w:rPr>
        <w:t>绿纤公司已自建污水处理站，2023年5月份投入使用，届时新厂区污水处理站不再接收来自绿纤公司的所有废水，氨纶、绿纤废水处理单元富余处理能力为2130.21，满足本项目的</w:t>
      </w:r>
      <w:r>
        <w:rPr>
          <w:rFonts w:hint="eastAsia"/>
          <w:color w:val="auto"/>
          <w:lang w:val="en-US" w:eastAsia="zh-CN"/>
        </w:rPr>
        <w:t>处理</w:t>
      </w:r>
      <w:r>
        <w:rPr>
          <w:rFonts w:hint="eastAsia"/>
          <w:color w:val="auto"/>
        </w:rPr>
        <w:t>需求。</w:t>
      </w:r>
    </w:p>
    <w:p>
      <w:pPr>
        <w:bidi w:val="0"/>
        <w:rPr>
          <w:color w:val="auto"/>
        </w:rPr>
      </w:pPr>
      <w:r>
        <w:rPr>
          <w:rFonts w:hint="eastAsia"/>
          <w:color w:val="auto"/>
        </w:rPr>
        <w:t>根据新乡化纤股份有限公司新厂区3.8万t/d污水处理站202</w:t>
      </w:r>
      <w:r>
        <w:rPr>
          <w:color w:val="auto"/>
        </w:rPr>
        <w:t>2</w:t>
      </w:r>
      <w:r>
        <w:rPr>
          <w:rFonts w:hint="eastAsia"/>
          <w:color w:val="auto"/>
        </w:rPr>
        <w:t>年</w:t>
      </w:r>
      <w:r>
        <w:rPr>
          <w:color w:val="auto"/>
        </w:rPr>
        <w:t>10</w:t>
      </w:r>
      <w:r>
        <w:rPr>
          <w:rFonts w:hint="eastAsia"/>
          <w:color w:val="auto"/>
        </w:rPr>
        <w:t>月-</w:t>
      </w:r>
      <w:r>
        <w:rPr>
          <w:color w:val="auto"/>
        </w:rPr>
        <w:t>11</w:t>
      </w:r>
      <w:r>
        <w:rPr>
          <w:rFonts w:hint="eastAsia"/>
          <w:color w:val="auto"/>
        </w:rPr>
        <w:t>月的在线监测数据</w:t>
      </w:r>
      <w:r>
        <w:rPr>
          <w:rFonts w:hint="eastAsia"/>
          <w:color w:val="auto"/>
          <w:lang w:eastAsia="zh-CN"/>
        </w:rPr>
        <w:t>，</w:t>
      </w:r>
      <w:r>
        <w:rPr>
          <w:rFonts w:hint="eastAsia"/>
          <w:color w:val="auto"/>
          <w:lang w:val="en-US" w:eastAsia="zh-CN"/>
        </w:rPr>
        <w:t>以及</w:t>
      </w:r>
      <w:r>
        <w:rPr>
          <w:rFonts w:hint="eastAsia"/>
          <w:color w:val="auto"/>
        </w:rPr>
        <w:t>本项目达产后生产废水</w:t>
      </w:r>
      <w:r>
        <w:rPr>
          <w:rFonts w:hint="eastAsia"/>
          <w:color w:val="auto"/>
          <w:lang w:val="en-US" w:eastAsia="zh-CN"/>
        </w:rPr>
        <w:t>水质状况</w:t>
      </w:r>
      <w:r>
        <w:rPr>
          <w:rFonts w:hint="eastAsia"/>
          <w:color w:val="auto"/>
        </w:rPr>
        <w:t>，可以认为本项目建成后对新乡化纤股份有限公司新厂区3.8万t/d污水处理站总排口的出水水质基本没有影响，总排口的水质</w:t>
      </w:r>
      <w:r>
        <w:rPr>
          <w:rFonts w:hint="eastAsia"/>
          <w:color w:val="auto"/>
          <w:lang w:val="en-US" w:eastAsia="zh-CN"/>
        </w:rPr>
        <w:t>基本</w:t>
      </w:r>
      <w:r>
        <w:rPr>
          <w:rFonts w:hint="eastAsia"/>
          <w:color w:val="auto"/>
        </w:rPr>
        <w:t>不变。</w:t>
      </w:r>
    </w:p>
    <w:p>
      <w:pPr>
        <w:bidi w:val="0"/>
        <w:rPr>
          <w:color w:val="auto"/>
        </w:rPr>
      </w:pPr>
      <w:r>
        <w:rPr>
          <w:rFonts w:hint="eastAsia"/>
          <w:color w:val="auto"/>
        </w:rPr>
        <w:t>综上，本项目新增废水排入厂区现有污水处理站处理是可行的。</w:t>
      </w:r>
    </w:p>
    <w:p>
      <w:pPr>
        <w:adjustRightInd w:val="0"/>
        <w:spacing w:line="520" w:lineRule="exact"/>
        <w:jc w:val="left"/>
        <w:outlineLvl w:val="3"/>
        <w:rPr>
          <w:b/>
          <w:bCs/>
          <w:color w:val="auto"/>
        </w:rPr>
      </w:pPr>
      <w:r>
        <w:rPr>
          <w:rFonts w:hint="eastAsia"/>
          <w:b/>
          <w:bCs/>
          <w:color w:val="auto"/>
        </w:rPr>
        <w:t>6.</w:t>
      </w:r>
      <w:r>
        <w:rPr>
          <w:b/>
          <w:bCs/>
          <w:color w:val="auto"/>
        </w:rPr>
        <w:t>2.</w:t>
      </w:r>
      <w:r>
        <w:rPr>
          <w:rFonts w:hint="eastAsia"/>
          <w:b/>
          <w:bCs/>
          <w:color w:val="auto"/>
        </w:rPr>
        <w:t>1.4项目新增废水进入小店污水处理厂可行性分析</w:t>
      </w:r>
    </w:p>
    <w:p>
      <w:pPr>
        <w:pStyle w:val="142"/>
        <w:ind w:firstLine="480"/>
        <w:rPr>
          <w:rFonts w:ascii="Times New Roman" w:hAnsi="Times New Roman" w:cs="Times New Roman"/>
          <w:bCs/>
          <w:color w:val="auto"/>
        </w:rPr>
      </w:pPr>
      <w:r>
        <w:rPr>
          <w:rFonts w:hint="eastAsia" w:ascii="Times New Roman" w:hAnsi="Times New Roman" w:cs="Times New Roman"/>
          <w:bCs/>
          <w:color w:val="auto"/>
        </w:rPr>
        <w:t>小店污水处理厂位于新长北线以北、东三干渠以西，紧邻规划区西边界，设计处理规模为10万m</w:t>
      </w:r>
      <w:r>
        <w:rPr>
          <w:rFonts w:hint="eastAsia" w:ascii="Times New Roman" w:hAnsi="Times New Roman" w:cs="Times New Roman"/>
          <w:bCs/>
          <w:color w:val="auto"/>
          <w:vertAlign w:val="superscript"/>
        </w:rPr>
        <w:t>3</w:t>
      </w:r>
      <w:r>
        <w:rPr>
          <w:rFonts w:hint="eastAsia" w:ascii="Times New Roman" w:hAnsi="Times New Roman" w:cs="Times New Roman"/>
          <w:bCs/>
          <w:color w:val="auto"/>
        </w:rPr>
        <w:t>/d，分两期建设。一期5万m</w:t>
      </w:r>
      <w:r>
        <w:rPr>
          <w:rFonts w:hint="eastAsia" w:ascii="Times New Roman" w:hAnsi="Times New Roman" w:cs="Times New Roman"/>
          <w:bCs/>
          <w:color w:val="auto"/>
          <w:vertAlign w:val="superscript"/>
        </w:rPr>
        <w:t>3</w:t>
      </w:r>
      <w:r>
        <w:rPr>
          <w:rFonts w:hint="eastAsia" w:ascii="Times New Roman" w:hAnsi="Times New Roman" w:cs="Times New Roman"/>
          <w:bCs/>
          <w:color w:val="auto"/>
        </w:rPr>
        <w:t>/d目前已运行多年，目前接近满负荷运营，二期工程已于2018年1月开始调试运行。小店污水处理厂的收水范围为小店新城生活污水、新乡市经济技术开发区的工业和生活污水，本项目属于小店污水处理厂的收水范围。</w:t>
      </w:r>
    </w:p>
    <w:p>
      <w:pPr>
        <w:pStyle w:val="142"/>
        <w:ind w:firstLine="480"/>
        <w:rPr>
          <w:rFonts w:ascii="Times New Roman" w:hAnsi="Times New Roman" w:cs="Times New Roman"/>
          <w:bCs/>
          <w:color w:val="auto"/>
        </w:rPr>
      </w:pPr>
      <w:r>
        <w:rPr>
          <w:rFonts w:hint="eastAsia" w:ascii="Times New Roman" w:hAnsi="Times New Roman" w:cs="Times New Roman"/>
          <w:bCs/>
          <w:color w:val="auto"/>
        </w:rPr>
        <w:t>本项目废水经厂区污水处理系统处理后排入小店污水处理厂进一步处理，处理后排入大沙河。经查阅小店污水处理厂在线监测信息，该污水处理厂现最大进水量为7.81万m</w:t>
      </w:r>
      <w:r>
        <w:rPr>
          <w:rFonts w:hint="eastAsia" w:ascii="Times New Roman" w:hAnsi="Times New Roman" w:cs="Times New Roman"/>
          <w:bCs/>
          <w:color w:val="auto"/>
          <w:vertAlign w:val="superscript"/>
        </w:rPr>
        <w:t>3</w:t>
      </w:r>
      <w:r>
        <w:rPr>
          <w:rFonts w:hint="eastAsia" w:ascii="Times New Roman" w:hAnsi="Times New Roman" w:cs="Times New Roman"/>
          <w:bCs/>
          <w:color w:val="auto"/>
        </w:rPr>
        <w:t>，小店污水处理厂尚有2.19万m</w:t>
      </w:r>
      <w:r>
        <w:rPr>
          <w:rFonts w:hint="eastAsia" w:ascii="Times New Roman" w:hAnsi="Times New Roman" w:cs="Times New Roman"/>
          <w:bCs/>
          <w:color w:val="auto"/>
          <w:vertAlign w:val="superscript"/>
        </w:rPr>
        <w:t>3</w:t>
      </w:r>
      <w:r>
        <w:rPr>
          <w:rFonts w:hint="eastAsia" w:ascii="Times New Roman" w:hAnsi="Times New Roman" w:cs="Times New Roman"/>
          <w:bCs/>
          <w:color w:val="auto"/>
        </w:rPr>
        <w:t>/d的余量。本项目新增外排废水</w:t>
      </w:r>
      <w:r>
        <w:rPr>
          <w:rFonts w:hint="eastAsia" w:ascii="Times New Roman" w:hAnsi="Times New Roman" w:cs="Times New Roman"/>
          <w:bCs/>
          <w:color w:val="auto"/>
          <w:lang w:val="en-US" w:eastAsia="zh-CN"/>
        </w:rPr>
        <w:t>947.73</w:t>
      </w:r>
      <w:r>
        <w:rPr>
          <w:rFonts w:hint="eastAsia" w:ascii="Times New Roman" w:hAnsi="Times New Roman" w:cs="Times New Roman"/>
          <w:bCs/>
          <w:color w:val="auto"/>
        </w:rPr>
        <w:t>m</w:t>
      </w:r>
      <w:r>
        <w:rPr>
          <w:rFonts w:hint="eastAsia" w:ascii="Times New Roman" w:hAnsi="Times New Roman" w:cs="Times New Roman"/>
          <w:bCs/>
          <w:color w:val="auto"/>
          <w:vertAlign w:val="superscript"/>
        </w:rPr>
        <w:t>3</w:t>
      </w:r>
      <w:r>
        <w:rPr>
          <w:rFonts w:hint="eastAsia" w:ascii="Times New Roman" w:hAnsi="Times New Roman" w:cs="Times New Roman"/>
          <w:bCs/>
          <w:color w:val="auto"/>
        </w:rPr>
        <w:t>/d，约占剩余处理能力的</w:t>
      </w:r>
      <w:r>
        <w:rPr>
          <w:rFonts w:hint="eastAsia" w:ascii="Times New Roman" w:hAnsi="Times New Roman" w:cs="Times New Roman"/>
          <w:bCs/>
          <w:color w:val="auto"/>
          <w:lang w:val="en-US" w:eastAsia="zh-CN"/>
        </w:rPr>
        <w:t>4.33</w:t>
      </w:r>
      <w:r>
        <w:rPr>
          <w:rFonts w:hint="eastAsia" w:ascii="Times New Roman" w:hAnsi="Times New Roman" w:cs="Times New Roman"/>
          <w:bCs/>
          <w:color w:val="auto"/>
        </w:rPr>
        <w:t>%，满足项目处理的需要，不会对污水处理厂造成冲击，可以稳定达标排放。</w:t>
      </w:r>
    </w:p>
    <w:p>
      <w:pPr>
        <w:pStyle w:val="142"/>
        <w:ind w:firstLine="480"/>
        <w:rPr>
          <w:rFonts w:ascii="Times New Roman" w:hAnsi="Times New Roman" w:cs="Times New Roman"/>
          <w:bCs/>
          <w:color w:val="auto"/>
        </w:rPr>
      </w:pPr>
      <w:r>
        <w:rPr>
          <w:rFonts w:hint="eastAsia" w:ascii="Times New Roman" w:hAnsi="Times New Roman" w:cs="Times New Roman"/>
          <w:bCs/>
          <w:color w:val="auto"/>
        </w:rPr>
        <w:t>小店污水处理厂管网铺设已完善并运行良好，本工程废水进入小店污水处理厂不存在管网制约因素。</w:t>
      </w:r>
    </w:p>
    <w:p>
      <w:pPr>
        <w:spacing w:line="500" w:lineRule="exact"/>
        <w:ind w:firstLine="482"/>
        <w:rPr>
          <w:color w:val="auto"/>
        </w:rPr>
      </w:pPr>
      <w:r>
        <w:rPr>
          <w:rFonts w:hint="eastAsia"/>
          <w:color w:val="auto"/>
        </w:rPr>
        <w:t>综上所述，评价认为本项目废水经厂内污水处理站处理后经市政管网排入小店污水处理厂处理是可行的。</w:t>
      </w:r>
    </w:p>
    <w:p>
      <w:pPr>
        <w:pStyle w:val="9"/>
        <w:bidi w:val="0"/>
        <w:rPr>
          <w:color w:val="auto"/>
        </w:rPr>
      </w:pPr>
      <w:r>
        <w:rPr>
          <w:rFonts w:hint="eastAsia"/>
          <w:color w:val="auto"/>
        </w:rPr>
        <w:t>6.</w:t>
      </w:r>
      <w:r>
        <w:rPr>
          <w:color w:val="auto"/>
        </w:rPr>
        <w:t>2.</w:t>
      </w:r>
      <w:r>
        <w:rPr>
          <w:rFonts w:hint="eastAsia"/>
          <w:color w:val="auto"/>
        </w:rPr>
        <w:t>2废气污染防治措施可行性分析</w:t>
      </w:r>
    </w:p>
    <w:p>
      <w:pPr>
        <w:pStyle w:val="10"/>
        <w:bidi w:val="0"/>
        <w:rPr>
          <w:color w:val="auto"/>
        </w:rPr>
      </w:pPr>
      <w:r>
        <w:rPr>
          <w:rFonts w:hint="eastAsia"/>
          <w:color w:val="auto"/>
        </w:rPr>
        <w:t>6</w:t>
      </w:r>
      <w:r>
        <w:rPr>
          <w:color w:val="auto"/>
        </w:rPr>
        <w:t>.2.2.1</w:t>
      </w:r>
      <w:r>
        <w:rPr>
          <w:rFonts w:hint="eastAsia"/>
          <w:color w:val="auto"/>
        </w:rPr>
        <w:t>蒸煮废气防治技术分析</w:t>
      </w:r>
    </w:p>
    <w:p>
      <w:pPr>
        <w:bidi w:val="0"/>
        <w:rPr>
          <w:color w:val="auto"/>
        </w:rPr>
      </w:pPr>
      <w:r>
        <w:rPr>
          <w:rFonts w:hint="eastAsia"/>
          <w:color w:val="auto"/>
        </w:rPr>
        <w:t>本项目菌草采用立式蒸煮器进行蒸煮处理，蒸煮后的浆料喷放至喷放锅，在喷放过程中会产生大量的湿热废气，这部分废气主要是水蒸气，并混有少量黑液中的臭气（主要成分为蒸煮过程中产生的挥发性有机硫化物），温度约1</w:t>
      </w:r>
      <w:r>
        <w:rPr>
          <w:color w:val="auto"/>
        </w:rPr>
        <w:t>70</w:t>
      </w:r>
      <w:r>
        <w:rPr>
          <w:rFonts w:hint="eastAsia"/>
          <w:color w:val="auto"/>
        </w:rPr>
        <w:t>℃，通过在设备顶部配套的管道风机抽至五效蒸发器进行余热回收利用。</w:t>
      </w:r>
    </w:p>
    <w:p>
      <w:pPr>
        <w:bidi w:val="0"/>
        <w:rPr>
          <w:color w:val="auto"/>
        </w:rPr>
      </w:pPr>
      <w:r>
        <w:rPr>
          <w:rFonts w:hint="eastAsia"/>
          <w:color w:val="auto"/>
        </w:rPr>
        <w:t>五效蒸发器由真空泵、冷凝水泵、操作平台、各效蒸发分离器、冷凝器、电器仪表控制柜、各效强制循环泵、各种料液输送泵及界内管道阀门等组成，其工作原理是在真空的状态下，利用一定抽气量的真空泵对系统进行抽真空，抽取系统中的不凝体，使系统处于负压状态，实现低温蒸发。同时能够利用一效的二次蒸汽，并对二效进行加热，二效产生的二次蒸汽被三效利用，三效产生的二次蒸汽给四效进行加热，四效产生的二次蒸汽给五效进行加热，五效产生的二次蒸汽被冷凝处理，冷凝水回用于水洗、漂白工序。</w:t>
      </w:r>
    </w:p>
    <w:p>
      <w:pPr>
        <w:bidi w:val="0"/>
        <w:rPr>
          <w:color w:val="auto"/>
        </w:rPr>
      </w:pPr>
      <w:r>
        <w:rPr>
          <w:rFonts w:hint="eastAsia"/>
          <w:color w:val="auto"/>
        </w:rPr>
        <w:t>在开盖过程中会有少量臭气散发，通过保持车间密闭状态，同时通过增加车间换气次数，保持车间微负压的状态，提高</w:t>
      </w:r>
      <w:r>
        <w:rPr>
          <w:rFonts w:hint="eastAsia"/>
          <w:color w:val="auto"/>
          <w:lang w:val="en-US" w:eastAsia="zh-CN"/>
        </w:rPr>
        <w:t>排风</w:t>
      </w:r>
      <w:r>
        <w:rPr>
          <w:rFonts w:hint="eastAsia"/>
          <w:color w:val="auto"/>
        </w:rPr>
        <w:t>系统对车间废气的收集效率，最大限度控制车间无组织废气的散失量。</w:t>
      </w:r>
    </w:p>
    <w:p>
      <w:pPr>
        <w:pStyle w:val="10"/>
        <w:bidi w:val="0"/>
        <w:rPr>
          <w:color w:val="auto"/>
        </w:rPr>
      </w:pPr>
      <w:r>
        <w:rPr>
          <w:color w:val="auto"/>
        </w:rPr>
        <w:t>6.2.2.2</w:t>
      </w:r>
      <w:r>
        <w:rPr>
          <w:rFonts w:hint="eastAsia"/>
          <w:color w:val="auto"/>
        </w:rPr>
        <w:t>堆料库扬尘防治技术分析</w:t>
      </w:r>
    </w:p>
    <w:p>
      <w:pPr>
        <w:bidi w:val="0"/>
        <w:rPr>
          <w:color w:val="auto"/>
        </w:rPr>
      </w:pPr>
      <w:r>
        <w:rPr>
          <w:rFonts w:hint="eastAsia"/>
          <w:color w:val="auto"/>
        </w:rPr>
        <w:t>本项目菌草全部外购，项目设置1个菌草堆料库，建筑面积6336m</w:t>
      </w:r>
      <w:r>
        <w:rPr>
          <w:rFonts w:hint="eastAsia"/>
          <w:color w:val="auto"/>
          <w:vertAlign w:val="superscript"/>
        </w:rPr>
        <w:t>2</w:t>
      </w:r>
      <w:r>
        <w:rPr>
          <w:rFonts w:hint="eastAsia"/>
          <w:color w:val="auto"/>
        </w:rPr>
        <w:t>，菌草以方形捆状入场，</w:t>
      </w:r>
      <w:r>
        <w:rPr>
          <w:color w:val="auto"/>
        </w:rPr>
        <w:t>通过自卸式汽车运输运至</w:t>
      </w:r>
      <w:r>
        <w:rPr>
          <w:rFonts w:hint="eastAsia"/>
          <w:color w:val="auto"/>
        </w:rPr>
        <w:t>堆料库</w:t>
      </w:r>
      <w:r>
        <w:rPr>
          <w:color w:val="auto"/>
        </w:rPr>
        <w:t>，</w:t>
      </w:r>
      <w:r>
        <w:rPr>
          <w:rFonts w:hint="eastAsia"/>
          <w:color w:val="auto"/>
        </w:rPr>
        <w:t>菌草含水率</w:t>
      </w:r>
      <w:r>
        <w:rPr>
          <w:color w:val="auto"/>
        </w:rPr>
        <w:t>10</w:t>
      </w:r>
      <w:r>
        <w:rPr>
          <w:rFonts w:hint="eastAsia"/>
          <w:color w:val="auto"/>
        </w:rPr>
        <w:t>%左右。菌草</w:t>
      </w:r>
      <w:r>
        <w:rPr>
          <w:rFonts w:hint="eastAsia"/>
          <w:color w:val="auto"/>
          <w:lang w:eastAsia="zh-CN"/>
        </w:rPr>
        <w:t>在</w:t>
      </w:r>
      <w:r>
        <w:rPr>
          <w:color w:val="auto"/>
        </w:rPr>
        <w:t>卸车过程中物料落差会产生扬尘</w:t>
      </w:r>
      <w:r>
        <w:rPr>
          <w:rFonts w:hint="eastAsia"/>
          <w:color w:val="auto"/>
        </w:rPr>
        <w:t>，并且由于原料含水率较低，</w:t>
      </w:r>
      <w:bookmarkStart w:id="347" w:name="_Hlk121072660"/>
      <w:r>
        <w:rPr>
          <w:rFonts w:hint="eastAsia"/>
          <w:color w:val="auto"/>
        </w:rPr>
        <w:t>因此储存过程中也会产生一定量的扬尘，扬尘产生量为</w:t>
      </w:r>
      <w:r>
        <w:rPr>
          <w:rFonts w:hint="eastAsia"/>
          <w:color w:val="auto"/>
          <w:lang w:val="en-US" w:eastAsia="zh-CN"/>
        </w:rPr>
        <w:t>0.1</w:t>
      </w:r>
      <w:r>
        <w:rPr>
          <w:rFonts w:hint="eastAsia"/>
          <w:color w:val="auto"/>
        </w:rPr>
        <w:t>t/</w:t>
      </w:r>
      <w:r>
        <w:rPr>
          <w:color w:val="auto"/>
        </w:rPr>
        <w:t>a</w:t>
      </w:r>
      <w:r>
        <w:rPr>
          <w:rFonts w:hint="eastAsia"/>
          <w:color w:val="auto"/>
        </w:rPr>
        <w:t>。</w:t>
      </w:r>
    </w:p>
    <w:p>
      <w:pPr>
        <w:bidi w:val="0"/>
        <w:rPr>
          <w:rFonts w:hint="eastAsia"/>
          <w:color w:val="auto"/>
        </w:rPr>
      </w:pPr>
      <w:r>
        <w:rPr>
          <w:rFonts w:hint="eastAsia"/>
          <w:color w:val="auto"/>
        </w:rPr>
        <w:t>环评要求原料库全封闭，原料库上方安装雾化喷淋装置，通道口安装封闭性良好且便于开关的卷帘门，原料运输车全部在封闭原料库内进行卸料，装卸时降低落差，且定时开启喷淋洒水装置抑制扬尘外逸，仓库大门口处卷帘门，平时处于关闭状态。通过采取上述措施，可有效降低扬尘对环境空气的影响。</w:t>
      </w:r>
    </w:p>
    <w:p>
      <w:pPr>
        <w:pStyle w:val="10"/>
        <w:bidi w:val="0"/>
        <w:rPr>
          <w:b/>
          <w:bCs w:val="0"/>
          <w:color w:val="auto"/>
          <w:u w:val="single"/>
        </w:rPr>
      </w:pPr>
      <w:r>
        <w:rPr>
          <w:b/>
          <w:bCs w:val="0"/>
          <w:color w:val="auto"/>
          <w:u w:val="single"/>
        </w:rPr>
        <w:t>6.2.2.</w:t>
      </w:r>
      <w:r>
        <w:rPr>
          <w:rFonts w:hint="eastAsia"/>
          <w:b/>
          <w:bCs w:val="0"/>
          <w:color w:val="auto"/>
          <w:u w:val="single"/>
          <w:lang w:val="en-US" w:eastAsia="zh-CN"/>
        </w:rPr>
        <w:t>3木质素混合物干燥废气</w:t>
      </w:r>
      <w:r>
        <w:rPr>
          <w:rFonts w:hint="eastAsia"/>
          <w:b/>
          <w:bCs w:val="0"/>
          <w:color w:val="auto"/>
          <w:u w:val="single"/>
        </w:rPr>
        <w:t>防治技术分析</w:t>
      </w:r>
    </w:p>
    <w:p>
      <w:pPr>
        <w:bidi w:val="0"/>
        <w:rPr>
          <w:rFonts w:hint="eastAsia"/>
          <w:b/>
          <w:bCs w:val="0"/>
          <w:color w:val="auto"/>
          <w:u w:val="single"/>
          <w:lang w:val="en-US" w:eastAsia="zh-CN"/>
        </w:rPr>
      </w:pPr>
      <w:r>
        <w:rPr>
          <w:rFonts w:hint="eastAsia"/>
          <w:b/>
          <w:bCs w:val="0"/>
          <w:color w:val="auto"/>
          <w:u w:val="single"/>
        </w:rPr>
        <w:t>本项目</w:t>
      </w:r>
      <w:r>
        <w:rPr>
          <w:rFonts w:hint="eastAsia"/>
          <w:b/>
          <w:bCs w:val="0"/>
          <w:color w:val="auto"/>
          <w:u w:val="single"/>
          <w:lang w:val="en-US" w:eastAsia="zh-CN"/>
        </w:rPr>
        <w:t>黑液提取的木质素混合物在干燥过程中产生颗粒物，环评要求采用袋式除尘器去除收集的颗粒物。本项目设计年生产纤维素5000t，菌草用量约为10000t，根据物料平衡本项目可提取木质素混合物</w:t>
      </w:r>
      <w:r>
        <w:rPr>
          <w:rFonts w:hint="eastAsia"/>
          <w:b/>
          <w:bCs/>
          <w:color w:val="auto"/>
          <w:u w:val="single"/>
        </w:rPr>
        <w:t xml:space="preserve">3530.05 </w:t>
      </w:r>
      <w:r>
        <w:rPr>
          <w:rFonts w:hint="eastAsia"/>
          <w:b/>
          <w:bCs/>
          <w:color w:val="auto"/>
          <w:u w:val="single"/>
          <w:lang w:val="en-US" w:eastAsia="zh-CN"/>
        </w:rPr>
        <w:t>t</w:t>
      </w:r>
      <w:r>
        <w:rPr>
          <w:rFonts w:hint="eastAsia"/>
          <w:b/>
          <w:bCs w:val="0"/>
          <w:color w:val="auto"/>
          <w:u w:val="single"/>
          <w:lang w:val="en-US" w:eastAsia="zh-CN"/>
        </w:rPr>
        <w:t>，干燥工序对产品收集率为98%，则产品收集为</w:t>
      </w:r>
      <w:r>
        <w:rPr>
          <w:rFonts w:hint="eastAsia"/>
          <w:b/>
          <w:bCs/>
          <w:color w:val="auto"/>
          <w:u w:val="single"/>
        </w:rPr>
        <w:t>34</w:t>
      </w:r>
      <w:r>
        <w:rPr>
          <w:rFonts w:hint="eastAsia"/>
          <w:b/>
          <w:bCs/>
          <w:color w:val="auto"/>
          <w:u w:val="single"/>
          <w:lang w:val="en-US" w:eastAsia="zh-CN"/>
        </w:rPr>
        <w:t>59.45</w:t>
      </w:r>
      <w:r>
        <w:rPr>
          <w:rFonts w:hint="eastAsia"/>
          <w:b/>
          <w:bCs w:val="0"/>
          <w:color w:val="auto"/>
          <w:u w:val="single"/>
          <w:lang w:val="en-US" w:eastAsia="zh-CN"/>
        </w:rPr>
        <w:t>t。干燥产生的含尘废气产生量为70.60t/a，废气量约10000m</w:t>
      </w:r>
      <w:r>
        <w:rPr>
          <w:rFonts w:hint="eastAsia"/>
          <w:b/>
          <w:bCs w:val="0"/>
          <w:color w:val="auto"/>
          <w:u w:val="single"/>
          <w:vertAlign w:val="superscript"/>
          <w:lang w:val="en-US" w:eastAsia="zh-CN"/>
        </w:rPr>
        <w:t>3</w:t>
      </w:r>
      <w:r>
        <w:rPr>
          <w:rFonts w:hint="eastAsia"/>
          <w:b/>
          <w:bCs w:val="0"/>
          <w:color w:val="auto"/>
          <w:u w:val="single"/>
          <w:lang w:val="en-US" w:eastAsia="zh-CN"/>
        </w:rPr>
        <w:t>/h，产生速率8.91 kg/h，产生浓度891.41 mg/m</w:t>
      </w:r>
      <w:r>
        <w:rPr>
          <w:rFonts w:hint="eastAsia"/>
          <w:b/>
          <w:bCs w:val="0"/>
          <w:color w:val="auto"/>
          <w:u w:val="single"/>
          <w:vertAlign w:val="superscript"/>
          <w:lang w:val="en-US" w:eastAsia="zh-CN"/>
        </w:rPr>
        <w:t>3</w:t>
      </w:r>
      <w:r>
        <w:rPr>
          <w:rFonts w:hint="eastAsia"/>
          <w:b/>
          <w:bCs w:val="0"/>
          <w:color w:val="auto"/>
          <w:u w:val="single"/>
          <w:lang w:val="en-US" w:eastAsia="zh-CN"/>
        </w:rPr>
        <w:t>；经袋式收尘设施处理后，处理效率约99%，其排放浓度为8.91 mg/m</w:t>
      </w:r>
      <w:r>
        <w:rPr>
          <w:rFonts w:hint="eastAsia"/>
          <w:b/>
          <w:bCs w:val="0"/>
          <w:color w:val="auto"/>
          <w:u w:val="single"/>
          <w:vertAlign w:val="superscript"/>
          <w:lang w:val="en-US" w:eastAsia="zh-CN"/>
        </w:rPr>
        <w:t>3</w:t>
      </w:r>
      <w:r>
        <w:rPr>
          <w:rFonts w:hint="eastAsia"/>
          <w:b/>
          <w:bCs w:val="0"/>
          <w:color w:val="auto"/>
          <w:u w:val="single"/>
          <w:lang w:val="en-US" w:eastAsia="zh-CN"/>
        </w:rPr>
        <w:t>，排放速率为0.0891 kg/h，排放量为0.706 t/a，其颗粒物排放浓度和排放速率均能够满足《新乡市生态环境局关于进一步规范工业企业颗粒物排放限值的通知》其他涉气工业企业10 mg/m</w:t>
      </w:r>
      <w:r>
        <w:rPr>
          <w:rFonts w:hint="eastAsia"/>
          <w:b/>
          <w:bCs w:val="0"/>
          <w:color w:val="auto"/>
          <w:u w:val="single"/>
          <w:vertAlign w:val="superscript"/>
          <w:lang w:val="en-US" w:eastAsia="zh-CN"/>
        </w:rPr>
        <w:t>3</w:t>
      </w:r>
      <w:r>
        <w:rPr>
          <w:rFonts w:hint="eastAsia"/>
          <w:b/>
          <w:bCs w:val="0"/>
          <w:color w:val="auto"/>
          <w:u w:val="single"/>
          <w:lang w:val="en-US" w:eastAsia="zh-CN"/>
        </w:rPr>
        <w:t>（有组织）和《大气污染物综合排放标准》（GB16297-1996）中要求二级标准15m排气筒最高允许排放速率3.5 kg/h。）</w:t>
      </w:r>
    </w:p>
    <w:bookmarkEnd w:id="347"/>
    <w:p>
      <w:pPr>
        <w:pStyle w:val="9"/>
        <w:bidi w:val="0"/>
        <w:rPr>
          <w:color w:val="auto"/>
        </w:rPr>
      </w:pPr>
      <w:r>
        <w:rPr>
          <w:rFonts w:hint="eastAsia"/>
          <w:color w:val="auto"/>
        </w:rPr>
        <w:t>6.</w:t>
      </w:r>
      <w:r>
        <w:rPr>
          <w:color w:val="auto"/>
        </w:rPr>
        <w:t>2.</w:t>
      </w:r>
      <w:r>
        <w:rPr>
          <w:rFonts w:hint="eastAsia"/>
          <w:color w:val="auto"/>
        </w:rPr>
        <w:t>3噪声污染防治措施可行性分析</w:t>
      </w:r>
    </w:p>
    <w:p>
      <w:pPr>
        <w:spacing w:line="520" w:lineRule="exact"/>
        <w:ind w:firstLine="480" w:firstLineChars="200"/>
        <w:rPr>
          <w:color w:val="auto"/>
        </w:rPr>
      </w:pPr>
      <w:r>
        <w:rPr>
          <w:rFonts w:hint="eastAsia"/>
          <w:color w:val="auto"/>
        </w:rPr>
        <w:t>工程高噪声源主要为风机、泵类等，噪声源声级值在85~</w:t>
      </w:r>
      <w:r>
        <w:rPr>
          <w:color w:val="auto"/>
        </w:rPr>
        <w:t>9</w:t>
      </w:r>
      <w:r>
        <w:rPr>
          <w:rFonts w:hint="eastAsia"/>
          <w:color w:val="auto"/>
          <w:lang w:val="en-US" w:eastAsia="zh-CN"/>
        </w:rPr>
        <w:t>0</w:t>
      </w:r>
      <w:r>
        <w:rPr>
          <w:rFonts w:hint="eastAsia"/>
          <w:color w:val="auto"/>
        </w:rPr>
        <w:t>dB（A）之间，</w:t>
      </w:r>
      <w:r>
        <w:rPr>
          <w:color w:val="auto"/>
        </w:rPr>
        <w:t>声源强度不高，多数属中低频稳态噪声</w:t>
      </w:r>
      <w:r>
        <w:rPr>
          <w:rFonts w:hint="eastAsia"/>
          <w:color w:val="auto"/>
        </w:rPr>
        <w:t>，为保证厂界噪声值达到《工业企业厂界环境噪声排放标准》中3类标准的要求，</w:t>
      </w:r>
      <w:r>
        <w:rPr>
          <w:color w:val="auto"/>
        </w:rPr>
        <w:t>项目拟采取的噪声防治措施主要是对小体积噪声源根据噪声种类的不同，分别采取消声、吸音、加隔声罩等措施；对大体积噪声源采取局部消声、吸音及隔声等措施，具体措施如下：</w:t>
      </w:r>
    </w:p>
    <w:p>
      <w:pPr>
        <w:spacing w:line="520" w:lineRule="exact"/>
        <w:ind w:firstLine="480" w:firstLineChars="200"/>
        <w:jc w:val="left"/>
        <w:rPr>
          <w:color w:val="auto"/>
        </w:rPr>
      </w:pPr>
      <w:r>
        <w:rPr>
          <w:rFonts w:hint="eastAsia"/>
          <w:color w:val="auto"/>
        </w:rPr>
        <w:t>（1）高噪声设备在招标过程中提出设备噪声要求，进行噪声源头控制。</w:t>
      </w:r>
    </w:p>
    <w:bookmarkEnd w:id="343"/>
    <w:bookmarkEnd w:id="344"/>
    <w:bookmarkEnd w:id="345"/>
    <w:p>
      <w:pPr>
        <w:spacing w:line="520" w:lineRule="exact"/>
        <w:ind w:firstLine="480" w:firstLineChars="200"/>
        <w:rPr>
          <w:color w:val="auto"/>
        </w:rPr>
      </w:pPr>
      <w:r>
        <w:rPr>
          <w:color w:val="auto"/>
        </w:rPr>
        <w:t>（2）泵类噪声主要来源于泵电机自身运行产生的噪声，泵轴液物料而产生的空化和气蚀噪声，泵内物料的波动而激发泵体</w:t>
      </w:r>
      <w:r>
        <w:rPr>
          <w:rFonts w:hint="eastAsia"/>
          <w:color w:val="auto"/>
          <w:lang w:eastAsia="zh-CN"/>
        </w:rPr>
        <w:t>辐射</w:t>
      </w:r>
      <w:r>
        <w:rPr>
          <w:color w:val="auto"/>
        </w:rPr>
        <w:t>噪声、脉冲压力不稳定而产生的噪声以及机械噪声。这些噪声以泵电机自身运行产生的噪声为最强，可采取使用低噪音电机、设备基座、基础减振降噪。</w:t>
      </w:r>
    </w:p>
    <w:p>
      <w:pPr>
        <w:spacing w:line="520" w:lineRule="exact"/>
        <w:ind w:firstLine="480" w:firstLineChars="200"/>
        <w:rPr>
          <w:color w:val="auto"/>
        </w:rPr>
      </w:pPr>
      <w:r>
        <w:rPr>
          <w:color w:val="auto"/>
        </w:rPr>
        <w:t>（3）风机在运转时产生的噪声主要有空气动力性噪声（即气流噪声）、机械噪声等，其中强度最高、影响最大的则是空气动力性噪声，尤其进出气口产生的噪声最严重，可采取在进气口安装阻抗复合消声器和对进排气管道作阻尼减振等措施来降低风机噪声、设置专用设备间、低噪音风机、基础减振降噪、各连接部位设置软结构连接。</w:t>
      </w:r>
    </w:p>
    <w:p>
      <w:pPr>
        <w:spacing w:line="520" w:lineRule="exact"/>
        <w:ind w:firstLine="480" w:firstLineChars="200"/>
        <w:rPr>
          <w:color w:val="auto"/>
        </w:rPr>
      </w:pPr>
      <w:r>
        <w:rPr>
          <w:color w:val="auto"/>
        </w:rPr>
        <w:t>（4）</w:t>
      </w:r>
      <w:r>
        <w:rPr>
          <w:rFonts w:hint="eastAsia"/>
          <w:color w:val="auto"/>
        </w:rPr>
        <w:t>合理进行厂区总体平面布置，尽可能将主厂房等噪声源集中的构筑物布置于厂区中央，并利用其他辅助建筑物的屏蔽作用，减轻噪声对厂区外的环境影响。</w:t>
      </w:r>
    </w:p>
    <w:p>
      <w:pPr>
        <w:spacing w:line="520" w:lineRule="exact"/>
        <w:ind w:firstLine="480" w:firstLineChars="200"/>
        <w:rPr>
          <w:color w:val="auto"/>
        </w:rPr>
      </w:pPr>
      <w:r>
        <w:rPr>
          <w:rFonts w:hint="eastAsia"/>
          <w:color w:val="auto"/>
        </w:rPr>
        <w:t>（</w:t>
      </w:r>
      <w:r>
        <w:rPr>
          <w:color w:val="auto"/>
        </w:rPr>
        <w:t>5</w:t>
      </w:r>
      <w:r>
        <w:rPr>
          <w:rFonts w:hint="eastAsia"/>
          <w:color w:val="auto"/>
        </w:rPr>
        <w:t>）送风机、引风机设置隔声罩；其他高噪声设备布置在室内，高噪声设备厂房的建筑结构将起到一定的隔声降噪效果，同时主厂房等高噪声车间采取隔声门、隔声窗。集控室采用隔声窗和隔声门等措施。</w:t>
      </w:r>
    </w:p>
    <w:p>
      <w:pPr>
        <w:spacing w:line="520" w:lineRule="exact"/>
        <w:ind w:firstLine="480" w:firstLineChars="200"/>
        <w:rPr>
          <w:color w:val="auto"/>
        </w:rPr>
      </w:pPr>
      <w:r>
        <w:rPr>
          <w:rFonts w:hint="eastAsia"/>
          <w:color w:val="auto"/>
        </w:rPr>
        <w:t>（</w:t>
      </w:r>
      <w:r>
        <w:rPr>
          <w:color w:val="auto"/>
        </w:rPr>
        <w:t>6</w:t>
      </w:r>
      <w:r>
        <w:rPr>
          <w:rFonts w:hint="eastAsia"/>
          <w:color w:val="auto"/>
        </w:rPr>
        <w:t>）其他噪声源应首先考虑设备选型，使其达到规定的要求，必要时对设备基础采取减振处理。</w:t>
      </w:r>
    </w:p>
    <w:p>
      <w:pPr>
        <w:spacing w:line="520" w:lineRule="exact"/>
        <w:ind w:firstLine="480" w:firstLineChars="200"/>
        <w:rPr>
          <w:color w:val="auto"/>
        </w:rPr>
      </w:pPr>
      <w:r>
        <w:rPr>
          <w:rFonts w:hint="eastAsia"/>
          <w:color w:val="auto"/>
        </w:rPr>
        <w:t>（</w:t>
      </w:r>
      <w:r>
        <w:rPr>
          <w:color w:val="auto"/>
        </w:rPr>
        <w:t>7</w:t>
      </w:r>
      <w:r>
        <w:rPr>
          <w:rFonts w:hint="eastAsia"/>
          <w:color w:val="auto"/>
        </w:rPr>
        <w:t>）提高厂区绿化系数，利用植被吸声减噪作用，进一步降低电厂噪声对周围环境的影响。</w:t>
      </w:r>
    </w:p>
    <w:p>
      <w:pPr>
        <w:spacing w:line="520" w:lineRule="exact"/>
        <w:ind w:firstLine="480" w:firstLineChars="200"/>
        <w:rPr>
          <w:color w:val="auto"/>
        </w:rPr>
      </w:pPr>
      <w:r>
        <w:rPr>
          <w:rFonts w:hint="eastAsia"/>
          <w:color w:val="auto"/>
        </w:rPr>
        <w:t>采取上述防治措施后，预测工程东、南、西、北厂界昼间、夜间噪声预测值均能满足《工业企业厂界环境噪声排放标准》（GB12348-2008）3类标准，工程噪声对周围声环境影响不大，可接受。</w:t>
      </w:r>
    </w:p>
    <w:p>
      <w:pPr>
        <w:pStyle w:val="9"/>
        <w:tabs>
          <w:tab w:val="left" w:pos="720"/>
          <w:tab w:val="left" w:pos="1200"/>
          <w:tab w:val="left" w:pos="1680"/>
        </w:tabs>
        <w:spacing w:before="0" w:after="0" w:line="520" w:lineRule="exact"/>
        <w:rPr>
          <w:color w:val="auto"/>
          <w:sz w:val="28"/>
          <w:szCs w:val="28"/>
        </w:rPr>
      </w:pPr>
      <w:r>
        <w:rPr>
          <w:rFonts w:hint="eastAsia"/>
          <w:color w:val="auto"/>
          <w:sz w:val="28"/>
          <w:szCs w:val="28"/>
        </w:rPr>
        <w:t>6.</w:t>
      </w:r>
      <w:r>
        <w:rPr>
          <w:color w:val="auto"/>
          <w:sz w:val="28"/>
          <w:szCs w:val="28"/>
        </w:rPr>
        <w:t>2.</w:t>
      </w:r>
      <w:r>
        <w:rPr>
          <w:rFonts w:hint="eastAsia"/>
          <w:color w:val="auto"/>
          <w:sz w:val="28"/>
          <w:szCs w:val="28"/>
        </w:rPr>
        <w:t>4固体废物防治措施可行性分析</w:t>
      </w:r>
    </w:p>
    <w:p>
      <w:pPr>
        <w:pStyle w:val="104"/>
        <w:spacing w:line="520" w:lineRule="exact"/>
        <w:ind w:firstLineChars="200"/>
        <w:rPr>
          <w:rFonts w:ascii="Times New Roman" w:hAnsi="Times New Roman" w:eastAsia="宋体"/>
          <w:color w:val="auto"/>
        </w:rPr>
      </w:pPr>
      <w:r>
        <w:rPr>
          <w:rFonts w:hint="eastAsia" w:ascii="Times New Roman" w:hAnsi="Times New Roman" w:eastAsia="宋体"/>
          <w:color w:val="auto"/>
        </w:rPr>
        <w:t>本项目固体废物主要有水力除杂沉淀池污泥、废包装袋以及生活垃圾等，本项目固体废物产</w:t>
      </w:r>
      <w:r>
        <w:rPr>
          <w:rFonts w:hint="eastAsia" w:ascii="Times New Roman" w:hAnsi="Times New Roman" w:eastAsia="宋体"/>
          <w:color w:val="auto"/>
          <w:lang w:eastAsia="zh-CN"/>
        </w:rPr>
        <w:t>排放</w:t>
      </w:r>
      <w:r>
        <w:rPr>
          <w:rFonts w:hint="eastAsia" w:ascii="Times New Roman" w:hAnsi="Times New Roman" w:eastAsia="宋体"/>
          <w:color w:val="auto"/>
        </w:rPr>
        <w:t>情况和处理措施见表</w:t>
      </w:r>
      <w:r>
        <w:rPr>
          <w:rFonts w:ascii="Times New Roman" w:hAnsi="Times New Roman" w:eastAsia="宋体"/>
          <w:color w:val="auto"/>
        </w:rPr>
        <w:t>6.2</w:t>
      </w:r>
      <w:r>
        <w:rPr>
          <w:rFonts w:hint="eastAsia" w:ascii="Times New Roman" w:hAnsi="Times New Roman" w:eastAsia="宋体"/>
          <w:color w:val="auto"/>
        </w:rPr>
        <w:t>-</w:t>
      </w:r>
      <w:r>
        <w:rPr>
          <w:rFonts w:ascii="Times New Roman" w:hAnsi="Times New Roman" w:eastAsia="宋体"/>
          <w:color w:val="auto"/>
        </w:rPr>
        <w:t>2</w:t>
      </w:r>
      <w:r>
        <w:rPr>
          <w:rFonts w:hint="eastAsia" w:ascii="Times New Roman" w:hAnsi="Times New Roman" w:eastAsia="宋体"/>
          <w:color w:val="auto"/>
        </w:rPr>
        <w:t>。</w:t>
      </w:r>
    </w:p>
    <w:p>
      <w:pPr>
        <w:pStyle w:val="181"/>
        <w:bidi w:val="0"/>
        <w:rPr>
          <w:color w:val="auto"/>
        </w:rPr>
      </w:pPr>
      <w:r>
        <w:rPr>
          <w:color w:val="auto"/>
        </w:rPr>
        <w:t>表6.2</w:t>
      </w:r>
      <w:r>
        <w:rPr>
          <w:rFonts w:hint="eastAsia"/>
          <w:color w:val="auto"/>
        </w:rPr>
        <w:t>-</w:t>
      </w:r>
      <w:r>
        <w:rPr>
          <w:color w:val="auto"/>
        </w:rPr>
        <w:t xml:space="preserve">2  </w:t>
      </w:r>
      <w:r>
        <w:rPr>
          <w:rFonts w:hint="eastAsia"/>
          <w:color w:val="auto"/>
          <w:lang w:val="en-US" w:eastAsia="zh-CN"/>
        </w:rPr>
        <w:t xml:space="preserve">            </w:t>
      </w:r>
      <w:r>
        <w:rPr>
          <w:color w:val="auto"/>
        </w:rPr>
        <w:t>固体废弃物产生及处置情况</w:t>
      </w:r>
    </w:p>
    <w:tbl>
      <w:tblPr>
        <w:tblStyle w:val="32"/>
        <w:tblW w:w="88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276"/>
        <w:gridCol w:w="1559"/>
        <w:gridCol w:w="1276"/>
        <w:gridCol w:w="1275"/>
        <w:gridCol w:w="2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b/>
                <w:bCs/>
                <w:color w:val="auto"/>
                <w:u w:val="single"/>
              </w:rPr>
            </w:pPr>
            <w:r>
              <w:rPr>
                <w:rFonts w:hint="eastAsia"/>
                <w:b/>
                <w:bCs/>
                <w:color w:val="auto"/>
                <w:u w:val="single"/>
              </w:rPr>
              <w:t>序号</w:t>
            </w:r>
          </w:p>
        </w:tc>
        <w:tc>
          <w:tcPr>
            <w:tcW w:w="1276" w:type="dxa"/>
            <w:vAlign w:val="center"/>
          </w:tcPr>
          <w:p>
            <w:pPr>
              <w:pStyle w:val="182"/>
              <w:bidi w:val="0"/>
              <w:rPr>
                <w:b/>
                <w:bCs/>
                <w:color w:val="auto"/>
                <w:u w:val="single"/>
              </w:rPr>
            </w:pPr>
            <w:r>
              <w:rPr>
                <w:rFonts w:hint="eastAsia"/>
                <w:b/>
                <w:bCs/>
                <w:color w:val="auto"/>
                <w:u w:val="single"/>
              </w:rPr>
              <w:t>污染物</w:t>
            </w:r>
          </w:p>
        </w:tc>
        <w:tc>
          <w:tcPr>
            <w:tcW w:w="1559" w:type="dxa"/>
            <w:vAlign w:val="center"/>
          </w:tcPr>
          <w:p>
            <w:pPr>
              <w:pStyle w:val="182"/>
              <w:bidi w:val="0"/>
              <w:rPr>
                <w:b/>
                <w:bCs/>
                <w:color w:val="auto"/>
                <w:u w:val="single"/>
              </w:rPr>
            </w:pPr>
            <w:r>
              <w:rPr>
                <w:rFonts w:hint="eastAsia"/>
                <w:b/>
                <w:bCs/>
                <w:color w:val="auto"/>
                <w:u w:val="single"/>
              </w:rPr>
              <w:t>产生量（</w:t>
            </w:r>
            <w:r>
              <w:rPr>
                <w:b/>
                <w:bCs/>
                <w:color w:val="auto"/>
                <w:u w:val="single"/>
              </w:rPr>
              <w:t>t/a</w:t>
            </w:r>
            <w:r>
              <w:rPr>
                <w:rFonts w:hint="eastAsia"/>
                <w:b/>
                <w:bCs/>
                <w:color w:val="auto"/>
                <w:u w:val="single"/>
              </w:rPr>
              <w:t>）</w:t>
            </w:r>
          </w:p>
        </w:tc>
        <w:tc>
          <w:tcPr>
            <w:tcW w:w="1276" w:type="dxa"/>
            <w:vAlign w:val="center"/>
          </w:tcPr>
          <w:p>
            <w:pPr>
              <w:pStyle w:val="182"/>
              <w:bidi w:val="0"/>
              <w:rPr>
                <w:b/>
                <w:bCs/>
                <w:color w:val="auto"/>
                <w:u w:val="single"/>
              </w:rPr>
            </w:pPr>
            <w:r>
              <w:rPr>
                <w:rFonts w:hint="eastAsia"/>
                <w:b/>
                <w:bCs/>
                <w:color w:val="auto"/>
                <w:u w:val="single"/>
              </w:rPr>
              <w:t>固废性质</w:t>
            </w:r>
          </w:p>
        </w:tc>
        <w:tc>
          <w:tcPr>
            <w:tcW w:w="1275" w:type="dxa"/>
            <w:vAlign w:val="center"/>
          </w:tcPr>
          <w:p>
            <w:pPr>
              <w:pStyle w:val="182"/>
              <w:bidi w:val="0"/>
              <w:rPr>
                <w:b/>
                <w:bCs/>
                <w:color w:val="auto"/>
                <w:u w:val="single"/>
              </w:rPr>
            </w:pPr>
            <w:r>
              <w:rPr>
                <w:rFonts w:hint="eastAsia"/>
                <w:b/>
                <w:bCs/>
                <w:color w:val="auto"/>
                <w:u w:val="single"/>
              </w:rPr>
              <w:t>产生位置</w:t>
            </w:r>
          </w:p>
        </w:tc>
        <w:tc>
          <w:tcPr>
            <w:tcW w:w="2659" w:type="dxa"/>
            <w:vAlign w:val="center"/>
          </w:tcPr>
          <w:p>
            <w:pPr>
              <w:pStyle w:val="182"/>
              <w:bidi w:val="0"/>
              <w:rPr>
                <w:b/>
                <w:bCs/>
                <w:color w:val="auto"/>
                <w:u w:val="single"/>
              </w:rPr>
            </w:pPr>
            <w:r>
              <w:rPr>
                <w:rFonts w:hint="eastAsia"/>
                <w:b/>
                <w:bCs/>
                <w:color w:val="auto"/>
                <w:u w:val="single"/>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b/>
                <w:bCs/>
                <w:color w:val="auto"/>
                <w:u w:val="single"/>
              </w:rPr>
            </w:pPr>
            <w:r>
              <w:rPr>
                <w:rFonts w:hint="eastAsia"/>
                <w:b/>
                <w:bCs/>
                <w:color w:val="auto"/>
                <w:u w:val="single"/>
              </w:rPr>
              <w:t>1</w:t>
            </w:r>
          </w:p>
        </w:tc>
        <w:tc>
          <w:tcPr>
            <w:tcW w:w="1276" w:type="dxa"/>
            <w:vAlign w:val="center"/>
          </w:tcPr>
          <w:p>
            <w:pPr>
              <w:pStyle w:val="182"/>
              <w:bidi w:val="0"/>
              <w:rPr>
                <w:b/>
                <w:bCs/>
                <w:color w:val="auto"/>
                <w:u w:val="single"/>
              </w:rPr>
            </w:pPr>
            <w:r>
              <w:rPr>
                <w:rFonts w:hint="eastAsia"/>
                <w:b/>
                <w:bCs/>
                <w:color w:val="auto"/>
                <w:u w:val="single"/>
              </w:rPr>
              <w:t>水力除杂沉淀池污泥</w:t>
            </w:r>
          </w:p>
        </w:tc>
        <w:tc>
          <w:tcPr>
            <w:tcW w:w="1559" w:type="dxa"/>
            <w:vAlign w:val="center"/>
          </w:tcPr>
          <w:p>
            <w:pPr>
              <w:pStyle w:val="182"/>
              <w:bidi w:val="0"/>
              <w:ind w:firstLine="0" w:firstLineChars="0"/>
              <w:rPr>
                <w:rFonts w:hint="default"/>
                <w:b/>
                <w:bCs/>
                <w:color w:val="auto"/>
                <w:u w:val="single"/>
                <w:lang w:val="en-US"/>
              </w:rPr>
            </w:pPr>
            <w:r>
              <w:rPr>
                <w:rFonts w:hint="eastAsia"/>
                <w:b/>
                <w:bCs/>
                <w:color w:val="auto"/>
                <w:u w:val="single"/>
                <w:lang w:val="en-US" w:eastAsia="zh-CN"/>
              </w:rPr>
              <w:t>200</w:t>
            </w:r>
          </w:p>
        </w:tc>
        <w:tc>
          <w:tcPr>
            <w:tcW w:w="1276" w:type="dxa"/>
            <w:vAlign w:val="center"/>
          </w:tcPr>
          <w:p>
            <w:pPr>
              <w:pStyle w:val="182"/>
              <w:bidi w:val="0"/>
              <w:rPr>
                <w:b/>
                <w:bCs/>
                <w:color w:val="auto"/>
                <w:u w:val="single"/>
              </w:rPr>
            </w:pPr>
            <w:r>
              <w:rPr>
                <w:rFonts w:hint="eastAsia"/>
                <w:b/>
                <w:bCs/>
                <w:color w:val="auto"/>
                <w:u w:val="single"/>
              </w:rPr>
              <w:t>一般固废</w:t>
            </w:r>
          </w:p>
        </w:tc>
        <w:tc>
          <w:tcPr>
            <w:tcW w:w="1275" w:type="dxa"/>
            <w:vAlign w:val="center"/>
          </w:tcPr>
          <w:p>
            <w:pPr>
              <w:pStyle w:val="182"/>
              <w:bidi w:val="0"/>
              <w:rPr>
                <w:b/>
                <w:bCs/>
                <w:color w:val="auto"/>
                <w:u w:val="single"/>
              </w:rPr>
            </w:pPr>
            <w:r>
              <w:rPr>
                <w:rFonts w:hint="eastAsia"/>
                <w:b/>
                <w:bCs/>
                <w:color w:val="auto"/>
                <w:u w:val="single"/>
              </w:rPr>
              <w:t>水力除杂</w:t>
            </w:r>
          </w:p>
        </w:tc>
        <w:tc>
          <w:tcPr>
            <w:tcW w:w="2659" w:type="dxa"/>
            <w:vAlign w:val="center"/>
          </w:tcPr>
          <w:p>
            <w:pPr>
              <w:pStyle w:val="182"/>
              <w:bidi w:val="0"/>
              <w:rPr>
                <w:b/>
                <w:bCs/>
                <w:color w:val="auto"/>
                <w:u w:val="single"/>
              </w:rPr>
            </w:pPr>
            <w:r>
              <w:rPr>
                <w:rFonts w:hint="eastAsia"/>
                <w:b/>
                <w:bCs/>
                <w:color w:val="auto"/>
                <w:u w:val="single"/>
              </w:rPr>
              <w:t>依托现有一般固废暂存间</w:t>
            </w:r>
            <w:r>
              <w:rPr>
                <w:rFonts w:hint="default"/>
                <w:b/>
                <w:bCs/>
                <w:color w:val="auto"/>
                <w:u w:val="single"/>
                <w:lang w:val="en-US" w:eastAsia="zh-CN"/>
              </w:rPr>
              <w:t>（36m</w:t>
            </w:r>
            <w:r>
              <w:rPr>
                <w:rFonts w:hint="default"/>
                <w:b/>
                <w:bCs/>
                <w:color w:val="auto"/>
                <w:u w:val="single"/>
                <w:vertAlign w:val="superscript"/>
                <w:lang w:val="en-US" w:eastAsia="zh-CN"/>
              </w:rPr>
              <w:t>2</w:t>
            </w:r>
            <w:r>
              <w:rPr>
                <w:rFonts w:hint="default"/>
                <w:b/>
                <w:bCs/>
                <w:color w:val="auto"/>
                <w:u w:val="single"/>
                <w:lang w:val="en-US" w:eastAsia="zh-CN"/>
              </w:rPr>
              <w:t>）</w:t>
            </w:r>
            <w:r>
              <w:rPr>
                <w:rFonts w:hint="eastAsia"/>
                <w:b/>
                <w:bCs/>
                <w:color w:val="auto"/>
                <w:u w:val="single"/>
              </w:rPr>
              <w:t>暂存后，送厂区锅炉燃烧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2</w:t>
            </w:r>
          </w:p>
        </w:tc>
        <w:tc>
          <w:tcPr>
            <w:tcW w:w="1276" w:type="dxa"/>
            <w:vAlign w:val="center"/>
          </w:tcPr>
          <w:p>
            <w:pPr>
              <w:pStyle w:val="182"/>
              <w:bidi w:val="0"/>
              <w:rPr>
                <w:rFonts w:hint="default"/>
                <w:b/>
                <w:bCs/>
                <w:color w:val="auto"/>
                <w:u w:val="single"/>
                <w:lang w:val="en-US"/>
              </w:rPr>
            </w:pPr>
            <w:r>
              <w:rPr>
                <w:rFonts w:hint="eastAsia"/>
                <w:b/>
                <w:bCs/>
                <w:color w:val="auto"/>
                <w:u w:val="single"/>
                <w:lang w:val="en-US" w:eastAsia="zh-CN"/>
              </w:rPr>
              <w:t>后续工序未煮解滤渣</w:t>
            </w:r>
          </w:p>
        </w:tc>
        <w:tc>
          <w:tcPr>
            <w:tcW w:w="1559"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500</w:t>
            </w:r>
          </w:p>
        </w:tc>
        <w:tc>
          <w:tcPr>
            <w:tcW w:w="1276" w:type="dxa"/>
            <w:vAlign w:val="center"/>
          </w:tcPr>
          <w:p>
            <w:pPr>
              <w:pStyle w:val="182"/>
              <w:bidi w:val="0"/>
              <w:rPr>
                <w:rFonts w:hint="eastAsia"/>
                <w:b/>
                <w:bCs/>
                <w:color w:val="auto"/>
                <w:u w:val="single"/>
              </w:rPr>
            </w:pPr>
            <w:r>
              <w:rPr>
                <w:rFonts w:hint="eastAsia"/>
                <w:b/>
                <w:bCs/>
                <w:color w:val="auto"/>
                <w:u w:val="single"/>
              </w:rPr>
              <w:t>一般固废</w:t>
            </w:r>
          </w:p>
        </w:tc>
        <w:tc>
          <w:tcPr>
            <w:tcW w:w="1275"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蒸煮挤浆</w:t>
            </w:r>
          </w:p>
        </w:tc>
        <w:tc>
          <w:tcPr>
            <w:tcW w:w="2659" w:type="dxa"/>
            <w:vAlign w:val="center"/>
          </w:tcPr>
          <w:p>
            <w:pPr>
              <w:pStyle w:val="182"/>
              <w:bidi w:val="0"/>
              <w:rPr>
                <w:rFonts w:hint="eastAsia"/>
                <w:b/>
                <w:bCs/>
                <w:color w:val="auto"/>
                <w:u w:val="single"/>
              </w:rPr>
            </w:pPr>
            <w:r>
              <w:rPr>
                <w:rFonts w:hint="eastAsia"/>
                <w:b/>
                <w:bCs/>
                <w:color w:val="auto"/>
                <w:u w:val="single"/>
              </w:rPr>
              <w:t>依托现有一般固废暂存间</w:t>
            </w:r>
            <w:r>
              <w:rPr>
                <w:rFonts w:hint="default"/>
                <w:b/>
                <w:bCs/>
                <w:color w:val="auto"/>
                <w:u w:val="single"/>
                <w:lang w:val="en-US" w:eastAsia="zh-CN"/>
              </w:rPr>
              <w:t>（36m</w:t>
            </w:r>
            <w:r>
              <w:rPr>
                <w:rFonts w:hint="default"/>
                <w:b/>
                <w:bCs/>
                <w:color w:val="auto"/>
                <w:u w:val="single"/>
                <w:vertAlign w:val="superscript"/>
                <w:lang w:val="en-US" w:eastAsia="zh-CN"/>
              </w:rPr>
              <w:t>2</w:t>
            </w:r>
            <w:r>
              <w:rPr>
                <w:rFonts w:hint="default"/>
                <w:b/>
                <w:bCs/>
                <w:color w:val="auto"/>
                <w:u w:val="single"/>
                <w:lang w:val="en-US" w:eastAsia="zh-CN"/>
              </w:rPr>
              <w:t>）</w:t>
            </w:r>
            <w:r>
              <w:rPr>
                <w:rFonts w:hint="eastAsia"/>
                <w:b/>
                <w:bCs/>
                <w:color w:val="auto"/>
                <w:u w:val="single"/>
              </w:rPr>
              <w:t>暂存后，送厂区锅炉燃烧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rFonts w:hint="eastAsia" w:eastAsia="宋体"/>
                <w:b/>
                <w:bCs/>
                <w:color w:val="auto"/>
                <w:u w:val="single"/>
                <w:lang w:eastAsia="zh-CN"/>
              </w:rPr>
            </w:pPr>
            <w:r>
              <w:rPr>
                <w:rFonts w:hint="eastAsia"/>
                <w:b/>
                <w:bCs/>
                <w:color w:val="auto"/>
                <w:u w:val="single"/>
                <w:lang w:val="en-US" w:eastAsia="zh-CN"/>
              </w:rPr>
              <w:t>3</w:t>
            </w:r>
          </w:p>
        </w:tc>
        <w:tc>
          <w:tcPr>
            <w:tcW w:w="1276" w:type="dxa"/>
            <w:vAlign w:val="center"/>
          </w:tcPr>
          <w:p>
            <w:pPr>
              <w:pStyle w:val="182"/>
              <w:bidi w:val="0"/>
              <w:rPr>
                <w:b/>
                <w:bCs/>
                <w:color w:val="auto"/>
                <w:u w:val="single"/>
              </w:rPr>
            </w:pPr>
            <w:r>
              <w:rPr>
                <w:rFonts w:hint="eastAsia"/>
                <w:b/>
                <w:bCs/>
                <w:color w:val="auto"/>
                <w:u w:val="single"/>
              </w:rPr>
              <w:t>废包装袋</w:t>
            </w:r>
          </w:p>
        </w:tc>
        <w:tc>
          <w:tcPr>
            <w:tcW w:w="1559" w:type="dxa"/>
            <w:vAlign w:val="center"/>
          </w:tcPr>
          <w:p>
            <w:pPr>
              <w:pStyle w:val="182"/>
              <w:bidi w:val="0"/>
              <w:ind w:firstLine="0" w:firstLineChars="0"/>
              <w:rPr>
                <w:b/>
                <w:bCs/>
                <w:color w:val="auto"/>
                <w:u w:val="single"/>
              </w:rPr>
            </w:pPr>
            <w:r>
              <w:rPr>
                <w:rFonts w:hint="eastAsia"/>
                <w:b/>
                <w:bCs/>
                <w:color w:val="auto"/>
                <w:u w:val="single"/>
                <w:lang w:val="en-US" w:eastAsia="zh-CN"/>
              </w:rPr>
              <w:t>0.048</w:t>
            </w:r>
          </w:p>
        </w:tc>
        <w:tc>
          <w:tcPr>
            <w:tcW w:w="1276" w:type="dxa"/>
            <w:vAlign w:val="center"/>
          </w:tcPr>
          <w:p>
            <w:pPr>
              <w:pStyle w:val="182"/>
              <w:bidi w:val="0"/>
              <w:rPr>
                <w:b/>
                <w:bCs/>
                <w:color w:val="auto"/>
                <w:u w:val="single"/>
              </w:rPr>
            </w:pPr>
            <w:r>
              <w:rPr>
                <w:rFonts w:hint="eastAsia"/>
                <w:b/>
                <w:bCs/>
                <w:color w:val="auto"/>
                <w:u w:val="single"/>
              </w:rPr>
              <w:t>危险固废</w:t>
            </w:r>
          </w:p>
        </w:tc>
        <w:tc>
          <w:tcPr>
            <w:tcW w:w="1275" w:type="dxa"/>
            <w:vAlign w:val="center"/>
          </w:tcPr>
          <w:p>
            <w:pPr>
              <w:pStyle w:val="182"/>
              <w:bidi w:val="0"/>
              <w:rPr>
                <w:b/>
                <w:bCs/>
                <w:color w:val="auto"/>
                <w:u w:val="single"/>
              </w:rPr>
            </w:pPr>
            <w:r>
              <w:rPr>
                <w:rFonts w:hint="eastAsia"/>
                <w:b/>
                <w:bCs/>
                <w:color w:val="auto"/>
                <w:u w:val="single"/>
              </w:rPr>
              <w:t>原料库</w:t>
            </w:r>
          </w:p>
        </w:tc>
        <w:tc>
          <w:tcPr>
            <w:tcW w:w="2659" w:type="dxa"/>
            <w:vAlign w:val="center"/>
          </w:tcPr>
          <w:p>
            <w:pPr>
              <w:pStyle w:val="182"/>
              <w:bidi w:val="0"/>
              <w:rPr>
                <w:b/>
                <w:bCs/>
                <w:color w:val="auto"/>
                <w:u w:val="single"/>
              </w:rPr>
            </w:pPr>
            <w:r>
              <w:rPr>
                <w:rFonts w:hint="eastAsia"/>
                <w:b/>
                <w:bCs/>
                <w:color w:val="auto"/>
                <w:u w:val="single"/>
              </w:rPr>
              <w:t>危废间暂存，定期交由有资质的单位进行处置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pPr>
              <w:pStyle w:val="182"/>
              <w:bidi w:val="0"/>
              <w:rPr>
                <w:rFonts w:hint="eastAsia" w:eastAsia="宋体"/>
                <w:b/>
                <w:bCs/>
                <w:color w:val="auto"/>
                <w:u w:val="single"/>
                <w:lang w:eastAsia="zh-CN"/>
              </w:rPr>
            </w:pPr>
            <w:r>
              <w:rPr>
                <w:rFonts w:hint="eastAsia"/>
                <w:b/>
                <w:bCs/>
                <w:color w:val="auto"/>
                <w:u w:val="single"/>
                <w:lang w:val="en-US" w:eastAsia="zh-CN"/>
              </w:rPr>
              <w:t>4</w:t>
            </w:r>
          </w:p>
        </w:tc>
        <w:tc>
          <w:tcPr>
            <w:tcW w:w="1276" w:type="dxa"/>
            <w:vAlign w:val="center"/>
          </w:tcPr>
          <w:p>
            <w:pPr>
              <w:pStyle w:val="182"/>
              <w:bidi w:val="0"/>
              <w:rPr>
                <w:b/>
                <w:bCs/>
                <w:color w:val="auto"/>
                <w:u w:val="single"/>
              </w:rPr>
            </w:pPr>
            <w:r>
              <w:rPr>
                <w:rFonts w:hint="eastAsia"/>
                <w:b/>
                <w:bCs/>
                <w:color w:val="auto"/>
                <w:u w:val="single"/>
              </w:rPr>
              <w:t>生活垃圾</w:t>
            </w:r>
          </w:p>
        </w:tc>
        <w:tc>
          <w:tcPr>
            <w:tcW w:w="1559" w:type="dxa"/>
            <w:vAlign w:val="center"/>
          </w:tcPr>
          <w:p>
            <w:pPr>
              <w:pStyle w:val="182"/>
              <w:bidi w:val="0"/>
              <w:ind w:firstLine="0" w:firstLineChars="0"/>
              <w:rPr>
                <w:b/>
                <w:bCs/>
                <w:color w:val="auto"/>
                <w:u w:val="single"/>
              </w:rPr>
            </w:pPr>
            <w:r>
              <w:rPr>
                <w:rFonts w:hint="eastAsia"/>
                <w:b/>
                <w:bCs/>
                <w:color w:val="auto"/>
                <w:u w:val="single"/>
              </w:rPr>
              <w:t>1</w:t>
            </w:r>
            <w:r>
              <w:rPr>
                <w:b/>
                <w:bCs/>
                <w:color w:val="auto"/>
                <w:u w:val="single"/>
              </w:rPr>
              <w:t>6.5</w:t>
            </w:r>
          </w:p>
        </w:tc>
        <w:tc>
          <w:tcPr>
            <w:tcW w:w="1276" w:type="dxa"/>
            <w:vAlign w:val="center"/>
          </w:tcPr>
          <w:p>
            <w:pPr>
              <w:pStyle w:val="182"/>
              <w:bidi w:val="0"/>
              <w:rPr>
                <w:b/>
                <w:bCs/>
                <w:color w:val="auto"/>
                <w:u w:val="single"/>
              </w:rPr>
            </w:pPr>
            <w:r>
              <w:rPr>
                <w:rFonts w:hint="eastAsia"/>
                <w:b/>
                <w:bCs/>
                <w:color w:val="auto"/>
                <w:u w:val="single"/>
              </w:rPr>
              <w:t>一般固废</w:t>
            </w:r>
          </w:p>
        </w:tc>
        <w:tc>
          <w:tcPr>
            <w:tcW w:w="1275" w:type="dxa"/>
            <w:vAlign w:val="center"/>
          </w:tcPr>
          <w:p>
            <w:pPr>
              <w:pStyle w:val="182"/>
              <w:bidi w:val="0"/>
              <w:rPr>
                <w:b/>
                <w:bCs/>
                <w:color w:val="auto"/>
                <w:u w:val="single"/>
              </w:rPr>
            </w:pPr>
            <w:r>
              <w:rPr>
                <w:rFonts w:hint="eastAsia"/>
                <w:b/>
                <w:bCs/>
                <w:color w:val="auto"/>
                <w:u w:val="single"/>
              </w:rPr>
              <w:t>厂区</w:t>
            </w:r>
          </w:p>
        </w:tc>
        <w:tc>
          <w:tcPr>
            <w:tcW w:w="2659" w:type="dxa"/>
            <w:vAlign w:val="center"/>
          </w:tcPr>
          <w:p>
            <w:pPr>
              <w:pStyle w:val="182"/>
              <w:bidi w:val="0"/>
              <w:rPr>
                <w:b/>
                <w:bCs/>
                <w:color w:val="auto"/>
                <w:u w:val="single"/>
              </w:rPr>
            </w:pPr>
            <w:r>
              <w:rPr>
                <w:rFonts w:hint="eastAsia"/>
                <w:b/>
                <w:bCs/>
                <w:color w:val="auto"/>
                <w:u w:val="single"/>
              </w:rPr>
              <w:t>集中收集后送环卫部门指定地点处理</w:t>
            </w:r>
          </w:p>
        </w:tc>
      </w:tr>
    </w:tbl>
    <w:p>
      <w:pPr>
        <w:bidi w:val="0"/>
        <w:rPr>
          <w:color w:val="auto"/>
        </w:rPr>
      </w:pPr>
      <w:r>
        <w:rPr>
          <w:rFonts w:hint="eastAsia"/>
          <w:color w:val="auto"/>
        </w:rPr>
        <w:t>通过采取以上措施，工程完成后全厂产生的固废都有相应的处置措施，评价认为工程在认真落实以上措施的前提下，不会对区域环境造成不利影响。</w:t>
      </w:r>
    </w:p>
    <w:p>
      <w:pPr>
        <w:bidi w:val="0"/>
        <w:rPr>
          <w:color w:val="auto"/>
        </w:rPr>
      </w:pPr>
      <w:r>
        <w:rPr>
          <w:rFonts w:hint="eastAsia"/>
          <w:color w:val="auto"/>
        </w:rPr>
        <w:t>本项目固废暂存间依托现有，建设单位已分别设置1个一般工业固废暂存间</w:t>
      </w:r>
      <w:r>
        <w:rPr>
          <w:rFonts w:hint="default"/>
          <w:color w:val="auto"/>
          <w:lang w:val="en-US" w:eastAsia="zh-CN"/>
        </w:rPr>
        <w:t>（36m</w:t>
      </w:r>
      <w:r>
        <w:rPr>
          <w:rFonts w:hint="default"/>
          <w:color w:val="auto"/>
          <w:vertAlign w:val="superscript"/>
          <w:lang w:val="en-US" w:eastAsia="zh-CN"/>
        </w:rPr>
        <w:t>2</w:t>
      </w:r>
      <w:r>
        <w:rPr>
          <w:rFonts w:hint="default"/>
          <w:color w:val="auto"/>
          <w:lang w:val="en-US" w:eastAsia="zh-CN"/>
        </w:rPr>
        <w:t>）</w:t>
      </w:r>
      <w:r>
        <w:rPr>
          <w:rFonts w:hint="eastAsia"/>
          <w:color w:val="auto"/>
        </w:rPr>
        <w:t>和1座危险固废暂存间（</w:t>
      </w:r>
      <w:r>
        <w:rPr>
          <w:rFonts w:hint="eastAsia"/>
          <w:color w:val="auto"/>
          <w:vertAlign w:val="baseline"/>
          <w:lang w:val="en-US" w:eastAsia="zh-CN"/>
        </w:rPr>
        <w:t>75m</w:t>
      </w:r>
      <w:r>
        <w:rPr>
          <w:rFonts w:hint="eastAsia"/>
          <w:color w:val="auto"/>
          <w:vertAlign w:val="superscript"/>
          <w:lang w:val="en-US" w:eastAsia="zh-CN"/>
        </w:rPr>
        <w:t>2</w:t>
      </w:r>
      <w:r>
        <w:rPr>
          <w:rFonts w:hint="eastAsia"/>
          <w:color w:val="auto"/>
        </w:rPr>
        <w:t>），对项目固废分类分区存放。</w:t>
      </w:r>
    </w:p>
    <w:p>
      <w:pPr>
        <w:bidi w:val="0"/>
        <w:rPr>
          <w:color w:val="auto"/>
        </w:rPr>
      </w:pPr>
      <w:r>
        <w:rPr>
          <w:rFonts w:hint="eastAsia"/>
          <w:color w:val="auto"/>
        </w:rPr>
        <w:t>一般工业固废暂存间已按照《一般工业固体废物贮存和填埋污染控制标准》（GB18599-</w:t>
      </w:r>
      <w:r>
        <w:rPr>
          <w:color w:val="auto"/>
        </w:rPr>
        <w:t>2020</w:t>
      </w:r>
      <w:r>
        <w:rPr>
          <w:rFonts w:hint="eastAsia"/>
          <w:color w:val="auto"/>
        </w:rPr>
        <w:t>）的相关要求进行建设，暂存间地面已硬化，并且有防渗、防风、防晒、防雨淋措施。评价要求工程产生的一般固废及时清运，尽量缩短在厂区内的堆存时间，并严格按照《一般工业固体废物贮存和填埋污染控制标准》（GB18599-</w:t>
      </w:r>
      <w:r>
        <w:rPr>
          <w:color w:val="auto"/>
        </w:rPr>
        <w:t>2020</w:t>
      </w:r>
      <w:r>
        <w:rPr>
          <w:rFonts w:hint="eastAsia"/>
          <w:color w:val="auto"/>
        </w:rPr>
        <w:t>）的相关要求进行管理。</w:t>
      </w:r>
    </w:p>
    <w:p>
      <w:pPr>
        <w:bidi w:val="0"/>
        <w:rPr>
          <w:b/>
          <w:bCs/>
          <w:i w:val="0"/>
          <w:iCs w:val="0"/>
          <w:color w:val="auto"/>
          <w:u w:val="single"/>
        </w:rPr>
      </w:pPr>
      <w:r>
        <w:rPr>
          <w:rFonts w:hint="eastAsia"/>
          <w:b/>
          <w:bCs/>
          <w:i w:val="0"/>
          <w:iCs w:val="0"/>
          <w:color w:val="auto"/>
          <w:u w:val="single"/>
        </w:rPr>
        <w:t>危险废物暂存间按照《危险废物贮存污染控制标准》（GB</w:t>
      </w:r>
      <w:r>
        <w:rPr>
          <w:rFonts w:hint="eastAsia"/>
          <w:b/>
          <w:bCs/>
          <w:i w:val="0"/>
          <w:iCs w:val="0"/>
          <w:color w:val="auto"/>
          <w:u w:val="single"/>
          <w:lang w:val="en-US" w:eastAsia="zh-CN"/>
        </w:rPr>
        <w:t xml:space="preserve"> </w:t>
      </w:r>
      <w:r>
        <w:rPr>
          <w:rFonts w:hint="eastAsia"/>
          <w:b/>
          <w:bCs/>
          <w:i w:val="0"/>
          <w:iCs w:val="0"/>
          <w:color w:val="auto"/>
          <w:u w:val="single"/>
        </w:rPr>
        <w:t>18597-20</w:t>
      </w:r>
      <w:r>
        <w:rPr>
          <w:rFonts w:hint="eastAsia"/>
          <w:b/>
          <w:bCs/>
          <w:i w:val="0"/>
          <w:iCs w:val="0"/>
          <w:color w:val="auto"/>
          <w:u w:val="single"/>
          <w:lang w:val="en-US" w:eastAsia="zh-CN"/>
        </w:rPr>
        <w:t>23</w:t>
      </w:r>
      <w:r>
        <w:rPr>
          <w:rFonts w:hint="eastAsia"/>
          <w:b/>
          <w:bCs/>
          <w:i w:val="0"/>
          <w:iCs w:val="0"/>
          <w:color w:val="auto"/>
          <w:u w:val="single"/>
        </w:rPr>
        <w:t>）对危险废物的相关要求进行</w:t>
      </w:r>
      <w:r>
        <w:rPr>
          <w:rFonts w:hint="eastAsia"/>
          <w:b/>
          <w:bCs/>
          <w:i w:val="0"/>
          <w:iCs w:val="0"/>
          <w:color w:val="auto"/>
          <w:u w:val="single"/>
          <w:lang w:val="en-US" w:eastAsia="zh-CN"/>
        </w:rPr>
        <w:t>改造</w:t>
      </w:r>
      <w:r>
        <w:rPr>
          <w:rFonts w:hint="eastAsia"/>
          <w:b/>
          <w:bCs/>
          <w:i w:val="0"/>
          <w:iCs w:val="0"/>
          <w:color w:val="auto"/>
          <w:u w:val="single"/>
        </w:rPr>
        <w:t>，</w:t>
      </w:r>
      <w:r>
        <w:rPr>
          <w:rFonts w:hint="eastAsia"/>
          <w:b/>
          <w:bCs/>
          <w:i w:val="0"/>
          <w:iCs w:val="0"/>
          <w:color w:val="auto"/>
          <w:u w:val="single"/>
          <w:lang w:val="en-US" w:eastAsia="zh-CN"/>
        </w:rPr>
        <w:t>现有危废</w:t>
      </w:r>
      <w:r>
        <w:rPr>
          <w:rFonts w:hint="eastAsia"/>
          <w:b/>
          <w:bCs/>
          <w:i w:val="0"/>
          <w:iCs w:val="0"/>
          <w:color w:val="auto"/>
          <w:u w:val="single"/>
        </w:rPr>
        <w:t>暂存间地面已硬化，并且有防渗、防风、防晒、防雨淋措施。为了避免危险固废在厂区贮存过程中对环境的影响，评价要求企业及时将危废送至有资质的危废处理单位安全处置，在危废的转移处置过程中，应严格按照《中华人民共和国固体废物污染环境防治法》和《危险废物转移管理办法》（部令23号）有关规定执行。</w:t>
      </w:r>
    </w:p>
    <w:p>
      <w:pPr>
        <w:bidi w:val="0"/>
        <w:rPr>
          <w:color w:val="auto"/>
        </w:rPr>
      </w:pPr>
      <w:r>
        <w:rPr>
          <w:rFonts w:hint="eastAsia"/>
          <w:color w:val="auto"/>
        </w:rPr>
        <w:t>综上所述，项目固废均能实现综合利用和安全处置。</w:t>
      </w:r>
    </w:p>
    <w:p>
      <w:pPr>
        <w:pStyle w:val="9"/>
        <w:bidi w:val="0"/>
        <w:rPr>
          <w:color w:val="auto"/>
        </w:rPr>
      </w:pPr>
      <w:r>
        <w:rPr>
          <w:rFonts w:hint="eastAsia"/>
          <w:color w:val="auto"/>
        </w:rPr>
        <w:t>6.</w:t>
      </w:r>
      <w:r>
        <w:rPr>
          <w:color w:val="auto"/>
        </w:rPr>
        <w:t>2.</w:t>
      </w:r>
      <w:r>
        <w:rPr>
          <w:rFonts w:hint="eastAsia"/>
          <w:color w:val="auto"/>
        </w:rPr>
        <w:t>5地下水污染防治措施</w:t>
      </w:r>
    </w:p>
    <w:p>
      <w:pPr>
        <w:bidi w:val="0"/>
        <w:rPr>
          <w:color w:val="auto"/>
        </w:rPr>
      </w:pPr>
      <w:r>
        <w:rPr>
          <w:rFonts w:hint="eastAsia"/>
          <w:color w:val="auto"/>
        </w:rPr>
        <w:t>项目所在的区域地下水水位埋深较浅，约为4.5m左右，土壤为沙质土，因此地下水污染防治措施显得尤为重要。本项目地下水污染防治按照“源头控制、分区防渗、污染监控、应急响应”的原则，防止本工程建设及运营中对地下水环境造成污染。</w:t>
      </w:r>
    </w:p>
    <w:p>
      <w:pPr>
        <w:pStyle w:val="10"/>
        <w:bidi w:val="0"/>
        <w:rPr>
          <w:color w:val="auto"/>
        </w:rPr>
      </w:pPr>
      <w:r>
        <w:rPr>
          <w:rFonts w:hint="eastAsia"/>
          <w:color w:val="auto"/>
        </w:rPr>
        <w:t>6.</w:t>
      </w:r>
      <w:r>
        <w:rPr>
          <w:color w:val="auto"/>
        </w:rPr>
        <w:t>2.</w:t>
      </w:r>
      <w:r>
        <w:rPr>
          <w:rFonts w:hint="eastAsia"/>
          <w:color w:val="auto"/>
        </w:rPr>
        <w:t>5.1源头控制措施</w:t>
      </w:r>
    </w:p>
    <w:p>
      <w:pPr>
        <w:bidi w:val="0"/>
        <w:rPr>
          <w:color w:val="auto"/>
        </w:rPr>
      </w:pPr>
      <w:r>
        <w:rPr>
          <w:rFonts w:hint="eastAsia"/>
          <w:color w:val="auto"/>
        </w:rPr>
        <w:t>工程设计管道、阀门、设备均采用国内质量可靠的管道、阀门、设备；安排专人负责设备、阀门、管道日常巡视工作，发现跑、冒、滴、漏，立即采取措施补救，尽量杜绝物料及废水跑、冒、滴、漏而下渗污染地下水；废水均采用管道输送；生产车间、原料储存库、废污水管线管道均应严格按照要求做好防渗处理，避免出现裂纹而导致废水下渗污染地下水。</w:t>
      </w:r>
    </w:p>
    <w:p>
      <w:pPr>
        <w:bidi w:val="0"/>
        <w:rPr>
          <w:color w:val="auto"/>
        </w:rPr>
      </w:pPr>
      <w:r>
        <w:rPr>
          <w:rFonts w:hint="eastAsia"/>
          <w:color w:val="auto"/>
        </w:rPr>
        <w:t>项目生产废水排入厂区内的污水处理站进行处理，达标后通过园区管道进入新乡市小店污水处理厂，处理达标后排入大沙河，不得有任何形式的渗井渗坑存在。</w:t>
      </w:r>
    </w:p>
    <w:p>
      <w:pPr>
        <w:pStyle w:val="10"/>
        <w:bidi w:val="0"/>
        <w:rPr>
          <w:color w:val="auto"/>
        </w:rPr>
      </w:pPr>
      <w:r>
        <w:rPr>
          <w:rFonts w:hint="eastAsia"/>
          <w:color w:val="auto"/>
        </w:rPr>
        <w:t>6.</w:t>
      </w:r>
      <w:r>
        <w:rPr>
          <w:color w:val="auto"/>
        </w:rPr>
        <w:t>2.</w:t>
      </w:r>
      <w:r>
        <w:rPr>
          <w:rFonts w:hint="eastAsia"/>
          <w:color w:val="auto"/>
        </w:rPr>
        <w:t>5.2分区防渗措施</w:t>
      </w:r>
    </w:p>
    <w:p>
      <w:pPr>
        <w:bidi w:val="0"/>
        <w:rPr>
          <w:b/>
          <w:bCs/>
          <w:color w:val="auto"/>
          <w:u w:val="single"/>
        </w:rPr>
      </w:pPr>
      <w:r>
        <w:rPr>
          <w:rFonts w:hint="eastAsia"/>
          <w:b/>
          <w:bCs/>
          <w:color w:val="auto"/>
          <w:u w:val="single"/>
        </w:rPr>
        <w:t>本项目划分为重点污染防渗区、一般污染防渗区、非污染防渗区：</w:t>
      </w:r>
    </w:p>
    <w:p>
      <w:pPr>
        <w:bidi w:val="0"/>
        <w:rPr>
          <w:b/>
          <w:bCs/>
          <w:color w:val="auto"/>
          <w:u w:val="single"/>
        </w:rPr>
      </w:pPr>
      <w:r>
        <w:rPr>
          <w:rFonts w:hint="eastAsia"/>
          <w:b/>
          <w:bCs/>
          <w:color w:val="auto"/>
          <w:u w:val="single"/>
        </w:rPr>
        <w:t>重点污染防渗区：位于地下或半地下的生产功能单元，污染地下水环境的物料或污染物泄漏后，不易及时发现和处理的区域或部位。本项目的重点污染防治区为：</w:t>
      </w:r>
      <w:r>
        <w:rPr>
          <w:rFonts w:hint="eastAsia"/>
          <w:b/>
          <w:bCs/>
          <w:color w:val="auto"/>
          <w:u w:val="single"/>
          <w:lang w:val="en-US" w:eastAsia="zh-CN"/>
        </w:rPr>
        <w:t>硫酸输送管道</w:t>
      </w:r>
      <w:r>
        <w:rPr>
          <w:rFonts w:hint="eastAsia"/>
          <w:b/>
          <w:bCs/>
          <w:color w:val="auto"/>
          <w:u w:val="single"/>
        </w:rPr>
        <w:t>、废污水管道。</w:t>
      </w:r>
    </w:p>
    <w:p>
      <w:pPr>
        <w:bidi w:val="0"/>
        <w:rPr>
          <w:b/>
          <w:bCs/>
          <w:color w:val="auto"/>
          <w:u w:val="single"/>
        </w:rPr>
      </w:pPr>
      <w:r>
        <w:rPr>
          <w:rFonts w:hint="eastAsia"/>
          <w:b/>
          <w:bCs/>
          <w:color w:val="auto"/>
          <w:u w:val="single"/>
        </w:rPr>
        <w:t>一般污染防渗区：</w:t>
      </w:r>
      <w:r>
        <w:rPr>
          <w:rFonts w:hint="eastAsia"/>
          <w:b/>
          <w:bCs/>
          <w:color w:val="auto"/>
          <w:u w:val="single"/>
          <w:lang w:eastAsia="zh-CN"/>
        </w:rPr>
        <w:t>裸露</w:t>
      </w:r>
      <w:r>
        <w:rPr>
          <w:rFonts w:hint="eastAsia"/>
          <w:b/>
          <w:bCs/>
          <w:color w:val="auto"/>
          <w:u w:val="single"/>
        </w:rPr>
        <w:t>于地面的生产功能单元，污染地下水环境的物料或污染物泄漏后，可及时发现和处理的区域或部位。本项目的一般污染防治区为：生产车间。</w:t>
      </w:r>
    </w:p>
    <w:p>
      <w:pPr>
        <w:bidi w:val="0"/>
        <w:rPr>
          <w:b/>
          <w:bCs/>
          <w:color w:val="auto"/>
          <w:u w:val="single"/>
        </w:rPr>
      </w:pPr>
      <w:r>
        <w:rPr>
          <w:rFonts w:hint="eastAsia"/>
          <w:b/>
          <w:bCs/>
          <w:color w:val="auto"/>
          <w:u w:val="single"/>
        </w:rPr>
        <w:t>非污染防渗区：没有物料或污染物泄露，不会对地下水环境造成污染的区域或部位。本项目的非污染防治区为：仓库及其他区域。</w:t>
      </w:r>
    </w:p>
    <w:p>
      <w:pPr>
        <w:bidi w:val="0"/>
        <w:rPr>
          <w:b/>
          <w:bCs/>
          <w:color w:val="auto"/>
          <w:u w:val="single"/>
        </w:rPr>
      </w:pPr>
      <w:r>
        <w:rPr>
          <w:rFonts w:hint="eastAsia"/>
          <w:b/>
          <w:bCs/>
          <w:color w:val="auto"/>
          <w:u w:val="single"/>
        </w:rPr>
        <w:t>针对不同的防渗区域，采取不同的污染防渗措施，具体如下：</w:t>
      </w:r>
    </w:p>
    <w:p>
      <w:pPr>
        <w:bidi w:val="0"/>
        <w:rPr>
          <w:b/>
          <w:bCs/>
          <w:color w:val="auto"/>
          <w:u w:val="single"/>
        </w:rPr>
      </w:pPr>
      <w:r>
        <w:rPr>
          <w:rFonts w:hint="eastAsia"/>
          <w:b/>
          <w:bCs/>
          <w:color w:val="auto"/>
          <w:u w:val="single"/>
        </w:rPr>
        <w:t>（1）重点污染防渗区：</w:t>
      </w:r>
    </w:p>
    <w:p>
      <w:pPr>
        <w:bidi w:val="0"/>
        <w:rPr>
          <w:b/>
          <w:bCs/>
          <w:color w:val="auto"/>
          <w:u w:val="single"/>
        </w:rPr>
      </w:pPr>
      <w:r>
        <w:rPr>
          <w:rFonts w:hint="eastAsia"/>
          <w:b/>
          <w:bCs/>
          <w:color w:val="auto"/>
          <w:u w:val="single"/>
        </w:rPr>
        <w:t>a</w:t>
      </w:r>
      <w:r>
        <w:rPr>
          <w:rFonts w:hint="eastAsia"/>
          <w:b/>
          <w:bCs/>
          <w:color w:val="auto"/>
          <w:u w:val="single"/>
          <w:lang w:eastAsia="zh-CN"/>
        </w:rPr>
        <w:t>.</w:t>
      </w:r>
      <w:r>
        <w:rPr>
          <w:rFonts w:hint="eastAsia"/>
          <w:b/>
          <w:bCs/>
          <w:color w:val="auto"/>
          <w:u w:val="single"/>
        </w:rPr>
        <w:t>防渗性能应与6.0m厚</w:t>
      </w:r>
      <w:r>
        <w:rPr>
          <w:rFonts w:hint="eastAsia"/>
          <w:b/>
          <w:bCs/>
          <w:color w:val="auto"/>
          <w:u w:val="single"/>
          <w:lang w:eastAsia="zh-CN"/>
        </w:rPr>
        <w:t>黏土</w:t>
      </w:r>
      <w:r>
        <w:rPr>
          <w:rFonts w:hint="eastAsia"/>
          <w:b/>
          <w:bCs/>
          <w:color w:val="auto"/>
          <w:u w:val="single"/>
        </w:rPr>
        <w:t>层（渗透系数1.0×10</w:t>
      </w:r>
      <w:r>
        <w:rPr>
          <w:rFonts w:hint="eastAsia"/>
          <w:b/>
          <w:bCs/>
          <w:color w:val="auto"/>
          <w:u w:val="single"/>
          <w:lang w:eastAsia="zh-CN"/>
        </w:rPr>
        <w:t>—</w:t>
      </w:r>
      <w:r>
        <w:rPr>
          <w:rFonts w:hint="eastAsia"/>
          <w:b/>
          <w:bCs/>
          <w:color w:val="auto"/>
          <w:u w:val="single"/>
          <w:vertAlign w:val="superscript"/>
        </w:rPr>
        <w:t>7</w:t>
      </w:r>
      <w:r>
        <w:rPr>
          <w:rFonts w:hint="eastAsia"/>
          <w:b/>
          <w:bCs/>
          <w:color w:val="auto"/>
          <w:u w:val="single"/>
        </w:rPr>
        <w:t>cm/s）等效；</w:t>
      </w:r>
    </w:p>
    <w:p>
      <w:pPr>
        <w:bidi w:val="0"/>
        <w:rPr>
          <w:b/>
          <w:bCs/>
          <w:color w:val="auto"/>
          <w:u w:val="single"/>
        </w:rPr>
      </w:pPr>
      <w:r>
        <w:rPr>
          <w:rFonts w:hint="eastAsia"/>
          <w:b/>
          <w:bCs/>
          <w:color w:val="auto"/>
          <w:u w:val="single"/>
        </w:rPr>
        <w:t>b</w:t>
      </w:r>
      <w:r>
        <w:rPr>
          <w:rFonts w:hint="eastAsia"/>
          <w:b/>
          <w:bCs/>
          <w:color w:val="auto"/>
          <w:u w:val="single"/>
          <w:lang w:eastAsia="zh-CN"/>
        </w:rPr>
        <w:t>.</w:t>
      </w:r>
      <w:r>
        <w:rPr>
          <w:rFonts w:hint="eastAsia"/>
          <w:b/>
          <w:bCs/>
          <w:color w:val="auto"/>
          <w:u w:val="single"/>
        </w:rPr>
        <w:t>第一层采用底层粘土，采用0.3m压实</w:t>
      </w:r>
      <w:r>
        <w:rPr>
          <w:rFonts w:hint="eastAsia"/>
          <w:b/>
          <w:bCs/>
          <w:color w:val="auto"/>
          <w:u w:val="single"/>
          <w:lang w:eastAsia="zh-CN"/>
        </w:rPr>
        <w:t>黏土</w:t>
      </w:r>
      <w:r>
        <w:rPr>
          <w:rFonts w:hint="eastAsia"/>
          <w:b/>
          <w:bCs/>
          <w:color w:val="auto"/>
          <w:u w:val="single"/>
        </w:rPr>
        <w:t>层；</w:t>
      </w:r>
    </w:p>
    <w:p>
      <w:pPr>
        <w:bidi w:val="0"/>
        <w:rPr>
          <w:b/>
          <w:bCs/>
          <w:color w:val="auto"/>
          <w:u w:val="single"/>
        </w:rPr>
      </w:pPr>
      <w:r>
        <w:rPr>
          <w:rFonts w:hint="eastAsia"/>
          <w:b/>
          <w:bCs/>
          <w:color w:val="auto"/>
          <w:u w:val="single"/>
        </w:rPr>
        <w:t>c</w:t>
      </w:r>
      <w:r>
        <w:rPr>
          <w:rFonts w:hint="eastAsia"/>
          <w:b/>
          <w:bCs/>
          <w:color w:val="auto"/>
          <w:u w:val="single"/>
          <w:lang w:eastAsia="zh-CN"/>
        </w:rPr>
        <w:t>.</w:t>
      </w:r>
      <w:r>
        <w:rPr>
          <w:rFonts w:hint="eastAsia"/>
          <w:b/>
          <w:bCs/>
          <w:color w:val="auto"/>
          <w:u w:val="single"/>
        </w:rPr>
        <w:t>第二层采用GCL（纳基膨润土防水毯），抗渗等级不小于P10，厚度宜为2.0mm；</w:t>
      </w:r>
    </w:p>
    <w:p>
      <w:pPr>
        <w:bidi w:val="0"/>
        <w:rPr>
          <w:b/>
          <w:bCs/>
          <w:color w:val="auto"/>
          <w:u w:val="single"/>
        </w:rPr>
      </w:pPr>
      <w:r>
        <w:rPr>
          <w:rFonts w:hint="eastAsia"/>
          <w:b/>
          <w:bCs/>
          <w:color w:val="auto"/>
          <w:u w:val="single"/>
        </w:rPr>
        <w:t>d</w:t>
      </w:r>
      <w:r>
        <w:rPr>
          <w:rFonts w:hint="eastAsia"/>
          <w:b/>
          <w:bCs/>
          <w:color w:val="auto"/>
          <w:u w:val="single"/>
          <w:lang w:eastAsia="zh-CN"/>
        </w:rPr>
        <w:t>.</w:t>
      </w:r>
      <w:r>
        <w:rPr>
          <w:rFonts w:hint="eastAsia"/>
          <w:b/>
          <w:bCs/>
          <w:color w:val="auto"/>
          <w:u w:val="single"/>
        </w:rPr>
        <w:t>第三层采用HDPE土工膜，厚度宜为1.5mm；</w:t>
      </w:r>
    </w:p>
    <w:p>
      <w:pPr>
        <w:bidi w:val="0"/>
        <w:rPr>
          <w:b/>
          <w:bCs/>
          <w:color w:val="auto"/>
          <w:u w:val="single"/>
        </w:rPr>
      </w:pPr>
      <w:r>
        <w:rPr>
          <w:rFonts w:hint="eastAsia"/>
          <w:b/>
          <w:bCs/>
          <w:color w:val="auto"/>
          <w:u w:val="single"/>
        </w:rPr>
        <w:t>e</w:t>
      </w:r>
      <w:r>
        <w:rPr>
          <w:rFonts w:hint="eastAsia"/>
          <w:b/>
          <w:bCs/>
          <w:color w:val="auto"/>
          <w:u w:val="single"/>
          <w:lang w:eastAsia="zh-CN"/>
        </w:rPr>
        <w:t>.</w:t>
      </w:r>
      <w:r>
        <w:rPr>
          <w:rFonts w:hint="eastAsia"/>
          <w:b/>
          <w:bCs/>
          <w:color w:val="auto"/>
          <w:u w:val="single"/>
        </w:rPr>
        <w:t>第四层采用长丝无纺土工布保护，其规格不宜小于600g/m</w:t>
      </w:r>
      <w:r>
        <w:rPr>
          <w:rFonts w:hint="eastAsia"/>
          <w:b/>
          <w:bCs/>
          <w:color w:val="auto"/>
          <w:u w:val="single"/>
          <w:vertAlign w:val="superscript"/>
        </w:rPr>
        <w:t>2</w:t>
      </w:r>
      <w:r>
        <w:rPr>
          <w:rFonts w:hint="eastAsia"/>
          <w:b/>
          <w:bCs/>
          <w:color w:val="auto"/>
          <w:u w:val="single"/>
        </w:rPr>
        <w:t>。</w:t>
      </w:r>
    </w:p>
    <w:p>
      <w:pPr>
        <w:bidi w:val="0"/>
        <w:rPr>
          <w:b/>
          <w:bCs/>
          <w:color w:val="auto"/>
          <w:u w:val="single"/>
        </w:rPr>
      </w:pPr>
      <w:r>
        <w:rPr>
          <w:rFonts w:hint="eastAsia"/>
          <w:b/>
          <w:bCs/>
          <w:color w:val="auto"/>
          <w:u w:val="single"/>
        </w:rPr>
        <w:t>f</w:t>
      </w:r>
      <w:r>
        <w:rPr>
          <w:rFonts w:hint="eastAsia"/>
          <w:b/>
          <w:bCs/>
          <w:color w:val="auto"/>
          <w:u w:val="single"/>
          <w:lang w:eastAsia="zh-CN"/>
        </w:rPr>
        <w:t>.</w:t>
      </w:r>
      <w:r>
        <w:rPr>
          <w:rFonts w:hint="eastAsia"/>
          <w:b/>
          <w:bCs/>
          <w:color w:val="auto"/>
          <w:u w:val="single"/>
        </w:rPr>
        <w:t>第五层采用抗渗钢筋混凝土结构，混凝土强度等级不宜小于C30；钢筋混凝土水池的抗渗等级不应小于P8；结构厚度不应小于250mm；最大裂缝宽度不应大于0.2mm，并不得贯通；钢筋的混凝土保护层厚度应根据结构的耐久性和环境类别选用，迎水面钢筋的混凝土保护层厚度不应小于50mm；防渗钢筋混凝土水池所有缝应设置止水带，止水带可选用塑料止水带和橡胶止水带，缝内应填置填缝板和嵌缝密封料，接缝处等细部构造应采取防渗处理。</w:t>
      </w:r>
    </w:p>
    <w:p>
      <w:pPr>
        <w:bidi w:val="0"/>
        <w:rPr>
          <w:b/>
          <w:bCs/>
          <w:color w:val="auto"/>
          <w:u w:val="single"/>
        </w:rPr>
      </w:pPr>
      <w:r>
        <w:rPr>
          <w:rFonts w:hint="eastAsia"/>
          <w:b/>
          <w:bCs/>
          <w:color w:val="auto"/>
          <w:u w:val="single"/>
        </w:rPr>
        <w:t>防渗层应由中心坡向四周，坡度不宜小于1.5%。</w:t>
      </w:r>
    </w:p>
    <w:p>
      <w:pPr>
        <w:spacing w:line="520" w:lineRule="exact"/>
        <w:ind w:firstLine="482" w:firstLineChars="200"/>
        <w:rPr>
          <w:b/>
          <w:bCs/>
          <w:color w:val="auto"/>
          <w:u w:val="single"/>
        </w:rPr>
      </w:pPr>
      <w:r>
        <w:rPr>
          <w:rFonts w:hint="eastAsia"/>
          <w:b/>
          <w:bCs/>
          <w:color w:val="auto"/>
          <w:u w:val="single"/>
        </w:rPr>
        <w:t>（2）一般污染防渗区：</w:t>
      </w:r>
    </w:p>
    <w:p>
      <w:pPr>
        <w:spacing w:line="520" w:lineRule="exact"/>
        <w:ind w:firstLine="482" w:firstLineChars="200"/>
        <w:rPr>
          <w:b/>
          <w:bCs/>
          <w:color w:val="auto"/>
          <w:u w:val="single"/>
        </w:rPr>
      </w:pPr>
      <w:r>
        <w:rPr>
          <w:rFonts w:hint="eastAsia"/>
          <w:b/>
          <w:bCs/>
          <w:color w:val="auto"/>
          <w:u w:val="single"/>
        </w:rPr>
        <w:t>a</w:t>
      </w:r>
      <w:r>
        <w:rPr>
          <w:rFonts w:hint="eastAsia"/>
          <w:b/>
          <w:bCs/>
          <w:color w:val="auto"/>
          <w:u w:val="single"/>
          <w:lang w:eastAsia="zh-CN"/>
        </w:rPr>
        <w:t>.</w:t>
      </w:r>
      <w:r>
        <w:rPr>
          <w:rFonts w:hint="eastAsia"/>
          <w:b/>
          <w:bCs/>
          <w:color w:val="auto"/>
          <w:u w:val="single"/>
        </w:rPr>
        <w:t>对一般污染防治区，防渗性能应与1.5m厚</w:t>
      </w:r>
      <w:r>
        <w:rPr>
          <w:rFonts w:hint="eastAsia"/>
          <w:b/>
          <w:bCs/>
          <w:color w:val="auto"/>
          <w:u w:val="single"/>
          <w:lang w:eastAsia="zh-CN"/>
        </w:rPr>
        <w:t>黏土</w:t>
      </w:r>
      <w:r>
        <w:rPr>
          <w:rFonts w:hint="eastAsia"/>
          <w:b/>
          <w:bCs/>
          <w:color w:val="auto"/>
          <w:u w:val="single"/>
        </w:rPr>
        <w:t>层（渗透系数1.0×10</w:t>
      </w:r>
      <w:r>
        <w:rPr>
          <w:rFonts w:hint="eastAsia"/>
          <w:b/>
          <w:bCs/>
          <w:color w:val="auto"/>
          <w:u w:val="single"/>
          <w:lang w:eastAsia="zh-CN"/>
        </w:rPr>
        <w:t>—</w:t>
      </w:r>
      <w:r>
        <w:rPr>
          <w:rFonts w:hint="eastAsia"/>
          <w:b/>
          <w:bCs/>
          <w:color w:val="auto"/>
          <w:u w:val="single"/>
          <w:vertAlign w:val="superscript"/>
        </w:rPr>
        <w:t>7</w:t>
      </w:r>
      <w:r>
        <w:rPr>
          <w:rFonts w:hint="eastAsia"/>
          <w:b/>
          <w:bCs/>
          <w:color w:val="auto"/>
          <w:u w:val="single"/>
        </w:rPr>
        <w:t>cm/s）等效；</w:t>
      </w:r>
    </w:p>
    <w:p>
      <w:pPr>
        <w:spacing w:line="520" w:lineRule="exact"/>
        <w:ind w:firstLine="482" w:firstLineChars="200"/>
        <w:rPr>
          <w:b/>
          <w:bCs/>
          <w:color w:val="auto"/>
          <w:u w:val="single"/>
        </w:rPr>
      </w:pPr>
      <w:r>
        <w:rPr>
          <w:rFonts w:hint="eastAsia"/>
          <w:b/>
          <w:bCs/>
          <w:color w:val="auto"/>
          <w:u w:val="single"/>
        </w:rPr>
        <w:t>b</w:t>
      </w:r>
      <w:r>
        <w:rPr>
          <w:rFonts w:hint="eastAsia"/>
          <w:b/>
          <w:bCs/>
          <w:color w:val="auto"/>
          <w:u w:val="single"/>
          <w:lang w:eastAsia="zh-CN"/>
        </w:rPr>
        <w:t>.</w:t>
      </w:r>
      <w:r>
        <w:rPr>
          <w:rFonts w:hint="eastAsia"/>
          <w:b/>
          <w:bCs/>
          <w:color w:val="auto"/>
          <w:u w:val="single"/>
        </w:rPr>
        <w:t>第一层基地土采用粘土夯实；</w:t>
      </w:r>
    </w:p>
    <w:p>
      <w:pPr>
        <w:spacing w:line="520" w:lineRule="exact"/>
        <w:ind w:firstLine="482" w:firstLineChars="200"/>
        <w:rPr>
          <w:b/>
          <w:bCs/>
          <w:color w:val="auto"/>
          <w:u w:val="single"/>
        </w:rPr>
      </w:pPr>
      <w:r>
        <w:rPr>
          <w:rFonts w:hint="eastAsia"/>
          <w:b/>
          <w:bCs/>
          <w:color w:val="auto"/>
          <w:u w:val="single"/>
        </w:rPr>
        <w:t>c</w:t>
      </w:r>
      <w:r>
        <w:rPr>
          <w:rFonts w:hint="eastAsia"/>
          <w:b/>
          <w:bCs/>
          <w:color w:val="auto"/>
          <w:u w:val="single"/>
          <w:lang w:eastAsia="zh-CN"/>
        </w:rPr>
        <w:t>.</w:t>
      </w:r>
      <w:r>
        <w:rPr>
          <w:rFonts w:hint="eastAsia"/>
          <w:b/>
          <w:bCs/>
          <w:color w:val="auto"/>
          <w:u w:val="single"/>
        </w:rPr>
        <w:t>第二层垫层采用碎石垫层；</w:t>
      </w:r>
    </w:p>
    <w:p>
      <w:pPr>
        <w:spacing w:line="520" w:lineRule="exact"/>
        <w:ind w:firstLine="482" w:firstLineChars="200"/>
        <w:rPr>
          <w:b/>
          <w:bCs/>
          <w:color w:val="auto"/>
          <w:u w:val="single"/>
        </w:rPr>
      </w:pPr>
      <w:r>
        <w:rPr>
          <w:rFonts w:hint="eastAsia"/>
          <w:b/>
          <w:bCs/>
          <w:color w:val="auto"/>
          <w:u w:val="single"/>
        </w:rPr>
        <w:t>d</w:t>
      </w:r>
      <w:r>
        <w:rPr>
          <w:rFonts w:hint="eastAsia"/>
          <w:b/>
          <w:bCs/>
          <w:color w:val="auto"/>
          <w:u w:val="single"/>
          <w:lang w:eastAsia="zh-CN"/>
        </w:rPr>
        <w:t>.</w:t>
      </w:r>
      <w:r>
        <w:rPr>
          <w:rFonts w:hint="eastAsia"/>
          <w:b/>
          <w:bCs/>
          <w:color w:val="auto"/>
          <w:u w:val="single"/>
        </w:rPr>
        <w:t>第三层防渗层采用混凝土防渗；混凝土防渗层的强度等级不应小于C20，水灰比不宜大于0.50；抗渗混凝土的抗渗等级不宜小于P8，其厚度小于100mm；</w:t>
      </w:r>
    </w:p>
    <w:p>
      <w:pPr>
        <w:spacing w:line="520" w:lineRule="exact"/>
        <w:ind w:firstLine="482" w:firstLineChars="200"/>
        <w:rPr>
          <w:b/>
          <w:bCs/>
          <w:color w:val="auto"/>
          <w:u w:val="single"/>
        </w:rPr>
      </w:pPr>
      <w:r>
        <w:rPr>
          <w:rFonts w:hint="eastAsia"/>
          <w:b/>
          <w:bCs/>
          <w:color w:val="auto"/>
          <w:u w:val="single"/>
        </w:rPr>
        <w:t>e</w:t>
      </w:r>
      <w:r>
        <w:rPr>
          <w:rFonts w:hint="eastAsia"/>
          <w:b/>
          <w:bCs/>
          <w:color w:val="auto"/>
          <w:u w:val="single"/>
          <w:lang w:eastAsia="zh-CN"/>
        </w:rPr>
        <w:t>.</w:t>
      </w:r>
      <w:r>
        <w:rPr>
          <w:rFonts w:hint="eastAsia"/>
          <w:b/>
          <w:bCs/>
          <w:color w:val="auto"/>
          <w:u w:val="single"/>
        </w:rPr>
        <w:t>抗渗混凝土地面设置缩缝和变形缝，接缝处等细部构造进行防渗。</w:t>
      </w:r>
    </w:p>
    <w:p>
      <w:pPr>
        <w:spacing w:line="520" w:lineRule="exact"/>
        <w:ind w:firstLine="482" w:firstLineChars="200"/>
        <w:rPr>
          <w:b/>
          <w:bCs/>
          <w:color w:val="auto"/>
          <w:u w:val="single"/>
        </w:rPr>
      </w:pPr>
      <w:r>
        <w:rPr>
          <w:rFonts w:hint="eastAsia"/>
          <w:b/>
          <w:bCs/>
          <w:color w:val="auto"/>
          <w:u w:val="single"/>
        </w:rPr>
        <w:t>（3）非污染防渗区：</w:t>
      </w:r>
    </w:p>
    <w:p>
      <w:pPr>
        <w:spacing w:line="520" w:lineRule="exact"/>
        <w:ind w:firstLine="482" w:firstLineChars="200"/>
        <w:rPr>
          <w:b/>
          <w:bCs/>
          <w:color w:val="auto"/>
          <w:u w:val="single"/>
        </w:rPr>
      </w:pPr>
      <w:r>
        <w:rPr>
          <w:rFonts w:hint="eastAsia"/>
          <w:b/>
          <w:bCs/>
          <w:color w:val="auto"/>
          <w:u w:val="single"/>
        </w:rPr>
        <w:t>a</w:t>
      </w:r>
      <w:r>
        <w:rPr>
          <w:rFonts w:hint="eastAsia"/>
          <w:b/>
          <w:bCs/>
          <w:color w:val="auto"/>
          <w:u w:val="single"/>
          <w:lang w:eastAsia="zh-CN"/>
        </w:rPr>
        <w:t>.</w:t>
      </w:r>
      <w:r>
        <w:rPr>
          <w:rFonts w:hint="eastAsia"/>
          <w:b/>
          <w:bCs/>
          <w:color w:val="auto"/>
          <w:u w:val="single"/>
        </w:rPr>
        <w:t>第一层基地土采用原土夯实；</w:t>
      </w:r>
    </w:p>
    <w:p>
      <w:pPr>
        <w:spacing w:line="520" w:lineRule="exact"/>
        <w:ind w:firstLine="482" w:firstLineChars="200"/>
        <w:rPr>
          <w:b/>
          <w:bCs/>
          <w:color w:val="auto"/>
          <w:u w:val="single"/>
        </w:rPr>
      </w:pPr>
      <w:r>
        <w:rPr>
          <w:rFonts w:hint="eastAsia"/>
          <w:b/>
          <w:bCs/>
          <w:color w:val="auto"/>
          <w:u w:val="single"/>
        </w:rPr>
        <w:t>b</w:t>
      </w:r>
      <w:r>
        <w:rPr>
          <w:rFonts w:hint="eastAsia"/>
          <w:b/>
          <w:bCs/>
          <w:color w:val="auto"/>
          <w:u w:val="single"/>
          <w:lang w:eastAsia="zh-CN"/>
        </w:rPr>
        <w:t>.</w:t>
      </w:r>
      <w:r>
        <w:rPr>
          <w:rFonts w:hint="eastAsia"/>
          <w:b/>
          <w:bCs/>
          <w:color w:val="auto"/>
          <w:u w:val="single"/>
        </w:rPr>
        <w:t>第二层垫层采用60厚C15混凝土垫层，抗渗等级P6；</w:t>
      </w:r>
    </w:p>
    <w:p>
      <w:pPr>
        <w:spacing w:line="520" w:lineRule="exact"/>
        <w:ind w:firstLine="482" w:firstLineChars="200"/>
        <w:rPr>
          <w:b/>
          <w:bCs/>
          <w:color w:val="auto"/>
          <w:u w:val="single"/>
        </w:rPr>
      </w:pPr>
      <w:r>
        <w:rPr>
          <w:rFonts w:hint="eastAsia"/>
          <w:b/>
          <w:bCs/>
          <w:color w:val="auto"/>
          <w:u w:val="single"/>
        </w:rPr>
        <w:t>c</w:t>
      </w:r>
      <w:r>
        <w:rPr>
          <w:rFonts w:hint="eastAsia"/>
          <w:b/>
          <w:bCs/>
          <w:color w:val="auto"/>
          <w:u w:val="single"/>
          <w:lang w:eastAsia="zh-CN"/>
        </w:rPr>
        <w:t>.</w:t>
      </w:r>
      <w:r>
        <w:rPr>
          <w:rFonts w:hint="eastAsia"/>
          <w:b/>
          <w:bCs/>
          <w:color w:val="auto"/>
          <w:u w:val="single"/>
        </w:rPr>
        <w:t>第三层20厚1：3干硬水泥砂浆结合层。</w:t>
      </w:r>
    </w:p>
    <w:p>
      <w:pPr>
        <w:spacing w:line="520" w:lineRule="exact"/>
        <w:ind w:firstLine="482" w:firstLineChars="200"/>
        <w:rPr>
          <w:b/>
          <w:bCs/>
          <w:color w:val="auto"/>
          <w:u w:val="single"/>
        </w:rPr>
      </w:pPr>
      <w:r>
        <w:rPr>
          <w:rFonts w:hint="eastAsia"/>
          <w:b/>
          <w:bCs/>
          <w:color w:val="auto"/>
          <w:u w:val="single"/>
        </w:rPr>
        <w:t>d</w:t>
      </w:r>
      <w:r>
        <w:rPr>
          <w:rFonts w:hint="eastAsia"/>
          <w:b/>
          <w:bCs/>
          <w:color w:val="auto"/>
          <w:u w:val="single"/>
          <w:lang w:eastAsia="zh-CN"/>
        </w:rPr>
        <w:t>.</w:t>
      </w:r>
      <w:r>
        <w:rPr>
          <w:rFonts w:hint="eastAsia"/>
          <w:b/>
          <w:bCs/>
          <w:color w:val="auto"/>
          <w:u w:val="single"/>
        </w:rPr>
        <w:t>第四层铺地砖。</w:t>
      </w:r>
    </w:p>
    <w:p>
      <w:pPr>
        <w:spacing w:line="520" w:lineRule="exact"/>
        <w:ind w:firstLine="482" w:firstLineChars="200"/>
        <w:rPr>
          <w:b/>
          <w:bCs/>
          <w:color w:val="auto"/>
          <w:u w:val="single"/>
        </w:rPr>
      </w:pPr>
      <w:r>
        <w:rPr>
          <w:rFonts w:hint="eastAsia"/>
          <w:b/>
          <w:bCs/>
          <w:color w:val="auto"/>
          <w:u w:val="single"/>
        </w:rPr>
        <w:t>各污染防治区在满足上述防渗要求的前提下，厂区地面除绿化区外均要进行硬化处理；工程产生的固废必须堆放在固废贮存场内，贮存场必须有防雨、防渗、防流失的“三防”措施。</w:t>
      </w:r>
    </w:p>
    <w:p>
      <w:pPr>
        <w:pStyle w:val="10"/>
        <w:bidi w:val="0"/>
        <w:rPr>
          <w:color w:val="auto"/>
        </w:rPr>
      </w:pPr>
      <w:r>
        <w:rPr>
          <w:rFonts w:hint="eastAsia"/>
          <w:color w:val="auto"/>
        </w:rPr>
        <w:t>6.</w:t>
      </w:r>
      <w:r>
        <w:rPr>
          <w:color w:val="auto"/>
        </w:rPr>
        <w:t>2.</w:t>
      </w:r>
      <w:r>
        <w:rPr>
          <w:rFonts w:hint="eastAsia"/>
          <w:color w:val="auto"/>
        </w:rPr>
        <w:t>5.3污染监控</w:t>
      </w:r>
    </w:p>
    <w:p>
      <w:pPr>
        <w:bidi w:val="0"/>
        <w:rPr>
          <w:color w:val="auto"/>
        </w:rPr>
      </w:pPr>
      <w:r>
        <w:rPr>
          <w:rFonts w:hint="eastAsia"/>
          <w:color w:val="auto"/>
        </w:rPr>
        <w:t>本工程位于新乡经济技术开发区，根据工程分析内容，正常状况下，本项目无地下水污染源存在，对区域地下水环境影响较小，评价建议建立地下水污染监控制度和环境管理体系，制定监测计划，以便及时发现问题，采取措施。制定地下水风险事故应急预案，明确地下水风险事故状态下应采取封闭、截流等措施。</w:t>
      </w:r>
    </w:p>
    <w:p>
      <w:pPr>
        <w:bidi w:val="0"/>
        <w:rPr>
          <w:color w:val="auto"/>
        </w:rPr>
      </w:pPr>
      <w:r>
        <w:rPr>
          <w:rFonts w:hint="eastAsia"/>
          <w:color w:val="auto"/>
        </w:rPr>
        <w:t>为了在发生污染物泄漏后及时发现地下水的污染程度，应在</w:t>
      </w:r>
      <w:r>
        <w:rPr>
          <w:rFonts w:hint="eastAsia"/>
          <w:color w:val="auto"/>
          <w:lang w:val="en-US" w:eastAsia="zh-CN"/>
        </w:rPr>
        <w:t>项目</w:t>
      </w:r>
      <w:r>
        <w:rPr>
          <w:rFonts w:hint="eastAsia"/>
          <w:color w:val="auto"/>
        </w:rPr>
        <w:t>厂区</w:t>
      </w:r>
      <w:r>
        <w:rPr>
          <w:rFonts w:hint="eastAsia"/>
          <w:color w:val="auto"/>
          <w:lang w:val="en-US" w:eastAsia="zh-CN"/>
        </w:rPr>
        <w:t>上游、项目用地范围内、</w:t>
      </w:r>
      <w:r>
        <w:rPr>
          <w:rFonts w:hint="eastAsia"/>
          <w:color w:val="auto"/>
        </w:rPr>
        <w:t>地下水流向下游布设监测井，拟布设</w:t>
      </w:r>
      <w:r>
        <w:rPr>
          <w:rFonts w:hint="eastAsia"/>
          <w:color w:val="auto"/>
          <w:lang w:val="en-US" w:eastAsia="zh-CN"/>
        </w:rPr>
        <w:t>3</w:t>
      </w:r>
      <w:r>
        <w:rPr>
          <w:rFonts w:hint="eastAsia"/>
          <w:color w:val="auto"/>
        </w:rPr>
        <w:t>个监测井监测污染物迁移程度。监测井每</w:t>
      </w:r>
      <w:r>
        <w:rPr>
          <w:rFonts w:hint="eastAsia"/>
          <w:color w:val="auto"/>
          <w:lang w:val="en-US" w:eastAsia="zh-CN"/>
        </w:rPr>
        <w:t>半</w:t>
      </w:r>
      <w:r>
        <w:rPr>
          <w:rFonts w:hint="eastAsia"/>
          <w:color w:val="auto"/>
        </w:rPr>
        <w:t>年取样一次，若发生污染物地下渗漏事故或发现地下水中污染物超标，应加强监测频次。</w:t>
      </w:r>
    </w:p>
    <w:p>
      <w:pPr>
        <w:pStyle w:val="10"/>
        <w:bidi w:val="0"/>
        <w:rPr>
          <w:color w:val="auto"/>
        </w:rPr>
      </w:pPr>
      <w:r>
        <w:rPr>
          <w:rFonts w:hint="eastAsia"/>
          <w:color w:val="auto"/>
        </w:rPr>
        <w:t>6.</w:t>
      </w:r>
      <w:r>
        <w:rPr>
          <w:color w:val="auto"/>
        </w:rPr>
        <w:t>2.</w:t>
      </w:r>
      <w:r>
        <w:rPr>
          <w:rFonts w:hint="eastAsia"/>
          <w:color w:val="auto"/>
        </w:rPr>
        <w:t>5.4风险事故应急响应</w:t>
      </w:r>
    </w:p>
    <w:p>
      <w:pPr>
        <w:bidi w:val="0"/>
        <w:rPr>
          <w:color w:val="auto"/>
        </w:rPr>
      </w:pPr>
      <w:r>
        <w:rPr>
          <w:rFonts w:hint="eastAsia"/>
          <w:color w:val="auto"/>
        </w:rPr>
        <w:t>建设单位应严格按照相关要求制定地下水风险事故应急响应预案，在事故状态下，应紧急启动应急预案，查明污染源所在位置，并及时采取措施进行污染源处理，并制定行之有效的地下水污染防治措施和实施方案。</w:t>
      </w:r>
    </w:p>
    <w:p>
      <w:pPr>
        <w:bidi w:val="0"/>
        <w:rPr>
          <w:color w:val="auto"/>
        </w:rPr>
      </w:pPr>
      <w:r>
        <w:rPr>
          <w:rFonts w:hint="eastAsia"/>
          <w:color w:val="auto"/>
        </w:rPr>
        <w:t>评价认为，在严格落实上述措施的基础上，本工程投产后不会对区域地下水环境造成大的不利影响，措施可行。</w:t>
      </w:r>
    </w:p>
    <w:p>
      <w:pPr>
        <w:pStyle w:val="9"/>
        <w:bidi w:val="0"/>
        <w:rPr>
          <w:color w:val="auto"/>
        </w:rPr>
      </w:pPr>
      <w:r>
        <w:rPr>
          <w:rFonts w:hint="eastAsia"/>
          <w:color w:val="auto"/>
        </w:rPr>
        <w:t>6.</w:t>
      </w:r>
      <w:r>
        <w:rPr>
          <w:color w:val="auto"/>
        </w:rPr>
        <w:t>2.</w:t>
      </w:r>
      <w:r>
        <w:rPr>
          <w:rFonts w:hint="eastAsia"/>
          <w:color w:val="auto"/>
        </w:rPr>
        <w:t>6风险防治措施分析</w:t>
      </w:r>
    </w:p>
    <w:p>
      <w:pPr>
        <w:bidi w:val="0"/>
        <w:rPr>
          <w:color w:val="auto"/>
        </w:rPr>
      </w:pPr>
      <w:r>
        <w:rPr>
          <w:rFonts w:hint="eastAsia"/>
          <w:color w:val="auto"/>
        </w:rPr>
        <w:t>（1）严格遵照国家有关的法令、法规、设计规范、操作规程进行设计、施工、安装。项目建设完成后，须经劳动安全、消防、环保等有关部门全面验收合格后方可开工。</w:t>
      </w:r>
    </w:p>
    <w:p>
      <w:pPr>
        <w:bidi w:val="0"/>
        <w:rPr>
          <w:color w:val="auto"/>
        </w:rPr>
      </w:pPr>
      <w:r>
        <w:rPr>
          <w:rFonts w:hint="eastAsia"/>
          <w:color w:val="auto"/>
        </w:rPr>
        <w:t>（2）装备配置方面，车间、库房配置的消防器材应满足消防规范的要求；供电系统应设置双电源，并配备UPS系统，使关键性</w:t>
      </w:r>
      <w:r>
        <w:rPr>
          <w:rFonts w:hint="eastAsia"/>
          <w:color w:val="auto"/>
          <w:lang w:eastAsia="zh-CN"/>
        </w:rPr>
        <w:t>电气设备</w:t>
      </w:r>
      <w:r>
        <w:rPr>
          <w:rFonts w:hint="eastAsia"/>
          <w:color w:val="auto"/>
        </w:rPr>
        <w:t>可通过瞬间电源的切换来维持正常的工作；工艺输送泵均采用密封防泄漏驱动泵以避免物料泄漏，特别是废水、废气处理装置的提升、引风等动力设施应配置必要的应急备用系统。</w:t>
      </w:r>
    </w:p>
    <w:p>
      <w:pPr>
        <w:bidi w:val="0"/>
        <w:rPr>
          <w:color w:val="auto"/>
        </w:rPr>
      </w:pPr>
      <w:r>
        <w:rPr>
          <w:rFonts w:hint="eastAsia"/>
          <w:color w:val="auto"/>
        </w:rPr>
        <w:t>（3）储罐区进行防渗并设置围堰，依托厂区现有</w:t>
      </w:r>
      <w:r>
        <w:rPr>
          <w:rFonts w:hint="eastAsia"/>
          <w:color w:val="auto"/>
          <w:lang w:val="en-US" w:eastAsia="zh-CN"/>
        </w:rPr>
        <w:t>1</w:t>
      </w:r>
      <w:r>
        <w:rPr>
          <w:rFonts w:hint="eastAsia"/>
          <w:color w:val="auto"/>
        </w:rPr>
        <w:t>000m</w:t>
      </w:r>
      <w:r>
        <w:rPr>
          <w:rFonts w:hint="eastAsia"/>
          <w:color w:val="auto"/>
          <w:vertAlign w:val="superscript"/>
        </w:rPr>
        <w:t>3</w:t>
      </w:r>
      <w:r>
        <w:rPr>
          <w:rFonts w:hint="eastAsia"/>
          <w:color w:val="auto"/>
        </w:rPr>
        <w:t>事故水池，收集项目火灾事故废水。</w:t>
      </w:r>
    </w:p>
    <w:p>
      <w:pPr>
        <w:bidi w:val="0"/>
        <w:rPr>
          <w:color w:val="auto"/>
        </w:rPr>
      </w:pPr>
      <w:r>
        <w:rPr>
          <w:rFonts w:hint="eastAsia"/>
          <w:color w:val="auto"/>
        </w:rPr>
        <w:t>（4）各建构筑物之间、建构筑物与道路之间要按火灾危险类别和环境情况保持足够的安全距离。</w:t>
      </w:r>
    </w:p>
    <w:p>
      <w:pPr>
        <w:bidi w:val="0"/>
        <w:rPr>
          <w:color w:val="auto"/>
        </w:rPr>
      </w:pPr>
      <w:r>
        <w:rPr>
          <w:rFonts w:hint="eastAsia"/>
          <w:color w:val="auto"/>
        </w:rPr>
        <w:t>（5）公司应建立科学、严格的生产操作规程和安全管理体系，做到各车间、工段生产、安全都有专业人员专职负责。</w:t>
      </w:r>
    </w:p>
    <w:p>
      <w:pPr>
        <w:bidi w:val="0"/>
        <w:rPr>
          <w:color w:val="auto"/>
        </w:rPr>
      </w:pPr>
      <w:r>
        <w:rPr>
          <w:rFonts w:hint="eastAsia"/>
          <w:color w:val="auto"/>
        </w:rPr>
        <w:t>（6）加强设备、管道、阀门等密封检查与维护，发现问题及时解决，防止跑、冒、滴、漏。</w:t>
      </w:r>
    </w:p>
    <w:p>
      <w:pPr>
        <w:bidi w:val="0"/>
        <w:rPr>
          <w:color w:val="auto"/>
        </w:rPr>
      </w:pPr>
      <w:r>
        <w:rPr>
          <w:rFonts w:hint="eastAsia"/>
          <w:color w:val="auto"/>
        </w:rPr>
        <w:t>（7）建立健全的组织管理网络。管理人员和操作人员在事故预防中应通力合作，每个生产岗位配备必要的安全管理和责任人员。</w:t>
      </w:r>
    </w:p>
    <w:p>
      <w:pPr>
        <w:bidi w:val="0"/>
        <w:rPr>
          <w:color w:val="auto"/>
        </w:rPr>
      </w:pPr>
      <w:r>
        <w:rPr>
          <w:rFonts w:hint="eastAsia"/>
          <w:color w:val="auto"/>
        </w:rPr>
        <w:t>（8）当储罐区发生泄漏时，由生产操作现场人员及时堵漏，切断与其他单元的联系。少量泄漏物用沙土吸附或吸收，并铲入专用收集器内，委托有资质的单位处理。大量泄漏：用泡沫覆盖，降低蒸气灾害，用防爆泵</w:t>
      </w:r>
      <w:r>
        <w:rPr>
          <w:rFonts w:hint="eastAsia"/>
          <w:color w:val="auto"/>
          <w:lang w:eastAsia="zh-CN"/>
        </w:rPr>
        <w:t>转移至</w:t>
      </w:r>
      <w:r>
        <w:rPr>
          <w:rFonts w:hint="eastAsia"/>
          <w:color w:val="auto"/>
        </w:rPr>
        <w:t>备用储罐中。</w:t>
      </w:r>
    </w:p>
    <w:p>
      <w:pPr>
        <w:bidi w:val="0"/>
        <w:rPr>
          <w:color w:val="auto"/>
        </w:rPr>
      </w:pPr>
      <w:r>
        <w:rPr>
          <w:rFonts w:hint="eastAsia"/>
          <w:color w:val="auto"/>
        </w:rPr>
        <w:t>（9）对在岗工人及邻近有关人员进行普及性自我救护教育，一旦发生事故迅速进行自我救护。</w:t>
      </w:r>
    </w:p>
    <w:p>
      <w:pPr>
        <w:bidi w:val="0"/>
        <w:rPr>
          <w:color w:val="auto"/>
        </w:rPr>
      </w:pPr>
      <w:r>
        <w:rPr>
          <w:rFonts w:hint="eastAsia"/>
          <w:color w:val="auto"/>
        </w:rPr>
        <w:t>（10）在发生泄漏的情况下，及时疏散下风向的人员，不会造成人员死亡等重大环境事故。</w:t>
      </w:r>
    </w:p>
    <w:p>
      <w:pPr>
        <w:bidi w:val="0"/>
        <w:rPr>
          <w:color w:val="auto"/>
        </w:rPr>
      </w:pPr>
      <w:r>
        <w:rPr>
          <w:rFonts w:hint="eastAsia"/>
          <w:color w:val="auto"/>
        </w:rPr>
        <w:t>建设单位在认真落实环境风险评价提出的各项风险防范措施的基础上，本项目的环境风险可防控。</w:t>
      </w:r>
    </w:p>
    <w:p>
      <w:pPr>
        <w:pStyle w:val="7"/>
        <w:bidi w:val="0"/>
        <w:rPr>
          <w:color w:val="auto"/>
        </w:rPr>
      </w:pPr>
      <w:bookmarkStart w:id="348" w:name="_Toc25972"/>
      <w:bookmarkStart w:id="349" w:name="_Toc33823288"/>
      <w:r>
        <w:rPr>
          <w:rFonts w:hint="eastAsia"/>
          <w:color w:val="auto"/>
        </w:rPr>
        <w:t>6.3工程污染防治措施汇总</w:t>
      </w:r>
      <w:bookmarkEnd w:id="348"/>
      <w:bookmarkEnd w:id="349"/>
    </w:p>
    <w:p>
      <w:pPr>
        <w:bidi w:val="0"/>
        <w:rPr>
          <w:rFonts w:hint="eastAsia"/>
          <w:color w:val="auto"/>
        </w:rPr>
      </w:pPr>
      <w:bookmarkStart w:id="350" w:name="_Hlk121077438"/>
      <w:r>
        <w:rPr>
          <w:rFonts w:hint="eastAsia"/>
          <w:color w:val="auto"/>
        </w:rPr>
        <w:t>本项目总投资</w:t>
      </w:r>
      <w:r>
        <w:rPr>
          <w:color w:val="auto"/>
        </w:rPr>
        <w:t>10</w:t>
      </w:r>
      <w:r>
        <w:rPr>
          <w:rFonts w:hint="eastAsia"/>
          <w:color w:val="auto"/>
        </w:rPr>
        <w:t>000万元，其中环保投资约</w:t>
      </w:r>
      <w:r>
        <w:rPr>
          <w:rFonts w:hint="eastAsia"/>
          <w:color w:val="auto"/>
          <w:lang w:val="en-US" w:eastAsia="zh-CN"/>
        </w:rPr>
        <w:t>135</w:t>
      </w:r>
      <w:r>
        <w:rPr>
          <w:rFonts w:hint="eastAsia"/>
          <w:color w:val="auto"/>
        </w:rPr>
        <w:t>万元，占总投资的</w:t>
      </w:r>
      <w:r>
        <w:rPr>
          <w:color w:val="auto"/>
        </w:rPr>
        <w:t>1.</w:t>
      </w:r>
      <w:r>
        <w:rPr>
          <w:rFonts w:hint="eastAsia"/>
          <w:color w:val="auto"/>
          <w:lang w:val="en-US" w:eastAsia="zh-CN"/>
        </w:rPr>
        <w:t>3</w:t>
      </w:r>
      <w:r>
        <w:rPr>
          <w:color w:val="auto"/>
        </w:rPr>
        <w:t>5</w:t>
      </w:r>
      <w:r>
        <w:rPr>
          <w:rFonts w:hint="eastAsia"/>
          <w:color w:val="auto"/>
        </w:rPr>
        <w:t>%。</w:t>
      </w:r>
      <w:bookmarkEnd w:id="350"/>
      <w:r>
        <w:rPr>
          <w:rFonts w:hint="eastAsia"/>
          <w:color w:val="auto"/>
        </w:rPr>
        <w:t>工程污染防治措施及投资概算见表</w:t>
      </w:r>
      <w:r>
        <w:rPr>
          <w:color w:val="auto"/>
        </w:rPr>
        <w:t>6.3</w:t>
      </w:r>
      <w:r>
        <w:rPr>
          <w:rFonts w:hint="eastAsia"/>
          <w:color w:val="auto"/>
        </w:rPr>
        <w:t>-</w:t>
      </w:r>
      <w:r>
        <w:rPr>
          <w:color w:val="auto"/>
        </w:rPr>
        <w:t>1</w:t>
      </w:r>
      <w:r>
        <w:rPr>
          <w:rFonts w:hint="eastAsia"/>
          <w:color w:val="auto"/>
        </w:rPr>
        <w:t>。</w:t>
      </w:r>
    </w:p>
    <w:p>
      <w:pPr>
        <w:pStyle w:val="181"/>
        <w:bidi w:val="0"/>
        <w:ind w:left="0" w:leftChars="0" w:firstLine="0" w:firstLineChars="0"/>
        <w:rPr>
          <w:color w:val="auto"/>
        </w:rPr>
      </w:pPr>
      <w:r>
        <w:rPr>
          <w:rFonts w:hint="eastAsia"/>
          <w:color w:val="auto"/>
        </w:rPr>
        <w:t>表</w:t>
      </w:r>
      <w:r>
        <w:rPr>
          <w:color w:val="auto"/>
        </w:rPr>
        <w:t>6.3</w:t>
      </w:r>
      <w:r>
        <w:rPr>
          <w:rFonts w:hint="eastAsia"/>
          <w:color w:val="auto"/>
        </w:rPr>
        <w:t>-</w:t>
      </w:r>
      <w:r>
        <w:rPr>
          <w:color w:val="auto"/>
        </w:rPr>
        <w:t xml:space="preserve">1  </w:t>
      </w:r>
      <w:r>
        <w:rPr>
          <w:rFonts w:hint="eastAsia"/>
          <w:color w:val="auto"/>
          <w:lang w:val="en-US" w:eastAsia="zh-CN"/>
        </w:rPr>
        <w:t xml:space="preserve">        </w:t>
      </w:r>
      <w:r>
        <w:rPr>
          <w:rFonts w:hint="eastAsia"/>
          <w:color w:val="auto"/>
        </w:rPr>
        <w:t>工程污染防治措施及投资概算</w:t>
      </w:r>
    </w:p>
    <w:tbl>
      <w:tblPr>
        <w:tblStyle w:val="32"/>
        <w:tblW w:w="88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300"/>
        <w:gridCol w:w="2126"/>
        <w:gridCol w:w="3653"/>
        <w:gridCol w:w="11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tcBorders>
              <w:top w:val="single" w:color="auto" w:sz="8" w:space="0"/>
              <w:bottom w:val="single" w:color="auto" w:sz="8" w:space="0"/>
            </w:tcBorders>
            <w:vAlign w:val="center"/>
          </w:tcPr>
          <w:p>
            <w:pPr>
              <w:pStyle w:val="182"/>
              <w:bidi w:val="0"/>
              <w:rPr>
                <w:b/>
                <w:bCs/>
                <w:color w:val="auto"/>
                <w:u w:val="single"/>
              </w:rPr>
            </w:pPr>
            <w:r>
              <w:rPr>
                <w:rFonts w:hint="eastAsia"/>
                <w:b/>
                <w:bCs/>
                <w:color w:val="auto"/>
                <w:u w:val="single"/>
              </w:rPr>
              <w:t>项目</w:t>
            </w:r>
          </w:p>
        </w:tc>
        <w:tc>
          <w:tcPr>
            <w:tcW w:w="1300" w:type="dxa"/>
            <w:tcBorders>
              <w:top w:val="single" w:color="auto" w:sz="8" w:space="0"/>
              <w:bottom w:val="single" w:color="auto" w:sz="8" w:space="0"/>
            </w:tcBorders>
            <w:vAlign w:val="center"/>
          </w:tcPr>
          <w:p>
            <w:pPr>
              <w:pStyle w:val="182"/>
              <w:bidi w:val="0"/>
              <w:rPr>
                <w:b/>
                <w:bCs/>
                <w:color w:val="auto"/>
                <w:u w:val="single"/>
              </w:rPr>
            </w:pPr>
            <w:r>
              <w:rPr>
                <w:rFonts w:hint="eastAsia"/>
                <w:b/>
                <w:bCs/>
                <w:color w:val="auto"/>
                <w:u w:val="single"/>
              </w:rPr>
              <w:t>产污环节</w:t>
            </w:r>
          </w:p>
        </w:tc>
        <w:tc>
          <w:tcPr>
            <w:tcW w:w="2126" w:type="dxa"/>
            <w:tcBorders>
              <w:top w:val="single" w:color="auto" w:sz="8" w:space="0"/>
              <w:bottom w:val="single" w:color="auto" w:sz="8" w:space="0"/>
            </w:tcBorders>
            <w:vAlign w:val="center"/>
          </w:tcPr>
          <w:p>
            <w:pPr>
              <w:pStyle w:val="182"/>
              <w:bidi w:val="0"/>
              <w:rPr>
                <w:b/>
                <w:bCs/>
                <w:color w:val="auto"/>
                <w:u w:val="single"/>
              </w:rPr>
            </w:pPr>
            <w:r>
              <w:rPr>
                <w:b/>
                <w:bCs/>
                <w:color w:val="auto"/>
                <w:u w:val="single"/>
              </w:rPr>
              <w:t>污染因子</w:t>
            </w:r>
          </w:p>
        </w:tc>
        <w:tc>
          <w:tcPr>
            <w:tcW w:w="3653" w:type="dxa"/>
            <w:tcBorders>
              <w:top w:val="single" w:color="auto" w:sz="8" w:space="0"/>
              <w:bottom w:val="single" w:color="auto" w:sz="8" w:space="0"/>
            </w:tcBorders>
            <w:vAlign w:val="center"/>
          </w:tcPr>
          <w:p>
            <w:pPr>
              <w:pStyle w:val="182"/>
              <w:bidi w:val="0"/>
              <w:rPr>
                <w:b/>
                <w:bCs/>
                <w:color w:val="auto"/>
                <w:u w:val="single"/>
              </w:rPr>
            </w:pPr>
            <w:r>
              <w:rPr>
                <w:rFonts w:hint="eastAsia"/>
                <w:b/>
                <w:bCs/>
                <w:color w:val="auto"/>
                <w:u w:val="single"/>
              </w:rPr>
              <w:t>治理</w:t>
            </w:r>
            <w:r>
              <w:rPr>
                <w:b/>
                <w:bCs/>
                <w:color w:val="auto"/>
                <w:u w:val="single"/>
              </w:rPr>
              <w:t>措施</w:t>
            </w:r>
          </w:p>
        </w:tc>
        <w:tc>
          <w:tcPr>
            <w:tcW w:w="1134" w:type="dxa"/>
            <w:tcBorders>
              <w:top w:val="single" w:color="auto" w:sz="8" w:space="0"/>
              <w:bottom w:val="single" w:color="auto" w:sz="8" w:space="0"/>
            </w:tcBorders>
            <w:vAlign w:val="center"/>
          </w:tcPr>
          <w:p>
            <w:pPr>
              <w:pStyle w:val="182"/>
              <w:bidi w:val="0"/>
              <w:rPr>
                <w:b/>
                <w:bCs/>
                <w:color w:val="auto"/>
                <w:u w:val="single"/>
              </w:rPr>
            </w:pPr>
            <w:r>
              <w:rPr>
                <w:rFonts w:hint="eastAsia"/>
                <w:b/>
                <w:bCs/>
                <w:color w:val="auto"/>
                <w:u w:val="single"/>
              </w:rPr>
              <w:t>投资</w:t>
            </w:r>
          </w:p>
          <w:p>
            <w:pPr>
              <w:pStyle w:val="182"/>
              <w:bidi w:val="0"/>
              <w:rPr>
                <w:b/>
                <w:bCs/>
                <w:color w:val="auto"/>
                <w:u w:val="single"/>
              </w:rPr>
            </w:pPr>
            <w:r>
              <w:rPr>
                <w:rFonts w:hint="eastAsia"/>
                <w:b/>
                <w:bCs/>
                <w:color w:val="auto"/>
                <w:u w:val="single"/>
              </w:rPr>
              <w:t>（万元）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tcBorders>
              <w:top w:val="single" w:color="auto" w:sz="8" w:space="0"/>
              <w:bottom w:val="single" w:color="auto" w:sz="4" w:space="0"/>
            </w:tcBorders>
            <w:vAlign w:val="center"/>
          </w:tcPr>
          <w:p>
            <w:pPr>
              <w:pStyle w:val="182"/>
              <w:bidi w:val="0"/>
              <w:rPr>
                <w:b/>
                <w:bCs/>
                <w:color w:val="auto"/>
                <w:u w:val="single"/>
              </w:rPr>
            </w:pPr>
            <w:r>
              <w:rPr>
                <w:b/>
                <w:bCs/>
                <w:color w:val="auto"/>
                <w:u w:val="single"/>
              </w:rPr>
              <w:t>废水</w:t>
            </w:r>
          </w:p>
        </w:tc>
        <w:tc>
          <w:tcPr>
            <w:tcW w:w="1300" w:type="dxa"/>
            <w:tcBorders>
              <w:top w:val="single" w:color="auto" w:sz="8" w:space="0"/>
              <w:bottom w:val="single" w:color="auto" w:sz="4" w:space="0"/>
            </w:tcBorders>
            <w:vAlign w:val="center"/>
          </w:tcPr>
          <w:p>
            <w:pPr>
              <w:pStyle w:val="182"/>
              <w:bidi w:val="0"/>
              <w:rPr>
                <w:b/>
                <w:bCs/>
                <w:color w:val="auto"/>
                <w:u w:val="single"/>
              </w:rPr>
            </w:pPr>
            <w:r>
              <w:rPr>
                <w:b/>
                <w:bCs/>
                <w:color w:val="auto"/>
                <w:u w:val="single"/>
              </w:rPr>
              <w:t>生产、生活废水</w:t>
            </w:r>
          </w:p>
        </w:tc>
        <w:tc>
          <w:tcPr>
            <w:tcW w:w="2126" w:type="dxa"/>
            <w:tcBorders>
              <w:top w:val="single" w:color="auto" w:sz="8" w:space="0"/>
            </w:tcBorders>
            <w:vAlign w:val="center"/>
          </w:tcPr>
          <w:p>
            <w:pPr>
              <w:pStyle w:val="182"/>
              <w:bidi w:val="0"/>
              <w:rPr>
                <w:rFonts w:hint="default" w:eastAsia="宋体"/>
                <w:b/>
                <w:bCs/>
                <w:color w:val="auto"/>
                <w:u w:val="single"/>
                <w:lang w:val="en-US" w:eastAsia="zh-CN"/>
              </w:rPr>
            </w:pPr>
            <w:r>
              <w:rPr>
                <w:b/>
                <w:bCs/>
                <w:color w:val="auto"/>
                <w:u w:val="single"/>
              </w:rPr>
              <w:t>COD</w:t>
            </w:r>
            <w:r>
              <w:rPr>
                <w:rFonts w:hint="eastAsia"/>
                <w:b/>
                <w:bCs/>
                <w:color w:val="auto"/>
                <w:u w:val="single"/>
              </w:rPr>
              <w:t>、</w:t>
            </w:r>
            <w:r>
              <w:rPr>
                <w:b/>
                <w:bCs/>
                <w:color w:val="auto"/>
                <w:u w:val="single"/>
              </w:rPr>
              <w:t>BOD</w:t>
            </w:r>
            <w:r>
              <w:rPr>
                <w:b/>
                <w:bCs/>
                <w:color w:val="auto"/>
                <w:u w:val="single"/>
                <w:vertAlign w:val="subscript"/>
              </w:rPr>
              <w:t>5</w:t>
            </w:r>
            <w:r>
              <w:rPr>
                <w:rFonts w:hint="eastAsia"/>
                <w:b/>
                <w:bCs/>
                <w:color w:val="auto"/>
                <w:u w:val="single"/>
              </w:rPr>
              <w:t>、</w:t>
            </w:r>
            <w:r>
              <w:rPr>
                <w:b/>
                <w:bCs/>
                <w:color w:val="auto"/>
                <w:u w:val="single"/>
              </w:rPr>
              <w:t>SS</w:t>
            </w:r>
            <w:r>
              <w:rPr>
                <w:rFonts w:hint="eastAsia"/>
                <w:b/>
                <w:bCs/>
                <w:color w:val="auto"/>
                <w:u w:val="single"/>
              </w:rPr>
              <w:t>、NH</w:t>
            </w:r>
            <w:r>
              <w:rPr>
                <w:rFonts w:hint="eastAsia"/>
                <w:b/>
                <w:bCs/>
                <w:color w:val="auto"/>
                <w:u w:val="single"/>
                <w:vertAlign w:val="subscript"/>
              </w:rPr>
              <w:t>3</w:t>
            </w:r>
            <w:r>
              <w:rPr>
                <w:rFonts w:hint="eastAsia"/>
                <w:b/>
                <w:bCs/>
                <w:color w:val="auto"/>
                <w:u w:val="single"/>
              </w:rPr>
              <w:t>-N、</w:t>
            </w:r>
            <w:r>
              <w:rPr>
                <w:b/>
                <w:bCs/>
                <w:color w:val="auto"/>
                <w:u w:val="single"/>
              </w:rPr>
              <w:t>TP</w:t>
            </w:r>
            <w:r>
              <w:rPr>
                <w:rFonts w:hint="eastAsia"/>
                <w:b/>
                <w:bCs/>
                <w:color w:val="auto"/>
                <w:u w:val="single"/>
              </w:rPr>
              <w:t>、</w:t>
            </w:r>
            <w:r>
              <w:rPr>
                <w:b/>
                <w:bCs/>
                <w:color w:val="auto"/>
                <w:u w:val="single"/>
              </w:rPr>
              <w:t>TN</w:t>
            </w:r>
            <w:r>
              <w:rPr>
                <w:rFonts w:hint="eastAsia"/>
                <w:b/>
                <w:bCs/>
                <w:color w:val="auto"/>
                <w:u w:val="single"/>
                <w:lang w:eastAsia="zh-CN"/>
              </w:rPr>
              <w:t>、</w:t>
            </w:r>
            <w:r>
              <w:rPr>
                <w:rFonts w:hint="eastAsia"/>
                <w:b/>
                <w:bCs/>
                <w:color w:val="auto"/>
                <w:u w:val="single"/>
                <w:lang w:val="en-US" w:eastAsia="zh-CN"/>
              </w:rPr>
              <w:t>色度</w:t>
            </w:r>
          </w:p>
        </w:tc>
        <w:tc>
          <w:tcPr>
            <w:tcW w:w="3653" w:type="dxa"/>
            <w:tcBorders>
              <w:top w:val="single" w:color="auto" w:sz="8" w:space="0"/>
            </w:tcBorders>
            <w:vAlign w:val="center"/>
          </w:tcPr>
          <w:p>
            <w:pPr>
              <w:pStyle w:val="182"/>
              <w:bidi w:val="0"/>
              <w:rPr>
                <w:b/>
                <w:bCs/>
                <w:color w:val="auto"/>
                <w:u w:val="single"/>
              </w:rPr>
            </w:pPr>
            <w:r>
              <w:rPr>
                <w:rFonts w:hint="eastAsia"/>
                <w:b/>
                <w:bCs/>
                <w:color w:val="auto"/>
                <w:u w:val="single"/>
              </w:rPr>
              <w:t>厂区废水连接管网，依托厂区内3.8万t/d污水处理站</w:t>
            </w:r>
          </w:p>
        </w:tc>
        <w:tc>
          <w:tcPr>
            <w:tcW w:w="1134" w:type="dxa"/>
            <w:tcBorders>
              <w:top w:val="single" w:color="auto" w:sz="8" w:space="0"/>
            </w:tcBorders>
            <w:vAlign w:val="center"/>
          </w:tcPr>
          <w:p>
            <w:pPr>
              <w:pStyle w:val="182"/>
              <w:bidi w:val="0"/>
              <w:rPr>
                <w:b/>
                <w:bCs/>
                <w:color w:val="auto"/>
                <w:u w:val="single"/>
              </w:rPr>
            </w:pPr>
            <w:r>
              <w:rPr>
                <w:b/>
                <w:bCs/>
                <w:color w:val="auto"/>
                <w:u w:val="single"/>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tcBorders>
              <w:top w:val="single" w:color="auto" w:sz="4" w:space="0"/>
            </w:tcBorders>
            <w:vAlign w:val="center"/>
          </w:tcPr>
          <w:p>
            <w:pPr>
              <w:pStyle w:val="182"/>
              <w:bidi w:val="0"/>
              <w:rPr>
                <w:b/>
                <w:bCs/>
                <w:color w:val="auto"/>
                <w:u w:val="single"/>
              </w:rPr>
            </w:pPr>
            <w:r>
              <w:rPr>
                <w:b/>
                <w:bCs/>
                <w:color w:val="auto"/>
                <w:u w:val="single"/>
              </w:rPr>
              <w:t>废气</w:t>
            </w:r>
          </w:p>
        </w:tc>
        <w:tc>
          <w:tcPr>
            <w:tcW w:w="1300" w:type="dxa"/>
            <w:tcBorders>
              <w:top w:val="single" w:color="auto" w:sz="4" w:space="0"/>
            </w:tcBorders>
            <w:vAlign w:val="center"/>
          </w:tcPr>
          <w:p>
            <w:pPr>
              <w:pStyle w:val="182"/>
              <w:bidi w:val="0"/>
              <w:rPr>
                <w:b/>
                <w:bCs/>
                <w:color w:val="auto"/>
                <w:u w:val="single"/>
              </w:rPr>
            </w:pPr>
            <w:r>
              <w:rPr>
                <w:rFonts w:hint="eastAsia"/>
                <w:b/>
                <w:bCs/>
                <w:color w:val="auto"/>
                <w:u w:val="single"/>
              </w:rPr>
              <w:t>蒸煮废气</w:t>
            </w:r>
          </w:p>
        </w:tc>
        <w:tc>
          <w:tcPr>
            <w:tcW w:w="2126" w:type="dxa"/>
            <w:vAlign w:val="center"/>
          </w:tcPr>
          <w:p>
            <w:pPr>
              <w:pStyle w:val="182"/>
              <w:bidi w:val="0"/>
              <w:rPr>
                <w:b/>
                <w:bCs/>
                <w:color w:val="auto"/>
                <w:u w:val="single"/>
              </w:rPr>
            </w:pPr>
            <w:r>
              <w:rPr>
                <w:rFonts w:hint="eastAsia"/>
                <w:b/>
                <w:bCs/>
                <w:color w:val="auto"/>
                <w:u w:val="single"/>
              </w:rPr>
              <w:t>/</w:t>
            </w:r>
          </w:p>
        </w:tc>
        <w:tc>
          <w:tcPr>
            <w:tcW w:w="3653" w:type="dxa"/>
            <w:vAlign w:val="center"/>
          </w:tcPr>
          <w:p>
            <w:pPr>
              <w:pStyle w:val="182"/>
              <w:bidi w:val="0"/>
              <w:rPr>
                <w:b/>
                <w:bCs/>
                <w:color w:val="auto"/>
                <w:u w:val="single"/>
              </w:rPr>
            </w:pPr>
            <w:r>
              <w:rPr>
                <w:rFonts w:hint="eastAsia"/>
                <w:b/>
                <w:bCs/>
                <w:color w:val="auto"/>
                <w:u w:val="single"/>
              </w:rPr>
              <w:t>设备顶部设置管道风机，抽至五效蒸发器进行回收利用</w:t>
            </w:r>
          </w:p>
        </w:tc>
        <w:tc>
          <w:tcPr>
            <w:tcW w:w="1134" w:type="dxa"/>
            <w:vAlign w:val="center"/>
          </w:tcPr>
          <w:p>
            <w:pPr>
              <w:pStyle w:val="182"/>
              <w:bidi w:val="0"/>
              <w:rPr>
                <w:b/>
                <w:bCs/>
                <w:color w:val="auto"/>
                <w:u w:val="single"/>
              </w:rPr>
            </w:pPr>
            <w:r>
              <w:rPr>
                <w:rFonts w:hint="eastAsia"/>
                <w:b/>
                <w:bCs/>
                <w:color w:val="auto"/>
                <w:u w:val="single"/>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vAlign w:val="center"/>
          </w:tcPr>
          <w:p>
            <w:pPr>
              <w:pStyle w:val="182"/>
              <w:bidi w:val="0"/>
              <w:rPr>
                <w:b/>
                <w:bCs/>
                <w:color w:val="auto"/>
                <w:u w:val="single"/>
              </w:rPr>
            </w:pPr>
          </w:p>
        </w:tc>
        <w:tc>
          <w:tcPr>
            <w:tcW w:w="1300" w:type="dxa"/>
            <w:tcBorders>
              <w:top w:val="single" w:color="auto" w:sz="4" w:space="0"/>
            </w:tcBorders>
            <w:vAlign w:val="center"/>
          </w:tcPr>
          <w:p>
            <w:pPr>
              <w:pStyle w:val="182"/>
              <w:bidi w:val="0"/>
              <w:rPr>
                <w:b/>
                <w:bCs/>
                <w:color w:val="auto"/>
                <w:u w:val="single"/>
              </w:rPr>
            </w:pPr>
            <w:r>
              <w:rPr>
                <w:rFonts w:hint="eastAsia"/>
                <w:b/>
                <w:bCs/>
                <w:color w:val="auto"/>
                <w:u w:val="single"/>
              </w:rPr>
              <w:t>堆料库扬尘</w:t>
            </w:r>
          </w:p>
        </w:tc>
        <w:tc>
          <w:tcPr>
            <w:tcW w:w="2126" w:type="dxa"/>
            <w:vAlign w:val="center"/>
          </w:tcPr>
          <w:p>
            <w:pPr>
              <w:pStyle w:val="182"/>
              <w:bidi w:val="0"/>
              <w:rPr>
                <w:b/>
                <w:bCs/>
                <w:color w:val="auto"/>
                <w:u w:val="single"/>
              </w:rPr>
            </w:pPr>
            <w:r>
              <w:rPr>
                <w:rFonts w:hint="eastAsia"/>
                <w:b/>
                <w:bCs/>
                <w:color w:val="auto"/>
                <w:u w:val="single"/>
              </w:rPr>
              <w:t>颗粒物</w:t>
            </w:r>
          </w:p>
        </w:tc>
        <w:tc>
          <w:tcPr>
            <w:tcW w:w="3653" w:type="dxa"/>
            <w:vAlign w:val="center"/>
          </w:tcPr>
          <w:p>
            <w:pPr>
              <w:pStyle w:val="182"/>
              <w:bidi w:val="0"/>
              <w:rPr>
                <w:b/>
                <w:bCs/>
                <w:color w:val="auto"/>
                <w:u w:val="single"/>
              </w:rPr>
            </w:pPr>
            <w:r>
              <w:rPr>
                <w:rFonts w:hint="eastAsia"/>
                <w:b/>
                <w:bCs/>
                <w:color w:val="auto"/>
                <w:u w:val="single"/>
              </w:rPr>
              <w:t>料库密闭，洒水抑尘。</w:t>
            </w:r>
          </w:p>
        </w:tc>
        <w:tc>
          <w:tcPr>
            <w:tcW w:w="1134" w:type="dxa"/>
            <w:vAlign w:val="center"/>
          </w:tcPr>
          <w:p>
            <w:pPr>
              <w:pStyle w:val="182"/>
              <w:bidi w:val="0"/>
              <w:rPr>
                <w:b/>
                <w:bCs/>
                <w:color w:val="auto"/>
                <w:u w:val="single"/>
              </w:rPr>
            </w:pPr>
            <w:r>
              <w:rPr>
                <w:rFonts w:hint="eastAsia"/>
                <w:b/>
                <w:bCs/>
                <w:color w:val="auto"/>
                <w:u w:val="single"/>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vAlign w:val="center"/>
          </w:tcPr>
          <w:p>
            <w:pPr>
              <w:pStyle w:val="182"/>
              <w:bidi w:val="0"/>
              <w:rPr>
                <w:b/>
                <w:bCs/>
                <w:color w:val="auto"/>
                <w:u w:val="single"/>
              </w:rPr>
            </w:pPr>
          </w:p>
        </w:tc>
        <w:tc>
          <w:tcPr>
            <w:tcW w:w="1300" w:type="dxa"/>
            <w:tcBorders>
              <w:top w:val="single" w:color="auto" w:sz="4" w:space="0"/>
            </w:tcBorders>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木质素混合物干燥、收集、分装</w:t>
            </w:r>
          </w:p>
        </w:tc>
        <w:tc>
          <w:tcPr>
            <w:tcW w:w="2126" w:type="dxa"/>
            <w:vAlign w:val="center"/>
          </w:tcPr>
          <w:p>
            <w:pPr>
              <w:pStyle w:val="182"/>
              <w:bidi w:val="0"/>
              <w:rPr>
                <w:rFonts w:hint="eastAsia"/>
                <w:b/>
                <w:bCs/>
                <w:color w:val="auto"/>
                <w:u w:val="single"/>
              </w:rPr>
            </w:pPr>
            <w:r>
              <w:rPr>
                <w:rFonts w:hint="eastAsia"/>
                <w:b/>
                <w:bCs/>
                <w:color w:val="auto"/>
                <w:u w:val="single"/>
              </w:rPr>
              <w:t>颗粒物</w:t>
            </w:r>
          </w:p>
        </w:tc>
        <w:tc>
          <w:tcPr>
            <w:tcW w:w="3653" w:type="dxa"/>
            <w:vAlign w:val="center"/>
          </w:tcPr>
          <w:p>
            <w:pPr>
              <w:pStyle w:val="182"/>
              <w:bidi w:val="0"/>
              <w:rPr>
                <w:rFonts w:hint="eastAsia"/>
                <w:b/>
                <w:bCs/>
                <w:color w:val="auto"/>
                <w:u w:val="single"/>
              </w:rPr>
            </w:pPr>
            <w:r>
              <w:rPr>
                <w:rFonts w:hint="eastAsia"/>
                <w:b/>
                <w:bCs/>
                <w:color w:val="auto"/>
                <w:u w:val="single"/>
                <w:lang w:val="en-US" w:eastAsia="zh-CN"/>
              </w:rPr>
              <w:t>袋式除尘器，洒水抑尘，</w:t>
            </w:r>
            <w:r>
              <w:rPr>
                <w:rFonts w:hint="eastAsia"/>
                <w:b/>
                <w:bCs/>
                <w:color w:val="auto"/>
                <w:u w:val="single"/>
              </w:rPr>
              <w:t>料库密闭</w:t>
            </w:r>
          </w:p>
        </w:tc>
        <w:tc>
          <w:tcPr>
            <w:tcW w:w="1134"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vAlign w:val="center"/>
          </w:tcPr>
          <w:p>
            <w:pPr>
              <w:pStyle w:val="182"/>
              <w:bidi w:val="0"/>
              <w:rPr>
                <w:b/>
                <w:bCs/>
                <w:color w:val="auto"/>
                <w:u w:val="single"/>
              </w:rPr>
            </w:pPr>
            <w:r>
              <w:rPr>
                <w:b/>
                <w:bCs/>
                <w:color w:val="auto"/>
                <w:u w:val="single"/>
              </w:rPr>
              <w:t>固废</w:t>
            </w:r>
          </w:p>
        </w:tc>
        <w:tc>
          <w:tcPr>
            <w:tcW w:w="1300" w:type="dxa"/>
            <w:vAlign w:val="center"/>
          </w:tcPr>
          <w:p>
            <w:pPr>
              <w:pStyle w:val="182"/>
              <w:bidi w:val="0"/>
              <w:rPr>
                <w:b/>
                <w:bCs/>
                <w:color w:val="auto"/>
                <w:u w:val="single"/>
              </w:rPr>
            </w:pPr>
            <w:r>
              <w:rPr>
                <w:rFonts w:hint="eastAsia"/>
                <w:b/>
                <w:bCs/>
                <w:color w:val="auto"/>
                <w:u w:val="single"/>
              </w:rPr>
              <w:t>水力除杂沉淀池污泥</w:t>
            </w:r>
          </w:p>
        </w:tc>
        <w:tc>
          <w:tcPr>
            <w:tcW w:w="2126" w:type="dxa"/>
            <w:vAlign w:val="center"/>
          </w:tcPr>
          <w:p>
            <w:pPr>
              <w:pStyle w:val="182"/>
              <w:bidi w:val="0"/>
              <w:rPr>
                <w:b/>
                <w:bCs/>
                <w:color w:val="auto"/>
                <w:u w:val="single"/>
              </w:rPr>
            </w:pPr>
            <w:r>
              <w:rPr>
                <w:b/>
                <w:bCs/>
                <w:color w:val="auto"/>
                <w:u w:val="single"/>
              </w:rPr>
              <w:t>一般固废</w:t>
            </w:r>
          </w:p>
        </w:tc>
        <w:tc>
          <w:tcPr>
            <w:tcW w:w="3653" w:type="dxa"/>
            <w:vAlign w:val="center"/>
          </w:tcPr>
          <w:p>
            <w:pPr>
              <w:pStyle w:val="182"/>
              <w:bidi w:val="0"/>
              <w:rPr>
                <w:b/>
                <w:bCs/>
                <w:color w:val="auto"/>
                <w:u w:val="single"/>
              </w:rPr>
            </w:pPr>
            <w:bookmarkStart w:id="351" w:name="_Hlk121055780"/>
            <w:r>
              <w:rPr>
                <w:rFonts w:hint="eastAsia"/>
                <w:b/>
                <w:bCs/>
                <w:color w:val="auto"/>
                <w:u w:val="single"/>
              </w:rPr>
              <w:t>依托现有一般固废暂存间</w:t>
            </w:r>
            <w:r>
              <w:rPr>
                <w:rFonts w:hint="default"/>
                <w:b/>
                <w:bCs/>
                <w:color w:val="auto"/>
                <w:u w:val="single"/>
                <w:lang w:val="en-US" w:eastAsia="zh-CN"/>
              </w:rPr>
              <w:t>（36m</w:t>
            </w:r>
            <w:r>
              <w:rPr>
                <w:rFonts w:hint="default"/>
                <w:b/>
                <w:bCs/>
                <w:color w:val="auto"/>
                <w:u w:val="single"/>
                <w:vertAlign w:val="superscript"/>
                <w:lang w:val="en-US" w:eastAsia="zh-CN"/>
              </w:rPr>
              <w:t>2</w:t>
            </w:r>
            <w:r>
              <w:rPr>
                <w:rFonts w:hint="default"/>
                <w:b/>
                <w:bCs/>
                <w:color w:val="auto"/>
                <w:u w:val="single"/>
                <w:lang w:val="en-US" w:eastAsia="zh-CN"/>
              </w:rPr>
              <w:t>）</w:t>
            </w:r>
            <w:r>
              <w:rPr>
                <w:rFonts w:hint="eastAsia"/>
                <w:b/>
                <w:bCs/>
                <w:color w:val="auto"/>
                <w:u w:val="single"/>
              </w:rPr>
              <w:t>暂存后，送厂区锅炉燃烧</w:t>
            </w:r>
            <w:bookmarkEnd w:id="351"/>
          </w:p>
        </w:tc>
        <w:tc>
          <w:tcPr>
            <w:tcW w:w="1134" w:type="dxa"/>
            <w:vAlign w:val="center"/>
          </w:tcPr>
          <w:p>
            <w:pPr>
              <w:pStyle w:val="182"/>
              <w:bidi w:val="0"/>
              <w:rPr>
                <w:b/>
                <w:bCs/>
                <w:color w:val="auto"/>
                <w:u w:val="single"/>
              </w:rPr>
            </w:pPr>
            <w:r>
              <w:rPr>
                <w:rFonts w:hint="eastAsia"/>
                <w:b/>
                <w:bCs/>
                <w:color w:val="auto"/>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5" w:type="dxa"/>
            <w:vMerge w:val="continue"/>
            <w:vAlign w:val="center"/>
          </w:tcPr>
          <w:p>
            <w:pPr>
              <w:pStyle w:val="182"/>
              <w:bidi w:val="0"/>
              <w:rPr>
                <w:b/>
                <w:bCs/>
                <w:color w:val="auto"/>
                <w:u w:val="single"/>
              </w:rPr>
            </w:pPr>
          </w:p>
        </w:tc>
        <w:tc>
          <w:tcPr>
            <w:tcW w:w="1300" w:type="dxa"/>
            <w:vAlign w:val="center"/>
          </w:tcPr>
          <w:p>
            <w:pPr>
              <w:pStyle w:val="182"/>
              <w:bidi w:val="0"/>
              <w:rPr>
                <w:rFonts w:hint="default"/>
                <w:b/>
                <w:bCs/>
                <w:color w:val="auto"/>
                <w:u w:val="single"/>
                <w:lang w:val="en-US"/>
              </w:rPr>
            </w:pPr>
            <w:r>
              <w:rPr>
                <w:rFonts w:hint="eastAsia"/>
                <w:b/>
                <w:bCs/>
                <w:color w:val="auto"/>
                <w:u w:val="single"/>
                <w:lang w:val="en-US" w:eastAsia="zh-CN"/>
              </w:rPr>
              <w:t>后续工序未煮解滤渣</w:t>
            </w:r>
          </w:p>
        </w:tc>
        <w:tc>
          <w:tcPr>
            <w:tcW w:w="2126" w:type="dxa"/>
            <w:vAlign w:val="center"/>
          </w:tcPr>
          <w:p>
            <w:pPr>
              <w:pStyle w:val="182"/>
              <w:bidi w:val="0"/>
              <w:ind w:firstLine="0" w:firstLineChars="0"/>
              <w:rPr>
                <w:b/>
                <w:bCs/>
                <w:color w:val="auto"/>
                <w:u w:val="single"/>
              </w:rPr>
            </w:pPr>
            <w:r>
              <w:rPr>
                <w:rFonts w:hint="eastAsia"/>
                <w:b/>
                <w:bCs/>
                <w:color w:val="auto"/>
                <w:u w:val="single"/>
              </w:rPr>
              <w:t>一般固废</w:t>
            </w:r>
          </w:p>
        </w:tc>
        <w:tc>
          <w:tcPr>
            <w:tcW w:w="3653" w:type="dxa"/>
            <w:vAlign w:val="center"/>
          </w:tcPr>
          <w:p>
            <w:pPr>
              <w:pStyle w:val="182"/>
              <w:bidi w:val="0"/>
              <w:ind w:firstLine="0" w:firstLineChars="0"/>
              <w:rPr>
                <w:rFonts w:hint="eastAsia"/>
                <w:b/>
                <w:bCs/>
                <w:color w:val="auto"/>
                <w:u w:val="single"/>
              </w:rPr>
            </w:pPr>
            <w:r>
              <w:rPr>
                <w:rFonts w:hint="eastAsia"/>
                <w:b/>
                <w:bCs/>
                <w:color w:val="auto"/>
                <w:u w:val="single"/>
              </w:rPr>
              <w:t>依托现有一般固废暂存间</w:t>
            </w:r>
            <w:r>
              <w:rPr>
                <w:rFonts w:hint="default"/>
                <w:b/>
                <w:bCs/>
                <w:color w:val="auto"/>
                <w:u w:val="single"/>
                <w:lang w:val="en-US" w:eastAsia="zh-CN"/>
              </w:rPr>
              <w:t>（36m</w:t>
            </w:r>
            <w:r>
              <w:rPr>
                <w:rFonts w:hint="default"/>
                <w:b/>
                <w:bCs/>
                <w:color w:val="auto"/>
                <w:u w:val="single"/>
                <w:vertAlign w:val="superscript"/>
                <w:lang w:val="en-US" w:eastAsia="zh-CN"/>
              </w:rPr>
              <w:t>2</w:t>
            </w:r>
            <w:r>
              <w:rPr>
                <w:rFonts w:hint="default"/>
                <w:b/>
                <w:bCs/>
                <w:color w:val="auto"/>
                <w:u w:val="single"/>
                <w:lang w:val="en-US" w:eastAsia="zh-CN"/>
              </w:rPr>
              <w:t>）</w:t>
            </w:r>
            <w:r>
              <w:rPr>
                <w:rFonts w:hint="eastAsia"/>
                <w:b/>
                <w:bCs/>
                <w:color w:val="auto"/>
                <w:u w:val="single"/>
              </w:rPr>
              <w:t>暂存后，送厂区锅炉燃烧</w:t>
            </w:r>
          </w:p>
        </w:tc>
        <w:tc>
          <w:tcPr>
            <w:tcW w:w="1134" w:type="dxa"/>
            <w:vAlign w:val="center"/>
          </w:tcPr>
          <w:p>
            <w:pPr>
              <w:pStyle w:val="182"/>
              <w:bidi w:val="0"/>
              <w:rPr>
                <w:rFonts w:hint="eastAsia"/>
                <w:b/>
                <w:bCs/>
                <w:color w:val="auto"/>
                <w:u w:val="singl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vAlign w:val="center"/>
          </w:tcPr>
          <w:p>
            <w:pPr>
              <w:pStyle w:val="182"/>
              <w:bidi w:val="0"/>
              <w:rPr>
                <w:b/>
                <w:bCs/>
                <w:color w:val="auto"/>
                <w:u w:val="single"/>
              </w:rPr>
            </w:pPr>
          </w:p>
        </w:tc>
        <w:tc>
          <w:tcPr>
            <w:tcW w:w="1300" w:type="dxa"/>
            <w:vAlign w:val="center"/>
          </w:tcPr>
          <w:p>
            <w:pPr>
              <w:pStyle w:val="182"/>
              <w:bidi w:val="0"/>
              <w:rPr>
                <w:b/>
                <w:bCs/>
                <w:color w:val="auto"/>
                <w:u w:val="single"/>
              </w:rPr>
            </w:pPr>
            <w:r>
              <w:rPr>
                <w:rFonts w:hint="eastAsia"/>
                <w:b/>
                <w:bCs/>
                <w:color w:val="auto"/>
                <w:u w:val="single"/>
              </w:rPr>
              <w:t>生活垃圾</w:t>
            </w:r>
          </w:p>
        </w:tc>
        <w:tc>
          <w:tcPr>
            <w:tcW w:w="2126" w:type="dxa"/>
            <w:vAlign w:val="center"/>
          </w:tcPr>
          <w:p>
            <w:pPr>
              <w:pStyle w:val="182"/>
              <w:bidi w:val="0"/>
              <w:rPr>
                <w:b/>
                <w:bCs/>
                <w:color w:val="auto"/>
                <w:u w:val="single"/>
              </w:rPr>
            </w:pPr>
            <w:r>
              <w:rPr>
                <w:b/>
                <w:bCs/>
                <w:color w:val="auto"/>
                <w:u w:val="single"/>
              </w:rPr>
              <w:t>一般固废</w:t>
            </w:r>
          </w:p>
        </w:tc>
        <w:tc>
          <w:tcPr>
            <w:tcW w:w="3653" w:type="dxa"/>
            <w:vAlign w:val="center"/>
          </w:tcPr>
          <w:p>
            <w:pPr>
              <w:pStyle w:val="182"/>
              <w:bidi w:val="0"/>
              <w:rPr>
                <w:b/>
                <w:bCs/>
                <w:color w:val="auto"/>
                <w:u w:val="single"/>
              </w:rPr>
            </w:pPr>
            <w:r>
              <w:rPr>
                <w:rFonts w:hint="eastAsia"/>
                <w:b/>
                <w:bCs/>
                <w:color w:val="auto"/>
                <w:u w:val="single"/>
              </w:rPr>
              <w:t>集中收集后送环卫部门指定地点处理</w:t>
            </w:r>
          </w:p>
        </w:tc>
        <w:tc>
          <w:tcPr>
            <w:tcW w:w="1134" w:type="dxa"/>
            <w:vAlign w:val="center"/>
          </w:tcPr>
          <w:p>
            <w:pPr>
              <w:pStyle w:val="182"/>
              <w:bidi w:val="0"/>
              <w:rPr>
                <w:b/>
                <w:bCs/>
                <w:color w:val="auto"/>
                <w:u w:val="single"/>
              </w:rPr>
            </w:pPr>
            <w:r>
              <w:rPr>
                <w:b/>
                <w:bCs/>
                <w:color w:val="auto"/>
                <w:u w:val="single"/>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675" w:type="dxa"/>
            <w:vMerge w:val="continue"/>
            <w:vAlign w:val="center"/>
          </w:tcPr>
          <w:p>
            <w:pPr>
              <w:pStyle w:val="182"/>
              <w:bidi w:val="0"/>
              <w:rPr>
                <w:b/>
                <w:bCs/>
                <w:color w:val="auto"/>
                <w:u w:val="single"/>
              </w:rPr>
            </w:pPr>
          </w:p>
        </w:tc>
        <w:tc>
          <w:tcPr>
            <w:tcW w:w="1300" w:type="dxa"/>
            <w:vAlign w:val="center"/>
          </w:tcPr>
          <w:p>
            <w:pPr>
              <w:pStyle w:val="182"/>
              <w:bidi w:val="0"/>
              <w:rPr>
                <w:b/>
                <w:bCs/>
                <w:color w:val="auto"/>
                <w:u w:val="single"/>
              </w:rPr>
            </w:pPr>
            <w:r>
              <w:rPr>
                <w:rFonts w:hint="eastAsia"/>
                <w:b/>
                <w:bCs/>
                <w:color w:val="auto"/>
                <w:u w:val="single"/>
              </w:rPr>
              <w:t>废包装袋</w:t>
            </w:r>
          </w:p>
        </w:tc>
        <w:tc>
          <w:tcPr>
            <w:tcW w:w="2126" w:type="dxa"/>
            <w:vAlign w:val="center"/>
          </w:tcPr>
          <w:p>
            <w:pPr>
              <w:pStyle w:val="182"/>
              <w:bidi w:val="0"/>
              <w:rPr>
                <w:b/>
                <w:bCs/>
                <w:color w:val="auto"/>
                <w:u w:val="single"/>
              </w:rPr>
            </w:pPr>
            <w:r>
              <w:rPr>
                <w:b/>
                <w:bCs/>
                <w:color w:val="auto"/>
                <w:u w:val="single"/>
              </w:rPr>
              <w:t>危险废物</w:t>
            </w:r>
          </w:p>
        </w:tc>
        <w:tc>
          <w:tcPr>
            <w:tcW w:w="3653" w:type="dxa"/>
            <w:vAlign w:val="center"/>
          </w:tcPr>
          <w:p>
            <w:pPr>
              <w:pStyle w:val="182"/>
              <w:bidi w:val="0"/>
              <w:rPr>
                <w:b/>
                <w:bCs/>
                <w:color w:val="auto"/>
                <w:u w:val="single"/>
              </w:rPr>
            </w:pPr>
            <w:r>
              <w:rPr>
                <w:rFonts w:hint="eastAsia"/>
                <w:b/>
                <w:bCs/>
                <w:color w:val="auto"/>
                <w:u w:val="single"/>
              </w:rPr>
              <w:t>依托现有全封闭危废堆存间</w:t>
            </w:r>
            <w:r>
              <w:rPr>
                <w:rFonts w:hint="eastAsia"/>
                <w:color w:val="auto"/>
              </w:rPr>
              <w:t>（250m</w:t>
            </w:r>
            <w:r>
              <w:rPr>
                <w:rFonts w:hint="eastAsia"/>
                <w:color w:val="auto"/>
                <w:vertAlign w:val="superscript"/>
              </w:rPr>
              <w:t>3</w:t>
            </w:r>
            <w:r>
              <w:rPr>
                <w:rFonts w:hint="eastAsia"/>
                <w:color w:val="auto"/>
                <w:vertAlign w:val="baseline"/>
                <w:lang w:eastAsia="zh-CN"/>
              </w:rPr>
              <w:t>，</w:t>
            </w:r>
            <w:r>
              <w:rPr>
                <w:rFonts w:hint="eastAsia"/>
                <w:color w:val="auto"/>
                <w:vertAlign w:val="baseline"/>
                <w:lang w:val="en-US" w:eastAsia="zh-CN"/>
              </w:rPr>
              <w:t>75m</w:t>
            </w:r>
            <w:r>
              <w:rPr>
                <w:rFonts w:hint="eastAsia"/>
                <w:color w:val="auto"/>
                <w:vertAlign w:val="superscript"/>
                <w:lang w:val="en-US" w:eastAsia="zh-CN"/>
              </w:rPr>
              <w:t>2</w:t>
            </w:r>
            <w:r>
              <w:rPr>
                <w:rFonts w:hint="eastAsia"/>
                <w:color w:val="auto"/>
              </w:rPr>
              <w:t>）</w:t>
            </w:r>
            <w:r>
              <w:rPr>
                <w:rFonts w:hint="eastAsia"/>
                <w:b/>
                <w:bCs/>
                <w:color w:val="auto"/>
                <w:u w:val="single"/>
              </w:rPr>
              <w:t>，暂存，定期交由有资质的单位进行处置</w:t>
            </w:r>
          </w:p>
        </w:tc>
        <w:tc>
          <w:tcPr>
            <w:tcW w:w="1134" w:type="dxa"/>
            <w:vAlign w:val="center"/>
          </w:tcPr>
          <w:p>
            <w:pPr>
              <w:pStyle w:val="182"/>
              <w:bidi w:val="0"/>
              <w:rPr>
                <w:b/>
                <w:bCs/>
                <w:color w:val="auto"/>
                <w:u w:val="single"/>
              </w:rPr>
            </w:pPr>
            <w:r>
              <w:rPr>
                <w:rFonts w:hint="eastAsia"/>
                <w:b/>
                <w:bCs/>
                <w:color w:val="auto"/>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Align w:val="center"/>
          </w:tcPr>
          <w:p>
            <w:pPr>
              <w:pStyle w:val="182"/>
              <w:bidi w:val="0"/>
              <w:rPr>
                <w:b/>
                <w:bCs/>
                <w:color w:val="auto"/>
                <w:u w:val="single"/>
              </w:rPr>
            </w:pPr>
            <w:r>
              <w:rPr>
                <w:b/>
                <w:bCs/>
                <w:color w:val="auto"/>
                <w:u w:val="single"/>
              </w:rPr>
              <w:t>噪声</w:t>
            </w:r>
          </w:p>
        </w:tc>
        <w:tc>
          <w:tcPr>
            <w:tcW w:w="1300" w:type="dxa"/>
            <w:vAlign w:val="center"/>
          </w:tcPr>
          <w:p>
            <w:pPr>
              <w:pStyle w:val="182"/>
              <w:bidi w:val="0"/>
              <w:rPr>
                <w:b/>
                <w:bCs/>
                <w:color w:val="auto"/>
                <w:u w:val="single"/>
              </w:rPr>
            </w:pPr>
            <w:r>
              <w:rPr>
                <w:b/>
                <w:bCs/>
                <w:color w:val="auto"/>
                <w:u w:val="single"/>
              </w:rPr>
              <w:t>设备噪声</w:t>
            </w:r>
          </w:p>
        </w:tc>
        <w:tc>
          <w:tcPr>
            <w:tcW w:w="2126" w:type="dxa"/>
            <w:vAlign w:val="center"/>
          </w:tcPr>
          <w:p>
            <w:pPr>
              <w:pStyle w:val="182"/>
              <w:bidi w:val="0"/>
              <w:rPr>
                <w:b/>
                <w:bCs/>
                <w:color w:val="auto"/>
                <w:u w:val="single"/>
              </w:rPr>
            </w:pPr>
            <w:r>
              <w:rPr>
                <w:rFonts w:hint="eastAsia"/>
                <w:b/>
                <w:bCs/>
                <w:color w:val="auto"/>
                <w:u w:val="single"/>
              </w:rPr>
              <w:t>噪声</w:t>
            </w:r>
          </w:p>
        </w:tc>
        <w:tc>
          <w:tcPr>
            <w:tcW w:w="3653" w:type="dxa"/>
            <w:vAlign w:val="center"/>
          </w:tcPr>
          <w:p>
            <w:pPr>
              <w:pStyle w:val="182"/>
              <w:bidi w:val="0"/>
              <w:rPr>
                <w:b/>
                <w:bCs/>
                <w:color w:val="auto"/>
                <w:u w:val="single"/>
              </w:rPr>
            </w:pPr>
            <w:r>
              <w:rPr>
                <w:rFonts w:hint="eastAsia"/>
                <w:b/>
                <w:bCs/>
                <w:color w:val="auto"/>
                <w:u w:val="single"/>
              </w:rPr>
              <w:t>减振、隔音设施</w:t>
            </w:r>
          </w:p>
        </w:tc>
        <w:tc>
          <w:tcPr>
            <w:tcW w:w="1134" w:type="dxa"/>
            <w:vAlign w:val="center"/>
          </w:tcPr>
          <w:p>
            <w:pPr>
              <w:pStyle w:val="182"/>
              <w:bidi w:val="0"/>
              <w:rPr>
                <w:b/>
                <w:bCs/>
                <w:color w:val="auto"/>
                <w:u w:val="single"/>
              </w:rPr>
            </w:pPr>
            <w:r>
              <w:rPr>
                <w:rFonts w:hint="eastAsia"/>
                <w:b/>
                <w:bCs/>
                <w:color w:val="auto"/>
                <w:u w:val="single"/>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5" w:type="dxa"/>
            <w:gridSpan w:val="2"/>
            <w:vAlign w:val="center"/>
          </w:tcPr>
          <w:p>
            <w:pPr>
              <w:pStyle w:val="182"/>
              <w:bidi w:val="0"/>
              <w:rPr>
                <w:b/>
                <w:bCs/>
                <w:color w:val="auto"/>
                <w:u w:val="single"/>
              </w:rPr>
            </w:pPr>
            <w:r>
              <w:rPr>
                <w:rFonts w:hint="eastAsia"/>
                <w:b/>
                <w:bCs/>
                <w:color w:val="auto"/>
                <w:u w:val="single"/>
              </w:rPr>
              <w:t>地下水防护措施</w:t>
            </w:r>
          </w:p>
        </w:tc>
        <w:tc>
          <w:tcPr>
            <w:tcW w:w="5779" w:type="dxa"/>
            <w:gridSpan w:val="2"/>
            <w:vAlign w:val="center"/>
          </w:tcPr>
          <w:p>
            <w:pPr>
              <w:pStyle w:val="182"/>
              <w:bidi w:val="0"/>
              <w:rPr>
                <w:b/>
                <w:bCs/>
                <w:color w:val="auto"/>
                <w:u w:val="single"/>
              </w:rPr>
            </w:pPr>
            <w:r>
              <w:rPr>
                <w:rFonts w:hint="eastAsia"/>
                <w:b/>
                <w:bCs/>
                <w:color w:val="auto"/>
                <w:u w:val="single"/>
              </w:rPr>
              <w:t>对生产车间、废污水收集管道，一般固废全密闭暂存间和危险固废全密闭暂存间，按设计要求分区进行防渗。</w:t>
            </w:r>
          </w:p>
        </w:tc>
        <w:tc>
          <w:tcPr>
            <w:tcW w:w="1134" w:type="dxa"/>
            <w:vAlign w:val="center"/>
          </w:tcPr>
          <w:p>
            <w:pPr>
              <w:pStyle w:val="182"/>
              <w:bidi w:val="0"/>
              <w:rPr>
                <w:b/>
                <w:bCs/>
                <w:color w:val="auto"/>
                <w:u w:val="single"/>
              </w:rPr>
            </w:pPr>
            <w:r>
              <w:rPr>
                <w:b/>
                <w:bCs/>
                <w:color w:val="auto"/>
                <w:u w:val="single"/>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5" w:type="dxa"/>
            <w:gridSpan w:val="2"/>
            <w:vAlign w:val="center"/>
          </w:tcPr>
          <w:p>
            <w:pPr>
              <w:pStyle w:val="182"/>
              <w:bidi w:val="0"/>
              <w:rPr>
                <w:b/>
                <w:bCs/>
                <w:color w:val="auto"/>
                <w:u w:val="single"/>
              </w:rPr>
            </w:pPr>
            <w:r>
              <w:rPr>
                <w:rFonts w:hint="eastAsia"/>
                <w:b/>
                <w:bCs/>
                <w:color w:val="auto"/>
                <w:u w:val="single"/>
              </w:rPr>
              <w:t>风险防范措施</w:t>
            </w:r>
          </w:p>
        </w:tc>
        <w:tc>
          <w:tcPr>
            <w:tcW w:w="5779" w:type="dxa"/>
            <w:gridSpan w:val="2"/>
            <w:vAlign w:val="center"/>
          </w:tcPr>
          <w:p>
            <w:pPr>
              <w:pStyle w:val="182"/>
              <w:bidi w:val="0"/>
              <w:rPr>
                <w:b/>
                <w:bCs/>
                <w:color w:val="auto"/>
                <w:u w:val="single"/>
              </w:rPr>
            </w:pPr>
            <w:r>
              <w:rPr>
                <w:rFonts w:hint="eastAsia"/>
                <w:b/>
                <w:bCs/>
                <w:color w:val="auto"/>
                <w:u w:val="single"/>
              </w:rPr>
              <w:t>1、加强运行管理和应急措施建设管理；</w:t>
            </w:r>
          </w:p>
          <w:p>
            <w:pPr>
              <w:pStyle w:val="182"/>
              <w:bidi w:val="0"/>
              <w:rPr>
                <w:b/>
                <w:bCs/>
                <w:color w:val="auto"/>
                <w:u w:val="single"/>
              </w:rPr>
            </w:pPr>
            <w:r>
              <w:rPr>
                <w:rFonts w:hint="eastAsia"/>
                <w:b/>
                <w:bCs/>
                <w:color w:val="auto"/>
                <w:u w:val="single"/>
              </w:rPr>
              <w:t>2、依托现有事故应急废水收集池，拦截措施等。</w:t>
            </w:r>
          </w:p>
          <w:p>
            <w:pPr>
              <w:pStyle w:val="182"/>
              <w:bidi w:val="0"/>
              <w:rPr>
                <w:b/>
                <w:bCs/>
                <w:color w:val="auto"/>
                <w:u w:val="single"/>
              </w:rPr>
            </w:pPr>
            <w:r>
              <w:rPr>
                <w:rFonts w:hint="eastAsia"/>
                <w:b/>
                <w:bCs/>
                <w:color w:val="auto"/>
                <w:u w:val="single"/>
              </w:rPr>
              <w:t>3、依托应急救援器材、监测仪器；定期进行安全教育培训、事故应急演练。</w:t>
            </w:r>
          </w:p>
        </w:tc>
        <w:tc>
          <w:tcPr>
            <w:tcW w:w="1134" w:type="dxa"/>
            <w:vAlign w:val="center"/>
          </w:tcPr>
          <w:p>
            <w:pPr>
              <w:pStyle w:val="182"/>
              <w:bidi w:val="0"/>
              <w:rPr>
                <w:b/>
                <w:bCs/>
                <w:color w:val="auto"/>
                <w:u w:val="single"/>
              </w:rPr>
            </w:pPr>
            <w:r>
              <w:rPr>
                <w:rFonts w:hint="eastAsia"/>
                <w:b/>
                <w:bCs/>
                <w:color w:val="auto"/>
                <w:u w:val="single"/>
              </w:rPr>
              <w:t>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5" w:type="dxa"/>
            <w:gridSpan w:val="2"/>
            <w:vAlign w:val="center"/>
          </w:tcPr>
          <w:p>
            <w:pPr>
              <w:pStyle w:val="182"/>
              <w:bidi w:val="0"/>
              <w:rPr>
                <w:b/>
                <w:bCs/>
                <w:color w:val="auto"/>
                <w:u w:val="single"/>
              </w:rPr>
            </w:pPr>
            <w:r>
              <w:rPr>
                <w:rFonts w:hint="eastAsia"/>
                <w:b/>
                <w:bCs/>
                <w:color w:val="auto"/>
                <w:u w:val="single"/>
              </w:rPr>
              <w:t>厂区绿化</w:t>
            </w:r>
          </w:p>
        </w:tc>
        <w:tc>
          <w:tcPr>
            <w:tcW w:w="5779" w:type="dxa"/>
            <w:gridSpan w:val="2"/>
            <w:vAlign w:val="center"/>
          </w:tcPr>
          <w:p>
            <w:pPr>
              <w:pStyle w:val="182"/>
              <w:bidi w:val="0"/>
              <w:rPr>
                <w:b/>
                <w:bCs/>
                <w:color w:val="auto"/>
                <w:u w:val="single"/>
              </w:rPr>
            </w:pPr>
            <w:r>
              <w:rPr>
                <w:rFonts w:hint="eastAsia"/>
                <w:b/>
                <w:bCs/>
                <w:color w:val="auto"/>
                <w:u w:val="single"/>
              </w:rPr>
              <w:t>植树、种草</w:t>
            </w:r>
          </w:p>
        </w:tc>
        <w:tc>
          <w:tcPr>
            <w:tcW w:w="1134" w:type="dxa"/>
            <w:vAlign w:val="center"/>
          </w:tcPr>
          <w:p>
            <w:pPr>
              <w:pStyle w:val="182"/>
              <w:bidi w:val="0"/>
              <w:rPr>
                <w:b/>
                <w:bCs/>
                <w:color w:val="auto"/>
                <w:u w:val="single"/>
              </w:rPr>
            </w:pPr>
            <w:r>
              <w:rPr>
                <w:rFonts w:hint="eastAsia"/>
                <w:b/>
                <w:bCs/>
                <w:color w:val="auto"/>
                <w:u w:val="single"/>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54" w:type="dxa"/>
            <w:gridSpan w:val="4"/>
            <w:vAlign w:val="center"/>
          </w:tcPr>
          <w:p>
            <w:pPr>
              <w:pStyle w:val="182"/>
              <w:bidi w:val="0"/>
              <w:rPr>
                <w:b/>
                <w:bCs/>
                <w:color w:val="auto"/>
                <w:u w:val="single"/>
              </w:rPr>
            </w:pPr>
            <w:r>
              <w:rPr>
                <w:rFonts w:hint="eastAsia"/>
                <w:b/>
                <w:bCs/>
                <w:color w:val="auto"/>
                <w:u w:val="single"/>
              </w:rPr>
              <w:t>合计</w:t>
            </w:r>
          </w:p>
        </w:tc>
        <w:tc>
          <w:tcPr>
            <w:tcW w:w="1134"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135</w:t>
            </w:r>
          </w:p>
        </w:tc>
      </w:tr>
    </w:tbl>
    <w:p>
      <w:pPr>
        <w:bidi w:val="0"/>
        <w:rPr>
          <w:color w:val="auto"/>
        </w:rPr>
      </w:pPr>
      <w:r>
        <w:rPr>
          <w:rFonts w:hint="eastAsia"/>
          <w:color w:val="auto"/>
        </w:rPr>
        <w:t>环境保护竣工验收设施详见表</w:t>
      </w:r>
      <w:r>
        <w:rPr>
          <w:color w:val="auto"/>
        </w:rPr>
        <w:t>6.3</w:t>
      </w:r>
      <w:r>
        <w:rPr>
          <w:rFonts w:hint="eastAsia"/>
          <w:color w:val="auto"/>
        </w:rPr>
        <w:t>-</w:t>
      </w:r>
      <w:r>
        <w:rPr>
          <w:color w:val="auto"/>
        </w:rPr>
        <w:t>2</w:t>
      </w:r>
      <w:r>
        <w:rPr>
          <w:rFonts w:hint="eastAsia"/>
          <w:color w:val="auto"/>
        </w:rPr>
        <w:t>。</w:t>
      </w:r>
    </w:p>
    <w:p>
      <w:pPr>
        <w:pStyle w:val="181"/>
        <w:bidi w:val="0"/>
        <w:rPr>
          <w:b/>
          <w:color w:val="auto"/>
        </w:rPr>
      </w:pPr>
      <w:r>
        <w:rPr>
          <w:rFonts w:hint="eastAsia"/>
          <w:b/>
          <w:color w:val="auto"/>
        </w:rPr>
        <w:t>表</w:t>
      </w:r>
      <w:r>
        <w:rPr>
          <w:b/>
          <w:color w:val="auto"/>
        </w:rPr>
        <w:t>6.3</w:t>
      </w:r>
      <w:r>
        <w:rPr>
          <w:rFonts w:hint="eastAsia"/>
          <w:b/>
          <w:color w:val="auto"/>
        </w:rPr>
        <w:t>-</w:t>
      </w:r>
      <w:r>
        <w:rPr>
          <w:b/>
          <w:color w:val="auto"/>
        </w:rPr>
        <w:t xml:space="preserve">2  </w:t>
      </w:r>
      <w:r>
        <w:rPr>
          <w:rFonts w:hint="eastAsia"/>
          <w:b/>
          <w:color w:val="auto"/>
          <w:lang w:val="en-US" w:eastAsia="zh-CN"/>
        </w:rPr>
        <w:t xml:space="preserve">          </w:t>
      </w:r>
      <w:r>
        <w:rPr>
          <w:rFonts w:hint="eastAsia"/>
          <w:b/>
          <w:color w:val="auto"/>
        </w:rPr>
        <w:t>拟建工程环保竣工验收一览表</w:t>
      </w:r>
    </w:p>
    <w:tbl>
      <w:tblPr>
        <w:tblStyle w:val="3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098"/>
        <w:gridCol w:w="3542"/>
        <w:gridCol w:w="317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tcBorders>
              <w:top w:val="single" w:color="auto" w:sz="8" w:space="0"/>
              <w:bottom w:val="single" w:color="auto" w:sz="8" w:space="0"/>
            </w:tcBorders>
            <w:vAlign w:val="center"/>
          </w:tcPr>
          <w:p>
            <w:pPr>
              <w:pStyle w:val="182"/>
              <w:bidi w:val="0"/>
              <w:rPr>
                <w:b/>
                <w:bCs/>
                <w:color w:val="auto"/>
              </w:rPr>
            </w:pPr>
            <w:r>
              <w:rPr>
                <w:rFonts w:hint="eastAsia"/>
                <w:b/>
                <w:bCs/>
                <w:color w:val="auto"/>
              </w:rPr>
              <w:t>项目</w:t>
            </w:r>
          </w:p>
        </w:tc>
        <w:tc>
          <w:tcPr>
            <w:tcW w:w="644" w:type="pct"/>
            <w:tcBorders>
              <w:top w:val="single" w:color="auto" w:sz="8" w:space="0"/>
              <w:bottom w:val="single" w:color="auto" w:sz="8" w:space="0"/>
            </w:tcBorders>
            <w:vAlign w:val="center"/>
          </w:tcPr>
          <w:p>
            <w:pPr>
              <w:pStyle w:val="182"/>
              <w:bidi w:val="0"/>
              <w:rPr>
                <w:b/>
                <w:bCs/>
                <w:color w:val="auto"/>
              </w:rPr>
            </w:pPr>
            <w:r>
              <w:rPr>
                <w:rFonts w:hint="eastAsia"/>
                <w:b/>
                <w:bCs/>
                <w:color w:val="auto"/>
              </w:rPr>
              <w:t>产污环节</w:t>
            </w:r>
          </w:p>
        </w:tc>
        <w:tc>
          <w:tcPr>
            <w:tcW w:w="2077" w:type="pct"/>
            <w:tcBorders>
              <w:top w:val="single" w:color="auto" w:sz="8" w:space="0"/>
              <w:bottom w:val="single" w:color="auto" w:sz="8" w:space="0"/>
            </w:tcBorders>
            <w:vAlign w:val="center"/>
          </w:tcPr>
          <w:p>
            <w:pPr>
              <w:pStyle w:val="182"/>
              <w:bidi w:val="0"/>
              <w:rPr>
                <w:b/>
                <w:bCs/>
                <w:color w:val="auto"/>
              </w:rPr>
            </w:pPr>
            <w:r>
              <w:rPr>
                <w:rFonts w:hint="eastAsia"/>
                <w:b/>
                <w:bCs/>
                <w:color w:val="auto"/>
              </w:rPr>
              <w:t>治理</w:t>
            </w:r>
            <w:r>
              <w:rPr>
                <w:b/>
                <w:bCs/>
                <w:color w:val="auto"/>
              </w:rPr>
              <w:t>措施</w:t>
            </w:r>
          </w:p>
        </w:tc>
        <w:tc>
          <w:tcPr>
            <w:tcW w:w="1860" w:type="pct"/>
            <w:tcBorders>
              <w:top w:val="single" w:color="auto" w:sz="8" w:space="0"/>
              <w:bottom w:val="single" w:color="auto" w:sz="8" w:space="0"/>
            </w:tcBorders>
            <w:vAlign w:val="center"/>
          </w:tcPr>
          <w:p>
            <w:pPr>
              <w:pStyle w:val="182"/>
              <w:bidi w:val="0"/>
              <w:rPr>
                <w:b/>
                <w:bCs/>
                <w:color w:val="auto"/>
              </w:rPr>
            </w:pPr>
            <w:r>
              <w:rPr>
                <w:rFonts w:hint="eastAsia"/>
                <w:b/>
                <w:bCs/>
                <w:color w:val="auto"/>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tcBorders>
              <w:top w:val="single" w:color="auto" w:sz="8" w:space="0"/>
              <w:bottom w:val="single" w:color="auto" w:sz="4" w:space="0"/>
            </w:tcBorders>
            <w:vAlign w:val="center"/>
          </w:tcPr>
          <w:p>
            <w:pPr>
              <w:pStyle w:val="182"/>
              <w:bidi w:val="0"/>
              <w:rPr>
                <w:color w:val="auto"/>
              </w:rPr>
            </w:pPr>
            <w:r>
              <w:rPr>
                <w:color w:val="auto"/>
              </w:rPr>
              <w:t>废水</w:t>
            </w:r>
          </w:p>
        </w:tc>
        <w:tc>
          <w:tcPr>
            <w:tcW w:w="644" w:type="pct"/>
            <w:tcBorders>
              <w:top w:val="single" w:color="auto" w:sz="8" w:space="0"/>
              <w:bottom w:val="single" w:color="auto" w:sz="4" w:space="0"/>
            </w:tcBorders>
            <w:vAlign w:val="center"/>
          </w:tcPr>
          <w:p>
            <w:pPr>
              <w:pStyle w:val="182"/>
              <w:bidi w:val="0"/>
              <w:rPr>
                <w:color w:val="auto"/>
              </w:rPr>
            </w:pPr>
            <w:r>
              <w:rPr>
                <w:color w:val="auto"/>
              </w:rPr>
              <w:t>生产、生活废水</w:t>
            </w:r>
          </w:p>
        </w:tc>
        <w:tc>
          <w:tcPr>
            <w:tcW w:w="2077" w:type="pct"/>
            <w:tcBorders>
              <w:top w:val="single" w:color="auto" w:sz="8" w:space="0"/>
            </w:tcBorders>
            <w:vAlign w:val="center"/>
          </w:tcPr>
          <w:p>
            <w:pPr>
              <w:pStyle w:val="182"/>
              <w:bidi w:val="0"/>
              <w:rPr>
                <w:color w:val="auto"/>
              </w:rPr>
            </w:pPr>
            <w:r>
              <w:rPr>
                <w:rFonts w:hint="eastAsia"/>
                <w:color w:val="auto"/>
              </w:rPr>
              <w:t>厂区废水连接管网，依托厂区内3.8万t/d污水处理站</w:t>
            </w:r>
          </w:p>
        </w:tc>
        <w:tc>
          <w:tcPr>
            <w:tcW w:w="1860" w:type="pct"/>
            <w:tcBorders>
              <w:top w:val="single" w:color="auto" w:sz="8" w:space="0"/>
            </w:tcBorders>
            <w:vAlign w:val="center"/>
          </w:tcPr>
          <w:p>
            <w:pPr>
              <w:pStyle w:val="182"/>
              <w:bidi w:val="0"/>
              <w:rPr>
                <w:color w:val="auto"/>
              </w:rPr>
            </w:pPr>
            <w:r>
              <w:rPr>
                <w:rFonts w:hint="eastAsia"/>
                <w:color w:val="auto"/>
              </w:rPr>
              <w:t>《污水综合排放标准》（</w:t>
            </w:r>
            <w:r>
              <w:rPr>
                <w:color w:val="auto"/>
              </w:rPr>
              <w:t>GB8978-1996</w:t>
            </w:r>
            <w:r>
              <w:rPr>
                <w:rFonts w:hint="eastAsia"/>
                <w:color w:val="auto"/>
              </w:rPr>
              <w:t>）表</w:t>
            </w:r>
            <w:r>
              <w:rPr>
                <w:color w:val="auto"/>
              </w:rPr>
              <w:t>4</w:t>
            </w:r>
            <w:r>
              <w:rPr>
                <w:rFonts w:hint="eastAsia"/>
                <w:color w:val="auto"/>
                <w:lang w:val="en-US" w:eastAsia="zh-CN"/>
              </w:rPr>
              <w:t>二级</w:t>
            </w:r>
            <w:r>
              <w:rPr>
                <w:rFonts w:hint="eastAsia"/>
                <w:color w:val="auto"/>
              </w:rPr>
              <w:t>（化纤浆粕工业）标准</w:t>
            </w:r>
            <w:r>
              <w:rPr>
                <w:rFonts w:hint="eastAsia"/>
                <w:color w:val="auto"/>
                <w:lang w:eastAsia="zh-CN"/>
              </w:rPr>
              <w:t>；</w:t>
            </w:r>
            <w:r>
              <w:rPr>
                <w:rFonts w:hint="eastAsia"/>
                <w:color w:val="auto"/>
              </w:rPr>
              <w:t>排污许可证废水污染物最高允许排放浓度；小店污水处理厂收水标准</w:t>
            </w:r>
            <w:r>
              <w:rPr>
                <w:rFonts w:hint="eastAsia"/>
                <w:color w:val="auto"/>
                <w:lang w:eastAsia="zh-CN"/>
              </w:rPr>
              <w:t>：</w:t>
            </w:r>
            <w:r>
              <w:rPr>
                <w:color w:val="auto"/>
              </w:rPr>
              <w:t xml:space="preserve">COD </w:t>
            </w:r>
            <w:r>
              <w:rPr>
                <w:rFonts w:hint="eastAsia"/>
                <w:color w:val="auto"/>
              </w:rPr>
              <w:t>300</w:t>
            </w:r>
            <w:r>
              <w:rPr>
                <w:color w:val="auto"/>
              </w:rPr>
              <w:t>mg/L</w:t>
            </w:r>
            <w:r>
              <w:rPr>
                <w:rFonts w:hint="eastAsia"/>
                <w:color w:val="auto"/>
                <w:lang w:eastAsia="zh-CN"/>
              </w:rPr>
              <w:t>、</w:t>
            </w:r>
            <w:r>
              <w:rPr>
                <w:color w:val="auto"/>
              </w:rPr>
              <w:t xml:space="preserve">BOD5 </w:t>
            </w:r>
            <w:r>
              <w:rPr>
                <w:rFonts w:hint="eastAsia"/>
                <w:color w:val="auto"/>
              </w:rPr>
              <w:t>100</w:t>
            </w:r>
            <w:r>
              <w:rPr>
                <w:color w:val="auto"/>
              </w:rPr>
              <w:t>mg/L</w:t>
            </w:r>
            <w:r>
              <w:rPr>
                <w:rFonts w:hint="eastAsia"/>
                <w:color w:val="auto"/>
                <w:lang w:eastAsia="zh-CN"/>
              </w:rPr>
              <w:t>、</w:t>
            </w:r>
            <w:r>
              <w:rPr>
                <w:rFonts w:hint="eastAsia"/>
                <w:color w:val="auto"/>
              </w:rPr>
              <w:t>NH</w:t>
            </w:r>
            <w:r>
              <w:rPr>
                <w:rFonts w:hint="eastAsia"/>
                <w:color w:val="auto"/>
                <w:vertAlign w:val="subscript"/>
              </w:rPr>
              <w:t>3</w:t>
            </w:r>
            <w:r>
              <w:rPr>
                <w:rFonts w:hint="eastAsia"/>
                <w:color w:val="auto"/>
              </w:rPr>
              <w:t>-N</w:t>
            </w:r>
            <w:r>
              <w:rPr>
                <w:color w:val="auto"/>
              </w:rPr>
              <w:t xml:space="preserve"> </w:t>
            </w:r>
            <w:r>
              <w:rPr>
                <w:rFonts w:hint="eastAsia"/>
                <w:color w:val="auto"/>
              </w:rPr>
              <w:t>15</w:t>
            </w:r>
            <w:r>
              <w:rPr>
                <w:color w:val="auto"/>
              </w:rPr>
              <w:t>mg/L</w:t>
            </w:r>
            <w:r>
              <w:rPr>
                <w:rFonts w:hint="eastAsia"/>
                <w:color w:val="auto"/>
                <w:lang w:eastAsia="zh-CN"/>
              </w:rPr>
              <w:t>、</w:t>
            </w:r>
            <w:r>
              <w:rPr>
                <w:color w:val="auto"/>
              </w:rPr>
              <w:t>SS 1</w:t>
            </w:r>
            <w:r>
              <w:rPr>
                <w:rFonts w:hint="eastAsia"/>
                <w:color w:val="auto"/>
              </w:rPr>
              <w:t>50</w:t>
            </w:r>
            <w:r>
              <w:rPr>
                <w:color w:val="auto"/>
              </w:rPr>
              <w:t>mg/L</w:t>
            </w:r>
            <w:r>
              <w:rPr>
                <w:rFonts w:hint="eastAsia"/>
                <w:color w:val="auto"/>
                <w:lang w:eastAsia="zh-CN"/>
              </w:rPr>
              <w:t>、</w:t>
            </w:r>
            <w:r>
              <w:rPr>
                <w:rFonts w:hint="eastAsia"/>
                <w:color w:val="auto"/>
              </w:rPr>
              <w:t>TN40</w:t>
            </w:r>
            <w:r>
              <w:rPr>
                <w:color w:val="auto"/>
              </w:rPr>
              <w:t>mg/L</w:t>
            </w:r>
            <w:r>
              <w:rPr>
                <w:rFonts w:hint="eastAsia"/>
                <w:color w:val="auto"/>
              </w:rPr>
              <w:t>、TP</w:t>
            </w:r>
            <w:r>
              <w:rPr>
                <w:color w:val="auto"/>
              </w:rPr>
              <w:t xml:space="preserve"> </w:t>
            </w:r>
            <w:r>
              <w:rPr>
                <w:rFonts w:hint="eastAsia"/>
                <w:color w:val="auto"/>
              </w:rPr>
              <w:t>1.0</w:t>
            </w:r>
            <w:r>
              <w:rPr>
                <w:color w:val="auto"/>
              </w:rPr>
              <w:t>mg/L</w:t>
            </w:r>
            <w:r>
              <w:rPr>
                <w:rFonts w:hint="eastAsia"/>
                <w:color w:val="auto"/>
                <w:lang w:eastAsia="zh-CN"/>
              </w:rPr>
              <w:t>、</w:t>
            </w:r>
            <w:r>
              <w:rPr>
                <w:rFonts w:hint="eastAsia"/>
                <w:color w:val="auto"/>
                <w:lang w:val="en-US" w:eastAsia="zh-CN"/>
              </w:rPr>
              <w:t>色度80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restart"/>
            <w:tcBorders>
              <w:top w:val="single" w:color="auto" w:sz="4" w:space="0"/>
            </w:tcBorders>
            <w:vAlign w:val="center"/>
          </w:tcPr>
          <w:p>
            <w:pPr>
              <w:pStyle w:val="182"/>
              <w:bidi w:val="0"/>
              <w:rPr>
                <w:color w:val="auto"/>
              </w:rPr>
            </w:pPr>
            <w:r>
              <w:rPr>
                <w:color w:val="auto"/>
              </w:rPr>
              <w:t>废气</w:t>
            </w:r>
          </w:p>
        </w:tc>
        <w:tc>
          <w:tcPr>
            <w:tcW w:w="644" w:type="pct"/>
            <w:tcBorders>
              <w:top w:val="single" w:color="auto" w:sz="4" w:space="0"/>
            </w:tcBorders>
            <w:vAlign w:val="center"/>
          </w:tcPr>
          <w:p>
            <w:pPr>
              <w:pStyle w:val="182"/>
              <w:bidi w:val="0"/>
              <w:rPr>
                <w:color w:val="auto"/>
              </w:rPr>
            </w:pPr>
            <w:r>
              <w:rPr>
                <w:rFonts w:hint="eastAsia"/>
                <w:color w:val="auto"/>
              </w:rPr>
              <w:t>堆料库无组织扬尘</w:t>
            </w:r>
          </w:p>
        </w:tc>
        <w:tc>
          <w:tcPr>
            <w:tcW w:w="2077" w:type="pct"/>
            <w:vAlign w:val="center"/>
          </w:tcPr>
          <w:p>
            <w:pPr>
              <w:pStyle w:val="182"/>
              <w:bidi w:val="0"/>
              <w:rPr>
                <w:color w:val="auto"/>
              </w:rPr>
            </w:pPr>
            <w:r>
              <w:rPr>
                <w:rFonts w:hint="eastAsia"/>
                <w:color w:val="auto"/>
              </w:rPr>
              <w:t>料库密闭，洒水抑尘。</w:t>
            </w:r>
          </w:p>
        </w:tc>
        <w:tc>
          <w:tcPr>
            <w:tcW w:w="1860" w:type="pct"/>
            <w:vAlign w:val="center"/>
          </w:tcPr>
          <w:p>
            <w:pPr>
              <w:pStyle w:val="182"/>
              <w:bidi w:val="0"/>
              <w:rPr>
                <w:color w:val="auto"/>
              </w:rPr>
            </w:pPr>
            <w:r>
              <w:rPr>
                <w:rFonts w:hint="eastAsia"/>
                <w:color w:val="auto"/>
              </w:rPr>
              <w:t>《大气污染物综合排放标准》（GB16297-1996）表2无组织监控浓度限值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pPr>
              <w:pStyle w:val="182"/>
              <w:bidi w:val="0"/>
              <w:rPr>
                <w:color w:val="auto"/>
              </w:rPr>
            </w:pPr>
          </w:p>
        </w:tc>
        <w:tc>
          <w:tcPr>
            <w:tcW w:w="644" w:type="pct"/>
            <w:tcBorders>
              <w:top w:val="single" w:color="auto" w:sz="4" w:space="0"/>
            </w:tcBorders>
            <w:vAlign w:val="center"/>
          </w:tcPr>
          <w:p>
            <w:pPr>
              <w:pStyle w:val="182"/>
              <w:bidi w:val="0"/>
              <w:rPr>
                <w:rFonts w:hint="default" w:eastAsia="宋体"/>
                <w:b/>
                <w:bCs/>
                <w:color w:val="auto"/>
                <w:u w:val="single"/>
                <w:lang w:val="en-US" w:eastAsia="zh-CN"/>
              </w:rPr>
            </w:pPr>
            <w:r>
              <w:rPr>
                <w:rFonts w:hint="eastAsia"/>
                <w:b/>
                <w:bCs/>
                <w:color w:val="auto"/>
                <w:u w:val="single"/>
              </w:rPr>
              <w:t>木质素</w:t>
            </w:r>
            <w:r>
              <w:rPr>
                <w:rFonts w:hint="eastAsia"/>
                <w:b/>
                <w:bCs/>
                <w:color w:val="auto"/>
                <w:u w:val="single"/>
                <w:lang w:val="en-US" w:eastAsia="zh-CN"/>
              </w:rPr>
              <w:t>混合物</w:t>
            </w:r>
            <w:r>
              <w:rPr>
                <w:rFonts w:hint="eastAsia"/>
                <w:b/>
                <w:bCs/>
                <w:color w:val="auto"/>
                <w:u w:val="single"/>
              </w:rPr>
              <w:t>干燥、</w:t>
            </w:r>
            <w:r>
              <w:rPr>
                <w:rFonts w:hint="eastAsia"/>
                <w:b/>
                <w:bCs/>
                <w:color w:val="auto"/>
                <w:u w:val="single"/>
                <w:lang w:val="en-US" w:eastAsia="zh-CN"/>
              </w:rPr>
              <w:t>收集、分装</w:t>
            </w:r>
          </w:p>
        </w:tc>
        <w:tc>
          <w:tcPr>
            <w:tcW w:w="2077" w:type="pct"/>
            <w:vAlign w:val="center"/>
          </w:tcPr>
          <w:p>
            <w:pPr>
              <w:pStyle w:val="182"/>
              <w:bidi w:val="0"/>
              <w:rPr>
                <w:rFonts w:hint="eastAsia"/>
                <w:b/>
                <w:bCs/>
                <w:color w:val="auto"/>
                <w:u w:val="single"/>
              </w:rPr>
            </w:pPr>
            <w:r>
              <w:rPr>
                <w:rFonts w:hint="eastAsia"/>
                <w:b/>
                <w:bCs/>
                <w:color w:val="auto"/>
                <w:u w:val="single"/>
              </w:rPr>
              <w:t>袋式除尘器，洒水抑尘，料库密闭</w:t>
            </w:r>
          </w:p>
        </w:tc>
        <w:tc>
          <w:tcPr>
            <w:tcW w:w="1860" w:type="pct"/>
            <w:vAlign w:val="center"/>
          </w:tcPr>
          <w:p>
            <w:pPr>
              <w:pStyle w:val="182"/>
              <w:bidi w:val="0"/>
              <w:rPr>
                <w:rFonts w:hint="eastAsia"/>
                <w:b/>
                <w:bCs/>
                <w:color w:val="auto"/>
                <w:u w:val="single"/>
              </w:rPr>
            </w:pPr>
            <w:r>
              <w:rPr>
                <w:rFonts w:hint="eastAsia"/>
                <w:b/>
                <w:bCs/>
                <w:color w:val="auto"/>
                <w:u w:val="single"/>
                <w:lang w:eastAsia="zh-CN"/>
              </w:rPr>
              <w:t>《</w:t>
            </w:r>
            <w:r>
              <w:rPr>
                <w:b/>
                <w:bCs/>
                <w:color w:val="auto"/>
                <w:u w:val="single"/>
              </w:rPr>
              <w:t>新乡市生态环境局关于进一步规范工业企业颗粒物排放限值的通知》有组织颗粒物10mg/m</w:t>
            </w:r>
            <w:r>
              <w:rPr>
                <w:b/>
                <w:bCs/>
                <w:color w:val="auto"/>
                <w:u w:val="single"/>
                <w:vertAlign w:val="superscript"/>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restart"/>
            <w:vAlign w:val="center"/>
          </w:tcPr>
          <w:p>
            <w:pPr>
              <w:pStyle w:val="182"/>
              <w:bidi w:val="0"/>
              <w:rPr>
                <w:color w:val="auto"/>
              </w:rPr>
            </w:pPr>
            <w:r>
              <w:rPr>
                <w:color w:val="auto"/>
              </w:rPr>
              <w:t>固废</w:t>
            </w:r>
          </w:p>
        </w:tc>
        <w:tc>
          <w:tcPr>
            <w:tcW w:w="644" w:type="pct"/>
            <w:vAlign w:val="center"/>
          </w:tcPr>
          <w:p>
            <w:pPr>
              <w:pStyle w:val="182"/>
              <w:bidi w:val="0"/>
              <w:rPr>
                <w:b/>
                <w:bCs/>
                <w:color w:val="auto"/>
                <w:u w:val="single"/>
              </w:rPr>
            </w:pPr>
            <w:r>
              <w:rPr>
                <w:rFonts w:hint="eastAsia"/>
                <w:b/>
                <w:bCs/>
                <w:color w:val="auto"/>
                <w:u w:val="single"/>
              </w:rPr>
              <w:t>水力除杂沉淀池污泥</w:t>
            </w:r>
          </w:p>
        </w:tc>
        <w:tc>
          <w:tcPr>
            <w:tcW w:w="2077" w:type="pct"/>
            <w:vAlign w:val="center"/>
          </w:tcPr>
          <w:p>
            <w:pPr>
              <w:pStyle w:val="182"/>
              <w:bidi w:val="0"/>
              <w:rPr>
                <w:b/>
                <w:bCs/>
                <w:color w:val="auto"/>
                <w:u w:val="single"/>
              </w:rPr>
            </w:pPr>
            <w:r>
              <w:rPr>
                <w:rFonts w:hint="eastAsia"/>
                <w:b/>
                <w:bCs/>
                <w:color w:val="auto"/>
                <w:u w:val="single"/>
              </w:rPr>
              <w:t>依托现有一般固废暂存间</w:t>
            </w:r>
            <w:r>
              <w:rPr>
                <w:rFonts w:hint="default"/>
                <w:b/>
                <w:bCs/>
                <w:color w:val="auto"/>
                <w:u w:val="single"/>
                <w:lang w:val="en-US" w:eastAsia="zh-CN"/>
              </w:rPr>
              <w:t>（36m</w:t>
            </w:r>
            <w:r>
              <w:rPr>
                <w:rFonts w:hint="default"/>
                <w:b/>
                <w:bCs/>
                <w:color w:val="auto"/>
                <w:u w:val="single"/>
                <w:vertAlign w:val="superscript"/>
                <w:lang w:val="en-US" w:eastAsia="zh-CN"/>
              </w:rPr>
              <w:t>2</w:t>
            </w:r>
            <w:r>
              <w:rPr>
                <w:rFonts w:hint="default"/>
                <w:b/>
                <w:bCs/>
                <w:color w:val="auto"/>
                <w:u w:val="single"/>
                <w:lang w:val="en-US" w:eastAsia="zh-CN"/>
              </w:rPr>
              <w:t>）</w:t>
            </w:r>
            <w:r>
              <w:rPr>
                <w:rFonts w:hint="eastAsia"/>
                <w:b/>
                <w:bCs/>
                <w:color w:val="auto"/>
                <w:u w:val="single"/>
              </w:rPr>
              <w:t>暂存后，送厂区锅炉燃烧</w:t>
            </w:r>
          </w:p>
        </w:tc>
        <w:tc>
          <w:tcPr>
            <w:tcW w:w="1860" w:type="pct"/>
            <w:vMerge w:val="restart"/>
            <w:vAlign w:val="center"/>
          </w:tcPr>
          <w:p>
            <w:pPr>
              <w:pStyle w:val="182"/>
              <w:bidi w:val="0"/>
              <w:rPr>
                <w:b/>
                <w:bCs/>
                <w:color w:val="auto"/>
                <w:u w:val="single"/>
              </w:rPr>
            </w:pPr>
            <w:r>
              <w:rPr>
                <w:rFonts w:hint="eastAsia"/>
                <w:b/>
                <w:bCs/>
                <w:color w:val="auto"/>
                <w:u w:val="single"/>
              </w:rPr>
              <w:t>《一般工业固体废物贮存和填埋污染控制标准》（GB18599-2020）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pPr>
              <w:pStyle w:val="182"/>
              <w:bidi w:val="0"/>
              <w:rPr>
                <w:color w:val="auto"/>
              </w:rPr>
            </w:pPr>
          </w:p>
        </w:tc>
        <w:tc>
          <w:tcPr>
            <w:tcW w:w="644" w:type="pct"/>
            <w:vAlign w:val="center"/>
          </w:tcPr>
          <w:p>
            <w:pPr>
              <w:pStyle w:val="182"/>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b/>
                <w:bCs/>
                <w:color w:val="auto"/>
                <w:u w:val="single"/>
                <w:lang w:val="en-US" w:eastAsia="zh-CN"/>
              </w:rPr>
              <w:t>后续工序滤渣</w:t>
            </w:r>
          </w:p>
        </w:tc>
        <w:tc>
          <w:tcPr>
            <w:tcW w:w="2077" w:type="pct"/>
            <w:vAlign w:val="center"/>
          </w:tcPr>
          <w:p>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b/>
                <w:bCs/>
                <w:color w:val="auto"/>
                <w:u w:val="single"/>
              </w:rPr>
              <w:t>一般固废</w:t>
            </w:r>
          </w:p>
        </w:tc>
        <w:tc>
          <w:tcPr>
            <w:tcW w:w="1860" w:type="pct"/>
            <w:vMerge w:val="continue"/>
            <w:vAlign w:val="center"/>
          </w:tcPr>
          <w:p>
            <w:pPr>
              <w:pStyle w:val="182"/>
              <w:bidi w:val="0"/>
              <w:rPr>
                <w:rFonts w:hint="eastAsia"/>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pPr>
              <w:pStyle w:val="182"/>
              <w:bidi w:val="0"/>
              <w:rPr>
                <w:color w:val="auto"/>
              </w:rPr>
            </w:pPr>
          </w:p>
        </w:tc>
        <w:tc>
          <w:tcPr>
            <w:tcW w:w="644" w:type="pct"/>
            <w:vAlign w:val="center"/>
          </w:tcPr>
          <w:p>
            <w:pPr>
              <w:pStyle w:val="182"/>
              <w:bidi w:val="0"/>
              <w:rPr>
                <w:color w:val="auto"/>
              </w:rPr>
            </w:pPr>
            <w:r>
              <w:rPr>
                <w:rFonts w:hint="eastAsia"/>
                <w:color w:val="auto"/>
              </w:rPr>
              <w:t>生活垃圾</w:t>
            </w:r>
          </w:p>
        </w:tc>
        <w:tc>
          <w:tcPr>
            <w:tcW w:w="2077" w:type="pct"/>
            <w:vAlign w:val="center"/>
          </w:tcPr>
          <w:p>
            <w:pPr>
              <w:pStyle w:val="182"/>
              <w:bidi w:val="0"/>
              <w:rPr>
                <w:color w:val="auto"/>
              </w:rPr>
            </w:pPr>
            <w:r>
              <w:rPr>
                <w:rFonts w:hint="eastAsia"/>
                <w:color w:val="auto"/>
              </w:rPr>
              <w:t>集中收集后送环卫部门指定地点处理</w:t>
            </w:r>
          </w:p>
        </w:tc>
        <w:tc>
          <w:tcPr>
            <w:tcW w:w="1860" w:type="pct"/>
            <w:vMerge w:val="continue"/>
            <w:vAlign w:val="center"/>
          </w:tcPr>
          <w:p>
            <w:pPr>
              <w:pStyle w:val="182"/>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pPr>
              <w:pStyle w:val="182"/>
              <w:bidi w:val="0"/>
              <w:rPr>
                <w:color w:val="auto"/>
              </w:rPr>
            </w:pPr>
          </w:p>
        </w:tc>
        <w:tc>
          <w:tcPr>
            <w:tcW w:w="644" w:type="pct"/>
            <w:vAlign w:val="center"/>
          </w:tcPr>
          <w:p>
            <w:pPr>
              <w:pStyle w:val="182"/>
              <w:bidi w:val="0"/>
              <w:rPr>
                <w:color w:val="auto"/>
              </w:rPr>
            </w:pPr>
            <w:r>
              <w:rPr>
                <w:rFonts w:hint="eastAsia"/>
                <w:color w:val="auto"/>
              </w:rPr>
              <w:t>废包装袋</w:t>
            </w:r>
          </w:p>
        </w:tc>
        <w:tc>
          <w:tcPr>
            <w:tcW w:w="2077" w:type="pct"/>
            <w:vAlign w:val="center"/>
          </w:tcPr>
          <w:p>
            <w:pPr>
              <w:pStyle w:val="182"/>
              <w:bidi w:val="0"/>
              <w:rPr>
                <w:color w:val="auto"/>
              </w:rPr>
            </w:pPr>
            <w:r>
              <w:rPr>
                <w:rFonts w:hint="eastAsia"/>
                <w:color w:val="auto"/>
              </w:rPr>
              <w:t>依托现有全封闭危废堆存间（</w:t>
            </w:r>
            <w:r>
              <w:rPr>
                <w:rFonts w:hint="eastAsia"/>
                <w:color w:val="auto"/>
                <w:vertAlign w:val="baseline"/>
                <w:lang w:val="en-US" w:eastAsia="zh-CN"/>
              </w:rPr>
              <w:t>75m</w:t>
            </w:r>
            <w:r>
              <w:rPr>
                <w:rFonts w:hint="eastAsia"/>
                <w:color w:val="auto"/>
                <w:vertAlign w:val="superscript"/>
                <w:lang w:val="en-US" w:eastAsia="zh-CN"/>
              </w:rPr>
              <w:t>2</w:t>
            </w:r>
            <w:r>
              <w:rPr>
                <w:rFonts w:hint="eastAsia"/>
                <w:color w:val="auto"/>
              </w:rPr>
              <w:t>），暂存，定期交由有资质的单位进行处置</w:t>
            </w:r>
          </w:p>
        </w:tc>
        <w:tc>
          <w:tcPr>
            <w:tcW w:w="1860" w:type="pct"/>
            <w:vAlign w:val="center"/>
          </w:tcPr>
          <w:p>
            <w:pPr>
              <w:pStyle w:val="182"/>
              <w:bidi w:val="0"/>
              <w:rPr>
                <w:color w:val="auto"/>
              </w:rPr>
            </w:pPr>
            <w:r>
              <w:rPr>
                <w:rFonts w:hint="eastAsia"/>
                <w:color w:val="auto"/>
              </w:rPr>
              <w:t>《危险废物贮存污染控制标准》（GB 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Align w:val="center"/>
          </w:tcPr>
          <w:p>
            <w:pPr>
              <w:pStyle w:val="182"/>
              <w:bidi w:val="0"/>
              <w:rPr>
                <w:color w:val="auto"/>
              </w:rPr>
            </w:pPr>
            <w:r>
              <w:rPr>
                <w:color w:val="auto"/>
              </w:rPr>
              <w:t>噪声</w:t>
            </w:r>
          </w:p>
        </w:tc>
        <w:tc>
          <w:tcPr>
            <w:tcW w:w="644" w:type="pct"/>
            <w:vAlign w:val="center"/>
          </w:tcPr>
          <w:p>
            <w:pPr>
              <w:pStyle w:val="182"/>
              <w:bidi w:val="0"/>
              <w:rPr>
                <w:color w:val="auto"/>
              </w:rPr>
            </w:pPr>
            <w:r>
              <w:rPr>
                <w:color w:val="auto"/>
              </w:rPr>
              <w:t>设备噪声</w:t>
            </w:r>
          </w:p>
        </w:tc>
        <w:tc>
          <w:tcPr>
            <w:tcW w:w="2077" w:type="pct"/>
            <w:vAlign w:val="center"/>
          </w:tcPr>
          <w:p>
            <w:pPr>
              <w:pStyle w:val="182"/>
              <w:bidi w:val="0"/>
              <w:rPr>
                <w:color w:val="auto"/>
              </w:rPr>
            </w:pPr>
            <w:r>
              <w:rPr>
                <w:rFonts w:hint="eastAsia"/>
                <w:color w:val="auto"/>
              </w:rPr>
              <w:t>减振、隔音设施</w:t>
            </w:r>
          </w:p>
        </w:tc>
        <w:tc>
          <w:tcPr>
            <w:tcW w:w="1860" w:type="pct"/>
            <w:vAlign w:val="center"/>
          </w:tcPr>
          <w:p>
            <w:pPr>
              <w:pStyle w:val="182"/>
              <w:bidi w:val="0"/>
              <w:rPr>
                <w:color w:val="auto"/>
              </w:rPr>
            </w:pPr>
            <w:r>
              <w:rPr>
                <w:rFonts w:hint="eastAsia"/>
                <w:color w:val="auto"/>
              </w:rPr>
              <w:t>《工业企业厂界环境噪声排放标准》（</w:t>
            </w:r>
            <w:r>
              <w:rPr>
                <w:color w:val="auto"/>
              </w:rPr>
              <w:t>GB12348-2008</w:t>
            </w:r>
            <w:r>
              <w:rPr>
                <w:rFonts w:hint="eastAsia"/>
                <w:color w:val="auto"/>
              </w:rPr>
              <w:t>）3类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gridSpan w:val="2"/>
            <w:vAlign w:val="center"/>
          </w:tcPr>
          <w:p>
            <w:pPr>
              <w:pStyle w:val="182"/>
              <w:bidi w:val="0"/>
              <w:rPr>
                <w:color w:val="auto"/>
              </w:rPr>
            </w:pPr>
            <w:r>
              <w:rPr>
                <w:rFonts w:hint="eastAsia"/>
                <w:color w:val="auto"/>
              </w:rPr>
              <w:t>地下水防护措施</w:t>
            </w:r>
          </w:p>
        </w:tc>
        <w:tc>
          <w:tcPr>
            <w:tcW w:w="2077" w:type="pct"/>
            <w:vAlign w:val="center"/>
          </w:tcPr>
          <w:p>
            <w:pPr>
              <w:pStyle w:val="182"/>
              <w:bidi w:val="0"/>
              <w:rPr>
                <w:color w:val="auto"/>
              </w:rPr>
            </w:pPr>
            <w:r>
              <w:rPr>
                <w:rFonts w:hint="eastAsia"/>
                <w:color w:val="auto"/>
              </w:rPr>
              <w:t>对生产车间、废污水收集管道，一般固废全密闭暂存间和危险固废全密闭暂存间，按设计要求分区进行防渗。</w:t>
            </w:r>
          </w:p>
        </w:tc>
        <w:tc>
          <w:tcPr>
            <w:tcW w:w="1860" w:type="pct"/>
            <w:vAlign w:val="center"/>
          </w:tcPr>
          <w:p>
            <w:pPr>
              <w:pStyle w:val="182"/>
              <w:bidi w:val="0"/>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gridSpan w:val="2"/>
            <w:vAlign w:val="center"/>
          </w:tcPr>
          <w:p>
            <w:pPr>
              <w:pStyle w:val="182"/>
              <w:bidi w:val="0"/>
              <w:rPr>
                <w:color w:val="auto"/>
              </w:rPr>
            </w:pPr>
            <w:r>
              <w:rPr>
                <w:rFonts w:hint="eastAsia"/>
                <w:color w:val="auto"/>
              </w:rPr>
              <w:t>风险防范措施</w:t>
            </w:r>
          </w:p>
        </w:tc>
        <w:tc>
          <w:tcPr>
            <w:tcW w:w="2077" w:type="pct"/>
            <w:vAlign w:val="center"/>
          </w:tcPr>
          <w:p>
            <w:pPr>
              <w:pStyle w:val="182"/>
              <w:bidi w:val="0"/>
              <w:rPr>
                <w:color w:val="auto"/>
              </w:rPr>
            </w:pPr>
            <w:r>
              <w:rPr>
                <w:rFonts w:hint="eastAsia"/>
                <w:color w:val="auto"/>
              </w:rPr>
              <w:t>1、加强运行管理和应急措施建设管理；</w:t>
            </w:r>
          </w:p>
          <w:p>
            <w:pPr>
              <w:pStyle w:val="182"/>
              <w:bidi w:val="0"/>
              <w:rPr>
                <w:color w:val="auto"/>
              </w:rPr>
            </w:pPr>
            <w:r>
              <w:rPr>
                <w:rFonts w:hint="eastAsia"/>
                <w:color w:val="auto"/>
              </w:rPr>
              <w:t>2、依托现有事故应急废水收集池，拦截措施等。</w:t>
            </w:r>
          </w:p>
          <w:p>
            <w:pPr>
              <w:pStyle w:val="182"/>
              <w:bidi w:val="0"/>
              <w:rPr>
                <w:color w:val="auto"/>
              </w:rPr>
            </w:pPr>
            <w:r>
              <w:rPr>
                <w:rFonts w:hint="eastAsia"/>
                <w:color w:val="auto"/>
              </w:rPr>
              <w:t>3、依托应急救援器材、</w:t>
            </w:r>
            <w:r>
              <w:rPr>
                <w:rFonts w:hint="eastAsia"/>
                <w:color w:val="auto"/>
                <w:lang w:eastAsia="zh-CN"/>
              </w:rPr>
              <w:t>检测</w:t>
            </w:r>
            <w:r>
              <w:rPr>
                <w:rFonts w:hint="eastAsia"/>
                <w:color w:val="auto"/>
              </w:rPr>
              <w:t>仪器；定期进行安全教育培训、事故应急演练。</w:t>
            </w:r>
          </w:p>
        </w:tc>
        <w:tc>
          <w:tcPr>
            <w:tcW w:w="1860" w:type="pct"/>
            <w:vAlign w:val="center"/>
          </w:tcPr>
          <w:p>
            <w:pPr>
              <w:pStyle w:val="182"/>
              <w:bidi w:val="0"/>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gridSpan w:val="2"/>
            <w:vAlign w:val="center"/>
          </w:tcPr>
          <w:p>
            <w:pPr>
              <w:pStyle w:val="182"/>
              <w:bidi w:val="0"/>
              <w:rPr>
                <w:color w:val="auto"/>
              </w:rPr>
            </w:pPr>
            <w:r>
              <w:rPr>
                <w:rFonts w:hint="eastAsia"/>
                <w:color w:val="auto"/>
              </w:rPr>
              <w:t>厂区绿化</w:t>
            </w:r>
          </w:p>
        </w:tc>
        <w:tc>
          <w:tcPr>
            <w:tcW w:w="2077" w:type="pct"/>
            <w:vAlign w:val="center"/>
          </w:tcPr>
          <w:p>
            <w:pPr>
              <w:pStyle w:val="182"/>
              <w:bidi w:val="0"/>
              <w:rPr>
                <w:color w:val="auto"/>
              </w:rPr>
            </w:pPr>
            <w:r>
              <w:rPr>
                <w:rFonts w:hint="eastAsia"/>
                <w:color w:val="auto"/>
              </w:rPr>
              <w:t>植树、种草</w:t>
            </w:r>
          </w:p>
        </w:tc>
        <w:tc>
          <w:tcPr>
            <w:tcW w:w="1860" w:type="pct"/>
            <w:vAlign w:val="center"/>
          </w:tcPr>
          <w:p>
            <w:pPr>
              <w:pStyle w:val="182"/>
              <w:bidi w:val="0"/>
              <w:rPr>
                <w:color w:val="auto"/>
              </w:rPr>
            </w:pPr>
            <w:r>
              <w:rPr>
                <w:rFonts w:hint="eastAsia"/>
                <w:color w:val="auto"/>
              </w:rPr>
              <w:t>/</w:t>
            </w:r>
          </w:p>
        </w:tc>
      </w:tr>
    </w:tbl>
    <w:p>
      <w:pPr>
        <w:spacing w:line="520" w:lineRule="exact"/>
        <w:ind w:firstLine="480" w:firstLineChars="200"/>
        <w:rPr>
          <w:color w:val="auto"/>
        </w:rPr>
      </w:pPr>
      <w:r>
        <w:rPr>
          <w:rFonts w:hint="eastAsia"/>
          <w:color w:val="auto"/>
        </w:rPr>
        <w:t>综上，评价认为项目在采取工程设计和评价提出的废气、废水、噪声、固废污染防治措施后，废气、废水污染物均能做到稳定达标排放，噪声污染做到有效控制，固废全部综合利用和合理处置，措施可行。</w:t>
      </w:r>
    </w:p>
    <w:p>
      <w:pPr>
        <w:pStyle w:val="7"/>
        <w:bidi w:val="0"/>
        <w:rPr>
          <w:color w:val="auto"/>
        </w:rPr>
      </w:pPr>
      <w:bookmarkStart w:id="352" w:name="_Toc16550"/>
      <w:r>
        <w:rPr>
          <w:rFonts w:hint="eastAsia"/>
          <w:color w:val="auto"/>
        </w:rPr>
        <w:t>6.</w:t>
      </w:r>
      <w:r>
        <w:rPr>
          <w:color w:val="auto"/>
        </w:rPr>
        <w:t>4</w:t>
      </w:r>
      <w:r>
        <w:rPr>
          <w:rFonts w:hint="eastAsia"/>
          <w:color w:val="auto"/>
        </w:rPr>
        <w:t>厂址选择可行性</w:t>
      </w:r>
      <w:bookmarkEnd w:id="352"/>
    </w:p>
    <w:p>
      <w:pPr>
        <w:pStyle w:val="9"/>
        <w:bidi w:val="0"/>
        <w:rPr>
          <w:color w:val="auto"/>
        </w:rPr>
      </w:pPr>
      <w:r>
        <w:rPr>
          <w:rFonts w:hint="eastAsia"/>
          <w:color w:val="auto"/>
        </w:rPr>
        <w:t>6.</w:t>
      </w:r>
      <w:r>
        <w:rPr>
          <w:color w:val="auto"/>
        </w:rPr>
        <w:t>4</w:t>
      </w:r>
      <w:r>
        <w:rPr>
          <w:rFonts w:hint="eastAsia"/>
          <w:color w:val="auto"/>
        </w:rPr>
        <w:t>.1符合新乡市经济技术开发区发展规划</w:t>
      </w:r>
    </w:p>
    <w:p>
      <w:pPr>
        <w:bidi w:val="0"/>
        <w:rPr>
          <w:color w:val="auto"/>
        </w:rPr>
      </w:pPr>
      <w:r>
        <w:rPr>
          <w:rFonts w:hint="eastAsia"/>
          <w:color w:val="auto"/>
        </w:rPr>
        <w:t>本项目为年产5000吨菌草生物质纤维产业化研发中试项目，选址位于新乡市新乡工业产业集聚区（含新乡经济技术开发区）新长北路南侧，位于现有厂区内。根据《新乡经济技术开发区发展规划（2009-2020）》用地规划图，本项目用地属于工业用地，符合新乡经济技术开发区总体发展规划和土地性质规划。</w:t>
      </w:r>
    </w:p>
    <w:p>
      <w:pPr>
        <w:bidi w:val="0"/>
        <w:rPr>
          <w:color w:val="auto"/>
        </w:rPr>
      </w:pPr>
      <w:r>
        <w:rPr>
          <w:rFonts w:hint="eastAsia"/>
          <w:color w:val="auto"/>
        </w:rPr>
        <w:t>本工程大气环境防护距离为无超标点，不需设置大气环境防护距离。</w:t>
      </w:r>
    </w:p>
    <w:p>
      <w:pPr>
        <w:pStyle w:val="9"/>
        <w:bidi w:val="0"/>
        <w:rPr>
          <w:color w:val="auto"/>
        </w:rPr>
      </w:pPr>
      <w:r>
        <w:rPr>
          <w:rFonts w:hint="eastAsia"/>
          <w:color w:val="auto"/>
        </w:rPr>
        <w:t>6.</w:t>
      </w:r>
      <w:r>
        <w:rPr>
          <w:color w:val="auto"/>
        </w:rPr>
        <w:t>4</w:t>
      </w:r>
      <w:r>
        <w:rPr>
          <w:rFonts w:hint="eastAsia"/>
          <w:color w:val="auto"/>
        </w:rPr>
        <w:t>.2满足新乡市饮用水源地保护要求</w:t>
      </w:r>
    </w:p>
    <w:p>
      <w:pPr>
        <w:bidi w:val="0"/>
        <w:rPr>
          <w:color w:val="auto"/>
        </w:rPr>
      </w:pPr>
      <w:r>
        <w:rPr>
          <w:rFonts w:hint="eastAsia"/>
          <w:color w:val="auto"/>
        </w:rPr>
        <w:t>根据《新乡市城市饮用水水源地保护区划分报告》，距本项目最近的保护区为凤泉水厂地下水饮用水源保护区，距离约为20.5km；因此，本工程建设不会对城市水源地产生直接影响。</w:t>
      </w:r>
    </w:p>
    <w:p>
      <w:pPr>
        <w:bidi w:val="0"/>
        <w:rPr>
          <w:color w:val="auto"/>
        </w:rPr>
      </w:pPr>
      <w:r>
        <w:rPr>
          <w:rFonts w:hint="eastAsia"/>
          <w:color w:val="auto"/>
        </w:rPr>
        <w:t>根据现场调查，距离本项目最近的乡镇饮用水源为厂址西南7.2km 处的古固寨镇地下水饮用水源，本项目选址不在该饮用水源保护区范围内。</w:t>
      </w:r>
    </w:p>
    <w:p>
      <w:pPr>
        <w:bidi w:val="0"/>
        <w:rPr>
          <w:color w:val="auto"/>
        </w:rPr>
      </w:pPr>
      <w:r>
        <w:rPr>
          <w:rFonts w:hint="eastAsia"/>
          <w:color w:val="auto"/>
        </w:rPr>
        <w:t>本项目厂址距南水北调总干渠最近处的直线距离为20.2km，项目选址不在该水源保护区范围内。</w:t>
      </w:r>
    </w:p>
    <w:p>
      <w:pPr>
        <w:pStyle w:val="9"/>
        <w:bidi w:val="0"/>
        <w:rPr>
          <w:color w:val="auto"/>
        </w:rPr>
      </w:pPr>
      <w:r>
        <w:rPr>
          <w:rFonts w:hint="eastAsia"/>
          <w:color w:val="auto"/>
        </w:rPr>
        <w:t>6.</w:t>
      </w:r>
      <w:r>
        <w:rPr>
          <w:color w:val="auto"/>
        </w:rPr>
        <w:t>4</w:t>
      </w:r>
      <w:r>
        <w:rPr>
          <w:rFonts w:hint="eastAsia"/>
          <w:color w:val="auto"/>
        </w:rPr>
        <w:t>.3满足文物保护单位的保护要求</w:t>
      </w:r>
    </w:p>
    <w:p>
      <w:pPr>
        <w:bidi w:val="0"/>
        <w:rPr>
          <w:color w:val="auto"/>
        </w:rPr>
      </w:pPr>
      <w:r>
        <w:rPr>
          <w:rFonts w:hint="eastAsia"/>
          <w:color w:val="auto"/>
        </w:rPr>
        <w:t>太行堤遗址为区级重点文物保护单位，本项目距离太行堤遗址900m，本项目占地范围不涉及太行堤遗址的保护范围和建设控制地带，本项目的建设不会破坏现存的太行堤。</w:t>
      </w:r>
    </w:p>
    <w:p>
      <w:pPr>
        <w:pStyle w:val="9"/>
        <w:bidi w:val="0"/>
        <w:rPr>
          <w:color w:val="auto"/>
        </w:rPr>
      </w:pPr>
      <w:r>
        <w:rPr>
          <w:rFonts w:hint="eastAsia"/>
          <w:color w:val="auto"/>
        </w:rPr>
        <w:t>6.</w:t>
      </w:r>
      <w:r>
        <w:rPr>
          <w:color w:val="auto"/>
        </w:rPr>
        <w:t>4</w:t>
      </w:r>
      <w:r>
        <w:rPr>
          <w:rFonts w:hint="eastAsia"/>
          <w:color w:val="auto"/>
        </w:rPr>
        <w:t>.4项目对周边环境的影响可接受</w:t>
      </w:r>
    </w:p>
    <w:p>
      <w:pPr>
        <w:bidi w:val="0"/>
        <w:rPr>
          <w:color w:val="auto"/>
        </w:rPr>
      </w:pPr>
      <w:r>
        <w:rPr>
          <w:rFonts w:hint="eastAsia"/>
          <w:color w:val="auto"/>
        </w:rPr>
        <w:t>（1）环境空气影响</w:t>
      </w:r>
    </w:p>
    <w:p>
      <w:pPr>
        <w:bidi w:val="0"/>
        <w:rPr>
          <w:color w:val="auto"/>
        </w:rPr>
      </w:pPr>
      <w:r>
        <w:rPr>
          <w:rFonts w:hint="eastAsia"/>
          <w:color w:val="auto"/>
        </w:rPr>
        <w:t>项目废气排放满足标准要求，经预测，废气污染物对敏感点的影响均</w:t>
      </w:r>
      <w:r>
        <w:rPr>
          <w:rFonts w:hint="eastAsia"/>
          <w:color w:val="auto"/>
          <w:lang w:eastAsia="zh-CN"/>
        </w:rPr>
        <w:t>可</w:t>
      </w:r>
      <w:r>
        <w:rPr>
          <w:rFonts w:hint="eastAsia"/>
          <w:color w:val="auto"/>
        </w:rPr>
        <w:t>满足标准要求，项目废气对周边环境的影响可接受。</w:t>
      </w:r>
    </w:p>
    <w:p>
      <w:pPr>
        <w:bidi w:val="0"/>
        <w:rPr>
          <w:color w:val="auto"/>
        </w:rPr>
      </w:pPr>
      <w:r>
        <w:rPr>
          <w:rFonts w:hint="eastAsia"/>
          <w:color w:val="auto"/>
        </w:rPr>
        <w:t>（2）地表水环境影响</w:t>
      </w:r>
    </w:p>
    <w:p>
      <w:pPr>
        <w:bidi w:val="0"/>
        <w:rPr>
          <w:color w:val="auto"/>
        </w:rPr>
      </w:pPr>
      <w:r>
        <w:rPr>
          <w:rFonts w:hint="eastAsia"/>
          <w:color w:val="auto"/>
        </w:rPr>
        <w:t>公司拟将本工程产生的废水排入新乡化纤股份有限公司3.8万t/d污水处理站进行处理，处理后经经开区管网排入新乡市小店污水处理厂进一步处理，出水水质达到《地表水环境质量标准》（GB3838-2002）</w:t>
      </w:r>
      <w:r>
        <w:rPr>
          <w:rFonts w:hint="eastAsia" w:ascii="宋体" w:hAnsi="宋体" w:eastAsia="宋体" w:cs="宋体"/>
          <w:color w:val="auto"/>
        </w:rPr>
        <w:t>Ⅴ</w:t>
      </w:r>
      <w:r>
        <w:rPr>
          <w:rFonts w:hint="eastAsia"/>
          <w:color w:val="auto"/>
        </w:rPr>
        <w:t>类标准和《城镇污水处理厂污染物排放标准》（GB18918-2002）一级A的要求：COD</w:t>
      </w:r>
      <w:r>
        <w:rPr>
          <w:color w:val="auto"/>
        </w:rPr>
        <w:t xml:space="preserve"> </w:t>
      </w:r>
      <w:r>
        <w:rPr>
          <w:rFonts w:hint="eastAsia"/>
          <w:color w:val="auto"/>
        </w:rPr>
        <w:t>40mg/L、NH</w:t>
      </w:r>
      <w:r>
        <w:rPr>
          <w:rFonts w:hint="eastAsia"/>
          <w:color w:val="auto"/>
          <w:vertAlign w:val="subscript"/>
        </w:rPr>
        <w:t>3</w:t>
      </w:r>
      <w:r>
        <w:rPr>
          <w:rFonts w:hint="eastAsia"/>
          <w:color w:val="auto"/>
        </w:rPr>
        <w:t>-N</w:t>
      </w:r>
      <w:r>
        <w:rPr>
          <w:color w:val="auto"/>
        </w:rPr>
        <w:t xml:space="preserve"> </w:t>
      </w:r>
      <w:r>
        <w:rPr>
          <w:rFonts w:hint="eastAsia"/>
          <w:color w:val="auto"/>
        </w:rPr>
        <w:t>2.0mg/L、TN</w:t>
      </w:r>
      <w:r>
        <w:rPr>
          <w:color w:val="auto"/>
        </w:rPr>
        <w:t xml:space="preserve"> </w:t>
      </w:r>
      <w:r>
        <w:rPr>
          <w:rFonts w:hint="eastAsia"/>
          <w:color w:val="auto"/>
        </w:rPr>
        <w:t>15mg/L、TP</w:t>
      </w:r>
      <w:r>
        <w:rPr>
          <w:color w:val="auto"/>
        </w:rPr>
        <w:t xml:space="preserve"> </w:t>
      </w:r>
      <w:r>
        <w:rPr>
          <w:rFonts w:hint="eastAsia"/>
          <w:color w:val="auto"/>
        </w:rPr>
        <w:t>0.4mg/L，最终排入大沙河，不会对地表水体造成影响。</w:t>
      </w:r>
    </w:p>
    <w:p>
      <w:pPr>
        <w:bidi w:val="0"/>
        <w:rPr>
          <w:color w:val="auto"/>
        </w:rPr>
      </w:pPr>
      <w:r>
        <w:rPr>
          <w:rFonts w:hint="eastAsia"/>
          <w:color w:val="auto"/>
        </w:rPr>
        <w:t>（3）声环境影响</w:t>
      </w:r>
    </w:p>
    <w:p>
      <w:pPr>
        <w:bidi w:val="0"/>
        <w:rPr>
          <w:color w:val="auto"/>
        </w:rPr>
      </w:pPr>
      <w:r>
        <w:rPr>
          <w:rFonts w:hint="eastAsia"/>
          <w:color w:val="auto"/>
        </w:rPr>
        <w:t>由预测结果可知，项目完成后，厂界噪声均能够达到标准的要求。</w:t>
      </w:r>
    </w:p>
    <w:p>
      <w:pPr>
        <w:bidi w:val="0"/>
        <w:rPr>
          <w:color w:val="auto"/>
        </w:rPr>
      </w:pPr>
      <w:r>
        <w:rPr>
          <w:rFonts w:hint="eastAsia"/>
          <w:color w:val="auto"/>
        </w:rPr>
        <w:t>（4）地下水环境影响分析</w:t>
      </w:r>
    </w:p>
    <w:p>
      <w:pPr>
        <w:bidi w:val="0"/>
        <w:jc w:val="both"/>
        <w:rPr>
          <w:rFonts w:hint="eastAsia"/>
          <w:b/>
          <w:bCs/>
          <w:color w:val="auto"/>
          <w:u w:val="single"/>
        </w:rPr>
      </w:pPr>
      <w:r>
        <w:rPr>
          <w:rFonts w:hint="eastAsia"/>
          <w:b/>
          <w:bCs/>
          <w:color w:val="auto"/>
          <w:u w:val="single"/>
        </w:rPr>
        <w:t>如果发生调节池污水池连续渗漏非正常状况下，泄漏发生后50d、100d、500d和1000d后，下游耗氧量最远超标距离分别为45.68m、55.20m、86.52m和115.90m，氨氮最远超标距离分别为34.41m、37.67m、50.28m和66.38m，由此可以看出，随着泄漏发生时间越长，下游最远超标范围就越大，至1000d时地下水污染最远距离为下游120m，仍控制在现有厂区内。泄漏发生后50d、100d、500d和1000d，耗氧量和氨氮在下游的贡献浓度能够满足《地下水质量标准》（GB/T14848-2017）III类标准限值的要求。但随着时间的推移，污染带将超出厂界范围内，因此项目单位应加强监管和日常重点防渗区的养护，避免发生非正常泄漏情况。</w:t>
      </w:r>
    </w:p>
    <w:p>
      <w:pPr>
        <w:bidi w:val="0"/>
        <w:rPr>
          <w:color w:val="auto"/>
        </w:rPr>
      </w:pPr>
      <w:r>
        <w:rPr>
          <w:rFonts w:hint="eastAsia"/>
          <w:color w:val="auto"/>
        </w:rPr>
        <w:t>为减少项目对地下水的影响，评价建议污水处理站各构筑物周边应加强硬化防渗措施，同时制定严格的巡检制度并落实到责任人，杜绝项目厂区地面及各类废水池防渗措施出现渗漏现象，在落实以上各项防渗措施和巡检制度后，本项目地下水环境影响是可以接受的。</w:t>
      </w:r>
    </w:p>
    <w:p>
      <w:pPr>
        <w:pStyle w:val="9"/>
        <w:bidi w:val="0"/>
        <w:rPr>
          <w:color w:val="auto"/>
        </w:rPr>
      </w:pPr>
      <w:r>
        <w:rPr>
          <w:rFonts w:hint="eastAsia"/>
          <w:color w:val="auto"/>
        </w:rPr>
        <w:t>6.</w:t>
      </w:r>
      <w:r>
        <w:rPr>
          <w:color w:val="auto"/>
        </w:rPr>
        <w:t>4</w:t>
      </w:r>
      <w:r>
        <w:rPr>
          <w:rFonts w:hint="eastAsia"/>
          <w:color w:val="auto"/>
        </w:rPr>
        <w:t>.5环境风险可接受</w:t>
      </w:r>
    </w:p>
    <w:p>
      <w:pPr>
        <w:bidi w:val="0"/>
        <w:rPr>
          <w:color w:val="auto"/>
        </w:rPr>
      </w:pPr>
      <w:r>
        <w:rPr>
          <w:color w:val="auto"/>
        </w:rPr>
        <w:t>根据风险评价分析，最大可信事故为</w:t>
      </w:r>
      <w:r>
        <w:rPr>
          <w:rFonts w:hint="eastAsia"/>
          <w:color w:val="auto"/>
        </w:rPr>
        <w:t>硫酸泄漏</w:t>
      </w:r>
      <w:r>
        <w:rPr>
          <w:color w:val="auto"/>
        </w:rPr>
        <w:t>。建设单位应严格遵守各项安全操作规程和制度，加强安全管理。通过制定并落实切实可行的事故防范措施和应急预案，能够将事故风险影响降低到最低程度，该项目建设的环境风险水平是可以接受的。</w:t>
      </w:r>
    </w:p>
    <w:p>
      <w:pPr>
        <w:bidi w:val="0"/>
        <w:rPr>
          <w:color w:val="auto"/>
        </w:rPr>
      </w:pPr>
      <w:r>
        <w:rPr>
          <w:rFonts w:hint="eastAsia"/>
          <w:color w:val="auto"/>
        </w:rPr>
        <w:t>本项目的原料具有一定的燃烧爆炸性，其生产、贮存过程中存在一定泄漏污染及火灾爆炸风险。</w:t>
      </w:r>
      <w:r>
        <w:rPr>
          <w:color w:val="auto"/>
        </w:rPr>
        <w:t>但风险事故发生概率比较低，发生事故对周围敏感目标的危害后果较小，在采取风险防范措施后，项目的风险</w:t>
      </w:r>
      <w:r>
        <w:rPr>
          <w:rFonts w:hint="eastAsia"/>
          <w:color w:val="auto"/>
        </w:rPr>
        <w:t>可防控。</w:t>
      </w:r>
    </w:p>
    <w:p>
      <w:pPr>
        <w:pStyle w:val="9"/>
        <w:bidi w:val="0"/>
        <w:rPr>
          <w:color w:val="auto"/>
        </w:rPr>
      </w:pPr>
      <w:r>
        <w:rPr>
          <w:rFonts w:hint="eastAsia"/>
          <w:color w:val="auto"/>
        </w:rPr>
        <w:t>6.</w:t>
      </w:r>
      <w:r>
        <w:rPr>
          <w:color w:val="auto"/>
        </w:rPr>
        <w:t>4</w:t>
      </w:r>
      <w:r>
        <w:rPr>
          <w:rFonts w:hint="eastAsia"/>
          <w:color w:val="auto"/>
        </w:rPr>
        <w:t>.6厂区平面布置合理性</w:t>
      </w:r>
    </w:p>
    <w:p>
      <w:pPr>
        <w:bidi w:val="0"/>
        <w:rPr>
          <w:color w:val="auto"/>
        </w:rPr>
      </w:pPr>
      <w:r>
        <w:rPr>
          <w:rFonts w:hint="eastAsia"/>
          <w:color w:val="auto"/>
        </w:rPr>
        <w:t>根据企业提供的拟建工程厂区总平面布置图，厂区的平面布置较为合理，主要体现在以下几个方面：</w:t>
      </w:r>
    </w:p>
    <w:p>
      <w:pPr>
        <w:bidi w:val="0"/>
        <w:rPr>
          <w:color w:val="auto"/>
        </w:rPr>
      </w:pPr>
      <w:r>
        <w:rPr>
          <w:rFonts w:hint="eastAsia"/>
          <w:color w:val="auto"/>
        </w:rPr>
        <w:t>（1）项目设计生产区与办公区相分离，有利于物流和人流的管理；</w:t>
      </w:r>
    </w:p>
    <w:p>
      <w:pPr>
        <w:bidi w:val="0"/>
        <w:rPr>
          <w:color w:val="auto"/>
        </w:rPr>
      </w:pPr>
      <w:r>
        <w:rPr>
          <w:rFonts w:hint="eastAsia"/>
          <w:color w:val="auto"/>
        </w:rPr>
        <w:t>（2）项目根据工艺流程和设备运转的要求，按照工艺运转顺序和安全生产的需要布置生产装置，工艺流程顺畅，厂区布局紧凑；</w:t>
      </w:r>
    </w:p>
    <w:p>
      <w:pPr>
        <w:bidi w:val="0"/>
        <w:rPr>
          <w:rFonts w:hint="eastAsia"/>
          <w:color w:val="auto"/>
        </w:rPr>
      </w:pPr>
      <w:r>
        <w:rPr>
          <w:rFonts w:hint="eastAsia"/>
          <w:color w:val="auto"/>
        </w:rPr>
        <w:t>（3）根据生产单元的需要进行了合理的布局，减少了物料在输送过程中的跑、冒、滴、漏，提高了项目的清洁生产水平。综上所述，评价认为厂区总平面布置基本合理。</w:t>
      </w:r>
    </w:p>
    <w:p>
      <w:pPr>
        <w:pStyle w:val="9"/>
        <w:bidi w:val="0"/>
        <w:rPr>
          <w:rFonts w:hint="eastAsia"/>
          <w:lang w:val="en-US" w:eastAsia="zh-CN"/>
        </w:rPr>
      </w:pPr>
      <w:r>
        <w:rPr>
          <w:rFonts w:hint="eastAsia"/>
          <w:lang w:val="en-US" w:eastAsia="zh-CN"/>
        </w:rPr>
        <w:t>6.4.7 厂址选址可行性</w:t>
      </w:r>
    </w:p>
    <w:p>
      <w:pPr>
        <w:bidi w:val="0"/>
        <w:rPr>
          <w:b/>
          <w:bCs/>
          <w:color w:val="auto"/>
          <w:u w:val="single"/>
        </w:rPr>
      </w:pPr>
      <w:r>
        <w:rPr>
          <w:rFonts w:hint="eastAsia"/>
          <w:b/>
          <w:bCs/>
          <w:u w:val="single"/>
          <w:lang w:val="en-US" w:eastAsia="zh-CN"/>
        </w:rPr>
        <w:t>综上所述，项目位于新乡化纤股份有限公司新厂区内部西侧，新厂区位于位于新乡经济技术开发区新长北线南侧，新厂区北侧为新长北线，东侧为双鹭药业、中纺院色纤维股份有限公司，西侧为新乡润洋化纤有限公司等多家企业。距本项目最近的保护区为凤泉水厂地下水饮用水源保护区，距离约为20.5km；因此，本工程建设不会对城市水源地产生直接影响。</w:t>
      </w:r>
      <w:r>
        <w:rPr>
          <w:rFonts w:hint="eastAsia"/>
          <w:b/>
          <w:bCs/>
          <w:color w:val="auto"/>
          <w:u w:val="single"/>
          <w:lang w:val="en-US" w:eastAsia="zh-CN"/>
        </w:rPr>
        <w:t>同时</w:t>
      </w:r>
      <w:r>
        <w:rPr>
          <w:rFonts w:hint="eastAsia"/>
          <w:b/>
          <w:bCs/>
          <w:color w:val="auto"/>
          <w:u w:val="single"/>
          <w:lang w:eastAsia="zh-CN"/>
        </w:rPr>
        <w:t>，</w:t>
      </w:r>
      <w:r>
        <w:rPr>
          <w:rFonts w:hint="eastAsia"/>
          <w:b/>
          <w:bCs/>
          <w:color w:val="auto"/>
          <w:u w:val="single"/>
        </w:rPr>
        <w:t>本项目的建设不会破坏现存的太行堤。</w:t>
      </w:r>
    </w:p>
    <w:p>
      <w:pPr>
        <w:bidi w:val="0"/>
        <w:rPr>
          <w:rFonts w:hint="default"/>
          <w:b/>
          <w:bCs/>
          <w:u w:val="single"/>
          <w:lang w:val="en-US" w:eastAsia="zh-CN"/>
        </w:rPr>
      </w:pPr>
      <w:r>
        <w:rPr>
          <w:rFonts w:hint="eastAsia"/>
          <w:b/>
          <w:bCs/>
          <w:u w:val="single"/>
          <w:lang w:val="en-US" w:eastAsia="zh-CN"/>
        </w:rPr>
        <w:t>因此，本项目厂址选择可行。</w:t>
      </w:r>
    </w:p>
    <w:p>
      <w:pPr>
        <w:pStyle w:val="7"/>
        <w:bidi w:val="0"/>
        <w:rPr>
          <w:color w:val="auto"/>
        </w:rPr>
      </w:pPr>
      <w:bookmarkStart w:id="353" w:name="_Toc2541"/>
      <w:r>
        <w:rPr>
          <w:rFonts w:hint="eastAsia"/>
          <w:color w:val="auto"/>
        </w:rPr>
        <w:t>6.</w:t>
      </w:r>
      <w:r>
        <w:rPr>
          <w:color w:val="auto"/>
        </w:rPr>
        <w:t>5</w:t>
      </w:r>
      <w:r>
        <w:rPr>
          <w:rFonts w:hint="eastAsia"/>
          <w:color w:val="auto"/>
        </w:rPr>
        <w:t>总量控制分析</w:t>
      </w:r>
      <w:bookmarkEnd w:id="353"/>
    </w:p>
    <w:p>
      <w:pPr>
        <w:pStyle w:val="9"/>
        <w:bidi w:val="0"/>
        <w:rPr>
          <w:color w:val="auto"/>
        </w:rPr>
      </w:pPr>
      <w:r>
        <w:rPr>
          <w:rFonts w:hint="eastAsia"/>
          <w:color w:val="auto"/>
        </w:rPr>
        <w:t>6.</w:t>
      </w:r>
      <w:r>
        <w:rPr>
          <w:color w:val="auto"/>
        </w:rPr>
        <w:t>5</w:t>
      </w:r>
      <w:r>
        <w:rPr>
          <w:rFonts w:hint="eastAsia"/>
          <w:color w:val="auto"/>
        </w:rPr>
        <w:t>.1总量控制因子</w:t>
      </w:r>
    </w:p>
    <w:p>
      <w:pPr>
        <w:bidi w:val="0"/>
        <w:rPr>
          <w:color w:val="auto"/>
        </w:rPr>
      </w:pPr>
      <w:r>
        <w:rPr>
          <w:rFonts w:hint="eastAsia"/>
          <w:color w:val="auto"/>
        </w:rPr>
        <w:t>根据项目污染物产</w:t>
      </w:r>
      <w:r>
        <w:rPr>
          <w:rFonts w:hint="eastAsia"/>
          <w:color w:val="auto"/>
          <w:lang w:eastAsia="zh-CN"/>
        </w:rPr>
        <w:t>排放</w:t>
      </w:r>
      <w:r>
        <w:rPr>
          <w:rFonts w:hint="eastAsia"/>
          <w:color w:val="auto"/>
        </w:rPr>
        <w:t>特点及当地环保要求，本项目评价总量控制因子确定为：</w:t>
      </w:r>
    </w:p>
    <w:p>
      <w:pPr>
        <w:bidi w:val="0"/>
        <w:rPr>
          <w:color w:val="auto"/>
        </w:rPr>
      </w:pPr>
      <w:r>
        <w:rPr>
          <w:rFonts w:hint="eastAsia"/>
          <w:color w:val="auto"/>
        </w:rPr>
        <w:t>水污染物：COD、NH</w:t>
      </w:r>
      <w:r>
        <w:rPr>
          <w:color w:val="auto"/>
          <w:vertAlign w:val="subscript"/>
        </w:rPr>
        <w:t>3</w:t>
      </w:r>
      <w:r>
        <w:rPr>
          <w:rFonts w:hint="eastAsia"/>
          <w:color w:val="auto"/>
        </w:rPr>
        <w:t>-N</w:t>
      </w:r>
      <w:r>
        <w:rPr>
          <w:rFonts w:hint="eastAsia"/>
          <w:color w:val="auto"/>
          <w:lang w:eastAsia="zh-CN"/>
        </w:rPr>
        <w:t>、</w:t>
      </w:r>
      <w:r>
        <w:rPr>
          <w:rFonts w:hint="eastAsia"/>
          <w:color w:val="auto"/>
          <w:lang w:val="en-US" w:eastAsia="zh-CN"/>
        </w:rPr>
        <w:t>TN、TP</w:t>
      </w:r>
      <w:r>
        <w:rPr>
          <w:rFonts w:hint="eastAsia"/>
          <w:color w:val="auto"/>
        </w:rPr>
        <w:t>。</w:t>
      </w:r>
    </w:p>
    <w:p>
      <w:pPr>
        <w:bidi w:val="0"/>
        <w:rPr>
          <w:color w:val="auto"/>
        </w:rPr>
      </w:pPr>
      <w:r>
        <w:rPr>
          <w:rFonts w:hint="eastAsia"/>
          <w:color w:val="auto"/>
        </w:rPr>
        <w:t>大气污染物：颗粒物。</w:t>
      </w:r>
    </w:p>
    <w:p>
      <w:pPr>
        <w:pStyle w:val="9"/>
        <w:bidi w:val="0"/>
        <w:rPr>
          <w:color w:val="auto"/>
        </w:rPr>
      </w:pPr>
      <w:r>
        <w:rPr>
          <w:rFonts w:hint="eastAsia"/>
          <w:color w:val="auto"/>
        </w:rPr>
        <w:t>6.</w:t>
      </w:r>
      <w:r>
        <w:rPr>
          <w:color w:val="auto"/>
        </w:rPr>
        <w:t>5</w:t>
      </w:r>
      <w:r>
        <w:rPr>
          <w:rFonts w:hint="eastAsia"/>
          <w:color w:val="auto"/>
        </w:rPr>
        <w:t>.2总量指标核算</w:t>
      </w:r>
    </w:p>
    <w:p>
      <w:pPr>
        <w:pStyle w:val="10"/>
        <w:bidi w:val="0"/>
        <w:rPr>
          <w:color w:val="auto"/>
        </w:rPr>
      </w:pPr>
      <w:r>
        <w:rPr>
          <w:rFonts w:hint="eastAsia"/>
          <w:color w:val="auto"/>
        </w:rPr>
        <w:t>6.</w:t>
      </w:r>
      <w:r>
        <w:rPr>
          <w:color w:val="auto"/>
        </w:rPr>
        <w:t>5</w:t>
      </w:r>
      <w:r>
        <w:rPr>
          <w:rFonts w:hint="eastAsia"/>
          <w:color w:val="auto"/>
        </w:rPr>
        <w:t>.2.1废水</w:t>
      </w:r>
    </w:p>
    <w:p>
      <w:pPr>
        <w:bidi w:val="0"/>
        <w:rPr>
          <w:rFonts w:hint="eastAsia"/>
          <w:color w:val="auto"/>
        </w:rPr>
      </w:pPr>
      <w:r>
        <w:rPr>
          <w:rFonts w:hint="eastAsia"/>
          <w:color w:val="auto"/>
        </w:rPr>
        <w:t>本项目在生产中严格落实各项环保治理措施及清洁生产工艺技术，加强企业环境管理，在满足达标排放的基础上，尽可能减少污染物的排放量。本项目经厂区污水处理站处理后的废水经管网排入小店污水处理厂进一步处理，处理达标后排入大沙河。小店污水处理厂出水执行标准为：COD 40mg/L、NH</w:t>
      </w:r>
      <w:r>
        <w:rPr>
          <w:rFonts w:hint="eastAsia"/>
          <w:color w:val="auto"/>
          <w:vertAlign w:val="subscript"/>
        </w:rPr>
        <w:t>3</w:t>
      </w:r>
      <w:r>
        <w:rPr>
          <w:rFonts w:hint="eastAsia"/>
          <w:color w:val="auto"/>
        </w:rPr>
        <w:t>-N</w:t>
      </w:r>
      <w:r>
        <w:rPr>
          <w:color w:val="auto"/>
        </w:rPr>
        <w:t xml:space="preserve"> </w:t>
      </w:r>
      <w:r>
        <w:rPr>
          <w:rFonts w:hint="eastAsia"/>
          <w:color w:val="auto"/>
        </w:rPr>
        <w:t>2mg/L、TP</w:t>
      </w:r>
      <w:r>
        <w:rPr>
          <w:color w:val="auto"/>
        </w:rPr>
        <w:t xml:space="preserve"> </w:t>
      </w:r>
      <w:r>
        <w:rPr>
          <w:rFonts w:hint="eastAsia"/>
          <w:color w:val="auto"/>
        </w:rPr>
        <w:t>0.4mg/L、TN 15mg/L。本项目废水排放情况见表</w:t>
      </w:r>
      <w:r>
        <w:rPr>
          <w:color w:val="auto"/>
        </w:rPr>
        <w:t>6.5</w:t>
      </w:r>
      <w:r>
        <w:rPr>
          <w:rFonts w:hint="eastAsia"/>
          <w:color w:val="auto"/>
        </w:rPr>
        <w:t>-</w:t>
      </w:r>
      <w:r>
        <w:rPr>
          <w:color w:val="auto"/>
        </w:rPr>
        <w:t>1</w:t>
      </w:r>
      <w:r>
        <w:rPr>
          <w:rFonts w:hint="eastAsia"/>
          <w:color w:val="auto"/>
        </w:rPr>
        <w:t>。</w:t>
      </w:r>
    </w:p>
    <w:p>
      <w:pPr>
        <w:pStyle w:val="181"/>
        <w:bidi w:val="0"/>
        <w:rPr>
          <w:b/>
          <w:bCs/>
          <w:color w:val="auto"/>
          <w:u w:val="single"/>
        </w:rPr>
      </w:pPr>
      <w:r>
        <w:rPr>
          <w:rFonts w:hint="eastAsia"/>
          <w:b/>
          <w:bCs/>
          <w:color w:val="auto"/>
          <w:u w:val="single"/>
        </w:rPr>
        <w:t>表</w:t>
      </w:r>
      <w:r>
        <w:rPr>
          <w:b/>
          <w:bCs/>
          <w:color w:val="auto"/>
          <w:u w:val="single"/>
        </w:rPr>
        <w:t>6.5</w:t>
      </w:r>
      <w:r>
        <w:rPr>
          <w:rFonts w:hint="eastAsia"/>
          <w:b/>
          <w:bCs/>
          <w:color w:val="auto"/>
          <w:u w:val="single"/>
        </w:rPr>
        <w:t>-</w:t>
      </w:r>
      <w:r>
        <w:rPr>
          <w:b/>
          <w:bCs/>
          <w:color w:val="auto"/>
          <w:u w:val="single"/>
        </w:rPr>
        <w:t>1</w:t>
      </w:r>
      <w:r>
        <w:rPr>
          <w:rFonts w:hint="eastAsia"/>
          <w:b/>
          <w:bCs/>
          <w:color w:val="auto"/>
          <w:u w:val="single"/>
          <w:lang w:val="en-US" w:eastAsia="zh-CN"/>
        </w:rPr>
        <w:t xml:space="preserve">        </w:t>
      </w:r>
      <w:r>
        <w:rPr>
          <w:rFonts w:hint="eastAsia"/>
          <w:b/>
          <w:bCs/>
          <w:color w:val="auto"/>
          <w:u w:val="single"/>
        </w:rPr>
        <w:t>本项目废水污染物产</w:t>
      </w:r>
      <w:r>
        <w:rPr>
          <w:rFonts w:hint="eastAsia"/>
          <w:b/>
          <w:bCs/>
          <w:color w:val="auto"/>
          <w:u w:val="single"/>
          <w:lang w:eastAsia="zh-CN"/>
        </w:rPr>
        <w:t>排放</w:t>
      </w:r>
      <w:r>
        <w:rPr>
          <w:rFonts w:hint="eastAsia"/>
          <w:b/>
          <w:bCs/>
          <w:color w:val="auto"/>
          <w:u w:val="single"/>
        </w:rPr>
        <w:t>情况单位：t/a</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4"/>
        <w:gridCol w:w="1706"/>
        <w:gridCol w:w="1706"/>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701" w:type="dxa"/>
            <w:vAlign w:val="center"/>
          </w:tcPr>
          <w:p>
            <w:pPr>
              <w:pStyle w:val="182"/>
              <w:bidi w:val="0"/>
              <w:rPr>
                <w:rFonts w:hint="eastAsia"/>
                <w:b/>
                <w:bCs/>
                <w:color w:val="auto"/>
                <w:u w:val="single"/>
                <w:lang w:eastAsia="zh-CN"/>
              </w:rPr>
            </w:pPr>
            <w:r>
              <w:rPr>
                <w:rFonts w:hint="eastAsia"/>
                <w:b/>
                <w:bCs/>
                <w:color w:val="auto"/>
                <w:u w:val="single"/>
              </w:rPr>
              <w:t>污染物</w:t>
            </w:r>
          </w:p>
        </w:tc>
        <w:tc>
          <w:tcPr>
            <w:tcW w:w="1704" w:type="dxa"/>
            <w:vAlign w:val="center"/>
          </w:tcPr>
          <w:p>
            <w:pPr>
              <w:pStyle w:val="182"/>
              <w:bidi w:val="0"/>
              <w:rPr>
                <w:b/>
                <w:bCs/>
                <w:color w:val="auto"/>
                <w:u w:val="single"/>
              </w:rPr>
            </w:pPr>
            <w:r>
              <w:rPr>
                <w:rFonts w:hint="eastAsia"/>
                <w:b/>
                <w:bCs/>
                <w:color w:val="auto"/>
                <w:u w:val="single"/>
              </w:rPr>
              <w:t>产生量</w:t>
            </w:r>
            <w:r>
              <w:rPr>
                <w:rFonts w:hint="eastAsia"/>
                <w:b/>
                <w:bCs/>
                <w:color w:val="auto"/>
                <w:u w:val="single"/>
                <w:lang w:eastAsia="zh-CN"/>
              </w:rPr>
              <w:t>（</w:t>
            </w:r>
            <w:r>
              <w:rPr>
                <w:rFonts w:hint="eastAsia"/>
                <w:b/>
                <w:bCs/>
                <w:color w:val="auto"/>
                <w:u w:val="single"/>
              </w:rPr>
              <w:t>t/a</w:t>
            </w:r>
            <w:r>
              <w:rPr>
                <w:rFonts w:hint="eastAsia"/>
                <w:b/>
                <w:bCs/>
                <w:color w:val="auto"/>
                <w:u w:val="single"/>
                <w:lang w:eastAsia="zh-CN"/>
              </w:rPr>
              <w:t>）</w:t>
            </w:r>
          </w:p>
        </w:tc>
        <w:tc>
          <w:tcPr>
            <w:tcW w:w="1706" w:type="dxa"/>
            <w:vAlign w:val="center"/>
          </w:tcPr>
          <w:p>
            <w:pPr>
              <w:pStyle w:val="182"/>
              <w:bidi w:val="0"/>
              <w:rPr>
                <w:b/>
                <w:bCs/>
                <w:color w:val="auto"/>
                <w:u w:val="single"/>
              </w:rPr>
            </w:pPr>
            <w:r>
              <w:rPr>
                <w:rFonts w:hint="eastAsia"/>
                <w:b/>
                <w:bCs/>
                <w:color w:val="auto"/>
                <w:u w:val="single"/>
              </w:rPr>
              <w:t>削减量</w:t>
            </w:r>
            <w:r>
              <w:rPr>
                <w:rFonts w:hint="eastAsia"/>
                <w:b/>
                <w:bCs/>
                <w:color w:val="auto"/>
                <w:u w:val="single"/>
                <w:lang w:eastAsia="zh-CN"/>
              </w:rPr>
              <w:t>（</w:t>
            </w:r>
            <w:r>
              <w:rPr>
                <w:rFonts w:hint="eastAsia"/>
                <w:b/>
                <w:bCs/>
                <w:color w:val="auto"/>
                <w:u w:val="single"/>
              </w:rPr>
              <w:t>t/a</w:t>
            </w:r>
            <w:r>
              <w:rPr>
                <w:rFonts w:hint="eastAsia"/>
                <w:b/>
                <w:bCs/>
                <w:color w:val="auto"/>
                <w:u w:val="single"/>
                <w:lang w:eastAsia="zh-CN"/>
              </w:rPr>
              <w:t>）</w:t>
            </w:r>
          </w:p>
        </w:tc>
        <w:tc>
          <w:tcPr>
            <w:tcW w:w="1706" w:type="dxa"/>
            <w:vAlign w:val="center"/>
          </w:tcPr>
          <w:p>
            <w:pPr>
              <w:pStyle w:val="182"/>
              <w:bidi w:val="0"/>
              <w:rPr>
                <w:rFonts w:hint="eastAsia"/>
                <w:b/>
                <w:bCs/>
                <w:color w:val="auto"/>
                <w:u w:val="single"/>
              </w:rPr>
            </w:pPr>
            <w:r>
              <w:rPr>
                <w:rFonts w:hint="eastAsia"/>
                <w:b/>
                <w:bCs/>
                <w:color w:val="auto"/>
                <w:u w:val="single"/>
              </w:rPr>
              <w:t>排放量</w:t>
            </w:r>
          </w:p>
          <w:p>
            <w:pPr>
              <w:pStyle w:val="182"/>
              <w:bidi w:val="0"/>
              <w:rPr>
                <w:b/>
                <w:bCs/>
                <w:color w:val="auto"/>
                <w:u w:val="single"/>
              </w:rPr>
            </w:pPr>
            <w:r>
              <w:rPr>
                <w:rFonts w:hint="eastAsia"/>
                <w:b/>
                <w:bCs/>
                <w:color w:val="auto"/>
                <w:u w:val="single"/>
              </w:rPr>
              <w:t>（厂</w:t>
            </w:r>
            <w:r>
              <w:rPr>
                <w:rFonts w:hint="eastAsia"/>
                <w:b/>
                <w:bCs/>
                <w:color w:val="auto"/>
                <w:u w:val="single"/>
                <w:lang w:val="en-US" w:eastAsia="zh-CN"/>
              </w:rPr>
              <w:t>区污水处理站</w:t>
            </w:r>
            <w:r>
              <w:rPr>
                <w:rFonts w:hint="eastAsia"/>
                <w:b/>
                <w:bCs/>
                <w:color w:val="auto"/>
                <w:u w:val="single"/>
              </w:rPr>
              <w:t>总排口）</w:t>
            </w:r>
            <w:r>
              <w:rPr>
                <w:rFonts w:hint="eastAsia"/>
                <w:b/>
                <w:bCs/>
                <w:color w:val="auto"/>
                <w:u w:val="single"/>
                <w:lang w:eastAsia="zh-CN"/>
              </w:rPr>
              <w:t>（</w:t>
            </w:r>
            <w:r>
              <w:rPr>
                <w:rFonts w:hint="eastAsia"/>
                <w:b/>
                <w:bCs/>
                <w:color w:val="auto"/>
                <w:u w:val="single"/>
              </w:rPr>
              <w:t>t/a</w:t>
            </w:r>
            <w:r>
              <w:rPr>
                <w:rFonts w:hint="eastAsia"/>
                <w:b/>
                <w:bCs/>
                <w:color w:val="auto"/>
                <w:u w:val="single"/>
                <w:lang w:eastAsia="zh-CN"/>
              </w:rPr>
              <w:t>）</w:t>
            </w:r>
          </w:p>
        </w:tc>
        <w:tc>
          <w:tcPr>
            <w:tcW w:w="1706" w:type="dxa"/>
            <w:vAlign w:val="center"/>
          </w:tcPr>
          <w:p>
            <w:pPr>
              <w:pStyle w:val="182"/>
              <w:bidi w:val="0"/>
              <w:rPr>
                <w:b/>
                <w:bCs/>
                <w:color w:val="auto"/>
                <w:u w:val="single"/>
              </w:rPr>
            </w:pPr>
            <w:r>
              <w:rPr>
                <w:rFonts w:hint="eastAsia"/>
                <w:b/>
                <w:bCs/>
                <w:color w:val="auto"/>
                <w:u w:val="single"/>
              </w:rPr>
              <w:t>排放量（小店污水处理厂出口）</w:t>
            </w:r>
            <w:r>
              <w:rPr>
                <w:rFonts w:hint="eastAsia"/>
                <w:b/>
                <w:bCs/>
                <w:color w:val="auto"/>
                <w:u w:val="single"/>
                <w:lang w:eastAsia="zh-CN"/>
              </w:rPr>
              <w:t>（</w:t>
            </w:r>
            <w:r>
              <w:rPr>
                <w:rFonts w:hint="eastAsia"/>
                <w:b/>
                <w:bCs/>
                <w:color w:val="auto"/>
                <w:u w:val="single"/>
              </w:rPr>
              <w:t>t/a</w:t>
            </w:r>
            <w:r>
              <w:rPr>
                <w:rFonts w:hint="eastAsia"/>
                <w:b/>
                <w:bCs/>
                <w:color w:val="auto"/>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vAlign w:val="center"/>
          </w:tcPr>
          <w:p>
            <w:pPr>
              <w:pStyle w:val="182"/>
              <w:bidi w:val="0"/>
              <w:rPr>
                <w:b/>
                <w:bCs/>
                <w:color w:val="auto"/>
                <w:u w:val="single"/>
              </w:rPr>
            </w:pPr>
            <w:r>
              <w:rPr>
                <w:rFonts w:hint="eastAsia"/>
                <w:b/>
                <w:bCs/>
                <w:color w:val="auto"/>
                <w:u w:val="single"/>
              </w:rPr>
              <w:t>C</w:t>
            </w:r>
            <w:r>
              <w:rPr>
                <w:b/>
                <w:bCs/>
                <w:color w:val="auto"/>
                <w:u w:val="single"/>
              </w:rPr>
              <w:t>OD</w:t>
            </w:r>
          </w:p>
        </w:tc>
        <w:tc>
          <w:tcPr>
            <w:tcW w:w="1704"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422.21</w:t>
            </w:r>
          </w:p>
        </w:tc>
        <w:tc>
          <w:tcPr>
            <w:tcW w:w="1706"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388.44</w:t>
            </w:r>
          </w:p>
        </w:tc>
        <w:tc>
          <w:tcPr>
            <w:tcW w:w="1706"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33.78</w:t>
            </w:r>
          </w:p>
        </w:tc>
        <w:tc>
          <w:tcPr>
            <w:tcW w:w="1706" w:type="dxa"/>
            <w:vAlign w:val="center"/>
          </w:tcPr>
          <w:p>
            <w:pPr>
              <w:pStyle w:val="182"/>
              <w:bidi w:val="0"/>
              <w:ind w:firstLine="0" w:firstLineChars="0"/>
              <w:rPr>
                <w:b/>
                <w:bCs/>
                <w:color w:val="auto"/>
                <w:u w:val="single"/>
              </w:rPr>
            </w:pPr>
            <w:r>
              <w:rPr>
                <w:rFonts w:hint="eastAsia"/>
                <w:b/>
                <w:bCs/>
                <w:color w:val="auto"/>
                <w:u w:val="single"/>
                <w:lang w:val="en-US" w:eastAsia="zh-CN"/>
              </w:rPr>
              <w:t>12.51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vAlign w:val="center"/>
          </w:tcPr>
          <w:p>
            <w:pPr>
              <w:pStyle w:val="182"/>
              <w:bidi w:val="0"/>
              <w:rPr>
                <w:b/>
                <w:bCs/>
                <w:color w:val="auto"/>
                <w:u w:val="single"/>
              </w:rPr>
            </w:pPr>
            <w:r>
              <w:rPr>
                <w:rFonts w:hint="eastAsia"/>
                <w:b/>
                <w:bCs/>
                <w:color w:val="auto"/>
                <w:u w:val="single"/>
              </w:rPr>
              <w:t>N</w:t>
            </w:r>
            <w:r>
              <w:rPr>
                <w:b/>
                <w:bCs/>
                <w:color w:val="auto"/>
                <w:u w:val="single"/>
              </w:rPr>
              <w:t>H</w:t>
            </w:r>
            <w:r>
              <w:rPr>
                <w:b/>
                <w:bCs/>
                <w:color w:val="auto"/>
                <w:u w:val="single"/>
                <w:vertAlign w:val="subscript"/>
              </w:rPr>
              <w:t>3</w:t>
            </w:r>
            <w:r>
              <w:rPr>
                <w:b/>
                <w:bCs/>
                <w:color w:val="auto"/>
                <w:u w:val="single"/>
              </w:rPr>
              <w:t>-N</w:t>
            </w:r>
          </w:p>
        </w:tc>
        <w:tc>
          <w:tcPr>
            <w:tcW w:w="1704" w:type="dxa"/>
            <w:vAlign w:val="center"/>
          </w:tcPr>
          <w:p>
            <w:pPr>
              <w:pStyle w:val="182"/>
              <w:bidi w:val="0"/>
              <w:ind w:firstLine="0" w:firstLineChars="0"/>
              <w:rPr>
                <w:rFonts w:hint="default"/>
                <w:b/>
                <w:bCs/>
                <w:color w:val="auto"/>
                <w:u w:val="single"/>
                <w:lang w:val="en-US" w:eastAsia="zh-CN"/>
              </w:rPr>
            </w:pPr>
            <w:r>
              <w:rPr>
                <w:rFonts w:hint="default"/>
                <w:b/>
                <w:bCs/>
                <w:color w:val="auto"/>
                <w:u w:val="single"/>
                <w:lang w:val="en-US" w:eastAsia="zh-CN"/>
              </w:rPr>
              <w:t>4.6</w:t>
            </w:r>
            <w:r>
              <w:rPr>
                <w:rFonts w:hint="eastAsia"/>
                <w:b/>
                <w:bCs/>
                <w:color w:val="auto"/>
                <w:u w:val="single"/>
                <w:lang w:val="en-US" w:eastAsia="zh-CN"/>
              </w:rPr>
              <w:t>3</w:t>
            </w:r>
          </w:p>
        </w:tc>
        <w:tc>
          <w:tcPr>
            <w:tcW w:w="1706"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1.16</w:t>
            </w:r>
          </w:p>
        </w:tc>
        <w:tc>
          <w:tcPr>
            <w:tcW w:w="1706" w:type="dxa"/>
            <w:vAlign w:val="center"/>
          </w:tcPr>
          <w:p>
            <w:pPr>
              <w:pStyle w:val="182"/>
              <w:bidi w:val="0"/>
              <w:ind w:firstLine="0" w:firstLineChars="0"/>
              <w:rPr>
                <w:rFonts w:hint="default"/>
                <w:b/>
                <w:bCs/>
                <w:color w:val="auto"/>
                <w:u w:val="single"/>
                <w:lang w:val="en-US" w:eastAsia="zh-CN"/>
              </w:rPr>
            </w:pPr>
            <w:r>
              <w:rPr>
                <w:rFonts w:hint="eastAsia"/>
                <w:b/>
                <w:bCs/>
                <w:color w:val="auto"/>
                <w:u w:val="single"/>
                <w:lang w:val="en-US" w:eastAsia="zh-CN"/>
              </w:rPr>
              <w:t>3.47</w:t>
            </w:r>
          </w:p>
        </w:tc>
        <w:tc>
          <w:tcPr>
            <w:tcW w:w="1706" w:type="dxa"/>
            <w:vAlign w:val="center"/>
          </w:tcPr>
          <w:p>
            <w:pPr>
              <w:pStyle w:val="182"/>
              <w:bidi w:val="0"/>
              <w:ind w:firstLine="0" w:firstLineChars="0"/>
              <w:rPr>
                <w:rFonts w:hint="default"/>
                <w:b/>
                <w:bCs/>
                <w:color w:val="auto"/>
                <w:u w:val="single"/>
                <w:lang w:val="en-US"/>
              </w:rPr>
            </w:pPr>
            <w:r>
              <w:rPr>
                <w:rFonts w:hint="default"/>
                <w:b/>
                <w:bCs/>
                <w:color w:val="auto"/>
                <w:u w:val="single"/>
                <w:lang w:val="en-US" w:eastAsia="zh-CN"/>
              </w:rPr>
              <w:t>0.6</w:t>
            </w:r>
            <w:r>
              <w:rPr>
                <w:rFonts w:hint="eastAsia"/>
                <w:b/>
                <w:bCs/>
                <w:color w:val="auto"/>
                <w:u w:val="single"/>
                <w:lang w:val="en-US" w:eastAsia="zh-CN"/>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vAlign w:val="center"/>
          </w:tcPr>
          <w:p>
            <w:pPr>
              <w:pStyle w:val="182"/>
              <w:bidi w:val="0"/>
              <w:rPr>
                <w:rFonts w:hint="default"/>
                <w:b/>
                <w:bCs/>
                <w:color w:val="auto"/>
                <w:u w:val="single"/>
                <w:lang w:val="en-US" w:eastAsia="zh-CN"/>
              </w:rPr>
            </w:pPr>
            <w:r>
              <w:rPr>
                <w:rFonts w:hint="eastAsia"/>
                <w:b/>
                <w:bCs/>
                <w:color w:val="auto"/>
                <w:u w:val="single"/>
                <w:lang w:val="en-US" w:eastAsia="zh-CN"/>
              </w:rPr>
              <w:t>TN</w:t>
            </w:r>
          </w:p>
        </w:tc>
        <w:tc>
          <w:tcPr>
            <w:tcW w:w="1704" w:type="dxa"/>
            <w:vAlign w:val="center"/>
          </w:tcPr>
          <w:p>
            <w:pPr>
              <w:pStyle w:val="182"/>
              <w:bidi w:val="0"/>
              <w:rPr>
                <w:rFonts w:hint="default"/>
                <w:b/>
                <w:bCs/>
                <w:color w:val="auto"/>
                <w:u w:val="single"/>
                <w:lang w:val="en-US" w:eastAsia="zh-CN"/>
              </w:rPr>
            </w:pPr>
            <w:r>
              <w:rPr>
                <w:rFonts w:hint="eastAsia"/>
                <w:b/>
                <w:bCs/>
                <w:color w:val="auto"/>
                <w:u w:val="single"/>
                <w:lang w:val="en-US" w:eastAsia="zh-CN"/>
              </w:rPr>
              <w:t>7.82</w:t>
            </w:r>
          </w:p>
        </w:tc>
        <w:tc>
          <w:tcPr>
            <w:tcW w:w="1706" w:type="dxa"/>
            <w:vAlign w:val="center"/>
          </w:tcPr>
          <w:p>
            <w:pPr>
              <w:pStyle w:val="182"/>
              <w:bidi w:val="0"/>
              <w:rPr>
                <w:rFonts w:hint="default"/>
                <w:b/>
                <w:bCs/>
                <w:color w:val="auto"/>
                <w:u w:val="single"/>
                <w:lang w:val="en-US" w:eastAsia="zh-CN"/>
              </w:rPr>
            </w:pPr>
            <w:r>
              <w:rPr>
                <w:rFonts w:hint="eastAsia"/>
                <w:b/>
                <w:bCs/>
                <w:color w:val="auto"/>
                <w:u w:val="single"/>
                <w:lang w:val="en-US" w:eastAsia="zh-CN"/>
              </w:rPr>
              <w:t>3.13</w:t>
            </w:r>
          </w:p>
        </w:tc>
        <w:tc>
          <w:tcPr>
            <w:tcW w:w="1706" w:type="dxa"/>
            <w:vAlign w:val="center"/>
          </w:tcPr>
          <w:p>
            <w:pPr>
              <w:pStyle w:val="182"/>
              <w:bidi w:val="0"/>
              <w:rPr>
                <w:rFonts w:hint="default"/>
                <w:b/>
                <w:bCs/>
                <w:color w:val="auto"/>
                <w:u w:val="single"/>
                <w:lang w:val="en-US" w:eastAsia="zh-CN"/>
              </w:rPr>
            </w:pPr>
            <w:r>
              <w:rPr>
                <w:rFonts w:hint="eastAsia"/>
                <w:b/>
                <w:bCs/>
                <w:color w:val="auto"/>
                <w:u w:val="single"/>
                <w:lang w:val="en-US" w:eastAsia="zh-CN"/>
              </w:rPr>
              <w:t>4.691</w:t>
            </w:r>
          </w:p>
        </w:tc>
        <w:tc>
          <w:tcPr>
            <w:tcW w:w="1706" w:type="dxa"/>
            <w:vAlign w:val="center"/>
          </w:tcPr>
          <w:p>
            <w:pPr>
              <w:pStyle w:val="182"/>
              <w:bidi w:val="0"/>
              <w:rPr>
                <w:rFonts w:hint="default"/>
                <w:b/>
                <w:bCs/>
                <w:color w:val="auto"/>
                <w:u w:val="single"/>
                <w:lang w:val="en-US" w:eastAsia="zh-CN"/>
              </w:rPr>
            </w:pPr>
            <w:r>
              <w:rPr>
                <w:rFonts w:hint="eastAsia"/>
                <w:b/>
                <w:bCs/>
                <w:color w:val="auto"/>
                <w:u w:val="single"/>
                <w:lang w:val="en-US" w:eastAsia="zh-CN"/>
              </w:rPr>
              <w:t>4.69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TP</w:t>
            </w:r>
          </w:p>
        </w:tc>
        <w:tc>
          <w:tcPr>
            <w:tcW w:w="1704" w:type="dxa"/>
            <w:vAlign w:val="center"/>
          </w:tcPr>
          <w:p>
            <w:pPr>
              <w:pStyle w:val="182"/>
              <w:bidi w:val="0"/>
              <w:rPr>
                <w:rFonts w:hint="default"/>
                <w:b/>
                <w:bCs/>
                <w:color w:val="auto"/>
                <w:u w:val="single"/>
                <w:lang w:val="en-US" w:eastAsia="zh-CN"/>
              </w:rPr>
            </w:pPr>
            <w:r>
              <w:rPr>
                <w:rFonts w:hint="eastAsia"/>
                <w:b/>
                <w:bCs/>
                <w:color w:val="auto"/>
                <w:u w:val="single"/>
                <w:lang w:val="en-US" w:eastAsia="zh-CN"/>
              </w:rPr>
              <w:t>2.50</w:t>
            </w:r>
          </w:p>
        </w:tc>
        <w:tc>
          <w:tcPr>
            <w:tcW w:w="1706" w:type="dxa"/>
            <w:vAlign w:val="center"/>
          </w:tcPr>
          <w:p>
            <w:pPr>
              <w:pStyle w:val="182"/>
              <w:bidi w:val="0"/>
              <w:rPr>
                <w:rFonts w:hint="default"/>
                <w:b/>
                <w:bCs/>
                <w:color w:val="auto"/>
                <w:u w:val="single"/>
                <w:lang w:val="en-US" w:eastAsia="zh-CN"/>
              </w:rPr>
            </w:pPr>
            <w:r>
              <w:rPr>
                <w:rFonts w:hint="eastAsia"/>
                <w:b/>
                <w:bCs/>
                <w:color w:val="auto"/>
                <w:u w:val="single"/>
                <w:lang w:val="en-US" w:eastAsia="zh-CN"/>
              </w:rPr>
              <w:t>1.00</w:t>
            </w:r>
          </w:p>
        </w:tc>
        <w:tc>
          <w:tcPr>
            <w:tcW w:w="1706" w:type="dxa"/>
            <w:vAlign w:val="center"/>
          </w:tcPr>
          <w:p>
            <w:pPr>
              <w:pStyle w:val="182"/>
              <w:bidi w:val="0"/>
              <w:rPr>
                <w:rFonts w:hint="default"/>
                <w:b/>
                <w:bCs/>
                <w:color w:val="auto"/>
                <w:u w:val="single"/>
                <w:lang w:val="en-US" w:eastAsia="zh-CN"/>
              </w:rPr>
            </w:pPr>
            <w:r>
              <w:rPr>
                <w:rFonts w:hint="eastAsia"/>
                <w:b/>
                <w:bCs/>
                <w:color w:val="auto"/>
                <w:u w:val="single"/>
                <w:lang w:val="en-US" w:eastAsia="zh-CN"/>
              </w:rPr>
              <w:t>1.50</w:t>
            </w:r>
          </w:p>
        </w:tc>
        <w:tc>
          <w:tcPr>
            <w:tcW w:w="1706" w:type="dxa"/>
            <w:vAlign w:val="center"/>
          </w:tcPr>
          <w:p>
            <w:pPr>
              <w:pStyle w:val="182"/>
              <w:bidi w:val="0"/>
              <w:rPr>
                <w:rFonts w:hint="default"/>
                <w:b/>
                <w:bCs/>
                <w:color w:val="auto"/>
                <w:u w:val="single"/>
                <w:lang w:val="en-US" w:eastAsia="zh-CN"/>
              </w:rPr>
            </w:pPr>
            <w:r>
              <w:rPr>
                <w:rFonts w:hint="eastAsia"/>
                <w:b/>
                <w:bCs/>
                <w:color w:val="auto"/>
                <w:u w:val="single"/>
                <w:lang w:val="en-US" w:eastAsia="zh-CN"/>
              </w:rPr>
              <w:t>0.125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1" w:type="dxa"/>
            <w:vAlign w:val="center"/>
          </w:tcPr>
          <w:p>
            <w:pPr>
              <w:pStyle w:val="182"/>
              <w:bidi w:val="0"/>
              <w:rPr>
                <w:b/>
                <w:bCs/>
                <w:color w:val="auto"/>
                <w:u w:val="single"/>
              </w:rPr>
            </w:pPr>
            <w:r>
              <w:rPr>
                <w:rFonts w:hint="eastAsia"/>
                <w:b/>
                <w:bCs/>
                <w:color w:val="auto"/>
                <w:u w:val="single"/>
              </w:rPr>
              <w:t>水量（万t/</w:t>
            </w:r>
            <w:r>
              <w:rPr>
                <w:b/>
                <w:bCs/>
                <w:color w:val="auto"/>
                <w:u w:val="single"/>
              </w:rPr>
              <w:t>a</w:t>
            </w:r>
            <w:r>
              <w:rPr>
                <w:rFonts w:hint="eastAsia"/>
                <w:b/>
                <w:bCs/>
                <w:color w:val="auto"/>
                <w:u w:val="single"/>
              </w:rPr>
              <w:t>）</w:t>
            </w:r>
          </w:p>
        </w:tc>
        <w:tc>
          <w:tcPr>
            <w:tcW w:w="1704" w:type="dxa"/>
            <w:vAlign w:val="center"/>
          </w:tcPr>
          <w:p>
            <w:pPr>
              <w:pStyle w:val="182"/>
              <w:bidi w:val="0"/>
              <w:rPr>
                <w:rFonts w:hint="default"/>
                <w:b/>
                <w:bCs/>
                <w:color w:val="auto"/>
                <w:u w:val="single"/>
                <w:lang w:val="en-US" w:eastAsia="zh-CN"/>
              </w:rPr>
            </w:pPr>
            <w:r>
              <w:rPr>
                <w:rFonts w:hint="default"/>
                <w:b/>
                <w:bCs/>
                <w:color w:val="auto"/>
                <w:u w:val="single"/>
                <w:lang w:val="en-US" w:eastAsia="zh-CN"/>
              </w:rPr>
              <w:t>31.</w:t>
            </w:r>
            <w:r>
              <w:rPr>
                <w:rFonts w:hint="eastAsia"/>
                <w:b/>
                <w:bCs/>
                <w:color w:val="auto"/>
                <w:u w:val="single"/>
                <w:lang w:val="en-US" w:eastAsia="zh-CN"/>
              </w:rPr>
              <w:t>28</w:t>
            </w:r>
          </w:p>
        </w:tc>
        <w:tc>
          <w:tcPr>
            <w:tcW w:w="1706" w:type="dxa"/>
            <w:vAlign w:val="center"/>
          </w:tcPr>
          <w:p>
            <w:pPr>
              <w:pStyle w:val="182"/>
              <w:bidi w:val="0"/>
              <w:rPr>
                <w:b/>
                <w:bCs/>
                <w:color w:val="auto"/>
                <w:u w:val="single"/>
              </w:rPr>
            </w:pPr>
            <w:r>
              <w:rPr>
                <w:rFonts w:hint="default"/>
                <w:b/>
                <w:bCs/>
                <w:color w:val="auto"/>
                <w:u w:val="single"/>
                <w:lang w:val="en-US" w:eastAsia="zh-CN"/>
              </w:rPr>
              <w:t>/</w:t>
            </w:r>
          </w:p>
        </w:tc>
        <w:tc>
          <w:tcPr>
            <w:tcW w:w="1706" w:type="dxa"/>
            <w:vAlign w:val="center"/>
          </w:tcPr>
          <w:p>
            <w:pPr>
              <w:pStyle w:val="182"/>
              <w:bidi w:val="0"/>
              <w:rPr>
                <w:rFonts w:hint="default"/>
                <w:b/>
                <w:bCs/>
                <w:color w:val="auto"/>
                <w:u w:val="single"/>
                <w:lang w:val="en-US"/>
              </w:rPr>
            </w:pPr>
            <w:r>
              <w:rPr>
                <w:rFonts w:hint="default"/>
                <w:b/>
                <w:bCs/>
                <w:color w:val="auto"/>
                <w:u w:val="single"/>
                <w:lang w:val="en-US" w:eastAsia="zh-CN"/>
              </w:rPr>
              <w:t>31</w:t>
            </w:r>
            <w:r>
              <w:rPr>
                <w:rFonts w:hint="eastAsia"/>
                <w:b/>
                <w:bCs/>
                <w:color w:val="auto"/>
                <w:u w:val="single"/>
                <w:lang w:val="en-US" w:eastAsia="zh-CN"/>
              </w:rPr>
              <w:t>.28</w:t>
            </w:r>
          </w:p>
        </w:tc>
        <w:tc>
          <w:tcPr>
            <w:tcW w:w="1706" w:type="dxa"/>
            <w:vAlign w:val="center"/>
          </w:tcPr>
          <w:p>
            <w:pPr>
              <w:pStyle w:val="182"/>
              <w:bidi w:val="0"/>
              <w:rPr>
                <w:rFonts w:hint="default"/>
                <w:b/>
                <w:bCs/>
                <w:color w:val="auto"/>
                <w:u w:val="single"/>
                <w:lang w:val="en-US"/>
              </w:rPr>
            </w:pPr>
            <w:r>
              <w:rPr>
                <w:rFonts w:hint="default"/>
                <w:b/>
                <w:bCs/>
                <w:color w:val="auto"/>
                <w:u w:val="single"/>
                <w:lang w:val="en-US" w:eastAsia="zh-CN"/>
              </w:rPr>
              <w:t>31.</w:t>
            </w:r>
            <w:r>
              <w:rPr>
                <w:rFonts w:hint="eastAsia"/>
                <w:b/>
                <w:bCs/>
                <w:color w:val="auto"/>
                <w:u w:val="single"/>
                <w:lang w:val="en-US" w:eastAsia="zh-CN"/>
              </w:rPr>
              <w:t>28</w:t>
            </w:r>
          </w:p>
        </w:tc>
      </w:tr>
    </w:tbl>
    <w:p>
      <w:pPr>
        <w:bidi w:val="0"/>
        <w:rPr>
          <w:rFonts w:hint="eastAsia"/>
          <w:b/>
          <w:bCs/>
          <w:color w:val="auto"/>
          <w:u w:val="single"/>
        </w:rPr>
      </w:pPr>
      <w:r>
        <w:rPr>
          <w:rFonts w:hint="eastAsia"/>
          <w:b/>
          <w:bCs/>
          <w:color w:val="auto"/>
          <w:u w:val="single"/>
        </w:rPr>
        <w:t xml:space="preserve">本项目废水污染物新增总量指标为COD </w:t>
      </w:r>
      <w:r>
        <w:rPr>
          <w:rFonts w:hint="eastAsia"/>
          <w:b/>
          <w:bCs/>
          <w:color w:val="auto"/>
          <w:u w:val="single"/>
          <w:lang w:val="en-US" w:eastAsia="zh-CN"/>
        </w:rPr>
        <w:t>12.512</w:t>
      </w:r>
      <w:r>
        <w:rPr>
          <w:rFonts w:hint="eastAsia"/>
          <w:b/>
          <w:bCs/>
          <w:color w:val="auto"/>
          <w:u w:val="single"/>
        </w:rPr>
        <w:t>t/a，NH</w:t>
      </w:r>
      <w:r>
        <w:rPr>
          <w:rFonts w:hint="eastAsia"/>
          <w:b/>
          <w:bCs/>
          <w:color w:val="auto"/>
          <w:u w:val="single"/>
          <w:vertAlign w:val="subscript"/>
        </w:rPr>
        <w:t>3</w:t>
      </w:r>
      <w:r>
        <w:rPr>
          <w:rFonts w:hint="eastAsia"/>
          <w:b/>
          <w:bCs/>
          <w:color w:val="auto"/>
          <w:u w:val="single"/>
        </w:rPr>
        <w:t xml:space="preserve">-N </w:t>
      </w:r>
      <w:r>
        <w:rPr>
          <w:rFonts w:hint="eastAsia"/>
          <w:b/>
          <w:bCs/>
          <w:color w:val="auto"/>
          <w:u w:val="single"/>
          <w:lang w:val="en-US" w:eastAsia="zh-CN"/>
        </w:rPr>
        <w:t>0.626</w:t>
      </w:r>
      <w:r>
        <w:rPr>
          <w:rFonts w:hint="eastAsia"/>
          <w:b/>
          <w:bCs/>
          <w:color w:val="auto"/>
          <w:u w:val="single"/>
        </w:rPr>
        <w:t>t/a</w:t>
      </w:r>
      <w:r>
        <w:rPr>
          <w:rFonts w:hint="eastAsia"/>
          <w:b/>
          <w:bCs/>
          <w:color w:val="auto"/>
          <w:u w:val="single"/>
          <w:lang w:eastAsia="zh-CN"/>
        </w:rPr>
        <w:t>，</w:t>
      </w:r>
      <w:r>
        <w:rPr>
          <w:rFonts w:hint="eastAsia"/>
          <w:b/>
          <w:bCs/>
          <w:color w:val="auto"/>
          <w:u w:val="single"/>
          <w:lang w:val="en-US" w:eastAsia="zh-CN"/>
        </w:rPr>
        <w:t>TN 4.692t/a，TP 0.125/a</w:t>
      </w:r>
      <w:r>
        <w:rPr>
          <w:rFonts w:hint="eastAsia"/>
          <w:b/>
          <w:bCs/>
          <w:color w:val="auto"/>
          <w:u w:val="single"/>
          <w:lang w:eastAsia="zh-CN"/>
        </w:rPr>
        <w:t>。</w:t>
      </w:r>
    </w:p>
    <w:p>
      <w:pPr>
        <w:pStyle w:val="10"/>
        <w:bidi w:val="0"/>
        <w:rPr>
          <w:b/>
          <w:bCs/>
          <w:color w:val="auto"/>
          <w:u w:val="single"/>
        </w:rPr>
      </w:pPr>
      <w:r>
        <w:rPr>
          <w:rFonts w:hint="eastAsia"/>
          <w:b/>
          <w:bCs/>
          <w:color w:val="auto"/>
          <w:u w:val="single"/>
        </w:rPr>
        <w:t>6.</w:t>
      </w:r>
      <w:r>
        <w:rPr>
          <w:b/>
          <w:bCs/>
          <w:color w:val="auto"/>
          <w:u w:val="single"/>
        </w:rPr>
        <w:t>5</w:t>
      </w:r>
      <w:r>
        <w:rPr>
          <w:rFonts w:hint="eastAsia"/>
          <w:b/>
          <w:bCs/>
          <w:color w:val="auto"/>
          <w:u w:val="single"/>
        </w:rPr>
        <w:t>.2.2废气</w:t>
      </w:r>
    </w:p>
    <w:p>
      <w:pPr>
        <w:bidi w:val="0"/>
        <w:rPr>
          <w:b/>
          <w:bCs/>
          <w:color w:val="auto"/>
          <w:u w:val="single"/>
        </w:rPr>
      </w:pPr>
      <w:r>
        <w:rPr>
          <w:rFonts w:hint="eastAsia"/>
          <w:b/>
          <w:bCs/>
          <w:color w:val="auto"/>
          <w:u w:val="single"/>
        </w:rPr>
        <w:t>本项目废气污染物排放情况见下表。</w:t>
      </w:r>
    </w:p>
    <w:p>
      <w:pPr>
        <w:pStyle w:val="181"/>
        <w:bidi w:val="0"/>
        <w:rPr>
          <w:b/>
          <w:bCs/>
          <w:color w:val="auto"/>
          <w:u w:val="single"/>
        </w:rPr>
      </w:pPr>
      <w:r>
        <w:rPr>
          <w:b/>
          <w:bCs/>
          <w:color w:val="auto"/>
          <w:u w:val="single"/>
        </w:rPr>
        <w:t>表6.5</w:t>
      </w:r>
      <w:r>
        <w:rPr>
          <w:rFonts w:hint="eastAsia"/>
          <w:b/>
          <w:bCs/>
          <w:color w:val="auto"/>
          <w:u w:val="single"/>
        </w:rPr>
        <w:t>-</w:t>
      </w:r>
      <w:r>
        <w:rPr>
          <w:rFonts w:hint="eastAsia"/>
          <w:b/>
          <w:bCs/>
          <w:color w:val="auto"/>
          <w:u w:val="single"/>
          <w:lang w:val="en-US" w:eastAsia="zh-CN"/>
        </w:rPr>
        <w:t xml:space="preserve">2          </w:t>
      </w:r>
      <w:r>
        <w:rPr>
          <w:b/>
          <w:bCs/>
          <w:color w:val="auto"/>
          <w:u w:val="single"/>
        </w:rPr>
        <w:t>大气污染物年排放量核算表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847"/>
        <w:gridCol w:w="3131"/>
        <w:gridCol w:w="989"/>
        <w:gridCol w:w="23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4" w:type="pct"/>
            <w:vAlign w:val="center"/>
          </w:tcPr>
          <w:p>
            <w:pPr>
              <w:pStyle w:val="182"/>
              <w:bidi w:val="0"/>
              <w:rPr>
                <w:b/>
                <w:bCs/>
                <w:color w:val="auto"/>
                <w:u w:val="single"/>
              </w:rPr>
            </w:pPr>
            <w:r>
              <w:rPr>
                <w:rFonts w:hint="eastAsia"/>
                <w:b/>
                <w:bCs/>
                <w:color w:val="auto"/>
                <w:u w:val="single"/>
              </w:rPr>
              <w:t>序号</w:t>
            </w:r>
          </w:p>
        </w:tc>
        <w:tc>
          <w:tcPr>
            <w:tcW w:w="1871" w:type="pct"/>
            <w:vAlign w:val="center"/>
          </w:tcPr>
          <w:p>
            <w:pPr>
              <w:pStyle w:val="182"/>
              <w:bidi w:val="0"/>
              <w:rPr>
                <w:b/>
                <w:bCs/>
                <w:color w:val="auto"/>
                <w:u w:val="single"/>
              </w:rPr>
            </w:pPr>
            <w:r>
              <w:rPr>
                <w:rFonts w:hint="eastAsia"/>
                <w:b/>
                <w:bCs/>
                <w:color w:val="auto"/>
                <w:u w:val="single"/>
              </w:rPr>
              <w:t>污染物</w:t>
            </w:r>
          </w:p>
        </w:tc>
        <w:tc>
          <w:tcPr>
            <w:tcW w:w="2023" w:type="pct"/>
            <w:gridSpan w:val="2"/>
            <w:vAlign w:val="center"/>
          </w:tcPr>
          <w:p>
            <w:pPr>
              <w:pStyle w:val="182"/>
              <w:bidi w:val="0"/>
              <w:rPr>
                <w:b/>
                <w:bCs/>
                <w:color w:val="auto"/>
                <w:u w:val="single"/>
              </w:rPr>
            </w:pPr>
            <w:r>
              <w:rPr>
                <w:rFonts w:hint="eastAsia"/>
                <w:b/>
                <w:bCs/>
                <w:color w:val="auto"/>
                <w:u w:val="single"/>
              </w:rPr>
              <w:t>年排放量</w:t>
            </w:r>
            <w:r>
              <w:rPr>
                <w:b/>
                <w:bCs/>
                <w:color w:val="auto"/>
                <w:u w:val="single"/>
              </w:rPr>
              <w:t>/</w:t>
            </w:r>
            <w:r>
              <w:rPr>
                <w:rFonts w:hint="eastAsia"/>
                <w:b/>
                <w:bCs/>
                <w:color w:val="auto"/>
                <w:u w:val="single"/>
              </w:rPr>
              <w:t>（</w:t>
            </w:r>
            <w:r>
              <w:rPr>
                <w:b/>
                <w:bCs/>
                <w:color w:val="auto"/>
                <w:u w:val="single"/>
              </w:rPr>
              <w:t>t/a</w:t>
            </w:r>
            <w:r>
              <w:rPr>
                <w:rFonts w:hint="eastAsia"/>
                <w:b/>
                <w:bCs/>
                <w:color w:val="auto"/>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4" w:type="pct"/>
            <w:vMerge w:val="restart"/>
            <w:vAlign w:val="center"/>
          </w:tcPr>
          <w:p>
            <w:pPr>
              <w:pStyle w:val="182"/>
              <w:bidi w:val="0"/>
              <w:rPr>
                <w:b/>
                <w:bCs/>
                <w:color w:val="auto"/>
                <w:u w:val="single"/>
              </w:rPr>
            </w:pPr>
            <w:r>
              <w:rPr>
                <w:b/>
                <w:bCs/>
                <w:color w:val="auto"/>
                <w:u w:val="single"/>
              </w:rPr>
              <w:t>1</w:t>
            </w:r>
          </w:p>
        </w:tc>
        <w:tc>
          <w:tcPr>
            <w:tcW w:w="1871" w:type="pct"/>
            <w:vMerge w:val="restart"/>
            <w:vAlign w:val="center"/>
          </w:tcPr>
          <w:p>
            <w:pPr>
              <w:pStyle w:val="182"/>
              <w:bidi w:val="0"/>
              <w:rPr>
                <w:rFonts w:hint="eastAsia"/>
                <w:b/>
                <w:bCs/>
                <w:color w:val="auto"/>
                <w:u w:val="single"/>
                <w:lang w:eastAsia="zh-CN"/>
              </w:rPr>
            </w:pPr>
            <w:r>
              <w:rPr>
                <w:rFonts w:hint="eastAsia"/>
                <w:b/>
                <w:bCs/>
                <w:color w:val="auto"/>
                <w:u w:val="single"/>
                <w:lang w:val="en-US" w:eastAsia="zh-CN"/>
              </w:rPr>
              <w:t>颗粒物</w:t>
            </w:r>
          </w:p>
        </w:tc>
        <w:tc>
          <w:tcPr>
            <w:tcW w:w="591" w:type="pct"/>
            <w:vAlign w:val="center"/>
          </w:tcPr>
          <w:p>
            <w:pPr>
              <w:pStyle w:val="182"/>
              <w:bidi w:val="0"/>
              <w:rPr>
                <w:b/>
                <w:bCs/>
                <w:color w:val="auto"/>
                <w:u w:val="single"/>
              </w:rPr>
            </w:pPr>
            <w:r>
              <w:rPr>
                <w:rFonts w:hint="eastAsia"/>
                <w:b/>
                <w:bCs/>
                <w:color w:val="auto"/>
                <w:u w:val="single"/>
              </w:rPr>
              <w:t>有组织</w:t>
            </w:r>
          </w:p>
        </w:tc>
        <w:tc>
          <w:tcPr>
            <w:tcW w:w="143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0.706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4" w:type="pct"/>
            <w:vMerge w:val="continue"/>
            <w:vAlign w:val="center"/>
          </w:tcPr>
          <w:p>
            <w:pPr>
              <w:pStyle w:val="182"/>
              <w:bidi w:val="0"/>
              <w:rPr>
                <w:b/>
                <w:bCs/>
                <w:color w:val="auto"/>
                <w:u w:val="single"/>
              </w:rPr>
            </w:pPr>
          </w:p>
        </w:tc>
        <w:tc>
          <w:tcPr>
            <w:tcW w:w="1871" w:type="pct"/>
            <w:vMerge w:val="continue"/>
            <w:vAlign w:val="center"/>
          </w:tcPr>
          <w:p>
            <w:pPr>
              <w:pStyle w:val="182"/>
              <w:bidi w:val="0"/>
              <w:rPr>
                <w:b/>
                <w:bCs/>
                <w:color w:val="auto"/>
                <w:u w:val="single"/>
              </w:rPr>
            </w:pPr>
          </w:p>
        </w:tc>
        <w:tc>
          <w:tcPr>
            <w:tcW w:w="591" w:type="pct"/>
            <w:vAlign w:val="center"/>
          </w:tcPr>
          <w:p>
            <w:pPr>
              <w:pStyle w:val="182"/>
              <w:bidi w:val="0"/>
              <w:rPr>
                <w:b/>
                <w:bCs/>
                <w:color w:val="auto"/>
                <w:u w:val="single"/>
              </w:rPr>
            </w:pPr>
            <w:r>
              <w:rPr>
                <w:rFonts w:hint="eastAsia"/>
                <w:b/>
                <w:bCs/>
                <w:color w:val="auto"/>
                <w:u w:val="single"/>
              </w:rPr>
              <w:t>无组织</w:t>
            </w:r>
          </w:p>
        </w:tc>
        <w:tc>
          <w:tcPr>
            <w:tcW w:w="143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0.135</w:t>
            </w:r>
          </w:p>
        </w:tc>
      </w:tr>
    </w:tbl>
    <w:p>
      <w:pPr>
        <w:pStyle w:val="9"/>
        <w:bidi w:val="0"/>
        <w:rPr>
          <w:color w:val="auto"/>
        </w:rPr>
      </w:pPr>
      <w:r>
        <w:rPr>
          <w:rFonts w:hint="eastAsia"/>
          <w:color w:val="auto"/>
        </w:rPr>
        <w:t>6.</w:t>
      </w:r>
      <w:r>
        <w:rPr>
          <w:color w:val="auto"/>
        </w:rPr>
        <w:t>5</w:t>
      </w:r>
      <w:r>
        <w:rPr>
          <w:rFonts w:hint="eastAsia"/>
          <w:color w:val="auto"/>
        </w:rPr>
        <w:t>.3全厂污染物总量指标</w:t>
      </w:r>
    </w:p>
    <w:p>
      <w:pPr>
        <w:bidi w:val="0"/>
        <w:rPr>
          <w:rFonts w:hint="eastAsia"/>
          <w:b/>
          <w:bCs/>
          <w:color w:val="auto"/>
          <w:u w:val="single"/>
        </w:rPr>
      </w:pPr>
      <w:r>
        <w:rPr>
          <w:rFonts w:hint="eastAsia"/>
          <w:b/>
          <w:bCs/>
          <w:color w:val="auto"/>
          <w:u w:val="single"/>
        </w:rPr>
        <w:t>本项目建成后全厂污染物产</w:t>
      </w:r>
      <w:r>
        <w:rPr>
          <w:rFonts w:hint="eastAsia"/>
          <w:b/>
          <w:bCs/>
          <w:color w:val="auto"/>
          <w:u w:val="single"/>
          <w:lang w:eastAsia="zh-CN"/>
        </w:rPr>
        <w:t>排放</w:t>
      </w:r>
      <w:r>
        <w:rPr>
          <w:rFonts w:hint="eastAsia"/>
          <w:b/>
          <w:bCs/>
          <w:color w:val="auto"/>
          <w:u w:val="single"/>
        </w:rPr>
        <w:t>情况见表</w:t>
      </w:r>
      <w:r>
        <w:rPr>
          <w:b/>
          <w:bCs/>
          <w:color w:val="auto"/>
          <w:u w:val="single"/>
        </w:rPr>
        <w:t>6.5</w:t>
      </w:r>
      <w:r>
        <w:rPr>
          <w:rFonts w:hint="eastAsia"/>
          <w:b/>
          <w:bCs/>
          <w:color w:val="auto"/>
          <w:u w:val="single"/>
        </w:rPr>
        <w:t>-</w:t>
      </w:r>
      <w:r>
        <w:rPr>
          <w:rFonts w:hint="eastAsia"/>
          <w:b/>
          <w:bCs/>
          <w:color w:val="auto"/>
          <w:u w:val="single"/>
          <w:lang w:val="en-US" w:eastAsia="zh-CN"/>
        </w:rPr>
        <w:t>3</w:t>
      </w:r>
      <w:r>
        <w:rPr>
          <w:rFonts w:hint="eastAsia"/>
          <w:b/>
          <w:bCs/>
          <w:color w:val="auto"/>
          <w:u w:val="single"/>
        </w:rPr>
        <w:t>。</w:t>
      </w:r>
    </w:p>
    <w:p>
      <w:pPr>
        <w:pStyle w:val="181"/>
        <w:bidi w:val="0"/>
        <w:rPr>
          <w:rFonts w:hint="eastAsia"/>
          <w:b/>
          <w:bCs/>
          <w:color w:val="auto"/>
          <w:u w:val="single"/>
        </w:rPr>
      </w:pPr>
      <w:r>
        <w:rPr>
          <w:rFonts w:hint="eastAsia"/>
          <w:b/>
          <w:bCs/>
          <w:color w:val="auto"/>
          <w:u w:val="single"/>
        </w:rPr>
        <w:t>表</w:t>
      </w:r>
      <w:r>
        <w:rPr>
          <w:b/>
          <w:bCs/>
          <w:color w:val="auto"/>
          <w:u w:val="single"/>
        </w:rPr>
        <w:t>6.5</w:t>
      </w:r>
      <w:r>
        <w:rPr>
          <w:rFonts w:hint="eastAsia"/>
          <w:b/>
          <w:bCs/>
          <w:color w:val="auto"/>
          <w:u w:val="single"/>
        </w:rPr>
        <w:t>-</w:t>
      </w:r>
      <w:r>
        <w:rPr>
          <w:rFonts w:hint="eastAsia"/>
          <w:b/>
          <w:bCs/>
          <w:color w:val="auto"/>
          <w:u w:val="single"/>
          <w:lang w:val="en-US" w:eastAsia="zh-CN"/>
        </w:rPr>
        <w:t>3</w:t>
      </w:r>
      <w:r>
        <w:rPr>
          <w:b/>
          <w:bCs/>
          <w:color w:val="auto"/>
          <w:u w:val="single"/>
        </w:rPr>
        <w:t xml:space="preserve"> </w:t>
      </w:r>
      <w:r>
        <w:rPr>
          <w:rFonts w:hint="eastAsia"/>
          <w:b/>
          <w:bCs/>
          <w:color w:val="auto"/>
          <w:u w:val="single"/>
          <w:lang w:val="en-US" w:eastAsia="zh-CN"/>
        </w:rPr>
        <w:t xml:space="preserve">     </w:t>
      </w:r>
      <w:r>
        <w:rPr>
          <w:rFonts w:hint="eastAsia"/>
          <w:b/>
          <w:bCs/>
          <w:color w:val="auto"/>
          <w:u w:val="single"/>
        </w:rPr>
        <w:t>项目建成后全厂主要污染物排放三笔账单位：t/a</w:t>
      </w:r>
    </w:p>
    <w:tbl>
      <w:tblPr>
        <w:tblStyle w:val="33"/>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022"/>
        <w:gridCol w:w="1066"/>
        <w:gridCol w:w="1061"/>
        <w:gridCol w:w="809"/>
        <w:gridCol w:w="686"/>
        <w:gridCol w:w="920"/>
        <w:gridCol w:w="920"/>
        <w:gridCol w:w="746"/>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50" w:type="pct"/>
            <w:gridSpan w:val="2"/>
            <w:vMerge w:val="restart"/>
            <w:vAlign w:val="center"/>
          </w:tcPr>
          <w:p>
            <w:pPr>
              <w:pStyle w:val="182"/>
              <w:bidi w:val="0"/>
              <w:rPr>
                <w:b/>
                <w:bCs/>
                <w:u w:val="single"/>
              </w:rPr>
            </w:pPr>
            <w:r>
              <w:rPr>
                <w:rFonts w:hint="default"/>
                <w:b/>
                <w:bCs/>
                <w:u w:val="single"/>
              </w:rPr>
              <w:t>污染物</w:t>
            </w:r>
          </w:p>
        </w:tc>
        <w:tc>
          <w:tcPr>
            <w:tcW w:w="626" w:type="pct"/>
            <w:vMerge w:val="restart"/>
            <w:vAlign w:val="center"/>
          </w:tcPr>
          <w:p>
            <w:pPr>
              <w:pStyle w:val="182"/>
              <w:bidi w:val="0"/>
              <w:rPr>
                <w:b/>
                <w:bCs/>
                <w:u w:val="single"/>
              </w:rPr>
            </w:pPr>
            <w:r>
              <w:rPr>
                <w:rFonts w:hint="default"/>
                <w:b/>
                <w:bCs/>
                <w:u w:val="single"/>
              </w:rPr>
              <w:t>已建工程</w:t>
            </w:r>
          </w:p>
        </w:tc>
        <w:tc>
          <w:tcPr>
            <w:tcW w:w="623" w:type="pct"/>
            <w:vMerge w:val="restart"/>
            <w:vAlign w:val="center"/>
          </w:tcPr>
          <w:p>
            <w:pPr>
              <w:pStyle w:val="182"/>
              <w:bidi w:val="0"/>
              <w:rPr>
                <w:b/>
                <w:bCs/>
                <w:u w:val="single"/>
              </w:rPr>
            </w:pPr>
            <w:r>
              <w:rPr>
                <w:rFonts w:hint="default"/>
                <w:b/>
                <w:bCs/>
                <w:u w:val="single"/>
              </w:rPr>
              <w:t>在建工程</w:t>
            </w:r>
          </w:p>
        </w:tc>
        <w:tc>
          <w:tcPr>
            <w:tcW w:w="475" w:type="pct"/>
            <w:vMerge w:val="restart"/>
            <w:vAlign w:val="center"/>
          </w:tcPr>
          <w:p>
            <w:pPr>
              <w:pStyle w:val="182"/>
              <w:bidi w:val="0"/>
              <w:rPr>
                <w:b/>
                <w:bCs/>
                <w:u w:val="single"/>
              </w:rPr>
            </w:pPr>
            <w:r>
              <w:rPr>
                <w:rFonts w:hint="default"/>
                <w:b/>
                <w:bCs/>
                <w:u w:val="single"/>
              </w:rPr>
              <w:t>本工程</w:t>
            </w:r>
          </w:p>
        </w:tc>
        <w:tc>
          <w:tcPr>
            <w:tcW w:w="402" w:type="pct"/>
            <w:vMerge w:val="restart"/>
            <w:vAlign w:val="center"/>
          </w:tcPr>
          <w:p>
            <w:pPr>
              <w:pStyle w:val="182"/>
              <w:bidi w:val="0"/>
              <w:rPr>
                <w:b/>
                <w:bCs/>
                <w:u w:val="single"/>
              </w:rPr>
            </w:pPr>
            <w:r>
              <w:rPr>
                <w:rFonts w:hint="default"/>
                <w:b/>
                <w:bCs/>
                <w:u w:val="single"/>
              </w:rPr>
              <w:t>以新带老削减量</w:t>
            </w:r>
          </w:p>
        </w:tc>
        <w:tc>
          <w:tcPr>
            <w:tcW w:w="1080" w:type="pct"/>
            <w:gridSpan w:val="2"/>
            <w:vAlign w:val="center"/>
          </w:tcPr>
          <w:p>
            <w:pPr>
              <w:pStyle w:val="182"/>
              <w:bidi w:val="0"/>
              <w:rPr>
                <w:b/>
                <w:bCs/>
                <w:u w:val="single"/>
              </w:rPr>
            </w:pPr>
            <w:r>
              <w:rPr>
                <w:rFonts w:hint="default"/>
                <w:b/>
                <w:bCs/>
                <w:u w:val="single"/>
              </w:rPr>
              <w:t>全厂排放量</w:t>
            </w:r>
          </w:p>
        </w:tc>
        <w:tc>
          <w:tcPr>
            <w:tcW w:w="941" w:type="pct"/>
            <w:gridSpan w:val="2"/>
            <w:vAlign w:val="center"/>
          </w:tcPr>
          <w:p>
            <w:pPr>
              <w:pStyle w:val="182"/>
              <w:bidi w:val="0"/>
              <w:rPr>
                <w:b/>
                <w:bCs/>
                <w:u w:val="single"/>
              </w:rPr>
            </w:pPr>
            <w:r>
              <w:rPr>
                <w:rFonts w:hint="default"/>
                <w:b/>
                <w:bCs/>
                <w:u w:val="single"/>
              </w:rPr>
              <w:t>排放增减量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50" w:type="pct"/>
            <w:gridSpan w:val="2"/>
            <w:vMerge w:val="continue"/>
            <w:vAlign w:val="center"/>
          </w:tcPr>
          <w:p>
            <w:pPr>
              <w:pStyle w:val="182"/>
              <w:bidi w:val="0"/>
              <w:rPr>
                <w:b/>
                <w:bCs/>
                <w:u w:val="single"/>
              </w:rPr>
            </w:pPr>
          </w:p>
        </w:tc>
        <w:tc>
          <w:tcPr>
            <w:tcW w:w="626" w:type="pct"/>
            <w:vMerge w:val="continue"/>
            <w:vAlign w:val="center"/>
          </w:tcPr>
          <w:p>
            <w:pPr>
              <w:pStyle w:val="182"/>
              <w:bidi w:val="0"/>
              <w:rPr>
                <w:b/>
                <w:bCs/>
                <w:u w:val="single"/>
              </w:rPr>
            </w:pPr>
          </w:p>
        </w:tc>
        <w:tc>
          <w:tcPr>
            <w:tcW w:w="623" w:type="pct"/>
            <w:vMerge w:val="continue"/>
            <w:vAlign w:val="center"/>
          </w:tcPr>
          <w:p>
            <w:pPr>
              <w:pStyle w:val="182"/>
              <w:bidi w:val="0"/>
              <w:rPr>
                <w:b/>
                <w:bCs/>
                <w:u w:val="single"/>
              </w:rPr>
            </w:pPr>
          </w:p>
        </w:tc>
        <w:tc>
          <w:tcPr>
            <w:tcW w:w="475" w:type="pct"/>
            <w:vMerge w:val="continue"/>
            <w:vAlign w:val="center"/>
          </w:tcPr>
          <w:p>
            <w:pPr>
              <w:pStyle w:val="182"/>
              <w:bidi w:val="0"/>
              <w:rPr>
                <w:b/>
                <w:bCs/>
                <w:u w:val="single"/>
              </w:rPr>
            </w:pPr>
          </w:p>
        </w:tc>
        <w:tc>
          <w:tcPr>
            <w:tcW w:w="402" w:type="pct"/>
            <w:vMerge w:val="continue"/>
            <w:vAlign w:val="center"/>
          </w:tcPr>
          <w:p>
            <w:pPr>
              <w:pStyle w:val="182"/>
              <w:bidi w:val="0"/>
              <w:rPr>
                <w:b/>
                <w:bCs/>
                <w:u w:val="single"/>
              </w:rPr>
            </w:pPr>
          </w:p>
        </w:tc>
        <w:tc>
          <w:tcPr>
            <w:tcW w:w="540" w:type="pct"/>
            <w:vAlign w:val="center"/>
          </w:tcPr>
          <w:p>
            <w:pPr>
              <w:pStyle w:val="182"/>
              <w:bidi w:val="0"/>
              <w:rPr>
                <w:b/>
                <w:bCs/>
                <w:u w:val="single"/>
              </w:rPr>
            </w:pPr>
            <w:r>
              <w:rPr>
                <w:rFonts w:hint="default"/>
                <w:b/>
                <w:bCs/>
                <w:u w:val="single"/>
              </w:rPr>
              <w:t>厂总排放口</w:t>
            </w:r>
          </w:p>
        </w:tc>
        <w:tc>
          <w:tcPr>
            <w:tcW w:w="540" w:type="pct"/>
            <w:vAlign w:val="center"/>
          </w:tcPr>
          <w:p>
            <w:pPr>
              <w:pStyle w:val="182"/>
              <w:bidi w:val="0"/>
              <w:rPr>
                <w:b/>
                <w:bCs/>
                <w:u w:val="single"/>
              </w:rPr>
            </w:pPr>
            <w:r>
              <w:rPr>
                <w:rFonts w:hint="default"/>
                <w:b/>
                <w:bCs/>
                <w:u w:val="single"/>
              </w:rPr>
              <w:t>小店污水处理厂出口</w:t>
            </w:r>
          </w:p>
        </w:tc>
        <w:tc>
          <w:tcPr>
            <w:tcW w:w="438" w:type="pct"/>
            <w:vAlign w:val="center"/>
          </w:tcPr>
          <w:p>
            <w:pPr>
              <w:pStyle w:val="182"/>
              <w:bidi w:val="0"/>
              <w:rPr>
                <w:b/>
                <w:bCs/>
                <w:u w:val="single"/>
              </w:rPr>
            </w:pPr>
            <w:r>
              <w:rPr>
                <w:rFonts w:hint="default"/>
                <w:b/>
                <w:bCs/>
                <w:u w:val="single"/>
              </w:rPr>
              <w:t>厂总排放口</w:t>
            </w:r>
          </w:p>
        </w:tc>
        <w:tc>
          <w:tcPr>
            <w:tcW w:w="503" w:type="pct"/>
            <w:vAlign w:val="center"/>
          </w:tcPr>
          <w:p>
            <w:pPr>
              <w:pStyle w:val="182"/>
              <w:bidi w:val="0"/>
              <w:rPr>
                <w:b/>
                <w:bCs/>
                <w:u w:val="single"/>
              </w:rPr>
            </w:pPr>
            <w:r>
              <w:rPr>
                <w:rFonts w:hint="default"/>
                <w:b/>
                <w:bCs/>
                <w:u w:val="single"/>
              </w:rPr>
              <w:t>小店污水处理厂出口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restart"/>
            <w:vAlign w:val="center"/>
          </w:tcPr>
          <w:p>
            <w:pPr>
              <w:pStyle w:val="182"/>
              <w:bidi w:val="0"/>
              <w:rPr>
                <w:b/>
                <w:bCs/>
                <w:u w:val="single"/>
              </w:rPr>
            </w:pPr>
            <w:r>
              <w:rPr>
                <w:rFonts w:hint="default"/>
                <w:b/>
                <w:bCs/>
                <w:u w:val="single"/>
              </w:rPr>
              <w:t>废水</w:t>
            </w:r>
          </w:p>
        </w:tc>
        <w:tc>
          <w:tcPr>
            <w:tcW w:w="600" w:type="pct"/>
            <w:vAlign w:val="center"/>
          </w:tcPr>
          <w:p>
            <w:pPr>
              <w:pStyle w:val="182"/>
              <w:bidi w:val="0"/>
              <w:rPr>
                <w:b/>
                <w:bCs/>
                <w:u w:val="single"/>
              </w:rPr>
            </w:pPr>
            <w:r>
              <w:rPr>
                <w:rFonts w:hint="default"/>
                <w:b/>
                <w:bCs/>
                <w:u w:val="single"/>
              </w:rPr>
              <w:t>COD</w:t>
            </w:r>
          </w:p>
        </w:tc>
        <w:tc>
          <w:tcPr>
            <w:tcW w:w="626" w:type="pct"/>
            <w:vAlign w:val="center"/>
          </w:tcPr>
          <w:p>
            <w:pPr>
              <w:pStyle w:val="182"/>
              <w:bidi w:val="0"/>
              <w:rPr>
                <w:rFonts w:hint="default"/>
                <w:b/>
                <w:bCs/>
                <w:u w:val="single"/>
                <w:lang w:val="en-US" w:eastAsia="zh-CN"/>
              </w:rPr>
            </w:pPr>
            <w:r>
              <w:rPr>
                <w:rFonts w:hint="eastAsia"/>
                <w:b/>
                <w:bCs/>
                <w:u w:val="single"/>
                <w:lang w:val="en-US" w:eastAsia="zh-CN"/>
              </w:rPr>
              <w:t>798.4136</w:t>
            </w:r>
          </w:p>
        </w:tc>
        <w:tc>
          <w:tcPr>
            <w:tcW w:w="623" w:type="pct"/>
            <w:vAlign w:val="center"/>
          </w:tcPr>
          <w:p>
            <w:pPr>
              <w:pStyle w:val="182"/>
              <w:bidi w:val="0"/>
              <w:rPr>
                <w:rFonts w:hint="default"/>
                <w:b/>
                <w:bCs/>
                <w:u w:val="single"/>
                <w:lang w:val="en-US"/>
              </w:rPr>
            </w:pPr>
            <w:r>
              <w:rPr>
                <w:rFonts w:hint="eastAsia"/>
                <w:b/>
                <w:bCs/>
                <w:u w:val="single"/>
                <w:lang w:val="en-US" w:eastAsia="zh-CN"/>
              </w:rPr>
              <w:t>413.0139</w:t>
            </w:r>
          </w:p>
        </w:tc>
        <w:tc>
          <w:tcPr>
            <w:tcW w:w="475" w:type="pct"/>
            <w:vAlign w:val="center"/>
          </w:tcPr>
          <w:p>
            <w:pPr>
              <w:pStyle w:val="182"/>
              <w:bidi w:val="0"/>
              <w:rPr>
                <w:rFonts w:hint="default"/>
                <w:b/>
                <w:bCs/>
                <w:u w:val="single"/>
                <w:lang w:val="en-US" w:eastAsia="zh-CN"/>
              </w:rPr>
            </w:pPr>
            <w:r>
              <w:rPr>
                <w:rFonts w:hint="default"/>
                <w:b/>
                <w:bCs/>
                <w:u w:val="single"/>
                <w:lang w:eastAsia="zh-CN"/>
              </w:rPr>
              <w:t>3</w:t>
            </w:r>
            <w:r>
              <w:rPr>
                <w:rFonts w:hint="default"/>
                <w:b/>
                <w:bCs/>
                <w:u w:val="single"/>
                <w:lang w:val="en-US" w:eastAsia="zh-CN"/>
              </w:rPr>
              <w:t>3.78</w:t>
            </w:r>
          </w:p>
        </w:tc>
        <w:tc>
          <w:tcPr>
            <w:tcW w:w="402" w:type="pct"/>
            <w:vAlign w:val="center"/>
          </w:tcPr>
          <w:p>
            <w:pPr>
              <w:pStyle w:val="182"/>
              <w:bidi w:val="0"/>
              <w:rPr>
                <w:b/>
                <w:bCs/>
                <w:u w:val="single"/>
              </w:rPr>
            </w:pPr>
            <w:r>
              <w:rPr>
                <w:rFonts w:hint="default"/>
                <w:b/>
                <w:bCs/>
                <w:u w:val="single"/>
              </w:rPr>
              <w:t>/</w:t>
            </w:r>
          </w:p>
        </w:tc>
        <w:tc>
          <w:tcPr>
            <w:tcW w:w="540" w:type="pct"/>
            <w:vAlign w:val="center"/>
          </w:tcPr>
          <w:p>
            <w:pPr>
              <w:pStyle w:val="182"/>
              <w:bidi w:val="0"/>
              <w:rPr>
                <w:rFonts w:hint="default"/>
                <w:b/>
                <w:bCs/>
                <w:u w:val="single"/>
                <w:lang w:val="en-US" w:eastAsia="zh-CN"/>
              </w:rPr>
            </w:pPr>
            <w:r>
              <w:rPr>
                <w:rFonts w:hint="eastAsia"/>
                <w:b/>
                <w:bCs/>
                <w:u w:val="single"/>
                <w:lang w:val="en-US" w:eastAsia="zh-CN"/>
              </w:rPr>
              <w:t>1245.207</w:t>
            </w:r>
          </w:p>
        </w:tc>
        <w:tc>
          <w:tcPr>
            <w:tcW w:w="540" w:type="pct"/>
            <w:vAlign w:val="center"/>
          </w:tcPr>
          <w:p>
            <w:pPr>
              <w:pStyle w:val="182"/>
              <w:bidi w:val="0"/>
              <w:rPr>
                <w:rFonts w:hint="default"/>
                <w:b/>
                <w:bCs/>
                <w:u w:val="single"/>
                <w:lang w:val="en-US" w:eastAsia="zh-CN"/>
              </w:rPr>
            </w:pPr>
            <w:r>
              <w:rPr>
                <w:rFonts w:hint="eastAsia"/>
                <w:b/>
                <w:bCs/>
                <w:u w:val="single"/>
                <w:lang w:val="en-US" w:eastAsia="zh-CN"/>
              </w:rPr>
              <w:t>434.130</w:t>
            </w:r>
          </w:p>
        </w:tc>
        <w:tc>
          <w:tcPr>
            <w:tcW w:w="438" w:type="pct"/>
            <w:vAlign w:val="center"/>
          </w:tcPr>
          <w:p>
            <w:pPr>
              <w:pStyle w:val="182"/>
              <w:bidi w:val="0"/>
              <w:rPr>
                <w:rFonts w:hint="default"/>
                <w:b/>
                <w:bCs/>
                <w:u w:val="single"/>
                <w:lang w:val="en-US" w:eastAsia="zh-CN"/>
              </w:rPr>
            </w:pPr>
            <w:r>
              <w:rPr>
                <w:rFonts w:hint="eastAsia"/>
                <w:b/>
                <w:bCs/>
                <w:u w:val="single"/>
                <w:lang w:val="en-US" w:eastAsia="zh-CN"/>
              </w:rPr>
              <w:t>33.78</w:t>
            </w:r>
          </w:p>
        </w:tc>
        <w:tc>
          <w:tcPr>
            <w:tcW w:w="503" w:type="pct"/>
            <w:vAlign w:val="center"/>
          </w:tcPr>
          <w:p>
            <w:pPr>
              <w:pStyle w:val="182"/>
              <w:bidi w:val="0"/>
              <w:rPr>
                <w:rFonts w:hint="default"/>
                <w:b/>
                <w:bCs/>
                <w:u w:val="single"/>
                <w:lang w:val="en-US" w:eastAsia="zh-CN"/>
              </w:rPr>
            </w:pPr>
            <w:r>
              <w:rPr>
                <w:rFonts w:hint="eastAsia"/>
                <w:b/>
                <w:bCs/>
                <w:u w:val="single"/>
                <w:lang w:val="en-US" w:eastAsia="zh-CN"/>
              </w:rPr>
              <w:t>12.512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b/>
                <w:bCs/>
                <w:u w:val="single"/>
              </w:rPr>
            </w:pPr>
            <w:r>
              <w:rPr>
                <w:rFonts w:hint="default"/>
                <w:b/>
                <w:bCs/>
                <w:u w:val="single"/>
              </w:rPr>
              <w:t>NH</w:t>
            </w:r>
            <w:r>
              <w:rPr>
                <w:rFonts w:hint="default"/>
                <w:b/>
                <w:bCs/>
                <w:u w:val="single"/>
                <w:vertAlign w:val="subscript"/>
              </w:rPr>
              <w:t>3</w:t>
            </w:r>
            <w:r>
              <w:rPr>
                <w:rFonts w:hint="default"/>
                <w:b/>
                <w:bCs/>
                <w:u w:val="single"/>
              </w:rPr>
              <w:t>-N</w:t>
            </w:r>
          </w:p>
        </w:tc>
        <w:tc>
          <w:tcPr>
            <w:tcW w:w="626" w:type="pct"/>
            <w:vAlign w:val="center"/>
          </w:tcPr>
          <w:p>
            <w:pPr>
              <w:pStyle w:val="182"/>
              <w:bidi w:val="0"/>
              <w:rPr>
                <w:rFonts w:hint="default"/>
                <w:b/>
                <w:bCs/>
                <w:u w:val="single"/>
                <w:lang w:val="en-US" w:eastAsia="zh-CN"/>
              </w:rPr>
            </w:pPr>
            <w:r>
              <w:rPr>
                <w:rFonts w:hint="eastAsia"/>
                <w:b/>
                <w:bCs/>
                <w:u w:val="single"/>
                <w:lang w:val="en-US" w:eastAsia="zh-CN"/>
              </w:rPr>
              <w:t>33.5311</w:t>
            </w:r>
          </w:p>
        </w:tc>
        <w:tc>
          <w:tcPr>
            <w:tcW w:w="623" w:type="pct"/>
            <w:vAlign w:val="center"/>
          </w:tcPr>
          <w:p>
            <w:pPr>
              <w:pStyle w:val="182"/>
              <w:bidi w:val="0"/>
              <w:rPr>
                <w:b/>
                <w:bCs/>
                <w:u w:val="single"/>
              </w:rPr>
            </w:pPr>
            <w:r>
              <w:rPr>
                <w:rFonts w:hint="eastAsia"/>
                <w:b/>
                <w:bCs/>
                <w:u w:val="single"/>
                <w:lang w:val="en-US" w:eastAsia="zh-CN"/>
              </w:rPr>
              <w:t>17.5492</w:t>
            </w:r>
          </w:p>
        </w:tc>
        <w:tc>
          <w:tcPr>
            <w:tcW w:w="475" w:type="pct"/>
            <w:vAlign w:val="center"/>
          </w:tcPr>
          <w:p>
            <w:pPr>
              <w:pStyle w:val="182"/>
              <w:bidi w:val="0"/>
              <w:rPr>
                <w:rFonts w:hint="default"/>
                <w:b/>
                <w:bCs/>
                <w:u w:val="single"/>
                <w:lang w:val="en-US" w:eastAsia="zh-CN"/>
              </w:rPr>
            </w:pPr>
            <w:r>
              <w:rPr>
                <w:rFonts w:hint="default"/>
                <w:b/>
                <w:bCs/>
                <w:u w:val="single"/>
                <w:lang w:val="en-US" w:eastAsia="zh-CN"/>
              </w:rPr>
              <w:t>3.47</w:t>
            </w:r>
          </w:p>
        </w:tc>
        <w:tc>
          <w:tcPr>
            <w:tcW w:w="402" w:type="pct"/>
            <w:vAlign w:val="center"/>
          </w:tcPr>
          <w:p>
            <w:pPr>
              <w:pStyle w:val="182"/>
              <w:bidi w:val="0"/>
              <w:rPr>
                <w:b/>
                <w:bCs/>
                <w:u w:val="single"/>
              </w:rPr>
            </w:pPr>
            <w:r>
              <w:rPr>
                <w:rFonts w:hint="default"/>
                <w:b/>
                <w:bCs/>
                <w:u w:val="single"/>
              </w:rPr>
              <w:t>/</w:t>
            </w:r>
          </w:p>
        </w:tc>
        <w:tc>
          <w:tcPr>
            <w:tcW w:w="540" w:type="pct"/>
            <w:vAlign w:val="center"/>
          </w:tcPr>
          <w:p>
            <w:pPr>
              <w:pStyle w:val="182"/>
              <w:bidi w:val="0"/>
              <w:rPr>
                <w:rFonts w:hint="default"/>
                <w:b/>
                <w:bCs/>
                <w:u w:val="single"/>
                <w:lang w:val="en-US" w:eastAsia="zh-CN"/>
              </w:rPr>
            </w:pPr>
            <w:r>
              <w:rPr>
                <w:rFonts w:hint="eastAsia"/>
                <w:b/>
                <w:bCs/>
                <w:u w:val="single"/>
                <w:lang w:val="en-US" w:eastAsia="zh-CN"/>
              </w:rPr>
              <w:t>54.550</w:t>
            </w:r>
          </w:p>
        </w:tc>
        <w:tc>
          <w:tcPr>
            <w:tcW w:w="540" w:type="pct"/>
            <w:vAlign w:val="center"/>
          </w:tcPr>
          <w:p>
            <w:pPr>
              <w:pStyle w:val="182"/>
              <w:bidi w:val="0"/>
              <w:rPr>
                <w:rFonts w:hint="default"/>
                <w:b/>
                <w:bCs/>
                <w:u w:val="single"/>
                <w:lang w:val="en-US" w:eastAsia="zh-CN"/>
              </w:rPr>
            </w:pPr>
            <w:r>
              <w:rPr>
                <w:rFonts w:hint="eastAsia"/>
                <w:b/>
                <w:bCs/>
                <w:u w:val="single"/>
                <w:lang w:val="en-US" w:eastAsia="zh-CN"/>
              </w:rPr>
              <w:t>21.706</w:t>
            </w:r>
          </w:p>
        </w:tc>
        <w:tc>
          <w:tcPr>
            <w:tcW w:w="438" w:type="pct"/>
            <w:vAlign w:val="center"/>
          </w:tcPr>
          <w:p>
            <w:pPr>
              <w:pStyle w:val="182"/>
              <w:bidi w:val="0"/>
              <w:rPr>
                <w:rFonts w:hint="default"/>
                <w:b/>
                <w:bCs/>
                <w:u w:val="single"/>
                <w:lang w:val="en-US" w:eastAsia="zh-CN"/>
              </w:rPr>
            </w:pPr>
            <w:r>
              <w:rPr>
                <w:rFonts w:hint="eastAsia"/>
                <w:b/>
                <w:bCs/>
                <w:u w:val="single"/>
                <w:lang w:val="en-US" w:eastAsia="zh-CN"/>
              </w:rPr>
              <w:t>3.47</w:t>
            </w:r>
          </w:p>
        </w:tc>
        <w:tc>
          <w:tcPr>
            <w:tcW w:w="503" w:type="pct"/>
            <w:vAlign w:val="center"/>
          </w:tcPr>
          <w:p>
            <w:pPr>
              <w:pStyle w:val="182"/>
              <w:bidi w:val="0"/>
              <w:rPr>
                <w:rFonts w:hint="default"/>
                <w:b/>
                <w:bCs/>
                <w:u w:val="single"/>
                <w:lang w:val="en-US" w:eastAsia="zh-CN"/>
              </w:rPr>
            </w:pPr>
            <w:r>
              <w:rPr>
                <w:rFonts w:hint="eastAsia"/>
                <w:b/>
                <w:bCs/>
                <w:u w:val="single"/>
                <w:lang w:val="en-US" w:eastAsia="zh-CN"/>
              </w:rPr>
              <w:t>0.626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rFonts w:hint="default"/>
                <w:b/>
                <w:bCs/>
                <w:u w:val="single"/>
                <w:lang w:val="en-US" w:eastAsia="zh-CN"/>
              </w:rPr>
            </w:pPr>
            <w:r>
              <w:rPr>
                <w:rFonts w:hint="default"/>
                <w:b/>
                <w:bCs/>
                <w:u w:val="single"/>
                <w:lang w:val="en-US" w:eastAsia="zh-CN"/>
              </w:rPr>
              <w:t>TN</w:t>
            </w:r>
          </w:p>
        </w:tc>
        <w:tc>
          <w:tcPr>
            <w:tcW w:w="626" w:type="pct"/>
            <w:vAlign w:val="center"/>
          </w:tcPr>
          <w:p>
            <w:pPr>
              <w:pStyle w:val="182"/>
              <w:bidi w:val="0"/>
              <w:rPr>
                <w:rFonts w:hint="default"/>
                <w:b/>
                <w:bCs/>
                <w:u w:val="single"/>
                <w:lang w:val="en-US" w:eastAsia="zh-CN"/>
              </w:rPr>
            </w:pPr>
            <w:r>
              <w:rPr>
                <w:rFonts w:hint="eastAsia"/>
                <w:b/>
                <w:bCs/>
                <w:u w:val="single"/>
                <w:lang w:val="en-US" w:eastAsia="zh-CN"/>
              </w:rPr>
              <w:t>122.4675</w:t>
            </w:r>
          </w:p>
        </w:tc>
        <w:tc>
          <w:tcPr>
            <w:tcW w:w="623" w:type="pct"/>
            <w:vAlign w:val="center"/>
          </w:tcPr>
          <w:p>
            <w:pPr>
              <w:pStyle w:val="182"/>
              <w:bidi w:val="0"/>
              <w:rPr>
                <w:rFonts w:hint="default"/>
                <w:b/>
                <w:bCs/>
                <w:u w:val="single"/>
                <w:lang w:val="en-US"/>
              </w:rPr>
            </w:pPr>
            <w:r>
              <w:rPr>
                <w:rFonts w:hint="eastAsia"/>
                <w:b/>
                <w:bCs/>
                <w:u w:val="single"/>
                <w:lang w:val="en-US" w:eastAsia="zh-CN"/>
              </w:rPr>
              <w:t>58.1741</w:t>
            </w:r>
          </w:p>
        </w:tc>
        <w:tc>
          <w:tcPr>
            <w:tcW w:w="475" w:type="pct"/>
            <w:vAlign w:val="center"/>
          </w:tcPr>
          <w:p>
            <w:pPr>
              <w:pStyle w:val="182"/>
              <w:bidi w:val="0"/>
              <w:rPr>
                <w:rFonts w:hint="default"/>
                <w:b/>
                <w:bCs/>
                <w:u w:val="single"/>
                <w:lang w:val="en-US" w:eastAsia="zh-CN"/>
              </w:rPr>
            </w:pPr>
            <w:r>
              <w:rPr>
                <w:rFonts w:hint="default"/>
                <w:b/>
                <w:bCs/>
                <w:u w:val="single"/>
                <w:lang w:val="en-US" w:eastAsia="zh-CN"/>
              </w:rPr>
              <w:t>4.69</w:t>
            </w:r>
          </w:p>
        </w:tc>
        <w:tc>
          <w:tcPr>
            <w:tcW w:w="402" w:type="pct"/>
            <w:vAlign w:val="center"/>
          </w:tcPr>
          <w:p>
            <w:pPr>
              <w:pStyle w:val="182"/>
              <w:bidi w:val="0"/>
              <w:rPr>
                <w:rFonts w:hint="default"/>
                <w:b/>
                <w:bCs/>
                <w:u w:val="single"/>
              </w:rPr>
            </w:pPr>
            <w:r>
              <w:rPr>
                <w:b/>
                <w:bCs/>
                <w:u w:val="single"/>
              </w:rPr>
              <w:t>/</w:t>
            </w:r>
          </w:p>
        </w:tc>
        <w:tc>
          <w:tcPr>
            <w:tcW w:w="540" w:type="pct"/>
            <w:vAlign w:val="center"/>
          </w:tcPr>
          <w:p>
            <w:pPr>
              <w:pStyle w:val="182"/>
              <w:bidi w:val="0"/>
              <w:rPr>
                <w:rFonts w:hint="default"/>
                <w:b/>
                <w:bCs/>
                <w:u w:val="single"/>
                <w:lang w:val="en-US" w:eastAsia="zh-CN"/>
              </w:rPr>
            </w:pPr>
            <w:r>
              <w:rPr>
                <w:rFonts w:hint="eastAsia"/>
                <w:b/>
                <w:bCs/>
                <w:u w:val="single"/>
                <w:lang w:val="en-US" w:eastAsia="zh-CN"/>
              </w:rPr>
              <w:t>185.332</w:t>
            </w:r>
          </w:p>
        </w:tc>
        <w:tc>
          <w:tcPr>
            <w:tcW w:w="540" w:type="pct"/>
            <w:vAlign w:val="center"/>
          </w:tcPr>
          <w:p>
            <w:pPr>
              <w:pStyle w:val="182"/>
              <w:bidi w:val="0"/>
              <w:rPr>
                <w:rFonts w:hint="default"/>
                <w:b/>
                <w:bCs/>
                <w:u w:val="single"/>
                <w:lang w:val="en-US" w:eastAsia="zh-CN"/>
              </w:rPr>
            </w:pPr>
            <w:r>
              <w:rPr>
                <w:rFonts w:hint="eastAsia"/>
                <w:b/>
                <w:bCs/>
                <w:u w:val="single"/>
                <w:lang w:val="en-US" w:eastAsia="zh-CN"/>
              </w:rPr>
              <w:t>14.287</w:t>
            </w:r>
          </w:p>
        </w:tc>
        <w:tc>
          <w:tcPr>
            <w:tcW w:w="438" w:type="pct"/>
            <w:vAlign w:val="center"/>
          </w:tcPr>
          <w:p>
            <w:pPr>
              <w:pStyle w:val="182"/>
              <w:bidi w:val="0"/>
              <w:rPr>
                <w:rFonts w:hint="default"/>
                <w:b/>
                <w:bCs/>
                <w:u w:val="single"/>
                <w:lang w:val="en-US" w:eastAsia="zh-CN"/>
              </w:rPr>
            </w:pPr>
            <w:r>
              <w:rPr>
                <w:rFonts w:hint="eastAsia"/>
                <w:b/>
                <w:bCs/>
                <w:u w:val="single"/>
                <w:lang w:val="en-US" w:eastAsia="zh-CN"/>
              </w:rPr>
              <w:t>4.69</w:t>
            </w:r>
          </w:p>
        </w:tc>
        <w:tc>
          <w:tcPr>
            <w:tcW w:w="503" w:type="pct"/>
            <w:vAlign w:val="center"/>
          </w:tcPr>
          <w:p>
            <w:pPr>
              <w:pStyle w:val="182"/>
              <w:bidi w:val="0"/>
              <w:rPr>
                <w:rFonts w:hint="default"/>
                <w:b/>
                <w:bCs/>
                <w:u w:val="single"/>
                <w:lang w:val="en-US" w:eastAsia="zh-CN"/>
              </w:rPr>
            </w:pPr>
            <w:r>
              <w:rPr>
                <w:rFonts w:hint="eastAsia"/>
                <w:b/>
                <w:bCs/>
                <w:u w:val="single"/>
                <w:lang w:val="en-US" w:eastAsia="zh-CN"/>
              </w:rPr>
              <w:t>4.692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rFonts w:hint="default"/>
                <w:b/>
                <w:bCs/>
                <w:u w:val="single"/>
                <w:lang w:val="en-US" w:eastAsia="zh-CN"/>
              </w:rPr>
            </w:pPr>
            <w:r>
              <w:rPr>
                <w:rFonts w:hint="default"/>
                <w:b/>
                <w:bCs/>
                <w:u w:val="single"/>
                <w:lang w:val="en-US" w:eastAsia="zh-CN"/>
              </w:rPr>
              <w:t>TP</w:t>
            </w:r>
          </w:p>
        </w:tc>
        <w:tc>
          <w:tcPr>
            <w:tcW w:w="626" w:type="pct"/>
            <w:vAlign w:val="center"/>
          </w:tcPr>
          <w:p>
            <w:pPr>
              <w:pStyle w:val="182"/>
              <w:bidi w:val="0"/>
              <w:rPr>
                <w:rFonts w:hint="default"/>
                <w:b/>
                <w:bCs/>
                <w:u w:val="single"/>
              </w:rPr>
            </w:pPr>
            <w:r>
              <w:rPr>
                <w:rFonts w:hint="eastAsia"/>
                <w:b/>
                <w:bCs/>
                <w:u w:val="single"/>
                <w:lang w:val="en-US" w:eastAsia="zh-CN"/>
              </w:rPr>
              <w:t>1.9428</w:t>
            </w:r>
          </w:p>
        </w:tc>
        <w:tc>
          <w:tcPr>
            <w:tcW w:w="623" w:type="pct"/>
            <w:vAlign w:val="center"/>
          </w:tcPr>
          <w:p>
            <w:pPr>
              <w:pStyle w:val="182"/>
              <w:bidi w:val="0"/>
              <w:rPr>
                <w:rFonts w:hint="default"/>
                <w:b/>
                <w:bCs/>
                <w:u w:val="single"/>
                <w:lang w:val="en-US" w:eastAsia="zh-CN"/>
              </w:rPr>
            </w:pPr>
            <w:r>
              <w:rPr>
                <w:rFonts w:hint="eastAsia"/>
                <w:b/>
                <w:bCs/>
                <w:u w:val="single"/>
                <w:lang w:val="en-US" w:eastAsia="zh-CN"/>
              </w:rPr>
              <w:t>0.4598</w:t>
            </w:r>
          </w:p>
        </w:tc>
        <w:tc>
          <w:tcPr>
            <w:tcW w:w="475" w:type="pct"/>
            <w:vAlign w:val="center"/>
          </w:tcPr>
          <w:p>
            <w:pPr>
              <w:pStyle w:val="182"/>
              <w:bidi w:val="0"/>
              <w:rPr>
                <w:rFonts w:hint="default"/>
                <w:b/>
                <w:bCs/>
                <w:u w:val="single"/>
                <w:lang w:val="en-US" w:eastAsia="zh-CN"/>
              </w:rPr>
            </w:pPr>
            <w:r>
              <w:rPr>
                <w:rFonts w:hint="default"/>
                <w:b/>
                <w:bCs/>
                <w:u w:val="single"/>
                <w:lang w:val="en-US" w:eastAsia="zh-CN"/>
              </w:rPr>
              <w:t>1.50</w:t>
            </w:r>
          </w:p>
        </w:tc>
        <w:tc>
          <w:tcPr>
            <w:tcW w:w="402" w:type="pct"/>
            <w:vAlign w:val="center"/>
          </w:tcPr>
          <w:p>
            <w:pPr>
              <w:pStyle w:val="182"/>
              <w:bidi w:val="0"/>
              <w:rPr>
                <w:b/>
                <w:bCs/>
                <w:u w:val="single"/>
              </w:rPr>
            </w:pPr>
          </w:p>
        </w:tc>
        <w:tc>
          <w:tcPr>
            <w:tcW w:w="540" w:type="pct"/>
            <w:vAlign w:val="center"/>
          </w:tcPr>
          <w:p>
            <w:pPr>
              <w:pStyle w:val="182"/>
              <w:bidi w:val="0"/>
              <w:rPr>
                <w:rFonts w:hint="default"/>
                <w:b/>
                <w:bCs/>
                <w:u w:val="single"/>
                <w:lang w:val="en-US" w:eastAsia="zh-CN"/>
              </w:rPr>
            </w:pPr>
            <w:r>
              <w:rPr>
                <w:rFonts w:hint="eastAsia"/>
                <w:b/>
                <w:bCs/>
                <w:u w:val="single"/>
                <w:lang w:val="en-US" w:eastAsia="zh-CN"/>
              </w:rPr>
              <w:t>3.903</w:t>
            </w:r>
          </w:p>
        </w:tc>
        <w:tc>
          <w:tcPr>
            <w:tcW w:w="540" w:type="pct"/>
            <w:vAlign w:val="center"/>
          </w:tcPr>
          <w:p>
            <w:pPr>
              <w:pStyle w:val="182"/>
              <w:bidi w:val="0"/>
              <w:rPr>
                <w:rFonts w:hint="default"/>
                <w:b/>
                <w:bCs/>
                <w:u w:val="single"/>
                <w:lang w:val="en-US" w:eastAsia="zh-CN"/>
              </w:rPr>
            </w:pPr>
            <w:r>
              <w:rPr>
                <w:rFonts w:hint="eastAsia"/>
                <w:b/>
                <w:bCs/>
                <w:u w:val="single"/>
                <w:lang w:val="en-US" w:eastAsia="zh-CN"/>
              </w:rPr>
              <w:t>4.341</w:t>
            </w:r>
          </w:p>
        </w:tc>
        <w:tc>
          <w:tcPr>
            <w:tcW w:w="438" w:type="pct"/>
            <w:vAlign w:val="center"/>
          </w:tcPr>
          <w:p>
            <w:pPr>
              <w:pStyle w:val="182"/>
              <w:bidi w:val="0"/>
              <w:rPr>
                <w:rFonts w:hint="default"/>
                <w:b/>
                <w:bCs/>
                <w:u w:val="single"/>
                <w:lang w:val="en-US" w:eastAsia="zh-CN"/>
              </w:rPr>
            </w:pPr>
            <w:r>
              <w:rPr>
                <w:rFonts w:hint="eastAsia"/>
                <w:b/>
                <w:bCs/>
                <w:u w:val="single"/>
                <w:lang w:val="en-US" w:eastAsia="zh-CN"/>
              </w:rPr>
              <w:t>1.50</w:t>
            </w:r>
          </w:p>
        </w:tc>
        <w:tc>
          <w:tcPr>
            <w:tcW w:w="503" w:type="pct"/>
            <w:vAlign w:val="center"/>
          </w:tcPr>
          <w:p>
            <w:pPr>
              <w:pStyle w:val="182"/>
              <w:bidi w:val="0"/>
              <w:rPr>
                <w:rFonts w:hint="default"/>
                <w:b/>
                <w:bCs/>
                <w:u w:val="single"/>
                <w:lang w:val="en-US" w:eastAsia="zh-CN"/>
              </w:rPr>
            </w:pPr>
            <w:r>
              <w:rPr>
                <w:rFonts w:hint="eastAsia"/>
                <w:b/>
                <w:bCs/>
                <w:u w:val="single"/>
                <w:lang w:val="en-US" w:eastAsia="zh-CN"/>
              </w:rPr>
              <w:t>0.125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rFonts w:hint="eastAsia"/>
                <w:b/>
                <w:bCs/>
                <w:u w:val="single"/>
                <w:lang w:val="en-US" w:eastAsia="zh-CN"/>
              </w:rPr>
            </w:pPr>
            <w:r>
              <w:rPr>
                <w:rFonts w:hint="default"/>
                <w:b/>
                <w:bCs/>
                <w:u w:val="single"/>
              </w:rPr>
              <w:t>锌</w:t>
            </w:r>
          </w:p>
        </w:tc>
        <w:tc>
          <w:tcPr>
            <w:tcW w:w="626" w:type="pct"/>
            <w:vAlign w:val="center"/>
          </w:tcPr>
          <w:p>
            <w:pPr>
              <w:pStyle w:val="182"/>
              <w:bidi w:val="0"/>
              <w:rPr>
                <w:rFonts w:hint="default"/>
                <w:b/>
                <w:bCs/>
                <w:u w:val="single"/>
              </w:rPr>
            </w:pPr>
            <w:r>
              <w:rPr>
                <w:rFonts w:hint="eastAsia"/>
                <w:b/>
                <w:bCs/>
                <w:u w:val="single"/>
                <w:lang w:val="en-US" w:eastAsia="zh-CN"/>
              </w:rPr>
              <w:t>0.2446</w:t>
            </w:r>
          </w:p>
        </w:tc>
        <w:tc>
          <w:tcPr>
            <w:tcW w:w="623" w:type="pct"/>
            <w:vAlign w:val="center"/>
          </w:tcPr>
          <w:p>
            <w:pPr>
              <w:pStyle w:val="182"/>
              <w:bidi w:val="0"/>
              <w:rPr>
                <w:rFonts w:hint="default"/>
                <w:b/>
                <w:bCs/>
                <w:u w:val="single"/>
                <w:lang w:val="en-US" w:eastAsia="zh-CN"/>
              </w:rPr>
            </w:pPr>
            <w:r>
              <w:rPr>
                <w:rFonts w:hint="default"/>
                <w:b/>
                <w:bCs/>
                <w:u w:val="single"/>
                <w:lang w:val="en-US" w:eastAsia="zh-CN"/>
              </w:rPr>
              <w:t>9.97</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b/>
                <w:bCs/>
                <w:u w:val="single"/>
              </w:rPr>
            </w:pPr>
          </w:p>
        </w:tc>
        <w:tc>
          <w:tcPr>
            <w:tcW w:w="540" w:type="pct"/>
            <w:vAlign w:val="center"/>
          </w:tcPr>
          <w:p>
            <w:pPr>
              <w:pStyle w:val="182"/>
              <w:bidi w:val="0"/>
              <w:rPr>
                <w:rFonts w:hint="default"/>
                <w:b/>
                <w:bCs/>
                <w:u w:val="single"/>
                <w:lang w:val="en-US" w:eastAsia="zh-CN"/>
              </w:rPr>
            </w:pPr>
          </w:p>
        </w:tc>
        <w:tc>
          <w:tcPr>
            <w:tcW w:w="540" w:type="pct"/>
            <w:vAlign w:val="center"/>
          </w:tcPr>
          <w:p>
            <w:pPr>
              <w:pStyle w:val="182"/>
              <w:bidi w:val="0"/>
              <w:rPr>
                <w:rFonts w:hint="default"/>
                <w:b/>
                <w:bCs/>
                <w:u w:val="single"/>
                <w:lang w:val="en-US" w:eastAsia="zh-CN"/>
              </w:rPr>
            </w:pPr>
          </w:p>
        </w:tc>
        <w:tc>
          <w:tcPr>
            <w:tcW w:w="438" w:type="pct"/>
            <w:vAlign w:val="center"/>
          </w:tcPr>
          <w:p>
            <w:pPr>
              <w:pStyle w:val="182"/>
              <w:bidi w:val="0"/>
              <w:rPr>
                <w:rFonts w:hint="default"/>
                <w:b/>
                <w:bCs/>
                <w:u w:val="single"/>
                <w:lang w:val="en-US" w:eastAsia="zh-CN"/>
              </w:rPr>
            </w:pPr>
          </w:p>
        </w:tc>
        <w:tc>
          <w:tcPr>
            <w:tcW w:w="503" w:type="pct"/>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rFonts w:hint="eastAsia"/>
                <w:b/>
                <w:bCs/>
                <w:u w:val="single"/>
                <w:lang w:val="en-US" w:eastAsia="zh-CN"/>
              </w:rPr>
            </w:pPr>
            <w:r>
              <w:rPr>
                <w:rFonts w:hint="default"/>
                <w:b/>
                <w:bCs/>
                <w:u w:val="single"/>
              </w:rPr>
              <w:t>硫化物</w:t>
            </w:r>
          </w:p>
        </w:tc>
        <w:tc>
          <w:tcPr>
            <w:tcW w:w="626" w:type="pct"/>
            <w:vAlign w:val="center"/>
          </w:tcPr>
          <w:p>
            <w:pPr>
              <w:pStyle w:val="182"/>
              <w:bidi w:val="0"/>
              <w:rPr>
                <w:rFonts w:hint="default"/>
                <w:b/>
                <w:bCs/>
                <w:u w:val="single"/>
              </w:rPr>
            </w:pPr>
            <w:r>
              <w:rPr>
                <w:rFonts w:hint="eastAsia"/>
                <w:b/>
                <w:bCs/>
                <w:u w:val="single"/>
                <w:lang w:val="en-US" w:eastAsia="zh-CN"/>
              </w:rPr>
              <w:t>0.0720</w:t>
            </w:r>
          </w:p>
        </w:tc>
        <w:tc>
          <w:tcPr>
            <w:tcW w:w="623" w:type="pct"/>
            <w:vAlign w:val="center"/>
          </w:tcPr>
          <w:p>
            <w:pPr>
              <w:pStyle w:val="182"/>
              <w:bidi w:val="0"/>
              <w:rPr>
                <w:rFonts w:hint="default"/>
                <w:b/>
                <w:bCs/>
                <w:u w:val="single"/>
                <w:lang w:val="en-US" w:eastAsia="zh-CN"/>
              </w:rPr>
            </w:pPr>
            <w:r>
              <w:rPr>
                <w:rFonts w:hint="default"/>
                <w:b/>
                <w:bCs/>
                <w:u w:val="single"/>
                <w:lang w:val="en-US" w:eastAsia="zh-CN"/>
              </w:rPr>
              <w:t>2.1493</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b/>
                <w:bCs/>
                <w:u w:val="single"/>
              </w:rPr>
            </w:pPr>
          </w:p>
        </w:tc>
        <w:tc>
          <w:tcPr>
            <w:tcW w:w="540" w:type="pct"/>
            <w:vAlign w:val="center"/>
          </w:tcPr>
          <w:p>
            <w:pPr>
              <w:pStyle w:val="182"/>
              <w:bidi w:val="0"/>
              <w:rPr>
                <w:rFonts w:hint="default"/>
                <w:b/>
                <w:bCs/>
                <w:u w:val="single"/>
                <w:lang w:val="en-US" w:eastAsia="zh-CN"/>
              </w:rPr>
            </w:pPr>
          </w:p>
        </w:tc>
        <w:tc>
          <w:tcPr>
            <w:tcW w:w="540" w:type="pct"/>
            <w:vAlign w:val="center"/>
          </w:tcPr>
          <w:p>
            <w:pPr>
              <w:pStyle w:val="182"/>
              <w:bidi w:val="0"/>
              <w:rPr>
                <w:rFonts w:hint="default"/>
                <w:b/>
                <w:bCs/>
                <w:u w:val="single"/>
                <w:lang w:val="en-US" w:eastAsia="zh-CN"/>
              </w:rPr>
            </w:pPr>
          </w:p>
        </w:tc>
        <w:tc>
          <w:tcPr>
            <w:tcW w:w="438" w:type="pct"/>
            <w:vAlign w:val="center"/>
          </w:tcPr>
          <w:p>
            <w:pPr>
              <w:pStyle w:val="182"/>
              <w:bidi w:val="0"/>
              <w:rPr>
                <w:rFonts w:hint="default"/>
                <w:b/>
                <w:bCs/>
                <w:u w:val="single"/>
                <w:lang w:val="en-US" w:eastAsia="zh-CN"/>
              </w:rPr>
            </w:pPr>
          </w:p>
        </w:tc>
        <w:tc>
          <w:tcPr>
            <w:tcW w:w="503" w:type="pct"/>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b/>
                <w:bCs/>
                <w:u w:val="single"/>
              </w:rPr>
            </w:pPr>
          </w:p>
        </w:tc>
        <w:tc>
          <w:tcPr>
            <w:tcW w:w="600" w:type="pct"/>
            <w:vAlign w:val="center"/>
          </w:tcPr>
          <w:p>
            <w:pPr>
              <w:pStyle w:val="182"/>
              <w:bidi w:val="0"/>
              <w:rPr>
                <w:b/>
                <w:bCs/>
                <w:u w:val="single"/>
              </w:rPr>
            </w:pPr>
            <w:r>
              <w:rPr>
                <w:rFonts w:hint="default"/>
                <w:b/>
                <w:bCs/>
                <w:u w:val="single"/>
              </w:rPr>
              <w:t>水量</w:t>
            </w:r>
          </w:p>
          <w:p>
            <w:pPr>
              <w:pStyle w:val="182"/>
              <w:bidi w:val="0"/>
              <w:rPr>
                <w:b/>
                <w:bCs/>
                <w:u w:val="single"/>
              </w:rPr>
            </w:pPr>
            <w:r>
              <w:rPr>
                <w:rFonts w:hint="default"/>
                <w:b/>
                <w:bCs/>
                <w:u w:val="single"/>
              </w:rPr>
              <w:t>（万t</w:t>
            </w:r>
            <w:r>
              <w:rPr>
                <w:b/>
                <w:bCs/>
                <w:u w:val="single"/>
              </w:rPr>
              <w:t>/a</w:t>
            </w:r>
            <w:r>
              <w:rPr>
                <w:rFonts w:hint="default"/>
                <w:b/>
                <w:bCs/>
                <w:u w:val="single"/>
              </w:rPr>
              <w:t>）</w:t>
            </w:r>
          </w:p>
        </w:tc>
        <w:tc>
          <w:tcPr>
            <w:tcW w:w="626" w:type="pct"/>
            <w:vAlign w:val="center"/>
          </w:tcPr>
          <w:p>
            <w:pPr>
              <w:pStyle w:val="182"/>
              <w:bidi w:val="0"/>
              <w:rPr>
                <w:rFonts w:hint="default"/>
                <w:b/>
                <w:bCs/>
                <w:u w:val="single"/>
                <w:lang w:val="en-US" w:eastAsia="zh-CN"/>
              </w:rPr>
            </w:pPr>
            <w:r>
              <w:rPr>
                <w:rFonts w:hint="eastAsia"/>
                <w:b/>
                <w:bCs/>
                <w:u w:val="single"/>
                <w:lang w:val="en-US" w:eastAsia="zh-CN"/>
              </w:rPr>
              <w:t>719.5508</w:t>
            </w:r>
          </w:p>
        </w:tc>
        <w:tc>
          <w:tcPr>
            <w:tcW w:w="623" w:type="pct"/>
            <w:vAlign w:val="center"/>
          </w:tcPr>
          <w:p>
            <w:pPr>
              <w:pStyle w:val="182"/>
              <w:bidi w:val="0"/>
              <w:rPr>
                <w:rFonts w:hint="default"/>
                <w:b/>
                <w:bCs/>
                <w:u w:val="single"/>
                <w:lang w:val="en-US"/>
              </w:rPr>
            </w:pPr>
            <w:r>
              <w:rPr>
                <w:rFonts w:hint="eastAsia"/>
                <w:b/>
                <w:bCs/>
                <w:u w:val="single"/>
                <w:lang w:val="en-US" w:eastAsia="zh-CN"/>
              </w:rPr>
              <w:t>334.4939</w:t>
            </w:r>
          </w:p>
        </w:tc>
        <w:tc>
          <w:tcPr>
            <w:tcW w:w="475" w:type="pct"/>
            <w:vAlign w:val="center"/>
          </w:tcPr>
          <w:p>
            <w:pPr>
              <w:pStyle w:val="182"/>
              <w:bidi w:val="0"/>
              <w:rPr>
                <w:rFonts w:hint="default"/>
                <w:b/>
                <w:bCs/>
                <w:u w:val="single"/>
                <w:lang w:val="en-US" w:eastAsia="zh-CN"/>
              </w:rPr>
            </w:pPr>
            <w:r>
              <w:rPr>
                <w:rFonts w:hint="default"/>
                <w:b/>
                <w:bCs/>
                <w:u w:val="single"/>
                <w:lang w:val="en-US" w:eastAsia="zh-CN"/>
              </w:rPr>
              <w:t>31.28</w:t>
            </w:r>
          </w:p>
        </w:tc>
        <w:tc>
          <w:tcPr>
            <w:tcW w:w="402" w:type="pct"/>
            <w:vAlign w:val="center"/>
          </w:tcPr>
          <w:p>
            <w:pPr>
              <w:pStyle w:val="182"/>
              <w:bidi w:val="0"/>
              <w:rPr>
                <w:b/>
                <w:bCs/>
                <w:u w:val="single"/>
              </w:rPr>
            </w:pPr>
            <w:r>
              <w:rPr>
                <w:rFonts w:hint="default"/>
                <w:b/>
                <w:bCs/>
                <w:u w:val="single"/>
              </w:rPr>
              <w:t>/</w:t>
            </w:r>
          </w:p>
        </w:tc>
        <w:tc>
          <w:tcPr>
            <w:tcW w:w="1080" w:type="pct"/>
            <w:gridSpan w:val="2"/>
            <w:vAlign w:val="center"/>
          </w:tcPr>
          <w:p>
            <w:pPr>
              <w:pStyle w:val="182"/>
              <w:bidi w:val="0"/>
              <w:rPr>
                <w:rFonts w:hint="default"/>
                <w:b/>
                <w:bCs/>
                <w:u w:val="single"/>
                <w:lang w:val="en-US"/>
              </w:rPr>
            </w:pPr>
            <w:r>
              <w:rPr>
                <w:rFonts w:hint="eastAsia"/>
                <w:b/>
                <w:bCs/>
                <w:u w:val="single"/>
                <w:lang w:val="en-US" w:eastAsia="zh-CN"/>
              </w:rPr>
              <w:t>1085.325</w:t>
            </w:r>
          </w:p>
        </w:tc>
        <w:tc>
          <w:tcPr>
            <w:tcW w:w="941" w:type="pct"/>
            <w:gridSpan w:val="2"/>
            <w:vAlign w:val="center"/>
          </w:tcPr>
          <w:p>
            <w:pPr>
              <w:pStyle w:val="182"/>
              <w:bidi w:val="0"/>
              <w:rPr>
                <w:rFonts w:hint="default"/>
                <w:b/>
                <w:bCs/>
                <w:u w:val="single"/>
                <w:lang w:val="en-US" w:eastAsia="zh-CN"/>
              </w:rPr>
            </w:pPr>
            <w:r>
              <w:rPr>
                <w:rFonts w:hint="eastAsia"/>
                <w:b/>
                <w:bCs/>
                <w:u w:val="single"/>
                <w:lang w:val="en-US" w:eastAsia="zh-CN"/>
              </w:rPr>
              <w:t>31.28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restart"/>
            <w:vAlign w:val="center"/>
          </w:tcPr>
          <w:p>
            <w:pPr>
              <w:pStyle w:val="182"/>
              <w:bidi w:val="0"/>
              <w:rPr>
                <w:b/>
                <w:bCs/>
                <w:u w:val="single"/>
              </w:rPr>
            </w:pPr>
            <w:r>
              <w:rPr>
                <w:rFonts w:hint="default"/>
                <w:b/>
                <w:bCs/>
                <w:u w:val="single"/>
              </w:rPr>
              <w:t>废气</w:t>
            </w:r>
          </w:p>
        </w:tc>
        <w:tc>
          <w:tcPr>
            <w:tcW w:w="600" w:type="pct"/>
            <w:vAlign w:val="center"/>
          </w:tcPr>
          <w:p>
            <w:pPr>
              <w:pStyle w:val="182"/>
              <w:bidi w:val="0"/>
              <w:rPr>
                <w:b/>
                <w:bCs/>
                <w:u w:val="single"/>
              </w:rPr>
            </w:pPr>
            <w:r>
              <w:rPr>
                <w:rFonts w:hint="eastAsia"/>
                <w:b/>
                <w:bCs/>
                <w:u w:val="single"/>
                <w:lang w:val="en-US" w:eastAsia="zh-CN"/>
              </w:rPr>
              <w:t>颗粒物</w:t>
            </w:r>
          </w:p>
        </w:tc>
        <w:tc>
          <w:tcPr>
            <w:tcW w:w="626" w:type="pct"/>
            <w:vAlign w:val="center"/>
          </w:tcPr>
          <w:p>
            <w:pPr>
              <w:pStyle w:val="182"/>
              <w:bidi w:val="0"/>
              <w:rPr>
                <w:b/>
                <w:bCs/>
                <w:u w:val="single"/>
              </w:rPr>
            </w:pPr>
            <w:r>
              <w:rPr>
                <w:rFonts w:hint="eastAsia"/>
                <w:b/>
                <w:bCs/>
                <w:u w:val="single"/>
                <w:lang w:val="en-US" w:eastAsia="zh-CN"/>
              </w:rPr>
              <w:t>7.81</w:t>
            </w:r>
          </w:p>
        </w:tc>
        <w:tc>
          <w:tcPr>
            <w:tcW w:w="623" w:type="pct"/>
            <w:vAlign w:val="center"/>
          </w:tcPr>
          <w:p>
            <w:pPr>
              <w:pStyle w:val="182"/>
              <w:bidi w:val="0"/>
              <w:rPr>
                <w:rFonts w:hint="default"/>
                <w:b/>
                <w:bCs/>
                <w:u w:val="single"/>
                <w:lang w:val="en-US"/>
              </w:rPr>
            </w:pPr>
            <w:r>
              <w:rPr>
                <w:rFonts w:hint="eastAsia"/>
                <w:b/>
                <w:bCs/>
                <w:u w:val="single"/>
                <w:lang w:val="en-US" w:eastAsia="zh-CN"/>
              </w:rPr>
              <w:t>28.8131</w:t>
            </w:r>
          </w:p>
        </w:tc>
        <w:tc>
          <w:tcPr>
            <w:tcW w:w="475" w:type="pct"/>
            <w:vAlign w:val="center"/>
          </w:tcPr>
          <w:p>
            <w:pPr>
              <w:pStyle w:val="182"/>
              <w:bidi w:val="0"/>
              <w:rPr>
                <w:rFonts w:hint="default"/>
                <w:b/>
                <w:bCs/>
                <w:u w:val="single"/>
                <w:lang w:val="en-US" w:eastAsia="zh-CN"/>
              </w:rPr>
            </w:pPr>
            <w:r>
              <w:rPr>
                <w:rFonts w:hint="eastAsia"/>
                <w:b/>
                <w:bCs/>
                <w:u w:val="single"/>
                <w:lang w:val="en-US" w:eastAsia="zh-CN"/>
              </w:rPr>
              <w:t>0.841</w:t>
            </w:r>
          </w:p>
        </w:tc>
        <w:tc>
          <w:tcPr>
            <w:tcW w:w="402" w:type="pct"/>
            <w:vAlign w:val="center"/>
          </w:tcPr>
          <w:p>
            <w:pPr>
              <w:pStyle w:val="182"/>
              <w:bidi w:val="0"/>
              <w:rPr>
                <w:b/>
                <w:bCs/>
                <w:u w:val="single"/>
              </w:rPr>
            </w:pPr>
            <w:r>
              <w:rPr>
                <w:rFonts w:hint="eastAsia"/>
                <w:b/>
                <w:bCs/>
                <w:u w:val="single"/>
                <w:lang w:val="en-US" w:eastAsia="zh-CN"/>
              </w:rPr>
              <w:t>/</w:t>
            </w:r>
          </w:p>
        </w:tc>
        <w:tc>
          <w:tcPr>
            <w:tcW w:w="1080" w:type="pct"/>
            <w:gridSpan w:val="2"/>
            <w:vAlign w:val="center"/>
          </w:tcPr>
          <w:p>
            <w:pPr>
              <w:pStyle w:val="182"/>
              <w:bidi w:val="0"/>
              <w:rPr>
                <w:rFonts w:hint="default"/>
                <w:b/>
                <w:bCs/>
                <w:u w:val="single"/>
                <w:lang w:val="en-US"/>
              </w:rPr>
            </w:pPr>
            <w:r>
              <w:rPr>
                <w:rFonts w:hint="eastAsia"/>
                <w:b/>
                <w:bCs/>
                <w:u w:val="single"/>
                <w:lang w:val="en-US" w:eastAsia="zh-CN"/>
              </w:rPr>
              <w:t>37.464</w:t>
            </w:r>
          </w:p>
        </w:tc>
        <w:tc>
          <w:tcPr>
            <w:tcW w:w="941" w:type="pct"/>
            <w:gridSpan w:val="2"/>
            <w:vAlign w:val="center"/>
          </w:tcPr>
          <w:p>
            <w:pPr>
              <w:pStyle w:val="182"/>
              <w:bidi w:val="0"/>
              <w:rPr>
                <w:rFonts w:hint="default"/>
                <w:b/>
                <w:bCs/>
                <w:u w:val="single"/>
                <w:lang w:val="en-US" w:eastAsia="zh-CN"/>
              </w:rPr>
            </w:pPr>
            <w:r>
              <w:rPr>
                <w:rFonts w:hint="eastAsia"/>
                <w:b/>
                <w:bCs/>
                <w:u w:val="single"/>
                <w:lang w:val="en-US" w:eastAsia="zh-CN"/>
              </w:rPr>
              <w:t>0.841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default"/>
                <w:b/>
                <w:bCs/>
                <w:u w:val="single"/>
                <w:lang w:val="en-US" w:eastAsia="zh-CN"/>
              </w:rPr>
              <w:t>SO</w:t>
            </w:r>
            <w:r>
              <w:rPr>
                <w:rFonts w:hint="default"/>
                <w:b/>
                <w:bCs/>
                <w:u w:val="single"/>
                <w:vertAlign w:val="subscript"/>
                <w:lang w:val="en-US" w:eastAsia="zh-CN"/>
              </w:rPr>
              <w:t>2</w:t>
            </w:r>
          </w:p>
        </w:tc>
        <w:tc>
          <w:tcPr>
            <w:tcW w:w="626" w:type="pct"/>
            <w:vAlign w:val="center"/>
          </w:tcPr>
          <w:p>
            <w:pPr>
              <w:pStyle w:val="182"/>
              <w:bidi w:val="0"/>
              <w:rPr>
                <w:rFonts w:hint="default"/>
                <w:b/>
                <w:bCs/>
                <w:u w:val="single"/>
                <w:lang w:val="en-US" w:eastAsia="zh-CN"/>
              </w:rPr>
            </w:pPr>
            <w:r>
              <w:rPr>
                <w:rFonts w:hint="default"/>
                <w:b/>
                <w:bCs/>
                <w:u w:val="single"/>
                <w:lang w:val="en-US" w:eastAsia="zh-CN"/>
              </w:rPr>
              <w:t>73.38</w:t>
            </w:r>
          </w:p>
        </w:tc>
        <w:tc>
          <w:tcPr>
            <w:tcW w:w="623" w:type="pct"/>
            <w:vAlign w:val="center"/>
          </w:tcPr>
          <w:p>
            <w:pPr>
              <w:pStyle w:val="182"/>
              <w:bidi w:val="0"/>
              <w:rPr>
                <w:rFonts w:hint="default"/>
                <w:b/>
                <w:bCs/>
                <w:u w:val="single"/>
                <w:lang w:val="en-US" w:eastAsia="zh-CN"/>
              </w:rPr>
            </w:pPr>
            <w:r>
              <w:rPr>
                <w:rFonts w:hint="default"/>
                <w:b/>
                <w:bCs/>
                <w:u w:val="single"/>
                <w:lang w:val="en-US" w:eastAsia="zh-CN"/>
              </w:rPr>
              <w:t>93.5155</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166.8955</w:t>
            </w:r>
          </w:p>
        </w:tc>
        <w:tc>
          <w:tcPr>
            <w:tcW w:w="941" w:type="pct"/>
            <w:gridSpan w:val="2"/>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default"/>
                <w:b/>
                <w:bCs/>
                <w:u w:val="single"/>
                <w:lang w:val="en-US" w:eastAsia="zh-CN"/>
              </w:rPr>
              <w:t>NOx</w:t>
            </w:r>
          </w:p>
        </w:tc>
        <w:tc>
          <w:tcPr>
            <w:tcW w:w="626" w:type="pct"/>
            <w:vAlign w:val="center"/>
          </w:tcPr>
          <w:p>
            <w:pPr>
              <w:pStyle w:val="182"/>
              <w:bidi w:val="0"/>
              <w:rPr>
                <w:rFonts w:hint="default"/>
                <w:b/>
                <w:bCs/>
                <w:u w:val="single"/>
                <w:lang w:val="en-US" w:eastAsia="zh-CN"/>
              </w:rPr>
            </w:pPr>
            <w:r>
              <w:rPr>
                <w:rFonts w:hint="default"/>
                <w:b/>
                <w:bCs/>
                <w:u w:val="single"/>
                <w:lang w:val="en-US" w:eastAsia="zh-CN"/>
              </w:rPr>
              <w:t>134.06</w:t>
            </w:r>
          </w:p>
        </w:tc>
        <w:tc>
          <w:tcPr>
            <w:tcW w:w="623" w:type="pct"/>
            <w:vAlign w:val="center"/>
          </w:tcPr>
          <w:p>
            <w:pPr>
              <w:pStyle w:val="182"/>
              <w:bidi w:val="0"/>
              <w:rPr>
                <w:rFonts w:hint="default"/>
                <w:b/>
                <w:bCs/>
                <w:u w:val="single"/>
                <w:lang w:val="en-US" w:eastAsia="zh-CN"/>
              </w:rPr>
            </w:pPr>
            <w:r>
              <w:rPr>
                <w:rFonts w:hint="default"/>
                <w:b/>
                <w:bCs/>
                <w:u w:val="single"/>
                <w:lang w:val="en-US" w:eastAsia="zh-CN"/>
              </w:rPr>
              <w:t>154.5593</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288.6193</w:t>
            </w:r>
          </w:p>
        </w:tc>
        <w:tc>
          <w:tcPr>
            <w:tcW w:w="941" w:type="pct"/>
            <w:gridSpan w:val="2"/>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default"/>
                <w:b/>
                <w:bCs/>
                <w:u w:val="single"/>
                <w:lang w:val="en-US" w:eastAsia="zh-CN"/>
              </w:rPr>
              <w:t>Hg</w:t>
            </w:r>
          </w:p>
        </w:tc>
        <w:tc>
          <w:tcPr>
            <w:tcW w:w="626" w:type="pct"/>
            <w:vAlign w:val="center"/>
          </w:tcPr>
          <w:p>
            <w:pPr>
              <w:pStyle w:val="182"/>
              <w:bidi w:val="0"/>
              <w:rPr>
                <w:rFonts w:hint="default"/>
                <w:b/>
                <w:bCs/>
                <w:u w:val="single"/>
                <w:lang w:val="en-US" w:eastAsia="zh-CN"/>
              </w:rPr>
            </w:pPr>
            <w:r>
              <w:rPr>
                <w:rFonts w:hint="default"/>
                <w:b/>
                <w:bCs/>
                <w:u w:val="single"/>
                <w:lang w:val="en-US" w:eastAsia="zh-CN"/>
              </w:rPr>
              <w:t>/</w:t>
            </w:r>
          </w:p>
        </w:tc>
        <w:tc>
          <w:tcPr>
            <w:tcW w:w="623" w:type="pct"/>
            <w:vAlign w:val="center"/>
          </w:tcPr>
          <w:p>
            <w:pPr>
              <w:pStyle w:val="182"/>
              <w:bidi w:val="0"/>
              <w:rPr>
                <w:rFonts w:hint="default"/>
                <w:b/>
                <w:bCs/>
                <w:u w:val="single"/>
                <w:lang w:val="en-US" w:eastAsia="zh-CN"/>
              </w:rPr>
            </w:pPr>
            <w:r>
              <w:rPr>
                <w:rFonts w:hint="default"/>
                <w:b/>
                <w:bCs/>
                <w:u w:val="single"/>
                <w:lang w:val="en-US" w:eastAsia="zh-CN"/>
              </w:rPr>
              <w:t>0.0095</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0.0095</w:t>
            </w:r>
          </w:p>
        </w:tc>
        <w:tc>
          <w:tcPr>
            <w:tcW w:w="941" w:type="pct"/>
            <w:gridSpan w:val="2"/>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eastAsia"/>
                <w:b/>
                <w:bCs/>
                <w:u w:val="single"/>
                <w:lang w:val="en-US" w:eastAsia="zh-CN"/>
              </w:rPr>
              <w:t>氨</w:t>
            </w:r>
          </w:p>
        </w:tc>
        <w:tc>
          <w:tcPr>
            <w:tcW w:w="626" w:type="pct"/>
            <w:vAlign w:val="center"/>
          </w:tcPr>
          <w:p>
            <w:pPr>
              <w:pStyle w:val="182"/>
              <w:bidi w:val="0"/>
              <w:rPr>
                <w:rFonts w:hint="default"/>
                <w:b/>
                <w:bCs/>
                <w:u w:val="single"/>
                <w:lang w:val="en-US" w:eastAsia="zh-CN"/>
              </w:rPr>
            </w:pPr>
            <w:r>
              <w:rPr>
                <w:rFonts w:hint="default"/>
                <w:b/>
                <w:bCs/>
                <w:u w:val="single"/>
                <w:lang w:val="en-US" w:eastAsia="zh-CN"/>
              </w:rPr>
              <w:t>4.47</w:t>
            </w:r>
          </w:p>
        </w:tc>
        <w:tc>
          <w:tcPr>
            <w:tcW w:w="623" w:type="pct"/>
            <w:vAlign w:val="center"/>
          </w:tcPr>
          <w:p>
            <w:pPr>
              <w:pStyle w:val="182"/>
              <w:bidi w:val="0"/>
              <w:rPr>
                <w:rFonts w:hint="default"/>
                <w:b/>
                <w:bCs/>
                <w:u w:val="single"/>
                <w:lang w:val="en-US" w:eastAsia="zh-CN"/>
              </w:rPr>
            </w:pPr>
            <w:r>
              <w:rPr>
                <w:rFonts w:hint="default"/>
                <w:b/>
                <w:bCs/>
                <w:u w:val="single"/>
                <w:lang w:val="en-US" w:eastAsia="zh-CN"/>
              </w:rPr>
              <w:t>12.829</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17.299</w:t>
            </w:r>
          </w:p>
        </w:tc>
        <w:tc>
          <w:tcPr>
            <w:tcW w:w="941" w:type="pct"/>
            <w:gridSpan w:val="2"/>
            <w:vAlign w:val="center"/>
          </w:tcPr>
          <w:p>
            <w:pPr>
              <w:pStyle w:val="182"/>
              <w:bidi w:val="0"/>
              <w:rPr>
                <w:rFonts w:hint="default"/>
                <w:b/>
                <w:bCs/>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 w:type="pct"/>
            <w:vMerge w:val="continue"/>
            <w:vAlign w:val="center"/>
          </w:tcPr>
          <w:p>
            <w:pPr>
              <w:pStyle w:val="182"/>
              <w:bidi w:val="0"/>
              <w:rPr>
                <w:rFonts w:hint="eastAsia"/>
                <w:b/>
                <w:bCs/>
                <w:u w:val="single"/>
              </w:rPr>
            </w:pPr>
          </w:p>
        </w:tc>
        <w:tc>
          <w:tcPr>
            <w:tcW w:w="600" w:type="pct"/>
            <w:vAlign w:val="center"/>
          </w:tcPr>
          <w:p>
            <w:pPr>
              <w:pStyle w:val="182"/>
              <w:bidi w:val="0"/>
              <w:rPr>
                <w:rFonts w:hint="eastAsia"/>
                <w:b/>
                <w:bCs/>
                <w:u w:val="single"/>
              </w:rPr>
            </w:pPr>
            <w:r>
              <w:rPr>
                <w:rFonts w:hint="default"/>
                <w:b/>
                <w:bCs/>
                <w:u w:val="single"/>
                <w:lang w:val="en-US" w:eastAsia="zh-CN"/>
              </w:rPr>
              <w:t>VOC</w:t>
            </w:r>
            <w:r>
              <w:rPr>
                <w:rFonts w:hint="default"/>
                <w:b/>
                <w:bCs/>
                <w:u w:val="single"/>
                <w:vertAlign w:val="subscript"/>
                <w:lang w:val="en-US" w:eastAsia="zh-CN"/>
              </w:rPr>
              <w:t>S</w:t>
            </w:r>
          </w:p>
        </w:tc>
        <w:tc>
          <w:tcPr>
            <w:tcW w:w="626" w:type="pct"/>
            <w:vAlign w:val="center"/>
          </w:tcPr>
          <w:p>
            <w:pPr>
              <w:pStyle w:val="182"/>
              <w:bidi w:val="0"/>
              <w:rPr>
                <w:rFonts w:hint="default"/>
                <w:b/>
                <w:bCs/>
                <w:u w:val="single"/>
                <w:lang w:val="en-US" w:eastAsia="zh-CN"/>
              </w:rPr>
            </w:pPr>
            <w:r>
              <w:rPr>
                <w:rFonts w:hint="default"/>
                <w:b/>
                <w:bCs/>
                <w:u w:val="single"/>
                <w:lang w:val="en-US" w:eastAsia="zh-CN"/>
              </w:rPr>
              <w:t>5.42</w:t>
            </w:r>
          </w:p>
        </w:tc>
        <w:tc>
          <w:tcPr>
            <w:tcW w:w="623" w:type="pct"/>
            <w:vAlign w:val="center"/>
          </w:tcPr>
          <w:p>
            <w:pPr>
              <w:pStyle w:val="182"/>
              <w:bidi w:val="0"/>
              <w:rPr>
                <w:rFonts w:hint="default"/>
                <w:b/>
                <w:bCs/>
                <w:u w:val="single"/>
                <w:lang w:val="en-US" w:eastAsia="zh-CN"/>
              </w:rPr>
            </w:pPr>
            <w:r>
              <w:rPr>
                <w:rFonts w:hint="default"/>
                <w:b/>
                <w:bCs/>
                <w:u w:val="single"/>
                <w:lang w:val="en-US" w:eastAsia="zh-CN"/>
              </w:rPr>
              <w:t>20.174</w:t>
            </w:r>
          </w:p>
        </w:tc>
        <w:tc>
          <w:tcPr>
            <w:tcW w:w="475" w:type="pct"/>
            <w:vAlign w:val="center"/>
          </w:tcPr>
          <w:p>
            <w:pPr>
              <w:pStyle w:val="182"/>
              <w:bidi w:val="0"/>
              <w:rPr>
                <w:rFonts w:hint="default"/>
                <w:b/>
                <w:bCs/>
                <w:u w:val="single"/>
                <w:lang w:val="en-US" w:eastAsia="zh-CN"/>
              </w:rPr>
            </w:pPr>
          </w:p>
        </w:tc>
        <w:tc>
          <w:tcPr>
            <w:tcW w:w="402" w:type="pct"/>
            <w:vAlign w:val="center"/>
          </w:tcPr>
          <w:p>
            <w:pPr>
              <w:pStyle w:val="182"/>
              <w:bidi w:val="0"/>
              <w:rPr>
                <w:rFonts w:hint="default"/>
                <w:b/>
                <w:bCs/>
                <w:u w:val="single"/>
                <w:lang w:val="en-US" w:eastAsia="zh-CN"/>
              </w:rPr>
            </w:pPr>
          </w:p>
        </w:tc>
        <w:tc>
          <w:tcPr>
            <w:tcW w:w="1080" w:type="pct"/>
            <w:gridSpan w:val="2"/>
            <w:vAlign w:val="center"/>
          </w:tcPr>
          <w:p>
            <w:pPr>
              <w:pStyle w:val="182"/>
              <w:bidi w:val="0"/>
              <w:rPr>
                <w:rFonts w:hint="default"/>
                <w:b/>
                <w:bCs/>
                <w:u w:val="single"/>
                <w:lang w:val="en-US" w:eastAsia="zh-CN"/>
              </w:rPr>
            </w:pPr>
            <w:r>
              <w:rPr>
                <w:rFonts w:hint="eastAsia"/>
                <w:b/>
                <w:bCs/>
                <w:u w:val="single"/>
                <w:lang w:val="en-US" w:eastAsia="zh-CN"/>
              </w:rPr>
              <w:t>25.594</w:t>
            </w:r>
          </w:p>
        </w:tc>
        <w:tc>
          <w:tcPr>
            <w:tcW w:w="941" w:type="pct"/>
            <w:gridSpan w:val="2"/>
            <w:vAlign w:val="center"/>
          </w:tcPr>
          <w:p>
            <w:pPr>
              <w:pStyle w:val="182"/>
              <w:bidi w:val="0"/>
              <w:rPr>
                <w:rFonts w:hint="default"/>
                <w:b/>
                <w:bCs/>
                <w:u w:val="single"/>
                <w:lang w:val="en-US" w:eastAsia="zh-CN"/>
              </w:rPr>
            </w:pPr>
          </w:p>
        </w:tc>
      </w:tr>
    </w:tbl>
    <w:p>
      <w:pPr>
        <w:bidi w:val="0"/>
        <w:rPr>
          <w:rFonts w:hint="eastAsia"/>
          <w:b/>
          <w:bCs/>
          <w:color w:val="auto"/>
          <w:u w:val="single"/>
        </w:rPr>
      </w:pPr>
      <w:r>
        <w:rPr>
          <w:rFonts w:hint="eastAsia"/>
          <w:b/>
          <w:bCs/>
          <w:color w:val="auto"/>
          <w:u w:val="single"/>
        </w:rPr>
        <w:t>由上表可以看出，本项目建成后全厂污染物排放量为：</w:t>
      </w:r>
    </w:p>
    <w:p>
      <w:pPr>
        <w:bidi w:val="0"/>
        <w:rPr>
          <w:rFonts w:hint="eastAsia"/>
          <w:b/>
          <w:bCs/>
          <w:color w:val="auto"/>
          <w:u w:val="single"/>
        </w:rPr>
      </w:pPr>
      <w:r>
        <w:rPr>
          <w:rFonts w:hint="eastAsia"/>
          <w:b/>
          <w:bCs/>
          <w:color w:val="auto"/>
          <w:u w:val="single"/>
        </w:rPr>
        <w:t>①本项目建成后全厂废水污染物总量指标为：COD</w:t>
      </w:r>
      <w:r>
        <w:rPr>
          <w:rFonts w:hint="eastAsia"/>
          <w:b/>
          <w:bCs/>
          <w:color w:val="auto"/>
          <w:u w:val="single"/>
          <w:lang w:val="en-US" w:eastAsia="zh-CN"/>
        </w:rPr>
        <w:t xml:space="preserve"> </w:t>
      </w:r>
      <w:r>
        <w:rPr>
          <w:rFonts w:hint="eastAsia"/>
          <w:b/>
          <w:bCs/>
          <w:u w:val="single"/>
          <w:lang w:val="en-US" w:eastAsia="zh-CN"/>
        </w:rPr>
        <w:t>1245.207</w:t>
      </w:r>
      <w:r>
        <w:rPr>
          <w:rFonts w:hint="eastAsia"/>
          <w:b/>
          <w:bCs/>
          <w:color w:val="auto"/>
          <w:u w:val="single"/>
          <w:lang w:val="en-US" w:eastAsia="zh-CN"/>
        </w:rPr>
        <w:t>t</w:t>
      </w:r>
      <w:r>
        <w:rPr>
          <w:rFonts w:hint="eastAsia"/>
          <w:b/>
          <w:bCs/>
          <w:color w:val="auto"/>
          <w:u w:val="single"/>
        </w:rPr>
        <w:t>/a，氨氮</w:t>
      </w:r>
      <w:r>
        <w:rPr>
          <w:rFonts w:hint="eastAsia"/>
          <w:b/>
          <w:bCs/>
          <w:u w:val="single"/>
          <w:lang w:val="en-US" w:eastAsia="zh-CN"/>
        </w:rPr>
        <w:t>54.550</w:t>
      </w:r>
      <w:r>
        <w:rPr>
          <w:rFonts w:hint="eastAsia"/>
          <w:b/>
          <w:bCs/>
          <w:color w:val="auto"/>
          <w:u w:val="single"/>
          <w:lang w:val="en-US" w:eastAsia="zh-CN"/>
        </w:rPr>
        <w:t xml:space="preserve"> </w:t>
      </w:r>
      <w:r>
        <w:rPr>
          <w:rFonts w:hint="eastAsia"/>
          <w:b/>
          <w:bCs/>
          <w:color w:val="auto"/>
          <w:u w:val="single"/>
        </w:rPr>
        <w:t>t/a</w:t>
      </w:r>
      <w:r>
        <w:rPr>
          <w:rFonts w:hint="eastAsia"/>
          <w:b/>
          <w:bCs/>
          <w:color w:val="auto"/>
          <w:u w:val="single"/>
          <w:lang w:eastAsia="zh-CN"/>
        </w:rPr>
        <w:t>、</w:t>
      </w:r>
      <w:r>
        <w:rPr>
          <w:rFonts w:hint="eastAsia"/>
          <w:b/>
          <w:bCs/>
          <w:color w:val="auto"/>
          <w:u w:val="single"/>
          <w:lang w:val="en-US" w:eastAsia="zh-CN"/>
        </w:rPr>
        <w:t xml:space="preserve">TN </w:t>
      </w:r>
      <w:r>
        <w:rPr>
          <w:rFonts w:hint="eastAsia"/>
          <w:b/>
          <w:bCs/>
          <w:u w:val="single"/>
          <w:lang w:val="en-US" w:eastAsia="zh-CN"/>
        </w:rPr>
        <w:t>185.332</w:t>
      </w:r>
      <w:r>
        <w:rPr>
          <w:rFonts w:hint="eastAsia"/>
          <w:b/>
          <w:bCs/>
          <w:color w:val="auto"/>
          <w:u w:val="single"/>
          <w:lang w:val="en-US" w:eastAsia="zh-CN"/>
        </w:rPr>
        <w:t xml:space="preserve">t/a、TP </w:t>
      </w:r>
      <w:r>
        <w:rPr>
          <w:rFonts w:hint="eastAsia"/>
          <w:b/>
          <w:bCs/>
          <w:u w:val="single"/>
          <w:lang w:val="en-US" w:eastAsia="zh-CN"/>
        </w:rPr>
        <w:t>3.903</w:t>
      </w:r>
      <w:r>
        <w:rPr>
          <w:rFonts w:hint="eastAsia"/>
          <w:b/>
          <w:bCs/>
          <w:color w:val="auto"/>
          <w:u w:val="single"/>
          <w:lang w:val="en-US" w:eastAsia="zh-CN"/>
        </w:rPr>
        <w:t>t/a</w:t>
      </w:r>
      <w:r>
        <w:rPr>
          <w:rFonts w:hint="eastAsia"/>
          <w:b/>
          <w:bCs/>
          <w:color w:val="auto"/>
          <w:u w:val="single"/>
        </w:rPr>
        <w:t>。</w:t>
      </w:r>
    </w:p>
    <w:p>
      <w:pPr>
        <w:bidi w:val="0"/>
        <w:rPr>
          <w:b/>
          <w:bCs/>
          <w:color w:val="auto"/>
          <w:u w:val="single"/>
        </w:rPr>
      </w:pPr>
      <w:r>
        <w:rPr>
          <w:rFonts w:hint="eastAsia"/>
          <w:b/>
          <w:bCs/>
          <w:color w:val="auto"/>
          <w:u w:val="single"/>
        </w:rPr>
        <w:t xml:space="preserve">新增废水污染物总量指标为：COD </w:t>
      </w:r>
      <w:r>
        <w:rPr>
          <w:rFonts w:hint="eastAsia"/>
          <w:b/>
          <w:bCs/>
          <w:color w:val="auto"/>
          <w:u w:val="single"/>
          <w:lang w:val="en-US" w:eastAsia="zh-CN"/>
        </w:rPr>
        <w:t>12.512</w:t>
      </w:r>
      <w:r>
        <w:rPr>
          <w:rFonts w:hint="eastAsia"/>
          <w:b/>
          <w:bCs/>
          <w:color w:val="auto"/>
          <w:u w:val="single"/>
        </w:rPr>
        <w:t>t/a，NH</w:t>
      </w:r>
      <w:r>
        <w:rPr>
          <w:rFonts w:hint="eastAsia"/>
          <w:b/>
          <w:bCs/>
          <w:color w:val="auto"/>
          <w:u w:val="single"/>
          <w:vertAlign w:val="subscript"/>
        </w:rPr>
        <w:t>3</w:t>
      </w:r>
      <w:r>
        <w:rPr>
          <w:rFonts w:hint="eastAsia"/>
          <w:b/>
          <w:bCs/>
          <w:color w:val="auto"/>
          <w:u w:val="single"/>
        </w:rPr>
        <w:t xml:space="preserve">-N </w:t>
      </w:r>
      <w:r>
        <w:rPr>
          <w:rFonts w:hint="eastAsia"/>
          <w:b/>
          <w:bCs/>
          <w:color w:val="auto"/>
          <w:u w:val="single"/>
          <w:lang w:val="en-US" w:eastAsia="zh-CN"/>
        </w:rPr>
        <w:t>0.626</w:t>
      </w:r>
      <w:r>
        <w:rPr>
          <w:rFonts w:hint="eastAsia"/>
          <w:b/>
          <w:bCs/>
          <w:color w:val="auto"/>
          <w:u w:val="single"/>
        </w:rPr>
        <w:t>t/a。</w:t>
      </w:r>
    </w:p>
    <w:p>
      <w:pPr>
        <w:bidi w:val="0"/>
        <w:rPr>
          <w:rFonts w:hint="eastAsia"/>
          <w:b/>
          <w:bCs/>
          <w:color w:val="auto"/>
          <w:u w:val="single"/>
        </w:rPr>
      </w:pPr>
      <w:r>
        <w:rPr>
          <w:rFonts w:hint="eastAsia"/>
          <w:b/>
          <w:bCs/>
          <w:color w:val="auto"/>
          <w:u w:val="single"/>
        </w:rPr>
        <w:t>②本项目建成后全厂废气污染物总量控制指标：颗粒物</w:t>
      </w:r>
      <w:r>
        <w:rPr>
          <w:rFonts w:hint="eastAsia"/>
          <w:b/>
          <w:bCs/>
          <w:u w:val="single"/>
          <w:lang w:val="en-US" w:eastAsia="zh-CN"/>
        </w:rPr>
        <w:t>37.464t</w:t>
      </w:r>
      <w:r>
        <w:rPr>
          <w:rFonts w:hint="eastAsia"/>
          <w:b/>
          <w:bCs/>
          <w:color w:val="auto"/>
          <w:u w:val="single"/>
        </w:rPr>
        <w:t>/a。</w:t>
      </w:r>
    </w:p>
    <w:p>
      <w:pPr>
        <w:bidi w:val="0"/>
        <w:rPr>
          <w:color w:val="auto"/>
        </w:rPr>
      </w:pPr>
      <w:r>
        <w:rPr>
          <w:rFonts w:hint="eastAsia"/>
          <w:b/>
          <w:bCs/>
          <w:color w:val="auto"/>
          <w:u w:val="single"/>
        </w:rPr>
        <w:t>新增废气污染物总量指标为：颗粒物</w:t>
      </w:r>
      <w:r>
        <w:rPr>
          <w:rFonts w:hint="eastAsia"/>
          <w:b/>
          <w:bCs/>
          <w:color w:val="auto"/>
          <w:u w:val="single"/>
          <w:lang w:val="en-US" w:eastAsia="zh-CN"/>
        </w:rPr>
        <w:t>0.841</w:t>
      </w:r>
      <w:r>
        <w:rPr>
          <w:rFonts w:hint="eastAsia"/>
          <w:b/>
          <w:bCs/>
          <w:color w:val="auto"/>
          <w:u w:val="single"/>
        </w:rPr>
        <w:t>t/a。</w:t>
      </w:r>
    </w:p>
    <w:p>
      <w:pPr>
        <w:bidi w:val="0"/>
        <w:rPr>
          <w:rFonts w:hint="eastAsia"/>
          <w:b/>
          <w:bCs/>
          <w:u w:val="single"/>
        </w:rPr>
      </w:pPr>
      <w:r>
        <w:rPr>
          <w:rFonts w:hint="eastAsia"/>
          <w:b/>
          <w:bCs/>
          <w:u w:val="single"/>
        </w:rPr>
        <w:t>本项目新增水污染物排放量为COD 12.512t/a，NH</w:t>
      </w:r>
      <w:r>
        <w:rPr>
          <w:rFonts w:hint="eastAsia"/>
          <w:b/>
          <w:bCs/>
          <w:u w:val="single"/>
          <w:vertAlign w:val="subscript"/>
        </w:rPr>
        <w:t>3</w:t>
      </w:r>
      <w:r>
        <w:rPr>
          <w:rFonts w:hint="eastAsia"/>
          <w:b/>
          <w:bCs/>
          <w:u w:val="single"/>
        </w:rPr>
        <w:t>-N 0.626t/a。新增废气污染物总量指标为：颗粒物0.841t/a，本项目大气污染物需进行倍量替代，项目所需替代量为1.682 t/a；水污染物替代量为COD 12.512t/a，NH</w:t>
      </w:r>
      <w:r>
        <w:rPr>
          <w:rFonts w:hint="eastAsia"/>
          <w:b/>
          <w:bCs/>
          <w:u w:val="single"/>
          <w:vertAlign w:val="subscript"/>
        </w:rPr>
        <w:t>3</w:t>
      </w:r>
      <w:r>
        <w:rPr>
          <w:rFonts w:hint="eastAsia"/>
          <w:b/>
          <w:bCs/>
          <w:u w:val="single"/>
        </w:rPr>
        <w:t>-N 0.626t/a。其中颗粒物拟从河南晋开集团延化化工有限公司排污许可注销后核算的削减量131.6t/a中扣除，COD和氨氮拟从东兴实业污水处理厂提标改造拟形成的削减量182.5t/a和54.75t/a中扣除。</w:t>
      </w:r>
    </w:p>
    <w:p>
      <w:pPr>
        <w:bidi w:val="0"/>
        <w:rPr>
          <w:rFonts w:hint="eastAsia"/>
        </w:rPr>
      </w:pPr>
    </w:p>
    <w:p>
      <w:pPr>
        <w:bidi w:val="0"/>
        <w:rPr>
          <w:rFonts w:hint="eastAsia"/>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6"/>
        <w:bidi w:val="0"/>
        <w:rPr>
          <w:color w:val="auto"/>
        </w:rPr>
      </w:pPr>
      <w:bookmarkStart w:id="354" w:name="_Toc30165660"/>
      <w:bookmarkStart w:id="355" w:name="_Toc2103"/>
      <w:bookmarkStart w:id="356" w:name="_Toc67041074"/>
      <w:bookmarkStart w:id="357" w:name="_Toc32595"/>
      <w:bookmarkStart w:id="358" w:name="_Toc24960"/>
      <w:r>
        <w:rPr>
          <w:rFonts w:hint="eastAsia"/>
          <w:color w:val="auto"/>
        </w:rPr>
        <w:t xml:space="preserve">第七章  </w:t>
      </w:r>
      <w:r>
        <w:rPr>
          <w:color w:val="auto"/>
        </w:rPr>
        <w:t>环境影响经济损益分析</w:t>
      </w:r>
      <w:bookmarkEnd w:id="354"/>
      <w:bookmarkEnd w:id="355"/>
      <w:bookmarkEnd w:id="356"/>
      <w:bookmarkEnd w:id="357"/>
      <w:bookmarkEnd w:id="358"/>
    </w:p>
    <w:p>
      <w:pPr>
        <w:bidi w:val="0"/>
        <w:rPr>
          <w:color w:val="auto"/>
        </w:rPr>
      </w:pPr>
      <w:r>
        <w:rPr>
          <w:rFonts w:hint="eastAsia"/>
          <w:color w:val="auto"/>
        </w:rPr>
        <w:t>环境经济损益分析是建设项目环境影响评价的一个重要组成部分，它是综合评价判断建设项目的投资经济效益和环保措施是否能够补偿或多大程度上补偿由于项目的建设可能造成的环境影响和损失的重要依据。</w:t>
      </w:r>
    </w:p>
    <w:p>
      <w:pPr>
        <w:pStyle w:val="7"/>
        <w:bidi w:val="0"/>
        <w:rPr>
          <w:color w:val="auto"/>
        </w:rPr>
      </w:pPr>
      <w:bookmarkStart w:id="359" w:name="_Toc32492"/>
      <w:r>
        <w:rPr>
          <w:rFonts w:hint="eastAsia"/>
          <w:color w:val="auto"/>
        </w:rPr>
        <w:t>7.1社会效益分析</w:t>
      </w:r>
      <w:bookmarkEnd w:id="359"/>
    </w:p>
    <w:p>
      <w:pPr>
        <w:bidi w:val="0"/>
        <w:rPr>
          <w:color w:val="auto"/>
        </w:rPr>
      </w:pPr>
      <w:r>
        <w:rPr>
          <w:rFonts w:hint="eastAsia"/>
          <w:color w:val="auto"/>
        </w:rPr>
        <w:t>新乡化纤股份有限公司年产5000吨菌草生物质纤维产业化研发中试项目具有的社会效益：</w:t>
      </w:r>
    </w:p>
    <w:p>
      <w:pPr>
        <w:bidi w:val="0"/>
        <w:rPr>
          <w:color w:val="auto"/>
        </w:rPr>
      </w:pPr>
      <w:r>
        <w:rPr>
          <w:rFonts w:hint="eastAsia"/>
          <w:color w:val="auto"/>
        </w:rPr>
        <w:t>（1）新乡化纤股份有限公司拟投资</w:t>
      </w:r>
      <w:r>
        <w:rPr>
          <w:color w:val="auto"/>
        </w:rPr>
        <w:t>10000</w:t>
      </w:r>
      <w:r>
        <w:rPr>
          <w:rFonts w:hint="eastAsia"/>
          <w:color w:val="auto"/>
        </w:rPr>
        <w:t>万元、在新乡市新乡工业产业集聚区（含新乡经济技术开发区）新长北路南侧建设年产5000吨菌草生物质纤维产业化研发中试项目。本项目的建设，在为企业创造经济效益的同时，还可增加当地财政收入，带动当地经济发展和产业结构调整。</w:t>
      </w:r>
    </w:p>
    <w:p>
      <w:pPr>
        <w:bidi w:val="0"/>
        <w:rPr>
          <w:color w:val="auto"/>
        </w:rPr>
      </w:pPr>
      <w:r>
        <w:rPr>
          <w:rFonts w:hint="eastAsia"/>
          <w:color w:val="auto"/>
        </w:rPr>
        <w:t>（2）本项目符合国家的产业政策，选址符合城市规划和土地政策。项目投产后，公司既满足了市场需求，又为当地经济发展</w:t>
      </w:r>
      <w:r>
        <w:rPr>
          <w:rFonts w:hint="eastAsia"/>
          <w:color w:val="auto"/>
          <w:lang w:eastAsia="zh-CN"/>
        </w:rPr>
        <w:t>做出</w:t>
      </w:r>
      <w:r>
        <w:rPr>
          <w:rFonts w:hint="eastAsia"/>
          <w:color w:val="auto"/>
        </w:rPr>
        <w:t>了贡献；还能拉动了周边相关产业的发展，对当地的社会经济发展起到积极作用；生产需要各种辅助原料，以及产品的流通，可带动和促进当地相应的工业、交通运输业的发展，更能促进区域经济多方面的交流发展。因此，项目的建设社会效益显著。</w:t>
      </w:r>
    </w:p>
    <w:p>
      <w:pPr>
        <w:bidi w:val="0"/>
        <w:rPr>
          <w:color w:val="auto"/>
        </w:rPr>
      </w:pPr>
      <w:r>
        <w:rPr>
          <w:rFonts w:hint="eastAsia"/>
          <w:color w:val="auto"/>
        </w:rPr>
        <w:t>（3）工程的建设可稳固当地居民的就业需求，同时促进社会的稳定发展，增加当地居民收入，提高居民的整体生活水平，有利于社会的安定，为企业的发展提供良好的群众基础。</w:t>
      </w:r>
    </w:p>
    <w:p>
      <w:pPr>
        <w:bidi w:val="0"/>
        <w:rPr>
          <w:color w:val="auto"/>
        </w:rPr>
      </w:pPr>
      <w:r>
        <w:rPr>
          <w:rFonts w:hint="eastAsia"/>
          <w:color w:val="auto"/>
        </w:rPr>
        <w:t>综上所述，项目的建设可有效地促进当地社会和经济的协调发展，评价认为，项目的建设具有良好的社会效益。</w:t>
      </w:r>
    </w:p>
    <w:p>
      <w:pPr>
        <w:pStyle w:val="7"/>
        <w:bidi w:val="0"/>
        <w:rPr>
          <w:color w:val="auto"/>
        </w:rPr>
      </w:pPr>
      <w:bookmarkStart w:id="360" w:name="_Toc1606"/>
      <w:r>
        <w:rPr>
          <w:rFonts w:hint="eastAsia"/>
          <w:color w:val="auto"/>
        </w:rPr>
        <w:t>7.2经济效益分析</w:t>
      </w:r>
      <w:bookmarkEnd w:id="360"/>
    </w:p>
    <w:p>
      <w:pPr>
        <w:bidi w:val="0"/>
        <w:rPr>
          <w:color w:val="auto"/>
        </w:rPr>
      </w:pPr>
      <w:r>
        <w:rPr>
          <w:rFonts w:hint="eastAsia"/>
          <w:color w:val="auto"/>
        </w:rPr>
        <w:t>根据建设单位提供的本项目的建议书及其他经济数据，本项目的主要经济指标初步概算数据见下表：</w:t>
      </w:r>
    </w:p>
    <w:p>
      <w:pPr>
        <w:pStyle w:val="181"/>
        <w:bidi w:val="0"/>
        <w:rPr>
          <w:color w:val="auto"/>
        </w:rPr>
      </w:pPr>
      <w:r>
        <w:rPr>
          <w:rFonts w:hint="eastAsia"/>
          <w:color w:val="auto"/>
        </w:rPr>
        <w:t>表</w:t>
      </w:r>
      <w:r>
        <w:rPr>
          <w:color w:val="auto"/>
        </w:rPr>
        <w:t>7.2</w:t>
      </w:r>
      <w:r>
        <w:rPr>
          <w:rFonts w:hint="eastAsia"/>
          <w:color w:val="auto"/>
        </w:rPr>
        <w:t>-</w:t>
      </w:r>
      <w:r>
        <w:rPr>
          <w:color w:val="auto"/>
        </w:rPr>
        <w:t xml:space="preserve">1  </w:t>
      </w:r>
      <w:r>
        <w:rPr>
          <w:rFonts w:hint="eastAsia"/>
          <w:color w:val="auto"/>
          <w:lang w:val="en-US" w:eastAsia="zh-CN"/>
        </w:rPr>
        <w:t xml:space="preserve">             </w:t>
      </w:r>
      <w:r>
        <w:rPr>
          <w:rFonts w:hint="eastAsia"/>
          <w:color w:val="auto"/>
        </w:rPr>
        <w:t>工程经济效益分析</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52"/>
        <w:gridCol w:w="3085"/>
        <w:gridCol w:w="1734"/>
        <w:gridCol w:w="26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17" w:type="pct"/>
            <w:tcBorders>
              <w:bottom w:val="single" w:color="auto" w:sz="8" w:space="0"/>
            </w:tcBorders>
            <w:vAlign w:val="center"/>
          </w:tcPr>
          <w:p>
            <w:pPr>
              <w:pStyle w:val="182"/>
              <w:bidi w:val="0"/>
              <w:rPr>
                <w:b/>
                <w:bCs/>
                <w:color w:val="auto"/>
                <w:u w:val="single"/>
              </w:rPr>
            </w:pPr>
            <w:r>
              <w:rPr>
                <w:rFonts w:hint="eastAsia"/>
                <w:b/>
                <w:bCs/>
                <w:color w:val="auto"/>
                <w:u w:val="single"/>
              </w:rPr>
              <w:t>序号</w:t>
            </w:r>
          </w:p>
        </w:tc>
        <w:tc>
          <w:tcPr>
            <w:tcW w:w="1809" w:type="pct"/>
            <w:tcBorders>
              <w:bottom w:val="single" w:color="auto" w:sz="8" w:space="0"/>
            </w:tcBorders>
            <w:vAlign w:val="center"/>
          </w:tcPr>
          <w:p>
            <w:pPr>
              <w:pStyle w:val="182"/>
              <w:bidi w:val="0"/>
              <w:rPr>
                <w:b/>
                <w:bCs/>
                <w:color w:val="auto"/>
                <w:u w:val="single"/>
              </w:rPr>
            </w:pPr>
            <w:r>
              <w:rPr>
                <w:rFonts w:hint="eastAsia"/>
                <w:b/>
                <w:bCs/>
                <w:color w:val="auto"/>
                <w:u w:val="single"/>
              </w:rPr>
              <w:t>项目</w:t>
            </w:r>
          </w:p>
        </w:tc>
        <w:tc>
          <w:tcPr>
            <w:tcW w:w="1017" w:type="pct"/>
            <w:tcBorders>
              <w:bottom w:val="single" w:color="auto" w:sz="8" w:space="0"/>
            </w:tcBorders>
            <w:vAlign w:val="center"/>
          </w:tcPr>
          <w:p>
            <w:pPr>
              <w:pStyle w:val="182"/>
              <w:bidi w:val="0"/>
              <w:rPr>
                <w:b/>
                <w:bCs/>
                <w:color w:val="auto"/>
                <w:u w:val="single"/>
              </w:rPr>
            </w:pPr>
            <w:r>
              <w:rPr>
                <w:rFonts w:hint="eastAsia"/>
                <w:b/>
                <w:bCs/>
                <w:color w:val="auto"/>
                <w:u w:val="single"/>
              </w:rPr>
              <w:t>单位</w:t>
            </w:r>
          </w:p>
        </w:tc>
        <w:tc>
          <w:tcPr>
            <w:tcW w:w="1555" w:type="pct"/>
            <w:tcBorders>
              <w:bottom w:val="single" w:color="auto" w:sz="8" w:space="0"/>
            </w:tcBorders>
            <w:vAlign w:val="center"/>
          </w:tcPr>
          <w:p>
            <w:pPr>
              <w:pStyle w:val="182"/>
              <w:bidi w:val="0"/>
              <w:rPr>
                <w:b/>
                <w:bCs/>
                <w:color w:val="auto"/>
                <w:u w:val="single"/>
              </w:rPr>
            </w:pPr>
            <w:r>
              <w:rPr>
                <w:rFonts w:hint="eastAsia"/>
                <w:b/>
                <w:bCs/>
                <w:color w:val="auto"/>
                <w:u w:val="single"/>
              </w:rPr>
              <w:t>数量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17" w:type="pct"/>
            <w:tcBorders>
              <w:top w:val="single" w:color="auto" w:sz="8" w:space="0"/>
            </w:tcBorders>
            <w:vAlign w:val="center"/>
          </w:tcPr>
          <w:p>
            <w:pPr>
              <w:pStyle w:val="182"/>
              <w:bidi w:val="0"/>
              <w:rPr>
                <w:b/>
                <w:bCs/>
                <w:color w:val="auto"/>
                <w:u w:val="single"/>
              </w:rPr>
            </w:pPr>
            <w:r>
              <w:rPr>
                <w:b/>
                <w:bCs/>
                <w:color w:val="auto"/>
                <w:u w:val="single"/>
              </w:rPr>
              <w:t>1</w:t>
            </w:r>
          </w:p>
        </w:tc>
        <w:tc>
          <w:tcPr>
            <w:tcW w:w="1809" w:type="pct"/>
            <w:tcBorders>
              <w:top w:val="single" w:color="auto" w:sz="8" w:space="0"/>
            </w:tcBorders>
            <w:vAlign w:val="center"/>
          </w:tcPr>
          <w:p>
            <w:pPr>
              <w:pStyle w:val="182"/>
              <w:bidi w:val="0"/>
              <w:rPr>
                <w:b/>
                <w:bCs/>
                <w:color w:val="auto"/>
                <w:u w:val="single"/>
              </w:rPr>
            </w:pPr>
            <w:r>
              <w:rPr>
                <w:rFonts w:hint="eastAsia"/>
                <w:b/>
                <w:bCs/>
                <w:color w:val="auto"/>
                <w:u w:val="single"/>
              </w:rPr>
              <w:t>总投资</w:t>
            </w:r>
          </w:p>
        </w:tc>
        <w:tc>
          <w:tcPr>
            <w:tcW w:w="1017" w:type="pct"/>
            <w:tcBorders>
              <w:top w:val="single" w:color="auto" w:sz="8" w:space="0"/>
            </w:tcBorders>
            <w:vAlign w:val="center"/>
          </w:tcPr>
          <w:p>
            <w:pPr>
              <w:pStyle w:val="182"/>
              <w:bidi w:val="0"/>
              <w:rPr>
                <w:b/>
                <w:bCs/>
                <w:color w:val="auto"/>
                <w:u w:val="single"/>
              </w:rPr>
            </w:pPr>
            <w:r>
              <w:rPr>
                <w:rFonts w:hint="eastAsia"/>
                <w:b/>
                <w:bCs/>
                <w:color w:val="auto"/>
                <w:u w:val="single"/>
              </w:rPr>
              <w:t>万元</w:t>
            </w:r>
          </w:p>
        </w:tc>
        <w:tc>
          <w:tcPr>
            <w:tcW w:w="1555" w:type="pct"/>
            <w:tcBorders>
              <w:top w:val="single" w:color="auto" w:sz="8" w:space="0"/>
            </w:tcBorders>
            <w:vAlign w:val="center"/>
          </w:tcPr>
          <w:p>
            <w:pPr>
              <w:pStyle w:val="182"/>
              <w:bidi w:val="0"/>
              <w:rPr>
                <w:b/>
                <w:bCs/>
                <w:color w:val="auto"/>
                <w:u w:val="single"/>
              </w:rPr>
            </w:pPr>
            <w:r>
              <w:rPr>
                <w:rFonts w:hint="eastAsia"/>
                <w:b/>
                <w:bCs/>
                <w:color w:val="auto"/>
                <w:u w:val="single"/>
              </w:rPr>
              <w:t>1</w:t>
            </w:r>
            <w:r>
              <w:rPr>
                <w:b/>
                <w:bCs/>
                <w:color w:val="auto"/>
                <w:u w:val="single"/>
              </w:rPr>
              <w:t>0000</w:t>
            </w:r>
          </w:p>
        </w:tc>
      </w:tr>
    </w:tbl>
    <w:p>
      <w:pPr>
        <w:bidi w:val="0"/>
        <w:rPr>
          <w:color w:val="auto"/>
        </w:rPr>
      </w:pPr>
      <w:r>
        <w:rPr>
          <w:rFonts w:hint="eastAsia"/>
          <w:b/>
          <w:bCs/>
          <w:color w:val="auto"/>
          <w:u w:val="single"/>
        </w:rPr>
        <w:t>本项目</w:t>
      </w:r>
      <w:r>
        <w:rPr>
          <w:rFonts w:hint="eastAsia"/>
          <w:b/>
          <w:bCs/>
          <w:color w:val="auto"/>
          <w:u w:val="single"/>
          <w:lang w:val="en-US" w:eastAsia="zh-CN"/>
        </w:rPr>
        <w:t>总投资10000万元，用于菌草生物质纤维产业化研发中试，项目生产的产品不做销售用途，没有</w:t>
      </w:r>
      <w:r>
        <w:rPr>
          <w:rFonts w:hint="eastAsia"/>
          <w:b/>
          <w:bCs/>
          <w:color w:val="auto"/>
          <w:u w:val="single"/>
        </w:rPr>
        <w:t>销售收入</w:t>
      </w:r>
      <w:r>
        <w:rPr>
          <w:rFonts w:hint="eastAsia"/>
          <w:b/>
          <w:bCs/>
          <w:color w:val="auto"/>
        </w:rPr>
        <w:t>。</w:t>
      </w:r>
    </w:p>
    <w:p>
      <w:pPr>
        <w:pStyle w:val="7"/>
        <w:bidi w:val="0"/>
        <w:rPr>
          <w:color w:val="auto"/>
        </w:rPr>
      </w:pPr>
      <w:bookmarkStart w:id="361" w:name="_Toc11580"/>
      <w:r>
        <w:rPr>
          <w:rFonts w:hint="eastAsia"/>
          <w:color w:val="auto"/>
        </w:rPr>
        <w:t>7.3环境损益分析</w:t>
      </w:r>
      <w:bookmarkEnd w:id="361"/>
    </w:p>
    <w:p>
      <w:pPr>
        <w:pStyle w:val="9"/>
        <w:bidi w:val="0"/>
        <w:rPr>
          <w:color w:val="auto"/>
        </w:rPr>
      </w:pPr>
      <w:r>
        <w:rPr>
          <w:rFonts w:hint="eastAsia"/>
          <w:color w:val="auto"/>
        </w:rPr>
        <w:t>7.3.1环保投资概算</w:t>
      </w:r>
    </w:p>
    <w:p>
      <w:pPr>
        <w:bidi w:val="0"/>
        <w:rPr>
          <w:b/>
          <w:bCs/>
          <w:color w:val="auto"/>
          <w:u w:val="single"/>
        </w:rPr>
      </w:pPr>
      <w:r>
        <w:rPr>
          <w:rFonts w:hint="eastAsia"/>
          <w:b/>
          <w:bCs/>
          <w:color w:val="auto"/>
          <w:u w:val="single"/>
        </w:rPr>
        <w:t>根据前述污染防治措施分析结果，本项目总投资</w:t>
      </w:r>
      <w:r>
        <w:rPr>
          <w:b/>
          <w:bCs/>
          <w:color w:val="auto"/>
          <w:u w:val="single"/>
        </w:rPr>
        <w:t>10</w:t>
      </w:r>
      <w:r>
        <w:rPr>
          <w:rFonts w:hint="eastAsia"/>
          <w:b/>
          <w:bCs/>
          <w:color w:val="auto"/>
          <w:u w:val="single"/>
        </w:rPr>
        <w:t>000万元，为了对生产过程中产生的废气、废水、噪声及固废等污染源进行防治，以减少污染物排放量，降低排放浓度，其环环保投资约</w:t>
      </w:r>
      <w:r>
        <w:rPr>
          <w:b/>
          <w:bCs/>
          <w:color w:val="auto"/>
          <w:u w:val="single"/>
        </w:rPr>
        <w:t>1</w:t>
      </w:r>
      <w:r>
        <w:rPr>
          <w:rFonts w:hint="eastAsia"/>
          <w:b/>
          <w:bCs/>
          <w:color w:val="auto"/>
          <w:u w:val="single"/>
          <w:lang w:val="en-US" w:eastAsia="zh-CN"/>
        </w:rPr>
        <w:t>3</w:t>
      </w:r>
      <w:r>
        <w:rPr>
          <w:b/>
          <w:bCs/>
          <w:color w:val="auto"/>
          <w:u w:val="single"/>
        </w:rPr>
        <w:t>5</w:t>
      </w:r>
      <w:r>
        <w:rPr>
          <w:rFonts w:hint="eastAsia"/>
          <w:b/>
          <w:bCs/>
          <w:color w:val="auto"/>
          <w:u w:val="single"/>
        </w:rPr>
        <w:t>万元，占总投资的</w:t>
      </w:r>
      <w:r>
        <w:rPr>
          <w:b/>
          <w:bCs/>
          <w:color w:val="auto"/>
          <w:u w:val="single"/>
        </w:rPr>
        <w:t>1</w:t>
      </w:r>
      <w:r>
        <w:rPr>
          <w:rFonts w:hint="eastAsia"/>
          <w:b/>
          <w:bCs/>
          <w:color w:val="auto"/>
          <w:u w:val="single"/>
          <w:lang w:val="en-US" w:eastAsia="zh-CN"/>
        </w:rPr>
        <w:t>.3</w:t>
      </w:r>
      <w:r>
        <w:rPr>
          <w:b/>
          <w:bCs/>
          <w:color w:val="auto"/>
          <w:u w:val="single"/>
        </w:rPr>
        <w:t>5</w:t>
      </w:r>
      <w:r>
        <w:rPr>
          <w:rFonts w:hint="eastAsia"/>
          <w:b/>
          <w:bCs/>
          <w:color w:val="auto"/>
          <w:u w:val="single"/>
        </w:rPr>
        <w:t>%，在企业的可接受范围内。环保投资主要投资内容及投资估算详见6</w:t>
      </w:r>
      <w:r>
        <w:rPr>
          <w:b/>
          <w:bCs/>
          <w:color w:val="auto"/>
          <w:u w:val="single"/>
        </w:rPr>
        <w:t>.3</w:t>
      </w:r>
      <w:r>
        <w:rPr>
          <w:rFonts w:hint="eastAsia"/>
          <w:b/>
          <w:bCs/>
          <w:color w:val="auto"/>
          <w:u w:val="single"/>
        </w:rPr>
        <w:t>。</w:t>
      </w:r>
    </w:p>
    <w:p>
      <w:pPr>
        <w:pStyle w:val="9"/>
        <w:bidi w:val="0"/>
        <w:rPr>
          <w:color w:val="auto"/>
        </w:rPr>
      </w:pPr>
      <w:r>
        <w:rPr>
          <w:rFonts w:hint="eastAsia"/>
          <w:color w:val="auto"/>
        </w:rPr>
        <w:t>7.3.2环保运行费用估算</w:t>
      </w:r>
    </w:p>
    <w:p>
      <w:pPr>
        <w:bidi w:val="0"/>
        <w:rPr>
          <w:color w:val="auto"/>
        </w:rPr>
      </w:pPr>
      <w:r>
        <w:rPr>
          <w:rFonts w:hint="eastAsia"/>
          <w:color w:val="auto"/>
        </w:rPr>
        <w:t>工程完成后项目环保运行费用主要包括环保设备的维修费、折旧费、环保管理及其他费用，成本费用主要包括原辅材料消耗费，动力消耗费及人员工资，福利等。设备的折旧年限为15年，设备的修理费率为2.5%。为使项目环保治理设施正常运行，并达到预期的治理效果，环保运行费用估算：</w:t>
      </w:r>
    </w:p>
    <w:p>
      <w:pPr>
        <w:bidi w:val="0"/>
        <w:rPr>
          <w:color w:val="auto"/>
        </w:rPr>
      </w:pPr>
      <w:r>
        <w:rPr>
          <w:rFonts w:hint="eastAsia"/>
          <w:color w:val="auto"/>
        </w:rPr>
        <w:t>（1）环保设施运营费及修理费</w:t>
      </w:r>
    </w:p>
    <w:p>
      <w:pPr>
        <w:bidi w:val="0"/>
        <w:rPr>
          <w:b/>
          <w:bCs/>
          <w:color w:val="auto"/>
          <w:u w:val="single"/>
        </w:rPr>
      </w:pPr>
      <w:r>
        <w:rPr>
          <w:rFonts w:hint="eastAsia"/>
          <w:b/>
          <w:bCs/>
          <w:color w:val="auto"/>
          <w:u w:val="single"/>
        </w:rPr>
        <w:t>根据防污减污措施评价，本项目污染防治措施的运行费用主要为污水站运行费、废气治理设施运行费用和危险废物处置费用。运营费用按照环保总投资的20%估算，设备的修理费用按照环保总投资的2.5%估算，则项目环保设施运营费用约为</w:t>
      </w:r>
      <w:r>
        <w:rPr>
          <w:rFonts w:hint="eastAsia"/>
          <w:b/>
          <w:bCs/>
          <w:color w:val="auto"/>
          <w:u w:val="single"/>
          <w:lang w:val="en-US" w:eastAsia="zh-CN"/>
        </w:rPr>
        <w:t>27</w:t>
      </w:r>
      <w:r>
        <w:rPr>
          <w:rFonts w:hint="eastAsia"/>
          <w:b/>
          <w:bCs/>
          <w:color w:val="auto"/>
          <w:u w:val="single"/>
        </w:rPr>
        <w:t>万元，环保设备的修理费约为</w:t>
      </w:r>
      <w:r>
        <w:rPr>
          <w:rFonts w:hint="eastAsia"/>
          <w:b/>
          <w:bCs/>
          <w:color w:val="auto"/>
          <w:u w:val="single"/>
          <w:lang w:val="en-US" w:eastAsia="zh-CN"/>
        </w:rPr>
        <w:t>3.375</w:t>
      </w:r>
      <w:r>
        <w:rPr>
          <w:rFonts w:hint="eastAsia"/>
          <w:b/>
          <w:bCs/>
          <w:color w:val="auto"/>
          <w:u w:val="single"/>
        </w:rPr>
        <w:t>万元。</w:t>
      </w:r>
    </w:p>
    <w:p>
      <w:pPr>
        <w:bidi w:val="0"/>
        <w:rPr>
          <w:color w:val="auto"/>
        </w:rPr>
      </w:pPr>
      <w:r>
        <w:rPr>
          <w:rFonts w:hint="eastAsia"/>
          <w:color w:val="auto"/>
        </w:rPr>
        <w:t>（2）环保设施折旧费</w:t>
      </w:r>
    </w:p>
    <w:p>
      <w:pPr>
        <w:bidi w:val="0"/>
        <w:rPr>
          <w:color w:val="auto"/>
        </w:rPr>
      </w:pPr>
      <w:r>
        <w:rPr>
          <w:rFonts w:hint="eastAsia"/>
          <w:color w:val="auto"/>
        </w:rPr>
        <w:t>项目环保设施运营期间会产生环保设施的折旧费，项目按照折旧年限15年进行考虑，项目环保设施的折旧费用计算如下：</w:t>
      </w:r>
    </w:p>
    <w:p>
      <w:pPr>
        <w:spacing w:line="520" w:lineRule="exact"/>
        <w:ind w:left="0" w:leftChars="0" w:firstLine="0" w:firstLineChars="0"/>
        <w:jc w:val="center"/>
        <w:rPr>
          <w:color w:val="auto"/>
        </w:rPr>
      </w:pPr>
      <w:r>
        <w:rPr>
          <w:color w:val="auto"/>
        </w:rPr>
        <w:t>C</w:t>
      </w:r>
      <w:r>
        <w:rPr>
          <w:color w:val="auto"/>
          <w:vertAlign w:val="subscript"/>
        </w:rPr>
        <w:t>2</w:t>
      </w:r>
      <w:r>
        <w:rPr>
          <w:color w:val="auto"/>
        </w:rPr>
        <w:t>=a×C</w:t>
      </w:r>
      <w:r>
        <w:rPr>
          <w:color w:val="auto"/>
          <w:vertAlign w:val="subscript"/>
        </w:rPr>
        <w:t>0</w:t>
      </w:r>
      <w:r>
        <w:rPr>
          <w:color w:val="auto"/>
        </w:rPr>
        <w:t>/n</w:t>
      </w:r>
    </w:p>
    <w:p>
      <w:pPr>
        <w:bidi w:val="0"/>
        <w:rPr>
          <w:color w:val="auto"/>
        </w:rPr>
      </w:pPr>
      <w:r>
        <w:rPr>
          <w:rFonts w:hint="eastAsia"/>
          <w:color w:val="auto"/>
        </w:rPr>
        <w:t>式中：a—固定资产形成率，取90%；</w:t>
      </w:r>
    </w:p>
    <w:p>
      <w:pPr>
        <w:bidi w:val="0"/>
        <w:ind w:firstLine="1200" w:firstLineChars="500"/>
        <w:rPr>
          <w:color w:val="auto"/>
        </w:rPr>
      </w:pPr>
      <w:r>
        <w:rPr>
          <w:rFonts w:hint="eastAsia"/>
          <w:color w:val="auto"/>
        </w:rPr>
        <w:t>n—折旧年限，取15年；</w:t>
      </w:r>
    </w:p>
    <w:p>
      <w:pPr>
        <w:bidi w:val="0"/>
        <w:ind w:firstLine="1200" w:firstLineChars="500"/>
        <w:rPr>
          <w:color w:val="auto"/>
        </w:rPr>
      </w:pPr>
      <w:r>
        <w:rPr>
          <w:rFonts w:hint="eastAsia"/>
          <w:color w:val="auto"/>
        </w:rPr>
        <w:t>C</w:t>
      </w:r>
      <w:r>
        <w:rPr>
          <w:rFonts w:hint="eastAsia"/>
          <w:color w:val="auto"/>
          <w:vertAlign w:val="subscript"/>
        </w:rPr>
        <w:t>0</w:t>
      </w:r>
      <w:r>
        <w:rPr>
          <w:rFonts w:hint="eastAsia"/>
          <w:color w:val="auto"/>
        </w:rPr>
        <w:t>—环保设施投资。</w:t>
      </w:r>
    </w:p>
    <w:p>
      <w:pPr>
        <w:bidi w:val="0"/>
        <w:ind w:firstLine="1205" w:firstLineChars="500"/>
        <w:rPr>
          <w:b/>
          <w:bCs/>
          <w:color w:val="auto"/>
          <w:u w:val="single"/>
        </w:rPr>
      </w:pPr>
      <w:r>
        <w:rPr>
          <w:rFonts w:hint="eastAsia"/>
          <w:b/>
          <w:bCs/>
          <w:color w:val="auto"/>
          <w:u w:val="single"/>
        </w:rPr>
        <w:t>经计算，项目环保设施折旧费为</w:t>
      </w:r>
      <w:r>
        <w:rPr>
          <w:rFonts w:hint="eastAsia"/>
          <w:b/>
          <w:bCs/>
          <w:color w:val="auto"/>
          <w:u w:val="single"/>
          <w:lang w:val="en-US" w:eastAsia="zh-CN"/>
        </w:rPr>
        <w:t>8.1</w:t>
      </w:r>
      <w:r>
        <w:rPr>
          <w:rFonts w:hint="eastAsia"/>
          <w:b/>
          <w:bCs/>
          <w:color w:val="auto"/>
          <w:u w:val="single"/>
        </w:rPr>
        <w:t>万元。</w:t>
      </w:r>
    </w:p>
    <w:p>
      <w:pPr>
        <w:bidi w:val="0"/>
        <w:rPr>
          <w:color w:val="auto"/>
        </w:rPr>
      </w:pPr>
      <w:r>
        <w:rPr>
          <w:rFonts w:hint="eastAsia"/>
          <w:color w:val="auto"/>
        </w:rPr>
        <w:t>（3）环保管理费</w:t>
      </w:r>
    </w:p>
    <w:p>
      <w:pPr>
        <w:bidi w:val="0"/>
        <w:rPr>
          <w:b/>
          <w:bCs/>
          <w:color w:val="auto"/>
          <w:u w:val="single"/>
        </w:rPr>
      </w:pPr>
      <w:r>
        <w:rPr>
          <w:rFonts w:hint="eastAsia"/>
          <w:b/>
          <w:bCs/>
          <w:color w:val="auto"/>
          <w:u w:val="single"/>
        </w:rPr>
        <w:t>环保管理费用包括管理部门的办公费、</w:t>
      </w:r>
      <w:r>
        <w:rPr>
          <w:rFonts w:hint="eastAsia"/>
          <w:b/>
          <w:bCs/>
          <w:color w:val="auto"/>
          <w:u w:val="single"/>
          <w:lang w:eastAsia="zh-CN"/>
        </w:rPr>
        <w:t>检测费</w:t>
      </w:r>
      <w:r>
        <w:rPr>
          <w:rFonts w:hint="eastAsia"/>
          <w:b/>
          <w:bCs/>
          <w:color w:val="auto"/>
          <w:u w:val="single"/>
        </w:rPr>
        <w:t>和技术咨询费等，按环保设施投资折旧费用与运行费用的5%计算，则项目运营期环保管理费为</w:t>
      </w:r>
      <w:r>
        <w:rPr>
          <w:rFonts w:hint="eastAsia"/>
          <w:b/>
          <w:bCs/>
          <w:color w:val="auto"/>
          <w:u w:val="single"/>
          <w:lang w:val="en-US" w:eastAsia="zh-CN"/>
        </w:rPr>
        <w:t>1.755</w:t>
      </w:r>
      <w:r>
        <w:rPr>
          <w:rFonts w:hint="eastAsia"/>
          <w:b/>
          <w:bCs/>
          <w:color w:val="auto"/>
          <w:u w:val="single"/>
        </w:rPr>
        <w:t>万元。</w:t>
      </w:r>
    </w:p>
    <w:p>
      <w:pPr>
        <w:bidi w:val="0"/>
        <w:rPr>
          <w:color w:val="auto"/>
        </w:rPr>
      </w:pPr>
      <w:r>
        <w:rPr>
          <w:rFonts w:hint="eastAsia"/>
          <w:color w:val="auto"/>
        </w:rPr>
        <w:t>（4）环保税</w:t>
      </w:r>
    </w:p>
    <w:p>
      <w:pPr>
        <w:bidi w:val="0"/>
        <w:rPr>
          <w:rFonts w:hint="eastAsia"/>
          <w:color w:val="auto"/>
        </w:rPr>
      </w:pPr>
      <w:r>
        <w:rPr>
          <w:rFonts w:hint="eastAsia"/>
          <w:color w:val="auto"/>
        </w:rPr>
        <w:t>根据《中华人民共和国环境保护税法》的规定，水污染物税额为每污染当量1.4元，本项目环保税情况见下表</w:t>
      </w:r>
      <w:r>
        <w:rPr>
          <w:color w:val="auto"/>
        </w:rPr>
        <w:t>7.3</w:t>
      </w:r>
      <w:r>
        <w:rPr>
          <w:rFonts w:hint="eastAsia"/>
          <w:color w:val="auto"/>
        </w:rPr>
        <w:t>-</w:t>
      </w:r>
      <w:r>
        <w:rPr>
          <w:color w:val="auto"/>
        </w:rPr>
        <w:t>1</w:t>
      </w:r>
      <w:r>
        <w:rPr>
          <w:rFonts w:hint="eastAsia"/>
          <w:color w:val="auto"/>
        </w:rPr>
        <w:t>。</w:t>
      </w:r>
    </w:p>
    <w:p>
      <w:pPr>
        <w:pStyle w:val="181"/>
        <w:bidi w:val="0"/>
        <w:rPr>
          <w:b/>
          <w:bCs/>
          <w:color w:val="auto"/>
          <w:u w:val="single"/>
        </w:rPr>
      </w:pPr>
      <w:r>
        <w:rPr>
          <w:rFonts w:hint="eastAsia"/>
          <w:b/>
          <w:bCs/>
          <w:color w:val="auto"/>
          <w:u w:val="single"/>
        </w:rPr>
        <w:t>表</w:t>
      </w:r>
      <w:r>
        <w:rPr>
          <w:b/>
          <w:bCs/>
          <w:color w:val="auto"/>
          <w:u w:val="single"/>
        </w:rPr>
        <w:t>7.3</w:t>
      </w:r>
      <w:r>
        <w:rPr>
          <w:rFonts w:hint="eastAsia"/>
          <w:b/>
          <w:bCs/>
          <w:color w:val="auto"/>
          <w:u w:val="single"/>
        </w:rPr>
        <w:t>-</w:t>
      </w:r>
      <w:r>
        <w:rPr>
          <w:b/>
          <w:bCs/>
          <w:color w:val="auto"/>
          <w:u w:val="single"/>
        </w:rPr>
        <w:t xml:space="preserve">1  </w:t>
      </w:r>
      <w:r>
        <w:rPr>
          <w:rFonts w:hint="eastAsia"/>
          <w:b/>
          <w:bCs/>
          <w:color w:val="auto"/>
          <w:u w:val="single"/>
          <w:lang w:val="en-US" w:eastAsia="zh-CN"/>
        </w:rPr>
        <w:t xml:space="preserve">                </w:t>
      </w:r>
      <w:r>
        <w:rPr>
          <w:rFonts w:hint="eastAsia"/>
          <w:b/>
          <w:bCs/>
          <w:color w:val="auto"/>
          <w:u w:val="single"/>
        </w:rPr>
        <w:t>环保税一览表</w:t>
      </w:r>
    </w:p>
    <w:tbl>
      <w:tblPr>
        <w:tblStyle w:val="33"/>
        <w:tblW w:w="89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134"/>
        <w:gridCol w:w="1701"/>
        <w:gridCol w:w="1985"/>
        <w:gridCol w:w="1417"/>
        <w:gridCol w:w="1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8" w:type="dxa"/>
            <w:gridSpan w:val="2"/>
            <w:vAlign w:val="center"/>
          </w:tcPr>
          <w:p>
            <w:pPr>
              <w:pStyle w:val="182"/>
              <w:bidi w:val="0"/>
              <w:rPr>
                <w:b/>
                <w:bCs/>
                <w:color w:val="auto"/>
                <w:u w:val="single"/>
              </w:rPr>
            </w:pPr>
            <w:r>
              <w:rPr>
                <w:rFonts w:hint="eastAsia"/>
                <w:b/>
                <w:bCs/>
                <w:color w:val="auto"/>
                <w:u w:val="single"/>
              </w:rPr>
              <w:t>污染物</w:t>
            </w:r>
          </w:p>
        </w:tc>
        <w:tc>
          <w:tcPr>
            <w:tcW w:w="1701" w:type="dxa"/>
            <w:vAlign w:val="center"/>
          </w:tcPr>
          <w:p>
            <w:pPr>
              <w:pStyle w:val="182"/>
              <w:bidi w:val="0"/>
              <w:rPr>
                <w:b/>
                <w:bCs/>
                <w:color w:val="auto"/>
                <w:u w:val="single"/>
              </w:rPr>
            </w:pPr>
            <w:r>
              <w:rPr>
                <w:rFonts w:hint="eastAsia"/>
                <w:b/>
                <w:bCs/>
                <w:color w:val="auto"/>
                <w:u w:val="single"/>
              </w:rPr>
              <w:t>排污量（kg/a）</w:t>
            </w:r>
          </w:p>
        </w:tc>
        <w:tc>
          <w:tcPr>
            <w:tcW w:w="1985" w:type="dxa"/>
            <w:vAlign w:val="center"/>
          </w:tcPr>
          <w:p>
            <w:pPr>
              <w:pStyle w:val="182"/>
              <w:bidi w:val="0"/>
              <w:rPr>
                <w:b/>
                <w:bCs/>
                <w:color w:val="auto"/>
                <w:u w:val="single"/>
              </w:rPr>
            </w:pPr>
            <w:r>
              <w:rPr>
                <w:rFonts w:hint="eastAsia"/>
                <w:b/>
                <w:bCs/>
                <w:color w:val="auto"/>
                <w:u w:val="single"/>
              </w:rPr>
              <w:t>污染当量值（kg）</w:t>
            </w:r>
          </w:p>
        </w:tc>
        <w:tc>
          <w:tcPr>
            <w:tcW w:w="1417" w:type="dxa"/>
            <w:vAlign w:val="center"/>
          </w:tcPr>
          <w:p>
            <w:pPr>
              <w:pStyle w:val="182"/>
              <w:bidi w:val="0"/>
              <w:rPr>
                <w:b/>
                <w:bCs/>
                <w:color w:val="auto"/>
                <w:u w:val="single"/>
              </w:rPr>
            </w:pPr>
            <w:r>
              <w:rPr>
                <w:rFonts w:hint="eastAsia"/>
                <w:b/>
                <w:bCs/>
                <w:color w:val="auto"/>
                <w:u w:val="single"/>
              </w:rPr>
              <w:t>污染当量数</w:t>
            </w:r>
          </w:p>
        </w:tc>
        <w:tc>
          <w:tcPr>
            <w:tcW w:w="1985" w:type="dxa"/>
            <w:vAlign w:val="center"/>
          </w:tcPr>
          <w:p>
            <w:pPr>
              <w:pStyle w:val="182"/>
              <w:bidi w:val="0"/>
              <w:rPr>
                <w:b/>
                <w:bCs/>
                <w:color w:val="auto"/>
                <w:u w:val="single"/>
              </w:rPr>
            </w:pPr>
            <w:r>
              <w:rPr>
                <w:rFonts w:hint="eastAsia"/>
                <w:b/>
                <w:bCs/>
                <w:color w:val="auto"/>
                <w:u w:val="single"/>
              </w:rPr>
              <w:t>环保税（万元/a）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Merge w:val="restart"/>
            <w:vAlign w:val="center"/>
          </w:tcPr>
          <w:p>
            <w:pPr>
              <w:pStyle w:val="182"/>
              <w:bidi w:val="0"/>
              <w:rPr>
                <w:b/>
                <w:bCs/>
                <w:color w:val="auto"/>
                <w:u w:val="single"/>
              </w:rPr>
            </w:pPr>
            <w:r>
              <w:rPr>
                <w:rFonts w:hint="eastAsia"/>
                <w:b/>
                <w:bCs/>
                <w:color w:val="auto"/>
                <w:u w:val="single"/>
              </w:rPr>
              <w:t>废水</w:t>
            </w:r>
          </w:p>
        </w:tc>
        <w:tc>
          <w:tcPr>
            <w:tcW w:w="1134" w:type="dxa"/>
            <w:vAlign w:val="center"/>
          </w:tcPr>
          <w:p>
            <w:pPr>
              <w:pStyle w:val="182"/>
              <w:bidi w:val="0"/>
              <w:rPr>
                <w:b/>
                <w:bCs/>
                <w:color w:val="auto"/>
                <w:u w:val="single"/>
              </w:rPr>
            </w:pPr>
            <w:r>
              <w:rPr>
                <w:rFonts w:hint="eastAsia"/>
                <w:b/>
                <w:bCs/>
                <w:color w:val="auto"/>
                <w:u w:val="single"/>
              </w:rPr>
              <w:t>COD</w:t>
            </w:r>
          </w:p>
        </w:tc>
        <w:tc>
          <w:tcPr>
            <w:tcW w:w="1701"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33780</w:t>
            </w:r>
          </w:p>
        </w:tc>
        <w:tc>
          <w:tcPr>
            <w:tcW w:w="1985" w:type="dxa"/>
            <w:vAlign w:val="center"/>
          </w:tcPr>
          <w:p>
            <w:pPr>
              <w:pStyle w:val="182"/>
              <w:bidi w:val="0"/>
              <w:rPr>
                <w:b/>
                <w:bCs/>
                <w:color w:val="auto"/>
                <w:u w:val="single"/>
              </w:rPr>
            </w:pPr>
            <w:r>
              <w:rPr>
                <w:rFonts w:hint="eastAsia"/>
                <w:b/>
                <w:bCs/>
                <w:color w:val="auto"/>
                <w:u w:val="single"/>
              </w:rPr>
              <w:t>1</w:t>
            </w:r>
          </w:p>
        </w:tc>
        <w:tc>
          <w:tcPr>
            <w:tcW w:w="1417"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33780</w:t>
            </w:r>
          </w:p>
        </w:tc>
        <w:tc>
          <w:tcPr>
            <w:tcW w:w="1985"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4.7292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Merge w:val="continue"/>
            <w:vAlign w:val="center"/>
          </w:tcPr>
          <w:p>
            <w:pPr>
              <w:pStyle w:val="182"/>
              <w:bidi w:val="0"/>
              <w:rPr>
                <w:b/>
                <w:bCs/>
                <w:color w:val="auto"/>
                <w:u w:val="single"/>
              </w:rPr>
            </w:pPr>
          </w:p>
        </w:tc>
        <w:tc>
          <w:tcPr>
            <w:tcW w:w="1134" w:type="dxa"/>
            <w:vAlign w:val="center"/>
          </w:tcPr>
          <w:p>
            <w:pPr>
              <w:pStyle w:val="182"/>
              <w:bidi w:val="0"/>
              <w:rPr>
                <w:b/>
                <w:bCs/>
                <w:color w:val="auto"/>
                <w:u w:val="single"/>
              </w:rPr>
            </w:pPr>
            <w:r>
              <w:rPr>
                <w:rFonts w:hint="eastAsia"/>
                <w:b/>
                <w:bCs/>
                <w:color w:val="auto"/>
                <w:u w:val="single"/>
              </w:rPr>
              <w:t>NH</w:t>
            </w:r>
            <w:r>
              <w:rPr>
                <w:b/>
                <w:bCs/>
                <w:color w:val="auto"/>
                <w:u w:val="single"/>
                <w:vertAlign w:val="subscript"/>
              </w:rPr>
              <w:t>3</w:t>
            </w:r>
            <w:r>
              <w:rPr>
                <w:rFonts w:hint="eastAsia"/>
                <w:b/>
                <w:bCs/>
                <w:color w:val="auto"/>
                <w:u w:val="single"/>
              </w:rPr>
              <w:t>-N</w:t>
            </w:r>
          </w:p>
        </w:tc>
        <w:tc>
          <w:tcPr>
            <w:tcW w:w="1701"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3470</w:t>
            </w:r>
          </w:p>
        </w:tc>
        <w:tc>
          <w:tcPr>
            <w:tcW w:w="1985" w:type="dxa"/>
            <w:vAlign w:val="center"/>
          </w:tcPr>
          <w:p>
            <w:pPr>
              <w:pStyle w:val="182"/>
              <w:bidi w:val="0"/>
              <w:rPr>
                <w:b/>
                <w:bCs/>
                <w:color w:val="auto"/>
                <w:u w:val="single"/>
              </w:rPr>
            </w:pPr>
            <w:r>
              <w:rPr>
                <w:rFonts w:hint="eastAsia"/>
                <w:b/>
                <w:bCs/>
                <w:color w:val="auto"/>
                <w:u w:val="single"/>
              </w:rPr>
              <w:t>0</w:t>
            </w:r>
            <w:r>
              <w:rPr>
                <w:b/>
                <w:bCs/>
                <w:color w:val="auto"/>
                <w:u w:val="single"/>
              </w:rPr>
              <w:t>.8</w:t>
            </w:r>
          </w:p>
        </w:tc>
        <w:tc>
          <w:tcPr>
            <w:tcW w:w="1417"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2776</w:t>
            </w:r>
          </w:p>
        </w:tc>
        <w:tc>
          <w:tcPr>
            <w:tcW w:w="1985"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0.38864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1" w:type="dxa"/>
            <w:gridSpan w:val="5"/>
            <w:vAlign w:val="center"/>
          </w:tcPr>
          <w:p>
            <w:pPr>
              <w:pStyle w:val="182"/>
              <w:bidi w:val="0"/>
              <w:rPr>
                <w:b/>
                <w:bCs/>
                <w:color w:val="auto"/>
                <w:u w:val="single"/>
              </w:rPr>
            </w:pPr>
            <w:r>
              <w:rPr>
                <w:rFonts w:hint="eastAsia"/>
                <w:b/>
                <w:bCs/>
                <w:color w:val="auto"/>
                <w:u w:val="single"/>
              </w:rPr>
              <w:t>合计</w:t>
            </w:r>
          </w:p>
        </w:tc>
        <w:tc>
          <w:tcPr>
            <w:tcW w:w="1985" w:type="dxa"/>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5.11784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26" w:type="dxa"/>
            <w:gridSpan w:val="6"/>
            <w:vAlign w:val="center"/>
          </w:tcPr>
          <w:p>
            <w:pPr>
              <w:pStyle w:val="182"/>
              <w:bidi w:val="0"/>
              <w:rPr>
                <w:b/>
                <w:bCs/>
                <w:color w:val="auto"/>
                <w:u w:val="single"/>
              </w:rPr>
            </w:pPr>
            <w:r>
              <w:rPr>
                <w:rFonts w:hint="eastAsia"/>
                <w:b/>
                <w:bCs/>
                <w:color w:val="auto"/>
                <w:u w:val="single"/>
              </w:rPr>
              <w:t>某污染物的污染当量数=该污染物的排放量</w:t>
            </w:r>
            <w:r>
              <w:rPr>
                <w:rFonts w:hint="eastAsia"/>
                <w:b/>
                <w:bCs/>
                <w:color w:val="auto"/>
                <w:u w:val="single"/>
                <w:lang w:eastAsia="zh-CN"/>
              </w:rPr>
              <w:t>(</w:t>
            </w:r>
            <w:r>
              <w:rPr>
                <w:rFonts w:hint="eastAsia"/>
                <w:b/>
                <w:bCs/>
                <w:color w:val="auto"/>
                <w:u w:val="single"/>
              </w:rPr>
              <w:t>kg)/该污染物的污染当量值</w:t>
            </w:r>
            <w:r>
              <w:rPr>
                <w:rFonts w:hint="eastAsia"/>
                <w:b/>
                <w:bCs/>
                <w:color w:val="auto"/>
                <w:u w:val="single"/>
                <w:lang w:eastAsia="zh-CN"/>
              </w:rPr>
              <w:t>(</w:t>
            </w:r>
            <w:r>
              <w:rPr>
                <w:rFonts w:hint="eastAsia"/>
                <w:b/>
                <w:bCs/>
                <w:color w:val="auto"/>
                <w:u w:val="single"/>
              </w:rPr>
              <w:t>kg)</w:t>
            </w:r>
          </w:p>
        </w:tc>
      </w:tr>
    </w:tbl>
    <w:p>
      <w:pPr>
        <w:spacing w:line="520" w:lineRule="exact"/>
        <w:ind w:firstLine="482" w:firstLineChars="200"/>
        <w:rPr>
          <w:b/>
          <w:bCs/>
          <w:color w:val="auto"/>
          <w:u w:val="single"/>
        </w:rPr>
      </w:pPr>
      <w:r>
        <w:rPr>
          <w:rFonts w:hint="eastAsia"/>
          <w:b/>
          <w:bCs/>
          <w:color w:val="auto"/>
          <w:u w:val="single"/>
        </w:rPr>
        <w:t>综上所述，项目环保设施总运行费用为</w:t>
      </w:r>
      <w:r>
        <w:rPr>
          <w:rFonts w:hint="eastAsia"/>
          <w:b/>
          <w:bCs/>
          <w:color w:val="auto"/>
          <w:u w:val="single"/>
          <w:lang w:val="en-US" w:eastAsia="zh-CN"/>
        </w:rPr>
        <w:t>45.348</w:t>
      </w:r>
      <w:r>
        <w:rPr>
          <w:rFonts w:hint="eastAsia"/>
          <w:b/>
          <w:bCs/>
          <w:color w:val="auto"/>
          <w:u w:val="single"/>
        </w:rPr>
        <w:t>万元，环境代价较小。</w:t>
      </w:r>
    </w:p>
    <w:p>
      <w:pPr>
        <w:pStyle w:val="9"/>
        <w:bidi w:val="0"/>
        <w:rPr>
          <w:color w:val="auto"/>
        </w:rPr>
      </w:pPr>
      <w:r>
        <w:rPr>
          <w:rFonts w:hint="eastAsia"/>
          <w:color w:val="auto"/>
        </w:rPr>
        <w:t>7.3.3工程环境收益估算</w:t>
      </w:r>
    </w:p>
    <w:p>
      <w:pPr>
        <w:bidi w:val="0"/>
        <w:rPr>
          <w:color w:val="auto"/>
        </w:rPr>
      </w:pPr>
      <w:r>
        <w:rPr>
          <w:rFonts w:hint="eastAsia"/>
          <w:color w:val="auto"/>
        </w:rPr>
        <w:t>通过设置专项资金进行污染治理，不仅</w:t>
      </w:r>
      <w:r>
        <w:rPr>
          <w:rFonts w:hint="eastAsia"/>
          <w:color w:val="auto"/>
          <w:lang w:eastAsia="zh-CN"/>
        </w:rPr>
        <w:t>可以最大限度地</w:t>
      </w:r>
      <w:r>
        <w:rPr>
          <w:rFonts w:hint="eastAsia"/>
          <w:color w:val="auto"/>
        </w:rPr>
        <w:t>减少污染物的排放量，而且实现了部分可利用废物的回收，降低了企业的运行成本，产生了良好的环境效益：</w:t>
      </w:r>
    </w:p>
    <w:p>
      <w:pPr>
        <w:bidi w:val="0"/>
        <w:rPr>
          <w:color w:val="auto"/>
        </w:rPr>
      </w:pPr>
      <w:r>
        <w:rPr>
          <w:rFonts w:hint="eastAsia"/>
          <w:color w:val="auto"/>
        </w:rPr>
        <w:t>（1）废气治理环境效益</w:t>
      </w:r>
    </w:p>
    <w:p>
      <w:pPr>
        <w:bidi w:val="0"/>
        <w:rPr>
          <w:color w:val="auto"/>
        </w:rPr>
      </w:pPr>
      <w:r>
        <w:rPr>
          <w:rFonts w:hint="eastAsia"/>
          <w:color w:val="auto"/>
        </w:rPr>
        <w:t>工艺废气经治理后均能够达标排放，对废气污染物的治理有效地保护了环境空气质量。</w:t>
      </w:r>
    </w:p>
    <w:p>
      <w:pPr>
        <w:bidi w:val="0"/>
        <w:rPr>
          <w:color w:val="auto"/>
        </w:rPr>
      </w:pPr>
      <w:r>
        <w:rPr>
          <w:rFonts w:hint="eastAsia"/>
          <w:color w:val="auto"/>
        </w:rPr>
        <w:t>（2）废水治理环境效益</w:t>
      </w:r>
    </w:p>
    <w:p>
      <w:pPr>
        <w:bidi w:val="0"/>
        <w:rPr>
          <w:color w:val="auto"/>
        </w:rPr>
      </w:pPr>
      <w:r>
        <w:rPr>
          <w:rFonts w:hint="eastAsia"/>
          <w:color w:val="auto"/>
        </w:rPr>
        <w:t>项目建成后，废水经厂区污水处理站治理，治理后各污染物指标均能实现达标排放。</w:t>
      </w:r>
    </w:p>
    <w:p>
      <w:pPr>
        <w:bidi w:val="0"/>
        <w:rPr>
          <w:color w:val="auto"/>
        </w:rPr>
      </w:pPr>
      <w:r>
        <w:rPr>
          <w:rFonts w:hint="eastAsia"/>
          <w:color w:val="auto"/>
        </w:rPr>
        <w:t>（3）环保投资收益</w:t>
      </w:r>
    </w:p>
    <w:p>
      <w:pPr>
        <w:bidi w:val="0"/>
        <w:rPr>
          <w:color w:val="auto"/>
        </w:rPr>
      </w:pPr>
      <w:r>
        <w:rPr>
          <w:rFonts w:hint="eastAsia"/>
          <w:color w:val="auto"/>
        </w:rPr>
        <w:t>本项目通过建设各种污染防治措施，实现了物的达标排放可以减少本项目通过建设各种污染防治措施，实现了物的达标排放可以减少本项目通过建设各种污染防治措施，实现了物的达标排放可以减少</w:t>
      </w:r>
      <w:r>
        <w:rPr>
          <w:rFonts w:hint="eastAsia"/>
          <w:color w:val="auto"/>
          <w:lang w:eastAsia="zh-CN"/>
        </w:rPr>
        <w:t>排污</w:t>
      </w:r>
      <w:r>
        <w:rPr>
          <w:rFonts w:hint="eastAsia"/>
          <w:color w:val="auto"/>
        </w:rPr>
        <w:t>费和超标</w:t>
      </w:r>
      <w:r>
        <w:rPr>
          <w:rFonts w:hint="eastAsia"/>
          <w:color w:val="auto"/>
          <w:lang w:eastAsia="zh-CN"/>
        </w:rPr>
        <w:t>排污</w:t>
      </w:r>
      <w:r>
        <w:rPr>
          <w:rFonts w:hint="eastAsia"/>
          <w:color w:val="auto"/>
        </w:rPr>
        <w:t>费的缴纳额度约1</w:t>
      </w:r>
      <w:r>
        <w:rPr>
          <w:color w:val="auto"/>
        </w:rPr>
        <w:t>0</w:t>
      </w:r>
      <w:r>
        <w:rPr>
          <w:rFonts w:hint="eastAsia"/>
          <w:color w:val="auto"/>
        </w:rPr>
        <w:t>万元。</w:t>
      </w:r>
    </w:p>
    <w:p>
      <w:pPr>
        <w:bidi w:val="0"/>
        <w:rPr>
          <w:color w:val="auto"/>
        </w:rPr>
      </w:pPr>
      <w:r>
        <w:rPr>
          <w:rFonts w:hint="eastAsia"/>
          <w:color w:val="auto"/>
        </w:rPr>
        <w:t>4、环境负效益</w:t>
      </w:r>
    </w:p>
    <w:p>
      <w:pPr>
        <w:bidi w:val="0"/>
        <w:rPr>
          <w:color w:val="auto"/>
        </w:rPr>
      </w:pPr>
      <w:r>
        <w:rPr>
          <w:rFonts w:hint="eastAsia"/>
          <w:color w:val="auto"/>
        </w:rPr>
        <w:t>虽然本项目采用了先进的技术和生产装置，并采取了可靠有效的环保措施，确保了污染物达标排放，最大限度减少了污染物的排放量，但每年仍然向环境中排放一定的污染物。根据评价的预测结果，这些污染物虽然不会对评价区域产生明显的不利影响，但其潜在的负面影响是不可避免的，负面的影响具有累积效应，负面影响对环境造成的累积影响将会或多或少</w:t>
      </w:r>
      <w:r>
        <w:rPr>
          <w:rFonts w:hint="eastAsia"/>
          <w:color w:val="auto"/>
          <w:lang w:eastAsia="zh-CN"/>
        </w:rPr>
        <w:t>地对</w:t>
      </w:r>
      <w:r>
        <w:rPr>
          <w:rFonts w:hint="eastAsia"/>
          <w:color w:val="auto"/>
        </w:rPr>
        <w:t>周边环境及居民产生一定的危害，因此，该项目对环境的影响还需要长期的监测和关注。</w:t>
      </w:r>
    </w:p>
    <w:p>
      <w:pPr>
        <w:pStyle w:val="9"/>
        <w:bidi w:val="0"/>
        <w:rPr>
          <w:color w:val="auto"/>
        </w:rPr>
      </w:pPr>
      <w:r>
        <w:rPr>
          <w:rFonts w:hint="eastAsia"/>
          <w:color w:val="auto"/>
        </w:rPr>
        <w:t>7.3.4环保投资比例系数Hz</w:t>
      </w:r>
    </w:p>
    <w:p>
      <w:pPr>
        <w:bidi w:val="0"/>
        <w:rPr>
          <w:color w:val="auto"/>
        </w:rPr>
      </w:pPr>
      <w:r>
        <w:rPr>
          <w:rFonts w:hint="eastAsia"/>
          <w:color w:val="auto"/>
        </w:rPr>
        <w:t>环保投资比例系数是指环保建设投资与企业建设总投资的比值，它体现了企业对环保工作的重视程度。</w:t>
      </w:r>
    </w:p>
    <w:p>
      <w:pPr>
        <w:spacing w:line="520" w:lineRule="exact"/>
        <w:jc w:val="center"/>
        <w:rPr>
          <w:color w:val="auto"/>
        </w:rPr>
      </w:pPr>
      <w:r>
        <w:rPr>
          <w:rFonts w:hint="eastAsia"/>
          <w:color w:val="auto"/>
        </w:rPr>
        <w:t>Hz=（E</w:t>
      </w:r>
      <w:r>
        <w:rPr>
          <w:rFonts w:hint="eastAsia"/>
          <w:color w:val="auto"/>
          <w:vertAlign w:val="subscript"/>
        </w:rPr>
        <w:t>O</w:t>
      </w:r>
      <w:r>
        <w:rPr>
          <w:rFonts w:hint="eastAsia"/>
          <w:color w:val="auto"/>
        </w:rPr>
        <w:t>/E</w:t>
      </w:r>
      <w:r>
        <w:rPr>
          <w:rFonts w:hint="eastAsia"/>
          <w:color w:val="auto"/>
          <w:vertAlign w:val="subscript"/>
        </w:rPr>
        <w:t>R</w:t>
      </w:r>
      <w:r>
        <w:rPr>
          <w:rFonts w:hint="eastAsia"/>
          <w:color w:val="auto"/>
        </w:rPr>
        <w:t>）×100%</w:t>
      </w:r>
    </w:p>
    <w:p>
      <w:pPr>
        <w:spacing w:line="520" w:lineRule="exact"/>
        <w:ind w:firstLine="480" w:firstLineChars="200"/>
        <w:rPr>
          <w:color w:val="auto"/>
        </w:rPr>
      </w:pPr>
      <w:r>
        <w:rPr>
          <w:rFonts w:hint="eastAsia"/>
          <w:color w:val="auto"/>
        </w:rPr>
        <w:t>式中：EO——环保建设投资，万元</w:t>
      </w:r>
    </w:p>
    <w:p>
      <w:pPr>
        <w:spacing w:line="520" w:lineRule="exact"/>
        <w:ind w:firstLine="1200" w:firstLineChars="500"/>
        <w:rPr>
          <w:color w:val="auto"/>
        </w:rPr>
      </w:pPr>
      <w:r>
        <w:rPr>
          <w:rFonts w:hint="eastAsia"/>
          <w:color w:val="auto"/>
        </w:rPr>
        <w:t>ER——企业建设总投资，万元</w:t>
      </w:r>
    </w:p>
    <w:p>
      <w:pPr>
        <w:bidi w:val="0"/>
        <w:rPr>
          <w:b/>
          <w:bCs/>
          <w:color w:val="auto"/>
          <w:u w:val="single"/>
        </w:rPr>
      </w:pPr>
      <w:r>
        <w:rPr>
          <w:rFonts w:hint="eastAsia"/>
          <w:b/>
          <w:bCs/>
          <w:color w:val="auto"/>
          <w:u w:val="single"/>
        </w:rPr>
        <w:t>项目各项环保投资费用为</w:t>
      </w:r>
      <w:r>
        <w:rPr>
          <w:b/>
          <w:bCs/>
          <w:color w:val="auto"/>
          <w:u w:val="single"/>
        </w:rPr>
        <w:t>1</w:t>
      </w:r>
      <w:r>
        <w:rPr>
          <w:rFonts w:hint="eastAsia"/>
          <w:b/>
          <w:bCs/>
          <w:color w:val="auto"/>
          <w:u w:val="single"/>
          <w:lang w:val="en-US" w:eastAsia="zh-CN"/>
        </w:rPr>
        <w:t>3</w:t>
      </w:r>
      <w:r>
        <w:rPr>
          <w:b/>
          <w:bCs/>
          <w:color w:val="auto"/>
          <w:u w:val="single"/>
        </w:rPr>
        <w:t>5</w:t>
      </w:r>
      <w:r>
        <w:rPr>
          <w:rFonts w:hint="eastAsia"/>
          <w:b/>
          <w:bCs/>
          <w:color w:val="auto"/>
          <w:u w:val="single"/>
        </w:rPr>
        <w:t>万元，项目总投资费用为</w:t>
      </w:r>
      <w:r>
        <w:rPr>
          <w:b/>
          <w:bCs/>
          <w:color w:val="auto"/>
          <w:u w:val="single"/>
        </w:rPr>
        <w:t>10000</w:t>
      </w:r>
      <w:r>
        <w:rPr>
          <w:rFonts w:hint="eastAsia"/>
          <w:b/>
          <w:bCs/>
          <w:color w:val="auto"/>
          <w:u w:val="single"/>
        </w:rPr>
        <w:t>万元，环保投资占工程计划总投资的</w:t>
      </w:r>
      <w:r>
        <w:rPr>
          <w:b/>
          <w:bCs/>
          <w:color w:val="auto"/>
          <w:u w:val="single"/>
        </w:rPr>
        <w:t>1.</w:t>
      </w:r>
      <w:r>
        <w:rPr>
          <w:rFonts w:hint="eastAsia"/>
          <w:b/>
          <w:bCs/>
          <w:color w:val="auto"/>
          <w:u w:val="single"/>
          <w:lang w:val="en-US" w:eastAsia="zh-CN"/>
        </w:rPr>
        <w:t>3</w:t>
      </w:r>
      <w:r>
        <w:rPr>
          <w:b/>
          <w:bCs/>
          <w:color w:val="auto"/>
          <w:u w:val="single"/>
        </w:rPr>
        <w:t>5</w:t>
      </w:r>
      <w:r>
        <w:rPr>
          <w:rFonts w:hint="eastAsia"/>
          <w:b/>
          <w:bCs/>
          <w:color w:val="auto"/>
          <w:u w:val="single"/>
        </w:rPr>
        <w:t>%。本工程的环保投资能有效地提高水及原料利用率，降低能耗、物耗，减轻了对周围环境的影响。总的来说，该项目的环保投资在企业的可接受范围内。</w:t>
      </w:r>
    </w:p>
    <w:p>
      <w:pPr>
        <w:pStyle w:val="9"/>
        <w:bidi w:val="0"/>
        <w:rPr>
          <w:color w:val="auto"/>
        </w:rPr>
      </w:pPr>
      <w:r>
        <w:rPr>
          <w:rFonts w:hint="eastAsia"/>
          <w:color w:val="auto"/>
        </w:rPr>
        <w:t>7.3.</w:t>
      </w:r>
      <w:r>
        <w:rPr>
          <w:rFonts w:hint="eastAsia"/>
          <w:color w:val="auto"/>
          <w:lang w:val="en-US" w:eastAsia="zh-CN"/>
        </w:rPr>
        <w:t>5</w:t>
      </w:r>
      <w:r>
        <w:rPr>
          <w:rFonts w:hint="eastAsia"/>
          <w:color w:val="auto"/>
        </w:rPr>
        <w:t>工程环境效益综述</w:t>
      </w:r>
    </w:p>
    <w:p>
      <w:pPr>
        <w:bidi w:val="0"/>
        <w:rPr>
          <w:color w:val="auto"/>
        </w:rPr>
      </w:pPr>
      <w:r>
        <w:rPr>
          <w:rFonts w:hint="eastAsia"/>
          <w:color w:val="auto"/>
        </w:rPr>
        <w:t>本项目的环境效益主要体现在环保投资减轻项目对环境的影响程度，本项目对蒸煮废气采用在设备顶部配套的管道风机抽至五效蒸发器进行回收利用，</w:t>
      </w:r>
      <w:r>
        <w:rPr>
          <w:rFonts w:hint="eastAsia"/>
          <w:color w:val="auto"/>
          <w:lang w:val="en-US" w:eastAsia="zh-CN"/>
        </w:rPr>
        <w:t>木质</w:t>
      </w:r>
      <w:r>
        <w:rPr>
          <w:rFonts w:hint="eastAsia"/>
          <w:b w:val="0"/>
          <w:bCs w:val="0"/>
          <w:color w:val="auto"/>
          <w:u w:val="none"/>
          <w:lang w:val="en-US" w:eastAsia="zh-CN"/>
        </w:rPr>
        <w:t>素混合物干燥废气采用袋式除尘器，</w:t>
      </w:r>
      <w:r>
        <w:rPr>
          <w:rFonts w:hint="eastAsia"/>
          <w:b w:val="0"/>
          <w:bCs w:val="0"/>
          <w:color w:val="auto"/>
          <w:u w:val="none"/>
        </w:rPr>
        <w:t>菌草堆料库扬尘</w:t>
      </w:r>
      <w:r>
        <w:rPr>
          <w:rFonts w:hint="eastAsia"/>
          <w:b w:val="0"/>
          <w:bCs w:val="0"/>
          <w:color w:val="auto"/>
          <w:u w:val="none"/>
          <w:lang w:val="en-US" w:eastAsia="zh-CN"/>
        </w:rPr>
        <w:t>及木质素混合物收</w:t>
      </w:r>
      <w:r>
        <w:rPr>
          <w:rFonts w:hint="eastAsia"/>
          <w:color w:val="auto"/>
          <w:u w:val="none"/>
          <w:lang w:val="en-US" w:eastAsia="zh-CN"/>
        </w:rPr>
        <w:t>集、分装</w:t>
      </w:r>
      <w:r>
        <w:rPr>
          <w:rFonts w:hint="eastAsia"/>
          <w:color w:val="auto"/>
        </w:rPr>
        <w:t>采取</w:t>
      </w:r>
      <w:r>
        <w:rPr>
          <w:rFonts w:hint="eastAsia"/>
          <w:color w:val="auto"/>
          <w:lang w:val="en-US" w:eastAsia="zh-CN"/>
        </w:rPr>
        <w:t>车间</w:t>
      </w:r>
      <w:r>
        <w:rPr>
          <w:rFonts w:hint="eastAsia"/>
          <w:color w:val="auto"/>
        </w:rPr>
        <w:t>密闭、洒水抑尘的处理措施；对废水依托厂区内污水处理站“调节+混合池+沉淀+水解酸化+氧化沟+二沉池+混凝池+终沉池”进行处理，各类污染物均能实现稳定达标排放。同时，本项目充分考虑了固废的综合利用与处置。经计算：</w:t>
      </w:r>
    </w:p>
    <w:p>
      <w:pPr>
        <w:bidi w:val="0"/>
        <w:rPr>
          <w:color w:val="auto"/>
        </w:rPr>
      </w:pPr>
      <w:r>
        <w:rPr>
          <w:rFonts w:hint="eastAsia"/>
          <w:color w:val="auto"/>
        </w:rPr>
        <w:t>项目完成后项目环保投资比例系数Hz为1.</w:t>
      </w:r>
      <w:r>
        <w:rPr>
          <w:rFonts w:hint="eastAsia"/>
          <w:color w:val="auto"/>
          <w:lang w:val="en-US" w:eastAsia="zh-CN"/>
        </w:rPr>
        <w:t>3</w:t>
      </w:r>
      <w:r>
        <w:rPr>
          <w:rFonts w:hint="eastAsia"/>
          <w:color w:val="auto"/>
        </w:rPr>
        <w:t>5%，表示环保投资占工程计划总投资的1.</w:t>
      </w:r>
      <w:r>
        <w:rPr>
          <w:rFonts w:hint="eastAsia"/>
          <w:color w:val="auto"/>
          <w:lang w:val="en-US" w:eastAsia="zh-CN"/>
        </w:rPr>
        <w:t>3</w:t>
      </w:r>
      <w:r>
        <w:rPr>
          <w:rFonts w:hint="eastAsia"/>
          <w:color w:val="auto"/>
        </w:rPr>
        <w:t>5%。建设项目环境效益的核算是一项复杂、系统的工作，本项目通过适当的环保投资实现污染物达标排放，并纳入区域总量控制指标内。</w:t>
      </w:r>
    </w:p>
    <w:p>
      <w:pPr>
        <w:bidi w:val="0"/>
        <w:rPr>
          <w:color w:val="auto"/>
        </w:rPr>
      </w:pPr>
      <w:r>
        <w:rPr>
          <w:rFonts w:hint="eastAsia"/>
          <w:color w:val="auto"/>
        </w:rPr>
        <w:t>综上所述，虽然项目需要付出一定的经济代价进行污染治理，但在治理污染物的同时也为企业带来了一定程度的</w:t>
      </w:r>
      <w:r>
        <w:rPr>
          <w:rFonts w:hint="eastAsia"/>
          <w:color w:val="auto"/>
          <w:lang w:val="en-US" w:eastAsia="zh-CN"/>
        </w:rPr>
        <w:t>环境效益</w:t>
      </w:r>
      <w:r>
        <w:rPr>
          <w:rFonts w:hint="eastAsia"/>
          <w:color w:val="auto"/>
        </w:rPr>
        <w:t>，综合评定后，评价认为项目设置的环保投资是必要的，设置环保投资带来的环境效益是明显的。</w:t>
      </w:r>
    </w:p>
    <w:p>
      <w:pPr>
        <w:bidi w:val="0"/>
        <w:rPr>
          <w:color w:val="auto"/>
        </w:rPr>
      </w:pPr>
    </w:p>
    <w:p>
      <w:pPr>
        <w:bidi w:val="0"/>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6"/>
        <w:bidi w:val="0"/>
        <w:rPr>
          <w:color w:val="auto"/>
        </w:rPr>
      </w:pPr>
      <w:bookmarkStart w:id="362" w:name="_Toc17148"/>
      <w:bookmarkStart w:id="363" w:name="_Toc21304"/>
      <w:bookmarkStart w:id="364" w:name="_Toc15691"/>
      <w:bookmarkStart w:id="365" w:name="_Toc67041078"/>
      <w:r>
        <w:rPr>
          <w:rFonts w:hint="eastAsia"/>
          <w:color w:val="auto"/>
        </w:rPr>
        <w:t xml:space="preserve">第八章  </w:t>
      </w:r>
      <w:r>
        <w:rPr>
          <w:color w:val="auto"/>
        </w:rPr>
        <w:t>环境管理</w:t>
      </w:r>
      <w:r>
        <w:rPr>
          <w:rFonts w:hint="eastAsia"/>
          <w:color w:val="auto"/>
        </w:rPr>
        <w:t>与</w:t>
      </w:r>
      <w:r>
        <w:rPr>
          <w:color w:val="auto"/>
        </w:rPr>
        <w:t>监测计划</w:t>
      </w:r>
      <w:bookmarkEnd w:id="362"/>
      <w:bookmarkEnd w:id="363"/>
      <w:bookmarkEnd w:id="364"/>
      <w:bookmarkEnd w:id="365"/>
    </w:p>
    <w:p>
      <w:pPr>
        <w:pStyle w:val="7"/>
        <w:bidi w:val="0"/>
        <w:rPr>
          <w:color w:val="auto"/>
        </w:rPr>
      </w:pPr>
      <w:bookmarkStart w:id="366" w:name="_Toc23749"/>
      <w:bookmarkStart w:id="367" w:name="_Toc510512230"/>
      <w:bookmarkStart w:id="368" w:name="_Toc2939"/>
      <w:bookmarkStart w:id="369" w:name="_Toc324839659"/>
      <w:bookmarkStart w:id="370" w:name="_Toc311812691"/>
      <w:bookmarkStart w:id="371" w:name="_Toc4158"/>
      <w:bookmarkStart w:id="372" w:name="_Toc2920"/>
      <w:bookmarkStart w:id="373" w:name="_Toc4563"/>
      <w:bookmarkStart w:id="374" w:name="_Toc20854"/>
      <w:bookmarkStart w:id="375" w:name="_Toc30165665"/>
      <w:bookmarkStart w:id="376" w:name="_Toc25288"/>
      <w:bookmarkStart w:id="377" w:name="_Toc4832214"/>
      <w:bookmarkStart w:id="378" w:name="_Toc324839376"/>
      <w:bookmarkStart w:id="379" w:name="_Toc104860209"/>
      <w:bookmarkStart w:id="380" w:name="_Toc67041079"/>
      <w:bookmarkStart w:id="381" w:name="_Toc22246"/>
      <w:bookmarkStart w:id="382" w:name="_Toc13027"/>
      <w:bookmarkStart w:id="383" w:name="_Toc489346016"/>
      <w:r>
        <w:rPr>
          <w:rFonts w:hint="eastAsia"/>
          <w:color w:val="auto"/>
        </w:rPr>
        <w:t>8.1环境管理</w:t>
      </w:r>
      <w:bookmarkEnd w:id="366"/>
    </w:p>
    <w:p>
      <w:pPr>
        <w:bidi w:val="0"/>
        <w:rPr>
          <w:color w:val="auto"/>
        </w:rPr>
      </w:pPr>
      <w:r>
        <w:rPr>
          <w:rFonts w:hint="eastAsia"/>
          <w:color w:val="auto"/>
        </w:rPr>
        <w:t>环境管理是企业管理中的一项重要内容，加大环境管理力度是实现企业环境效益、社会效益协调发展和走可持续发展道路的重要措施，是企业生存和发展的重要保障之一，环境监测是工业污染防治的依据和环境管理的基础，加强污染监控工作是了解和掌握排污特征、研究污染发展趋势、开展环保技术研究和综合利用能源的有效途径。随着人民生活水平的不断提高和环保意识的不断增强，对于建设项目所引起的环境质量影响日益受到普遍关注，这就要求企业领导者能够及时地掌握本企业的生产和排污状况，制定并落实严格的环境管理与监控计划，</w:t>
      </w:r>
      <w:r>
        <w:rPr>
          <w:rFonts w:hint="eastAsia"/>
          <w:color w:val="auto"/>
          <w:lang w:eastAsia="zh-CN"/>
        </w:rPr>
        <w:t>最大限度地减少</w:t>
      </w:r>
      <w:r>
        <w:rPr>
          <w:rFonts w:hint="eastAsia"/>
          <w:color w:val="auto"/>
        </w:rPr>
        <w:t>污染物的产生与排放。</w:t>
      </w:r>
    </w:p>
    <w:p>
      <w:pPr>
        <w:pStyle w:val="9"/>
        <w:bidi w:val="0"/>
        <w:rPr>
          <w:color w:val="auto"/>
        </w:rPr>
      </w:pPr>
      <w:r>
        <w:rPr>
          <w:rFonts w:hint="eastAsia"/>
          <w:color w:val="auto"/>
        </w:rPr>
        <w:t>8.1.1环境管理的原则</w:t>
      </w:r>
    </w:p>
    <w:p>
      <w:pPr>
        <w:bidi w:val="0"/>
        <w:rPr>
          <w:color w:val="auto"/>
        </w:rPr>
      </w:pPr>
      <w:r>
        <w:rPr>
          <w:rFonts w:hint="eastAsia"/>
          <w:color w:val="auto"/>
        </w:rPr>
        <w:t>根据工程特点及国家环境保护发展要求，环境管理应遵循如下原则：</w:t>
      </w:r>
    </w:p>
    <w:p>
      <w:pPr>
        <w:bidi w:val="0"/>
        <w:rPr>
          <w:color w:val="auto"/>
        </w:rPr>
      </w:pPr>
      <w:r>
        <w:rPr>
          <w:rFonts w:hint="eastAsia"/>
          <w:color w:val="auto"/>
        </w:rPr>
        <w:t>①经济、社会和环境三效益统一，坚持可持续发展的原则。</w:t>
      </w:r>
    </w:p>
    <w:p>
      <w:pPr>
        <w:bidi w:val="0"/>
        <w:rPr>
          <w:color w:val="auto"/>
        </w:rPr>
      </w:pPr>
      <w:r>
        <w:rPr>
          <w:rFonts w:hint="eastAsia"/>
          <w:color w:val="auto"/>
        </w:rPr>
        <w:t>②预防为主，管治结合的原则。在生产运行过程中，坚持设备“大修大改、小修小改和逢修必改”的环保原则。</w:t>
      </w:r>
    </w:p>
    <w:p>
      <w:pPr>
        <w:bidi w:val="0"/>
        <w:rPr>
          <w:color w:val="auto"/>
        </w:rPr>
      </w:pPr>
      <w:r>
        <w:rPr>
          <w:rFonts w:hint="eastAsia"/>
          <w:color w:val="auto"/>
        </w:rPr>
        <w:t>③环保优先的原则。主要工艺设施的改进，新工艺、新技术的采用，企业发展规划的制定，坚持统筹规划、合理布局、清洁生产、集中控制和治理污染。</w:t>
      </w:r>
    </w:p>
    <w:p>
      <w:pPr>
        <w:bidi w:val="0"/>
        <w:rPr>
          <w:color w:val="auto"/>
        </w:rPr>
      </w:pPr>
      <w:r>
        <w:rPr>
          <w:rFonts w:hint="eastAsia"/>
          <w:color w:val="auto"/>
        </w:rPr>
        <w:t>④依靠科技进步，推进清洁生产，节能降耗，降低污染的原则。</w:t>
      </w:r>
    </w:p>
    <w:p>
      <w:pPr>
        <w:bidi w:val="0"/>
        <w:rPr>
          <w:color w:val="auto"/>
        </w:rPr>
      </w:pPr>
      <w:r>
        <w:rPr>
          <w:rFonts w:hint="eastAsia"/>
          <w:color w:val="auto"/>
        </w:rPr>
        <w:t>⑤专业环保管理与公众参与相结合的原则。加强环保宣传，提高全体员工的环保意识，推动本工程的环境保护工作。</w:t>
      </w:r>
    </w:p>
    <w:p>
      <w:pPr>
        <w:pStyle w:val="9"/>
        <w:bidi w:val="0"/>
        <w:rPr>
          <w:color w:val="auto"/>
        </w:rPr>
      </w:pPr>
      <w:r>
        <w:rPr>
          <w:rFonts w:hint="eastAsia"/>
          <w:color w:val="auto"/>
        </w:rPr>
        <w:t>8.1.2环境管理体制</w:t>
      </w:r>
    </w:p>
    <w:p>
      <w:pPr>
        <w:bidi w:val="0"/>
        <w:rPr>
          <w:color w:val="auto"/>
        </w:rPr>
      </w:pPr>
      <w:r>
        <w:rPr>
          <w:rFonts w:hint="eastAsia"/>
          <w:color w:val="auto"/>
        </w:rPr>
        <w:t>（1）公司现有环境管理体制</w:t>
      </w:r>
    </w:p>
    <w:p>
      <w:pPr>
        <w:bidi w:val="0"/>
        <w:rPr>
          <w:color w:val="auto"/>
        </w:rPr>
      </w:pPr>
      <w:r>
        <w:rPr>
          <w:rFonts w:hint="eastAsia"/>
          <w:color w:val="auto"/>
        </w:rPr>
        <w:t>合理的环境管理体制是保证环境管理能否顺利实施的有力保证。目前，新乡化纤股份有限公司环境保护体系健全，设有安全环保部，配有专职的环境保护管理人员，环保管理组织机构图见图</w:t>
      </w:r>
      <w:r>
        <w:rPr>
          <w:color w:val="auto"/>
        </w:rPr>
        <w:t>8.1</w:t>
      </w:r>
      <w:r>
        <w:rPr>
          <w:rFonts w:hint="eastAsia"/>
          <w:color w:val="auto"/>
        </w:rPr>
        <w:t>-</w:t>
      </w:r>
      <w:r>
        <w:rPr>
          <w:color w:val="auto"/>
        </w:rPr>
        <w:t>1</w:t>
      </w:r>
      <w:r>
        <w:rPr>
          <w:rFonts w:hint="eastAsia"/>
          <w:color w:val="auto"/>
        </w:rPr>
        <w:t>。</w:t>
      </w:r>
    </w:p>
    <w:p>
      <w:pPr>
        <w:spacing w:line="240" w:lineRule="auto"/>
        <w:jc w:val="center"/>
        <w:rPr>
          <w:color w:val="auto"/>
        </w:rPr>
      </w:pPr>
      <w:r>
        <w:rPr>
          <w:color w:val="auto"/>
        </w:rPr>
        <w:drawing>
          <wp:inline distT="0" distB="0" distL="0" distR="0">
            <wp:extent cx="4800600" cy="30861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87" cstate="print">
                      <a:extLst>
                        <a:ext uri="{28A0092B-C50C-407E-A947-70E740481C1C}">
                          <a14:useLocalDpi xmlns:a14="http://schemas.microsoft.com/office/drawing/2010/main" val="0"/>
                        </a:ext>
                      </a:extLst>
                    </a:blip>
                    <a:srcRect t="3446" r="1202" b="3456"/>
                    <a:stretch>
                      <a:fillRect/>
                    </a:stretch>
                  </pic:blipFill>
                  <pic:spPr>
                    <a:xfrm>
                      <a:off x="0" y="0"/>
                      <a:ext cx="4801568" cy="3086722"/>
                    </a:xfrm>
                    <a:prstGeom prst="rect">
                      <a:avLst/>
                    </a:prstGeom>
                    <a:noFill/>
                    <a:ln>
                      <a:noFill/>
                    </a:ln>
                  </pic:spPr>
                </pic:pic>
              </a:graphicData>
            </a:graphic>
          </wp:inline>
        </w:drawing>
      </w:r>
    </w:p>
    <w:p>
      <w:pPr>
        <w:pStyle w:val="181"/>
        <w:bidi w:val="0"/>
        <w:ind w:left="0" w:leftChars="0" w:firstLine="0" w:firstLineChars="0"/>
        <w:jc w:val="center"/>
        <w:rPr>
          <w:color w:val="auto"/>
        </w:rPr>
      </w:pPr>
      <w:r>
        <w:rPr>
          <w:rFonts w:hint="eastAsia"/>
          <w:color w:val="auto"/>
        </w:rPr>
        <w:t>图</w:t>
      </w:r>
      <w:r>
        <w:rPr>
          <w:color w:val="auto"/>
        </w:rPr>
        <w:t>8.1</w:t>
      </w:r>
      <w:r>
        <w:rPr>
          <w:rFonts w:hint="eastAsia"/>
          <w:color w:val="auto"/>
        </w:rPr>
        <w:t xml:space="preserve">-1 </w:t>
      </w:r>
      <w:r>
        <w:rPr>
          <w:color w:val="auto"/>
        </w:rPr>
        <w:t xml:space="preserve"> </w:t>
      </w:r>
      <w:r>
        <w:rPr>
          <w:rFonts w:hint="eastAsia"/>
          <w:color w:val="auto"/>
        </w:rPr>
        <w:t>新乡化纤股份有限公司环境管理体制图</w:t>
      </w:r>
    </w:p>
    <w:p>
      <w:pPr>
        <w:bidi w:val="0"/>
        <w:rPr>
          <w:color w:val="auto"/>
        </w:rPr>
      </w:pPr>
      <w:r>
        <w:rPr>
          <w:rFonts w:hint="eastAsia"/>
          <w:color w:val="auto"/>
        </w:rPr>
        <w:t>（2）本项目环境管理体制</w:t>
      </w:r>
    </w:p>
    <w:p>
      <w:pPr>
        <w:bidi w:val="0"/>
        <w:rPr>
          <w:color w:val="auto"/>
        </w:rPr>
      </w:pPr>
      <w:r>
        <w:rPr>
          <w:rFonts w:hint="eastAsia"/>
          <w:color w:val="auto"/>
        </w:rPr>
        <w:t>考虑本工程机构设置的情况，评价建议本工程投产运行后实施“总经理—副总经理—各职能科室”三级环境管理体制：</w:t>
      </w:r>
    </w:p>
    <w:p>
      <w:pPr>
        <w:bidi w:val="0"/>
        <w:rPr>
          <w:color w:val="auto"/>
        </w:rPr>
      </w:pPr>
      <w:r>
        <w:rPr>
          <w:rFonts w:hint="eastAsia"/>
          <w:color w:val="auto"/>
        </w:rPr>
        <w:t>①总经理作为环境保护工作的领导者，负责全厂的环境保护工作；</w:t>
      </w:r>
    </w:p>
    <w:p>
      <w:pPr>
        <w:bidi w:val="0"/>
        <w:rPr>
          <w:color w:val="auto"/>
        </w:rPr>
      </w:pPr>
      <w:r>
        <w:rPr>
          <w:rFonts w:hint="eastAsia"/>
          <w:color w:val="auto"/>
        </w:rPr>
        <w:t>②在总经理的领导下，由生产副总经理主管本企业的环境保护工作，其他副总经理各自负责分管范围内的环境保护工作，总工程师对企业环保防治技术负领导责任；</w:t>
      </w:r>
    </w:p>
    <w:p>
      <w:pPr>
        <w:bidi w:val="0"/>
        <w:rPr>
          <w:color w:val="auto"/>
        </w:rPr>
      </w:pPr>
      <w:r>
        <w:rPr>
          <w:rFonts w:hint="eastAsia"/>
          <w:color w:val="auto"/>
        </w:rPr>
        <w:t>③各个职能科室按照其业务范围明确环境保护的职责，并在车间和班组建立健全环境保护岗位责任制，将环境管理落实到岗位及个人。</w:t>
      </w:r>
    </w:p>
    <w:p>
      <w:pPr>
        <w:pStyle w:val="9"/>
        <w:bidi w:val="0"/>
        <w:rPr>
          <w:color w:val="auto"/>
        </w:rPr>
      </w:pPr>
      <w:r>
        <w:rPr>
          <w:rFonts w:hint="eastAsia"/>
          <w:color w:val="auto"/>
        </w:rPr>
        <w:t>8.1.3环境管理机构的设置</w:t>
      </w:r>
    </w:p>
    <w:p>
      <w:pPr>
        <w:bidi w:val="0"/>
        <w:rPr>
          <w:color w:val="auto"/>
        </w:rPr>
      </w:pPr>
      <w:r>
        <w:rPr>
          <w:rFonts w:hint="eastAsia"/>
          <w:color w:val="auto"/>
        </w:rPr>
        <w:t>根据《建设项目环境保护设计规定》，新建、扩建企业应设置环境保护管理机构，负责组织、落实、监督本企业环保工作。目前，新乡化纤股份有限公司环境管理机构基本情况见表</w:t>
      </w:r>
      <w:r>
        <w:rPr>
          <w:color w:val="auto"/>
        </w:rPr>
        <w:t>8.1</w:t>
      </w:r>
      <w:r>
        <w:rPr>
          <w:rFonts w:hint="eastAsia"/>
          <w:color w:val="auto"/>
        </w:rPr>
        <w:t>-</w:t>
      </w:r>
      <w:r>
        <w:rPr>
          <w:rFonts w:hint="eastAsia"/>
          <w:color w:val="auto"/>
          <w:lang w:val="en-US" w:eastAsia="zh-CN"/>
        </w:rPr>
        <w:t>1</w:t>
      </w:r>
      <w:r>
        <w:rPr>
          <w:rFonts w:hint="eastAsia"/>
          <w:color w:val="auto"/>
        </w:rPr>
        <w:t>。</w:t>
      </w:r>
    </w:p>
    <w:p>
      <w:pPr>
        <w:pStyle w:val="181"/>
        <w:bidi w:val="0"/>
        <w:rPr>
          <w:color w:val="auto"/>
        </w:rPr>
      </w:pPr>
      <w:r>
        <w:rPr>
          <w:rFonts w:hint="eastAsia"/>
          <w:color w:val="auto"/>
        </w:rPr>
        <w:t>表</w:t>
      </w:r>
      <w:r>
        <w:rPr>
          <w:color w:val="auto"/>
        </w:rPr>
        <w:t>8.1</w:t>
      </w:r>
      <w:r>
        <w:rPr>
          <w:rFonts w:hint="eastAsia"/>
          <w:color w:val="auto"/>
        </w:rPr>
        <w:t>-</w:t>
      </w:r>
      <w:r>
        <w:rPr>
          <w:rFonts w:hint="eastAsia"/>
          <w:color w:val="auto"/>
          <w:lang w:val="en-US" w:eastAsia="zh-CN"/>
        </w:rPr>
        <w:t>1</w:t>
      </w:r>
      <w:r>
        <w:rPr>
          <w:rFonts w:hint="eastAsia"/>
          <w:color w:val="auto"/>
        </w:rPr>
        <w:t xml:space="preserve">  </w:t>
      </w:r>
      <w:r>
        <w:rPr>
          <w:rFonts w:hint="eastAsia"/>
          <w:color w:val="auto"/>
          <w:lang w:val="en-US" w:eastAsia="zh-CN"/>
        </w:rPr>
        <w:t xml:space="preserve">         </w:t>
      </w:r>
      <w:r>
        <w:rPr>
          <w:rFonts w:hint="eastAsia"/>
          <w:color w:val="auto"/>
        </w:rPr>
        <w:t>环境管理机构的基本情况</w:t>
      </w:r>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25"/>
        <w:gridCol w:w="1834"/>
        <w:gridCol w:w="1834"/>
        <w:gridCol w:w="2526"/>
        <w:gridCol w:w="160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725" w:type="dxa"/>
            <w:vAlign w:val="center"/>
          </w:tcPr>
          <w:p>
            <w:pPr>
              <w:pStyle w:val="182"/>
              <w:bidi w:val="0"/>
              <w:rPr>
                <w:b/>
                <w:bCs/>
                <w:color w:val="auto"/>
              </w:rPr>
            </w:pPr>
            <w:r>
              <w:rPr>
                <w:b/>
                <w:bCs/>
                <w:color w:val="auto"/>
              </w:rPr>
              <w:t>序号</w:t>
            </w:r>
          </w:p>
        </w:tc>
        <w:tc>
          <w:tcPr>
            <w:tcW w:w="1834" w:type="dxa"/>
            <w:vAlign w:val="center"/>
          </w:tcPr>
          <w:p>
            <w:pPr>
              <w:pStyle w:val="182"/>
              <w:bidi w:val="0"/>
              <w:rPr>
                <w:b/>
                <w:bCs/>
                <w:color w:val="auto"/>
              </w:rPr>
            </w:pPr>
            <w:r>
              <w:rPr>
                <w:rFonts w:hint="eastAsia"/>
                <w:b/>
                <w:bCs/>
                <w:color w:val="auto"/>
              </w:rPr>
              <w:t>企业名称</w:t>
            </w:r>
          </w:p>
        </w:tc>
        <w:tc>
          <w:tcPr>
            <w:tcW w:w="1834" w:type="dxa"/>
            <w:vAlign w:val="center"/>
          </w:tcPr>
          <w:p>
            <w:pPr>
              <w:pStyle w:val="182"/>
              <w:bidi w:val="0"/>
              <w:rPr>
                <w:b/>
                <w:bCs/>
                <w:color w:val="auto"/>
              </w:rPr>
            </w:pPr>
            <w:r>
              <w:rPr>
                <w:rFonts w:hint="eastAsia"/>
                <w:b/>
                <w:bCs/>
                <w:color w:val="auto"/>
              </w:rPr>
              <w:t>环境管理机构</w:t>
            </w:r>
          </w:p>
        </w:tc>
        <w:tc>
          <w:tcPr>
            <w:tcW w:w="2526" w:type="dxa"/>
            <w:vAlign w:val="center"/>
          </w:tcPr>
          <w:p>
            <w:pPr>
              <w:pStyle w:val="182"/>
              <w:bidi w:val="0"/>
              <w:rPr>
                <w:b/>
                <w:bCs/>
                <w:color w:val="auto"/>
              </w:rPr>
            </w:pPr>
            <w:r>
              <w:rPr>
                <w:rFonts w:hint="eastAsia"/>
                <w:b/>
                <w:bCs/>
                <w:color w:val="auto"/>
              </w:rPr>
              <w:t>环境管理人员（人）</w:t>
            </w:r>
          </w:p>
        </w:tc>
        <w:tc>
          <w:tcPr>
            <w:tcW w:w="1603" w:type="dxa"/>
            <w:vAlign w:val="center"/>
          </w:tcPr>
          <w:p>
            <w:pPr>
              <w:pStyle w:val="182"/>
              <w:bidi w:val="0"/>
              <w:rPr>
                <w:b/>
                <w:bCs/>
                <w:color w:val="auto"/>
              </w:rPr>
            </w:pPr>
            <w:r>
              <w:rPr>
                <w:rFonts w:hint="eastAsia"/>
                <w:b/>
                <w:bCs/>
                <w:color w:val="auto"/>
              </w:rPr>
              <w:t>环境监测站</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725" w:type="dxa"/>
            <w:tcBorders>
              <w:top w:val="single" w:color="auto" w:sz="4" w:space="0"/>
            </w:tcBorders>
            <w:vAlign w:val="center"/>
          </w:tcPr>
          <w:p>
            <w:pPr>
              <w:pStyle w:val="182"/>
              <w:bidi w:val="0"/>
              <w:rPr>
                <w:color w:val="auto"/>
              </w:rPr>
            </w:pPr>
            <w:r>
              <w:rPr>
                <w:rFonts w:hint="eastAsia"/>
                <w:color w:val="auto"/>
              </w:rPr>
              <w:t>1</w:t>
            </w:r>
          </w:p>
        </w:tc>
        <w:tc>
          <w:tcPr>
            <w:tcW w:w="1834" w:type="dxa"/>
            <w:tcBorders>
              <w:top w:val="single" w:color="auto" w:sz="4" w:space="0"/>
            </w:tcBorders>
            <w:vAlign w:val="center"/>
          </w:tcPr>
          <w:p>
            <w:pPr>
              <w:pStyle w:val="182"/>
              <w:bidi w:val="0"/>
              <w:rPr>
                <w:color w:val="auto"/>
              </w:rPr>
            </w:pPr>
            <w:r>
              <w:rPr>
                <w:rFonts w:hint="eastAsia"/>
                <w:color w:val="auto"/>
              </w:rPr>
              <w:t>新厂区</w:t>
            </w:r>
          </w:p>
        </w:tc>
        <w:tc>
          <w:tcPr>
            <w:tcW w:w="1834" w:type="dxa"/>
            <w:tcBorders>
              <w:top w:val="single" w:color="auto" w:sz="4" w:space="0"/>
            </w:tcBorders>
            <w:vAlign w:val="center"/>
          </w:tcPr>
          <w:p>
            <w:pPr>
              <w:pStyle w:val="182"/>
              <w:bidi w:val="0"/>
              <w:rPr>
                <w:color w:val="auto"/>
              </w:rPr>
            </w:pPr>
            <w:r>
              <w:rPr>
                <w:rFonts w:hint="eastAsia"/>
                <w:color w:val="auto"/>
              </w:rPr>
              <w:t>安全环保处</w:t>
            </w:r>
          </w:p>
        </w:tc>
        <w:tc>
          <w:tcPr>
            <w:tcW w:w="2526" w:type="dxa"/>
            <w:tcBorders>
              <w:top w:val="single" w:color="auto" w:sz="4" w:space="0"/>
            </w:tcBorders>
            <w:vAlign w:val="center"/>
          </w:tcPr>
          <w:p>
            <w:pPr>
              <w:pStyle w:val="182"/>
              <w:bidi w:val="0"/>
              <w:rPr>
                <w:color w:val="auto"/>
              </w:rPr>
            </w:pPr>
            <w:r>
              <w:rPr>
                <w:rFonts w:hint="eastAsia"/>
                <w:color w:val="auto"/>
              </w:rPr>
              <w:t>30</w:t>
            </w:r>
          </w:p>
        </w:tc>
        <w:tc>
          <w:tcPr>
            <w:tcW w:w="1603" w:type="dxa"/>
            <w:tcBorders>
              <w:top w:val="single" w:color="auto" w:sz="4" w:space="0"/>
            </w:tcBorders>
            <w:vAlign w:val="center"/>
          </w:tcPr>
          <w:p>
            <w:pPr>
              <w:pStyle w:val="182"/>
              <w:bidi w:val="0"/>
              <w:rPr>
                <w:color w:val="auto"/>
              </w:rPr>
            </w:pPr>
            <w:r>
              <w:rPr>
                <w:rFonts w:hint="eastAsia"/>
                <w:color w:val="auto"/>
              </w:rPr>
              <w:t>1个</w:t>
            </w:r>
          </w:p>
        </w:tc>
      </w:tr>
    </w:tbl>
    <w:p>
      <w:pPr>
        <w:bidi w:val="0"/>
        <w:rPr>
          <w:rFonts w:hint="eastAsia"/>
          <w:color w:val="auto"/>
        </w:rPr>
      </w:pPr>
      <w:r>
        <w:rPr>
          <w:rFonts w:hint="eastAsia"/>
          <w:color w:val="auto"/>
        </w:rPr>
        <w:t>公司新区环保机构安全环保处现有30人，受总公司安全环保部领导，负责新区环保管理工作。根据拟建工程情况，评价建议本项目的环保工作纳入新区安全环保处统一管理。</w:t>
      </w:r>
    </w:p>
    <w:p>
      <w:pPr>
        <w:bidi w:val="0"/>
        <w:rPr>
          <w:color w:val="auto"/>
        </w:rPr>
      </w:pPr>
      <w:r>
        <w:rPr>
          <w:color w:val="auto"/>
        </w:rPr>
        <w:t>环境管理应贯穿于建设项目从筹备到运行的整个过程，并针对建设项目的不同阶段制定相应的环保条例，规定不同阶段的环保内容，明确不同阶段的工作职责，本项目环境管理机构各阶段的主要职责</w:t>
      </w:r>
      <w:r>
        <w:rPr>
          <w:rFonts w:hint="eastAsia"/>
          <w:color w:val="auto"/>
        </w:rPr>
        <w:t>如下：</w:t>
      </w:r>
    </w:p>
    <w:p>
      <w:pPr>
        <w:pStyle w:val="181"/>
        <w:bidi w:val="0"/>
        <w:rPr>
          <w:color w:val="auto"/>
        </w:rPr>
      </w:pPr>
      <w:r>
        <w:rPr>
          <w:color w:val="auto"/>
        </w:rPr>
        <w:t>表8</w:t>
      </w:r>
      <w:r>
        <w:rPr>
          <w:rFonts w:hint="eastAsia"/>
          <w:color w:val="auto"/>
          <w:lang w:val="en-US" w:eastAsia="zh-CN"/>
        </w:rPr>
        <w:t>.1</w:t>
      </w:r>
      <w:r>
        <w:rPr>
          <w:color w:val="auto"/>
        </w:rPr>
        <w:t>-</w:t>
      </w:r>
      <w:r>
        <w:rPr>
          <w:rFonts w:hint="eastAsia"/>
          <w:color w:val="auto"/>
          <w:lang w:val="en-US" w:eastAsia="zh-CN"/>
        </w:rPr>
        <w:t>2</w:t>
      </w:r>
      <w:r>
        <w:rPr>
          <w:color w:val="auto"/>
        </w:rPr>
        <w:t xml:space="preserve">              环境管理机构</w:t>
      </w:r>
      <w:r>
        <w:rPr>
          <w:rFonts w:hint="eastAsia"/>
          <w:color w:val="auto"/>
        </w:rPr>
        <w:t>职责一览表</w:t>
      </w:r>
    </w:p>
    <w:tbl>
      <w:tblPr>
        <w:tblStyle w:val="32"/>
        <w:tblW w:w="4999" w:type="pct"/>
        <w:tblInd w:w="0" w:type="dxa"/>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autofit"/>
        <w:tblCellMar>
          <w:top w:w="0" w:type="dxa"/>
          <w:left w:w="28" w:type="dxa"/>
          <w:bottom w:w="0" w:type="dxa"/>
          <w:right w:w="28" w:type="dxa"/>
        </w:tblCellMar>
      </w:tblPr>
      <w:tblGrid>
        <w:gridCol w:w="911"/>
        <w:gridCol w:w="7450"/>
      </w:tblGrid>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pPr>
              <w:pStyle w:val="182"/>
              <w:bidi w:val="0"/>
              <w:rPr>
                <w:color w:val="auto"/>
              </w:rPr>
            </w:pPr>
            <w:r>
              <w:rPr>
                <w:color w:val="auto"/>
              </w:rPr>
              <w:t>运行时段</w:t>
            </w:r>
          </w:p>
        </w:tc>
        <w:tc>
          <w:tcPr>
            <w:tcW w:w="4454" w:type="pct"/>
            <w:vAlign w:val="center"/>
          </w:tcPr>
          <w:p>
            <w:pPr>
              <w:pStyle w:val="182"/>
              <w:bidi w:val="0"/>
              <w:rPr>
                <w:color w:val="auto"/>
              </w:rPr>
            </w:pPr>
            <w:r>
              <w:rPr>
                <w:color w:val="auto"/>
              </w:rPr>
              <w:t>主    要    职    责</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pPr>
              <w:pStyle w:val="182"/>
              <w:bidi w:val="0"/>
              <w:rPr>
                <w:color w:val="auto"/>
              </w:rPr>
            </w:pPr>
            <w:r>
              <w:rPr>
                <w:color w:val="auto"/>
              </w:rPr>
              <w:t>项目</w:t>
            </w:r>
          </w:p>
          <w:p>
            <w:pPr>
              <w:pStyle w:val="182"/>
              <w:bidi w:val="0"/>
              <w:rPr>
                <w:color w:val="auto"/>
              </w:rPr>
            </w:pPr>
            <w:r>
              <w:rPr>
                <w:color w:val="auto"/>
              </w:rPr>
              <w:t>筹备期</w:t>
            </w:r>
          </w:p>
        </w:tc>
        <w:tc>
          <w:tcPr>
            <w:tcW w:w="4454" w:type="pct"/>
            <w:vAlign w:val="center"/>
          </w:tcPr>
          <w:p>
            <w:pPr>
              <w:pStyle w:val="182"/>
              <w:bidi w:val="0"/>
              <w:jc w:val="left"/>
              <w:rPr>
                <w:color w:val="auto"/>
              </w:rPr>
            </w:pPr>
            <w:r>
              <w:rPr>
                <w:color w:val="auto"/>
              </w:rPr>
              <w:t>熟悉环保法律法规</w:t>
            </w:r>
          </w:p>
          <w:p>
            <w:pPr>
              <w:pStyle w:val="182"/>
              <w:bidi w:val="0"/>
              <w:jc w:val="left"/>
              <w:rPr>
                <w:color w:val="auto"/>
              </w:rPr>
            </w:pPr>
            <w:r>
              <w:rPr>
                <w:color w:val="auto"/>
              </w:rPr>
              <w:t>·审核项目准入条件，确定项目是否符合国家产业政策和环保准入条件</w:t>
            </w:r>
          </w:p>
          <w:p>
            <w:pPr>
              <w:pStyle w:val="182"/>
              <w:bidi w:val="0"/>
              <w:jc w:val="left"/>
              <w:rPr>
                <w:color w:val="auto"/>
              </w:rPr>
            </w:pPr>
            <w:r>
              <w:rPr>
                <w:color w:val="auto"/>
              </w:rPr>
              <w:t>·向环保管理部门申报建设项目，包括产品规模、生产工艺、采用设备、建设地点等</w:t>
            </w:r>
          </w:p>
          <w:p>
            <w:pPr>
              <w:pStyle w:val="182"/>
              <w:bidi w:val="0"/>
              <w:jc w:val="left"/>
              <w:rPr>
                <w:color w:val="auto"/>
              </w:rPr>
            </w:pPr>
            <w:r>
              <w:rPr>
                <w:color w:val="auto"/>
              </w:rPr>
              <w:t>·请有资质的正规单位进行可行性研究和初步设计，进行建设项目环境影响评价，待管理部门批准后进行建设</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pPr>
              <w:pStyle w:val="182"/>
              <w:bidi w:val="0"/>
              <w:rPr>
                <w:color w:val="auto"/>
              </w:rPr>
            </w:pPr>
            <w:r>
              <w:rPr>
                <w:color w:val="auto"/>
              </w:rPr>
              <w:t>项目</w:t>
            </w:r>
          </w:p>
          <w:p>
            <w:pPr>
              <w:pStyle w:val="182"/>
              <w:bidi w:val="0"/>
              <w:rPr>
                <w:color w:val="auto"/>
              </w:rPr>
            </w:pPr>
            <w:r>
              <w:rPr>
                <w:color w:val="auto"/>
              </w:rPr>
              <w:t>建设期</w:t>
            </w:r>
          </w:p>
        </w:tc>
        <w:tc>
          <w:tcPr>
            <w:tcW w:w="4454" w:type="pct"/>
            <w:vAlign w:val="center"/>
          </w:tcPr>
          <w:p>
            <w:pPr>
              <w:pStyle w:val="182"/>
              <w:bidi w:val="0"/>
              <w:jc w:val="left"/>
              <w:rPr>
                <w:color w:val="auto"/>
              </w:rPr>
            </w:pPr>
            <w:r>
              <w:rPr>
                <w:color w:val="auto"/>
              </w:rPr>
              <w:t>·请有资质的正规单位按照设计图纸进行规范施工和全过程的施工监理、环境监理，认真执行环评提出的建设期污染治理措施</w:t>
            </w:r>
          </w:p>
          <w:p>
            <w:pPr>
              <w:pStyle w:val="182"/>
              <w:bidi w:val="0"/>
              <w:jc w:val="left"/>
              <w:rPr>
                <w:color w:val="auto"/>
              </w:rPr>
            </w:pPr>
            <w:r>
              <w:rPr>
                <w:color w:val="auto"/>
              </w:rPr>
              <w:t>·根据环评及批复的污染防治措施和“三同时”原则落实环保设施的建设</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pPr>
              <w:pStyle w:val="182"/>
              <w:bidi w:val="0"/>
              <w:rPr>
                <w:color w:val="auto"/>
              </w:rPr>
            </w:pPr>
            <w:r>
              <w:rPr>
                <w:color w:val="auto"/>
              </w:rPr>
              <w:t>项目竣工</w:t>
            </w:r>
          </w:p>
          <w:p>
            <w:pPr>
              <w:pStyle w:val="182"/>
              <w:bidi w:val="0"/>
              <w:rPr>
                <w:color w:val="auto"/>
              </w:rPr>
            </w:pPr>
            <w:r>
              <w:rPr>
                <w:color w:val="auto"/>
              </w:rPr>
              <w:t>验收期</w:t>
            </w:r>
          </w:p>
        </w:tc>
        <w:tc>
          <w:tcPr>
            <w:tcW w:w="4454" w:type="pct"/>
            <w:vAlign w:val="center"/>
          </w:tcPr>
          <w:p>
            <w:pPr>
              <w:pStyle w:val="182"/>
              <w:bidi w:val="0"/>
              <w:jc w:val="left"/>
              <w:rPr>
                <w:color w:val="auto"/>
              </w:rPr>
            </w:pPr>
            <w:r>
              <w:rPr>
                <w:color w:val="auto"/>
              </w:rPr>
              <w:t>·</w:t>
            </w:r>
            <w:r>
              <w:rPr>
                <w:rFonts w:hint="eastAsia"/>
                <w:color w:val="auto"/>
              </w:rPr>
              <w:t>建设项目竣工后，建设单位应当如实查验、监测、记载建设项目环境保护设施的建设和调试情况，编制验收监测报告</w:t>
            </w:r>
          </w:p>
          <w:p>
            <w:pPr>
              <w:pStyle w:val="182"/>
              <w:bidi w:val="0"/>
              <w:jc w:val="left"/>
              <w:rPr>
                <w:color w:val="auto"/>
              </w:rPr>
            </w:pPr>
            <w:r>
              <w:rPr>
                <w:color w:val="auto"/>
              </w:rPr>
              <w:t>·监测环保设施运行效率与效果</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pPr>
              <w:pStyle w:val="182"/>
              <w:bidi w:val="0"/>
              <w:rPr>
                <w:color w:val="auto"/>
              </w:rPr>
            </w:pPr>
            <w:r>
              <w:rPr>
                <w:color w:val="auto"/>
              </w:rPr>
              <w:t>项目</w:t>
            </w:r>
          </w:p>
          <w:p>
            <w:pPr>
              <w:pStyle w:val="182"/>
              <w:bidi w:val="0"/>
              <w:rPr>
                <w:color w:val="auto"/>
              </w:rPr>
            </w:pPr>
            <w:r>
              <w:rPr>
                <w:color w:val="auto"/>
              </w:rPr>
              <w:t>运行期</w:t>
            </w:r>
          </w:p>
        </w:tc>
        <w:tc>
          <w:tcPr>
            <w:tcW w:w="4454" w:type="pct"/>
            <w:vAlign w:val="center"/>
          </w:tcPr>
          <w:p>
            <w:pPr>
              <w:pStyle w:val="182"/>
              <w:bidi w:val="0"/>
              <w:jc w:val="left"/>
              <w:rPr>
                <w:color w:val="auto"/>
              </w:rPr>
            </w:pPr>
            <w:r>
              <w:rPr>
                <w:color w:val="auto"/>
              </w:rPr>
              <w:t>·制定切实可行的环保管理制度和条例。组织开展环保宣传教育培训。</w:t>
            </w:r>
          </w:p>
          <w:p>
            <w:pPr>
              <w:pStyle w:val="182"/>
              <w:bidi w:val="0"/>
              <w:jc w:val="left"/>
              <w:rPr>
                <w:color w:val="auto"/>
              </w:rPr>
            </w:pPr>
            <w:r>
              <w:rPr>
                <w:color w:val="auto"/>
              </w:rPr>
              <w:t>·把污染源监督和“三废”排放纳入日常管理工作，并落实到车间班组和岗位，进行全方位管理。</w:t>
            </w:r>
          </w:p>
          <w:p>
            <w:pPr>
              <w:pStyle w:val="182"/>
              <w:bidi w:val="0"/>
              <w:jc w:val="left"/>
              <w:rPr>
                <w:color w:val="auto"/>
              </w:rPr>
            </w:pPr>
            <w:r>
              <w:rPr>
                <w:color w:val="auto"/>
              </w:rPr>
              <w:t>·实施有效的“三废”综合利用开发措施。收集整理和推广环保技术经验，及时解决运行中出现的环保问题。</w:t>
            </w:r>
          </w:p>
          <w:p>
            <w:pPr>
              <w:pStyle w:val="182"/>
              <w:bidi w:val="0"/>
              <w:jc w:val="left"/>
              <w:rPr>
                <w:color w:val="auto"/>
              </w:rPr>
            </w:pPr>
            <w:r>
              <w:rPr>
                <w:color w:val="auto"/>
              </w:rPr>
              <w:t>·按照责、权、利实施奖罚制度，对违反法规和制度的行为根据情节</w:t>
            </w:r>
            <w:r>
              <w:rPr>
                <w:rFonts w:hint="eastAsia"/>
                <w:color w:val="auto"/>
                <w:lang w:eastAsia="zh-CN"/>
              </w:rPr>
              <w:t>给予处罚</w:t>
            </w:r>
            <w:r>
              <w:rPr>
                <w:color w:val="auto"/>
              </w:rPr>
              <w:t>，对有功者</w:t>
            </w:r>
            <w:r>
              <w:rPr>
                <w:rFonts w:hint="eastAsia"/>
                <w:color w:val="auto"/>
                <w:lang w:eastAsia="zh-CN"/>
              </w:rPr>
              <w:t>给予</w:t>
            </w:r>
            <w:r>
              <w:rPr>
                <w:color w:val="auto"/>
              </w:rPr>
              <w:t>奖励。</w:t>
            </w:r>
          </w:p>
          <w:p>
            <w:pPr>
              <w:pStyle w:val="182"/>
              <w:bidi w:val="0"/>
              <w:jc w:val="left"/>
              <w:rPr>
                <w:color w:val="auto"/>
              </w:rPr>
            </w:pPr>
            <w:r>
              <w:rPr>
                <w:color w:val="auto"/>
              </w:rPr>
              <w:t>·配合当地和上级环保主管部门，认真落实国家环保法规和行政主管部门的规定。接受环保管理部门的监督检查和管理。</w:t>
            </w:r>
          </w:p>
          <w:p>
            <w:pPr>
              <w:pStyle w:val="182"/>
              <w:bidi w:val="0"/>
              <w:jc w:val="left"/>
              <w:rPr>
                <w:color w:val="auto"/>
              </w:rPr>
            </w:pPr>
            <w:r>
              <w:rPr>
                <w:color w:val="auto"/>
              </w:rPr>
              <w:t>·经常性地组织对企业职工进行清洁生产教育和培训，根据企业发展状况，推进清洁生产审计</w:t>
            </w:r>
          </w:p>
          <w:p>
            <w:pPr>
              <w:pStyle w:val="182"/>
              <w:bidi w:val="0"/>
              <w:jc w:val="left"/>
              <w:rPr>
                <w:color w:val="auto"/>
              </w:rPr>
            </w:pPr>
            <w:r>
              <w:rPr>
                <w:color w:val="auto"/>
              </w:rPr>
              <w:t>·按照环评及批复要求制订全厂环境监测计划，定期进行污染源和环境监测，整理分析各项监测资料，填报环境监测统计报表、环境指标考核资料，建立环保档案，掌握污染排放情况，分析变化规律。</w:t>
            </w:r>
          </w:p>
        </w:tc>
      </w:tr>
    </w:tbl>
    <w:p>
      <w:pPr>
        <w:bidi w:val="0"/>
        <w:rPr>
          <w:color w:val="auto"/>
        </w:rPr>
      </w:pPr>
      <w:r>
        <w:rPr>
          <w:color w:val="auto"/>
        </w:rPr>
        <w:t>根据工程特点，公司制定了一系列行之有效的环境保护管理规章制度和《</w:t>
      </w:r>
      <w:r>
        <w:rPr>
          <w:rFonts w:hint="eastAsia"/>
          <w:color w:val="auto"/>
        </w:rPr>
        <w:t>突发环境事件</w:t>
      </w:r>
      <w:r>
        <w:rPr>
          <w:color w:val="auto"/>
        </w:rPr>
        <w:t>应急预案》</w:t>
      </w:r>
      <w:r>
        <w:rPr>
          <w:rFonts w:hint="eastAsia"/>
          <w:color w:val="auto"/>
        </w:rPr>
        <w:t>，</w:t>
      </w:r>
      <w:r>
        <w:rPr>
          <w:color w:val="auto"/>
        </w:rPr>
        <w:t>建立了环境监测报表、台账等。评价建议每年制定环境保护资金计划，拨付足额的资金，确保全厂各项环境保护设施和措施的建设、运行及维护能稳定运行。</w:t>
      </w:r>
    </w:p>
    <w:p>
      <w:pPr>
        <w:pStyle w:val="7"/>
        <w:bidi w:val="0"/>
        <w:rPr>
          <w:color w:val="auto"/>
        </w:rPr>
      </w:pPr>
      <w:bookmarkStart w:id="384" w:name="_Toc19835"/>
      <w:r>
        <w:rPr>
          <w:rFonts w:hint="eastAsia"/>
          <w:color w:val="auto"/>
        </w:rPr>
        <w:t>8</w:t>
      </w:r>
      <w:r>
        <w:rPr>
          <w:color w:val="auto"/>
        </w:rPr>
        <w:t>.2</w:t>
      </w:r>
      <w:r>
        <w:rPr>
          <w:rFonts w:hint="eastAsia"/>
          <w:color w:val="auto"/>
        </w:rPr>
        <w:t>环境监测计划</w:t>
      </w:r>
      <w:bookmarkEnd w:id="384"/>
    </w:p>
    <w:p>
      <w:pPr>
        <w:pStyle w:val="9"/>
        <w:bidi w:val="0"/>
        <w:rPr>
          <w:color w:val="auto"/>
        </w:rPr>
      </w:pPr>
      <w:r>
        <w:rPr>
          <w:rFonts w:hint="eastAsia"/>
          <w:color w:val="auto"/>
        </w:rPr>
        <w:t>8.2.1环境监测的目的</w:t>
      </w:r>
    </w:p>
    <w:p>
      <w:pPr>
        <w:bidi w:val="0"/>
        <w:rPr>
          <w:color w:val="auto"/>
        </w:rPr>
      </w:pPr>
      <w:r>
        <w:rPr>
          <w:rFonts w:hint="eastAsia"/>
          <w:color w:val="auto"/>
        </w:rPr>
        <w:t>环境监测的</w:t>
      </w:r>
      <w:r>
        <w:rPr>
          <w:rFonts w:hint="eastAsia"/>
          <w:color w:val="auto"/>
          <w:lang w:eastAsia="zh-CN"/>
        </w:rPr>
        <w:t>目的是</w:t>
      </w:r>
      <w:r>
        <w:rPr>
          <w:rFonts w:hint="eastAsia"/>
          <w:color w:val="auto"/>
        </w:rPr>
        <w:t>准确、及时、全面地反映环境质量现状及发展趋势，对该厂主要污染物排放进行定期监测，为环境管理、污染源控制、环境规划等提供科学依据。因此，环境监测是环境管理工作必不可少的手段，是科学管理企业环保工作的基础。通过监测计划的制定与实施，及时发现环保措施的不足，进行修正和改进，确保环保设施长期高效稳定</w:t>
      </w:r>
      <w:r>
        <w:rPr>
          <w:rFonts w:hint="eastAsia"/>
          <w:color w:val="auto"/>
          <w:lang w:eastAsia="zh-CN"/>
        </w:rPr>
        <w:t>地</w:t>
      </w:r>
      <w:r>
        <w:rPr>
          <w:rFonts w:hint="eastAsia"/>
          <w:color w:val="auto"/>
        </w:rPr>
        <w:t>进行。</w:t>
      </w:r>
    </w:p>
    <w:p>
      <w:pPr>
        <w:pStyle w:val="9"/>
        <w:bidi w:val="0"/>
        <w:rPr>
          <w:color w:val="auto"/>
        </w:rPr>
      </w:pPr>
      <w:r>
        <w:rPr>
          <w:rFonts w:hint="eastAsia"/>
          <w:color w:val="auto"/>
        </w:rPr>
        <w:t>8.2.2监测任务</w:t>
      </w:r>
    </w:p>
    <w:p>
      <w:pPr>
        <w:bidi w:val="0"/>
        <w:rPr>
          <w:color w:val="auto"/>
        </w:rPr>
      </w:pPr>
      <w:r>
        <w:rPr>
          <w:rFonts w:hint="eastAsia"/>
          <w:color w:val="auto"/>
        </w:rPr>
        <w:t>环境监测是环境管理的基础，并为企业制定污染防治对策和规划提供依据。根据工程污染物排放的实际情况和就近方便的原则，该项目具体监测工作建议委托有资质的环境监测机构完成。主要任务如下：</w:t>
      </w:r>
    </w:p>
    <w:p>
      <w:pPr>
        <w:bidi w:val="0"/>
        <w:rPr>
          <w:color w:val="auto"/>
        </w:rPr>
      </w:pPr>
      <w:r>
        <w:rPr>
          <w:rFonts w:hint="eastAsia"/>
          <w:color w:val="auto"/>
        </w:rPr>
        <w:t>①定期监测建设项目排放的污染物是否符合国家所规定的排放标准；</w:t>
      </w:r>
    </w:p>
    <w:p>
      <w:pPr>
        <w:bidi w:val="0"/>
        <w:rPr>
          <w:color w:val="auto"/>
        </w:rPr>
      </w:pPr>
      <w:r>
        <w:rPr>
          <w:rFonts w:hint="eastAsia"/>
          <w:color w:val="auto"/>
        </w:rPr>
        <w:t>②分析所排污染物的变化规律，为制定污染控制措施提供依据；</w:t>
      </w:r>
    </w:p>
    <w:p>
      <w:pPr>
        <w:bidi w:val="0"/>
        <w:rPr>
          <w:color w:val="auto"/>
        </w:rPr>
      </w:pPr>
      <w:r>
        <w:rPr>
          <w:rFonts w:hint="eastAsia"/>
          <w:color w:val="auto"/>
        </w:rPr>
        <w:t>③负责污染事故的监测及报告；</w:t>
      </w:r>
    </w:p>
    <w:p>
      <w:pPr>
        <w:bidi w:val="0"/>
        <w:rPr>
          <w:color w:val="auto"/>
        </w:rPr>
      </w:pPr>
      <w:r>
        <w:rPr>
          <w:rFonts w:hint="eastAsia"/>
          <w:color w:val="auto"/>
        </w:rPr>
        <w:t>④环境监测对象主要有两个方面，即污染源监测和企业环境质量监测。</w:t>
      </w:r>
    </w:p>
    <w:p>
      <w:pPr>
        <w:pStyle w:val="9"/>
        <w:bidi w:val="0"/>
        <w:rPr>
          <w:color w:val="auto"/>
        </w:rPr>
      </w:pPr>
      <w:r>
        <w:rPr>
          <w:rFonts w:hint="eastAsia"/>
          <w:color w:val="auto"/>
        </w:rPr>
        <w:t>8.2.3监测要求</w:t>
      </w:r>
    </w:p>
    <w:p>
      <w:pPr>
        <w:bidi w:val="0"/>
        <w:rPr>
          <w:color w:val="auto"/>
        </w:rPr>
      </w:pPr>
      <w:r>
        <w:rPr>
          <w:rFonts w:hint="eastAsia"/>
          <w:color w:val="auto"/>
        </w:rPr>
        <w:t>（1）根据《大气污染物综合排放标准》（GB16297-1996）及《固定污染源排气中颗粒物测定与气态污染物采样方法》（GB/T16157-1996）要求，在废气治理设施前、后分别预留监测孔，设置明显标志。</w:t>
      </w:r>
    </w:p>
    <w:p>
      <w:pPr>
        <w:bidi w:val="0"/>
        <w:rPr>
          <w:color w:val="auto"/>
        </w:rPr>
      </w:pPr>
      <w:r>
        <w:rPr>
          <w:rFonts w:hint="eastAsia"/>
          <w:color w:val="auto"/>
        </w:rPr>
        <w:t>（2）根据《</w:t>
      </w:r>
      <w:r>
        <w:rPr>
          <w:rFonts w:hint="eastAsia"/>
          <w:color w:val="auto"/>
          <w:lang w:eastAsia="zh-CN"/>
        </w:rPr>
        <w:t>环境保护图形标志 排放口（源）</w:t>
      </w:r>
      <w:r>
        <w:rPr>
          <w:rFonts w:hint="eastAsia"/>
          <w:color w:val="auto"/>
        </w:rPr>
        <w:t>》（GB15562.1-1995）标准要求，分别在废气排放口和噪声排放源设置环境保护图形标志，便于污染源的监督管理和常规监测工作的进行。</w:t>
      </w:r>
    </w:p>
    <w:p>
      <w:pPr>
        <w:bidi w:val="0"/>
        <w:rPr>
          <w:color w:val="auto"/>
        </w:rPr>
      </w:pPr>
      <w:r>
        <w:rPr>
          <w:rFonts w:hint="eastAsia"/>
          <w:color w:val="auto"/>
        </w:rPr>
        <w:t>（3）污染监控应严格按照国家有关标准和技术规范进行。</w:t>
      </w:r>
    </w:p>
    <w:p>
      <w:pPr>
        <w:pStyle w:val="9"/>
        <w:bidi w:val="0"/>
        <w:rPr>
          <w:color w:val="auto"/>
        </w:rPr>
      </w:pPr>
      <w:r>
        <w:rPr>
          <w:rFonts w:hint="eastAsia"/>
          <w:color w:val="auto"/>
        </w:rPr>
        <w:t>8.2.4运行期监测计划</w:t>
      </w:r>
    </w:p>
    <w:p>
      <w:pPr>
        <w:bidi w:val="0"/>
        <w:rPr>
          <w:b/>
          <w:bCs/>
          <w:color w:val="auto"/>
          <w:u w:val="single"/>
        </w:rPr>
      </w:pPr>
      <w:r>
        <w:rPr>
          <w:rFonts w:hint="eastAsia"/>
          <w:b/>
          <w:bCs/>
          <w:color w:val="auto"/>
          <w:u w:val="single"/>
        </w:rPr>
        <w:t>根据本工程废气、废水和噪声等污染源的产、排情况，同时参照《排污单位自行监测技术指南总则》（HJ 819 -2017）要求，评价建议工程环境监测的具体内容和频率见表</w:t>
      </w:r>
      <w:r>
        <w:rPr>
          <w:b/>
          <w:bCs/>
          <w:color w:val="auto"/>
          <w:u w:val="single"/>
        </w:rPr>
        <w:t>8.2</w:t>
      </w:r>
      <w:r>
        <w:rPr>
          <w:rFonts w:hint="eastAsia"/>
          <w:b/>
          <w:bCs/>
          <w:color w:val="auto"/>
          <w:u w:val="single"/>
        </w:rPr>
        <w:t>-</w:t>
      </w:r>
      <w:r>
        <w:rPr>
          <w:b/>
          <w:bCs/>
          <w:color w:val="auto"/>
          <w:u w:val="single"/>
        </w:rPr>
        <w:t>1</w:t>
      </w:r>
      <w:r>
        <w:rPr>
          <w:rFonts w:hint="eastAsia"/>
          <w:b/>
          <w:bCs/>
          <w:color w:val="auto"/>
          <w:u w:val="single"/>
        </w:rPr>
        <w:t>。监测方法参照国家有关技术标准和规范。</w:t>
      </w:r>
    </w:p>
    <w:p>
      <w:pPr>
        <w:pStyle w:val="181"/>
        <w:bidi w:val="0"/>
        <w:ind w:left="0" w:leftChars="0" w:firstLine="0" w:firstLineChars="0"/>
        <w:jc w:val="center"/>
        <w:rPr>
          <w:b/>
          <w:bCs/>
          <w:color w:val="auto"/>
          <w:u w:val="single"/>
        </w:rPr>
      </w:pPr>
      <w:r>
        <w:rPr>
          <w:rFonts w:hint="eastAsia"/>
          <w:b/>
          <w:bCs/>
          <w:color w:val="auto"/>
          <w:u w:val="single"/>
        </w:rPr>
        <w:t>表</w:t>
      </w:r>
      <w:r>
        <w:rPr>
          <w:b/>
          <w:bCs/>
          <w:color w:val="auto"/>
          <w:u w:val="single"/>
        </w:rPr>
        <w:t>8.2</w:t>
      </w:r>
      <w:r>
        <w:rPr>
          <w:rFonts w:hint="eastAsia"/>
          <w:b/>
          <w:bCs/>
          <w:color w:val="auto"/>
          <w:u w:val="single"/>
        </w:rPr>
        <w:t>-</w:t>
      </w:r>
      <w:r>
        <w:rPr>
          <w:b/>
          <w:bCs/>
          <w:color w:val="auto"/>
          <w:u w:val="single"/>
        </w:rPr>
        <w:t xml:space="preserve">1  </w:t>
      </w:r>
      <w:r>
        <w:rPr>
          <w:rFonts w:hint="eastAsia"/>
          <w:b/>
          <w:bCs/>
          <w:color w:val="auto"/>
          <w:u w:val="single"/>
          <w:lang w:val="en-US" w:eastAsia="zh-CN"/>
        </w:rPr>
        <w:t xml:space="preserve">              </w:t>
      </w:r>
      <w:r>
        <w:rPr>
          <w:rFonts w:hint="eastAsia"/>
          <w:b/>
          <w:bCs/>
          <w:color w:val="auto"/>
          <w:u w:val="single"/>
        </w:rPr>
        <w:t>环境监测计划表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3"/>
        <w:gridCol w:w="883"/>
        <w:gridCol w:w="2322"/>
        <w:gridCol w:w="1872"/>
        <w:gridCol w:w="2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77" w:type="pct"/>
            <w:gridSpan w:val="2"/>
            <w:tcBorders>
              <w:top w:val="single" w:color="auto" w:sz="8" w:space="0"/>
              <w:left w:val="single" w:color="auto" w:sz="8" w:space="0"/>
              <w:bottom w:val="single" w:color="auto" w:sz="8" w:space="0"/>
            </w:tcBorders>
            <w:vAlign w:val="center"/>
          </w:tcPr>
          <w:p>
            <w:pPr>
              <w:pStyle w:val="182"/>
              <w:bidi w:val="0"/>
              <w:rPr>
                <w:b/>
                <w:bCs/>
                <w:color w:val="auto"/>
                <w:u w:val="single"/>
              </w:rPr>
            </w:pPr>
            <w:r>
              <w:rPr>
                <w:rFonts w:hint="eastAsia"/>
                <w:b/>
                <w:bCs/>
                <w:color w:val="auto"/>
                <w:u w:val="single"/>
              </w:rPr>
              <w:t>监测类别</w:t>
            </w:r>
          </w:p>
        </w:tc>
        <w:tc>
          <w:tcPr>
            <w:tcW w:w="1362" w:type="pct"/>
            <w:tcBorders>
              <w:top w:val="single" w:color="auto" w:sz="8" w:space="0"/>
              <w:bottom w:val="single" w:color="auto" w:sz="8" w:space="0"/>
            </w:tcBorders>
            <w:vAlign w:val="center"/>
          </w:tcPr>
          <w:p>
            <w:pPr>
              <w:pStyle w:val="182"/>
              <w:bidi w:val="0"/>
              <w:rPr>
                <w:b/>
                <w:bCs/>
                <w:color w:val="auto"/>
                <w:u w:val="single"/>
              </w:rPr>
            </w:pPr>
            <w:r>
              <w:rPr>
                <w:rFonts w:hint="eastAsia"/>
                <w:b/>
                <w:bCs/>
                <w:color w:val="auto"/>
                <w:u w:val="single"/>
              </w:rPr>
              <w:t>监测指标</w:t>
            </w:r>
          </w:p>
        </w:tc>
        <w:tc>
          <w:tcPr>
            <w:tcW w:w="1098" w:type="pct"/>
            <w:tcBorders>
              <w:top w:val="single" w:color="auto" w:sz="8" w:space="0"/>
              <w:bottom w:val="single" w:color="auto" w:sz="8" w:space="0"/>
            </w:tcBorders>
            <w:vAlign w:val="center"/>
          </w:tcPr>
          <w:p>
            <w:pPr>
              <w:pStyle w:val="182"/>
              <w:bidi w:val="0"/>
              <w:rPr>
                <w:b/>
                <w:bCs/>
                <w:color w:val="auto"/>
                <w:u w:val="single"/>
              </w:rPr>
            </w:pPr>
            <w:r>
              <w:rPr>
                <w:rFonts w:hint="eastAsia"/>
                <w:b/>
                <w:bCs/>
                <w:color w:val="auto"/>
                <w:u w:val="single"/>
              </w:rPr>
              <w:t>监测点位</w:t>
            </w:r>
          </w:p>
        </w:tc>
        <w:tc>
          <w:tcPr>
            <w:tcW w:w="1361" w:type="pct"/>
            <w:tcBorders>
              <w:top w:val="single" w:color="auto" w:sz="8" w:space="0"/>
              <w:bottom w:val="single" w:color="auto" w:sz="8" w:space="0"/>
            </w:tcBorders>
            <w:vAlign w:val="center"/>
          </w:tcPr>
          <w:p>
            <w:pPr>
              <w:pStyle w:val="182"/>
              <w:bidi w:val="0"/>
              <w:rPr>
                <w:b/>
                <w:bCs/>
                <w:color w:val="auto"/>
                <w:u w:val="single"/>
              </w:rPr>
            </w:pPr>
            <w:r>
              <w:rPr>
                <w:rFonts w:hint="eastAsia"/>
                <w:b/>
                <w:bCs/>
                <w:color w:val="auto"/>
                <w:u w:val="single"/>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5" w:hRule="atLeast"/>
        </w:trPr>
        <w:tc>
          <w:tcPr>
            <w:tcW w:w="659" w:type="pct"/>
            <w:vMerge w:val="restart"/>
            <w:tcBorders>
              <w:top w:val="single" w:color="auto" w:sz="8" w:space="0"/>
              <w:left w:val="single" w:color="auto" w:sz="8" w:space="0"/>
            </w:tcBorders>
            <w:vAlign w:val="center"/>
          </w:tcPr>
          <w:p>
            <w:pPr>
              <w:pStyle w:val="182"/>
              <w:bidi w:val="0"/>
              <w:rPr>
                <w:b/>
                <w:bCs/>
                <w:color w:val="auto"/>
                <w:u w:val="single"/>
              </w:rPr>
            </w:pPr>
            <w:r>
              <w:rPr>
                <w:rFonts w:hint="eastAsia"/>
                <w:b/>
                <w:bCs/>
                <w:color w:val="auto"/>
                <w:u w:val="single"/>
              </w:rPr>
              <w:t>污染源监测</w:t>
            </w:r>
          </w:p>
        </w:tc>
        <w:tc>
          <w:tcPr>
            <w:tcW w:w="518" w:type="pct"/>
            <w:vMerge w:val="restart"/>
            <w:tcBorders>
              <w:top w:val="single" w:color="auto" w:sz="8" w:space="0"/>
            </w:tcBorders>
            <w:vAlign w:val="center"/>
          </w:tcPr>
          <w:p>
            <w:pPr>
              <w:pStyle w:val="182"/>
              <w:bidi w:val="0"/>
              <w:rPr>
                <w:b/>
                <w:bCs/>
                <w:color w:val="auto"/>
                <w:u w:val="single"/>
              </w:rPr>
            </w:pPr>
            <w:r>
              <w:rPr>
                <w:rFonts w:hint="eastAsia"/>
                <w:b/>
                <w:bCs/>
                <w:color w:val="auto"/>
                <w:u w:val="single"/>
              </w:rPr>
              <w:t>废水</w:t>
            </w:r>
          </w:p>
        </w:tc>
        <w:tc>
          <w:tcPr>
            <w:tcW w:w="1362" w:type="pct"/>
            <w:tcBorders>
              <w:top w:val="single" w:color="auto" w:sz="8" w:space="0"/>
            </w:tcBorders>
            <w:vAlign w:val="center"/>
          </w:tcPr>
          <w:p>
            <w:pPr>
              <w:pStyle w:val="182"/>
              <w:bidi w:val="0"/>
              <w:rPr>
                <w:rFonts w:hint="default" w:eastAsia="宋体"/>
                <w:b/>
                <w:bCs/>
                <w:color w:val="auto"/>
                <w:u w:val="single"/>
                <w:lang w:val="en-US" w:eastAsia="zh-CN"/>
              </w:rPr>
            </w:pPr>
            <w:r>
              <w:rPr>
                <w:rFonts w:hint="eastAsia"/>
                <w:b/>
                <w:bCs/>
                <w:color w:val="auto"/>
                <w:u w:val="single"/>
              </w:rPr>
              <w:t>流量、COD、SS、NH</w:t>
            </w:r>
            <w:r>
              <w:rPr>
                <w:rFonts w:hint="eastAsia"/>
                <w:b/>
                <w:bCs/>
                <w:color w:val="auto"/>
                <w:u w:val="single"/>
                <w:vertAlign w:val="subscript"/>
              </w:rPr>
              <w:t>3</w:t>
            </w:r>
            <w:r>
              <w:rPr>
                <w:rFonts w:hint="eastAsia"/>
                <w:b/>
                <w:bCs/>
                <w:color w:val="auto"/>
                <w:u w:val="single"/>
              </w:rPr>
              <w:t>-N</w:t>
            </w:r>
            <w:r>
              <w:rPr>
                <w:rFonts w:hint="eastAsia"/>
                <w:b/>
                <w:bCs/>
                <w:color w:val="auto"/>
                <w:u w:val="single"/>
                <w:lang w:eastAsia="zh-CN"/>
              </w:rPr>
              <w:t>、</w:t>
            </w:r>
            <w:r>
              <w:rPr>
                <w:rFonts w:hint="eastAsia"/>
                <w:b/>
                <w:bCs/>
                <w:color w:val="auto"/>
                <w:u w:val="single"/>
                <w:lang w:val="en-US" w:eastAsia="zh-CN"/>
              </w:rPr>
              <w:t>TN、TP、色度</w:t>
            </w:r>
          </w:p>
        </w:tc>
        <w:tc>
          <w:tcPr>
            <w:tcW w:w="1098" w:type="pct"/>
            <w:vMerge w:val="restart"/>
            <w:tcBorders>
              <w:top w:val="single" w:color="auto" w:sz="8" w:space="0"/>
            </w:tcBorders>
            <w:vAlign w:val="center"/>
          </w:tcPr>
          <w:p>
            <w:pPr>
              <w:pStyle w:val="182"/>
              <w:bidi w:val="0"/>
              <w:rPr>
                <w:b/>
                <w:bCs/>
                <w:color w:val="auto"/>
                <w:u w:val="single"/>
              </w:rPr>
            </w:pPr>
            <w:r>
              <w:rPr>
                <w:rFonts w:hint="eastAsia"/>
                <w:b/>
                <w:bCs/>
                <w:color w:val="auto"/>
                <w:u w:val="single"/>
              </w:rPr>
              <w:t>总排口</w:t>
            </w:r>
          </w:p>
        </w:tc>
        <w:tc>
          <w:tcPr>
            <w:tcW w:w="1361" w:type="pct"/>
            <w:tcBorders>
              <w:top w:val="single" w:color="auto" w:sz="8" w:space="0"/>
            </w:tcBorders>
            <w:vAlign w:val="center"/>
          </w:tcPr>
          <w:p>
            <w:pPr>
              <w:pStyle w:val="182"/>
              <w:bidi w:val="0"/>
              <w:rPr>
                <w:b/>
                <w:bCs/>
                <w:color w:val="auto"/>
                <w:u w:val="single"/>
              </w:rPr>
            </w:pPr>
            <w:r>
              <w:rPr>
                <w:rFonts w:hint="eastAsia"/>
                <w:b/>
                <w:bCs/>
                <w:color w:val="auto"/>
                <w:u w:val="single"/>
              </w:rPr>
              <w:t>COD、NH</w:t>
            </w:r>
            <w:r>
              <w:rPr>
                <w:rFonts w:hint="eastAsia"/>
                <w:b/>
                <w:bCs/>
                <w:color w:val="auto"/>
                <w:u w:val="single"/>
                <w:vertAlign w:val="subscript"/>
              </w:rPr>
              <w:t>3</w:t>
            </w:r>
            <w:r>
              <w:rPr>
                <w:rFonts w:hint="eastAsia"/>
                <w:b/>
                <w:bCs/>
                <w:color w:val="auto"/>
                <w:u w:val="single"/>
              </w:rPr>
              <w:t>-N每小时一次（自动监测）其余项目每天1次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trPr>
        <w:tc>
          <w:tcPr>
            <w:tcW w:w="659" w:type="pct"/>
            <w:vMerge w:val="continue"/>
            <w:tcBorders>
              <w:left w:val="single" w:color="auto" w:sz="8" w:space="0"/>
            </w:tcBorders>
            <w:vAlign w:val="center"/>
          </w:tcPr>
          <w:p>
            <w:pPr>
              <w:pStyle w:val="182"/>
              <w:bidi w:val="0"/>
              <w:rPr>
                <w:b/>
                <w:bCs/>
                <w:color w:val="auto"/>
                <w:u w:val="single"/>
              </w:rPr>
            </w:pPr>
          </w:p>
        </w:tc>
        <w:tc>
          <w:tcPr>
            <w:tcW w:w="518" w:type="pct"/>
            <w:vMerge w:val="continue"/>
            <w:vAlign w:val="center"/>
          </w:tcPr>
          <w:p>
            <w:pPr>
              <w:pStyle w:val="182"/>
              <w:bidi w:val="0"/>
              <w:rPr>
                <w:b/>
                <w:bCs/>
                <w:color w:val="auto"/>
                <w:u w:val="single"/>
              </w:rPr>
            </w:pPr>
          </w:p>
        </w:tc>
        <w:tc>
          <w:tcPr>
            <w:tcW w:w="1362" w:type="pct"/>
            <w:vAlign w:val="center"/>
          </w:tcPr>
          <w:p>
            <w:pPr>
              <w:pStyle w:val="182"/>
              <w:bidi w:val="0"/>
              <w:rPr>
                <w:b/>
                <w:bCs/>
                <w:color w:val="auto"/>
                <w:u w:val="single"/>
              </w:rPr>
            </w:pPr>
            <w:r>
              <w:rPr>
                <w:rFonts w:hint="eastAsia"/>
                <w:b/>
                <w:bCs/>
                <w:color w:val="auto"/>
                <w:u w:val="single"/>
              </w:rPr>
              <w:t>BOD</w:t>
            </w:r>
            <w:r>
              <w:rPr>
                <w:rFonts w:hint="eastAsia"/>
                <w:b/>
                <w:bCs/>
                <w:color w:val="auto"/>
                <w:u w:val="single"/>
                <w:vertAlign w:val="subscript"/>
              </w:rPr>
              <w:t>5</w:t>
            </w:r>
          </w:p>
        </w:tc>
        <w:tc>
          <w:tcPr>
            <w:tcW w:w="1098" w:type="pct"/>
            <w:vMerge w:val="continue"/>
            <w:vAlign w:val="center"/>
          </w:tcPr>
          <w:p>
            <w:pPr>
              <w:pStyle w:val="182"/>
              <w:bidi w:val="0"/>
              <w:rPr>
                <w:b/>
                <w:bCs/>
                <w:color w:val="auto"/>
                <w:u w:val="single"/>
              </w:rPr>
            </w:pPr>
          </w:p>
        </w:tc>
        <w:tc>
          <w:tcPr>
            <w:tcW w:w="1361" w:type="pct"/>
            <w:vAlign w:val="center"/>
          </w:tcPr>
          <w:p>
            <w:pPr>
              <w:pStyle w:val="182"/>
              <w:bidi w:val="0"/>
              <w:rPr>
                <w:b/>
                <w:bCs/>
                <w:color w:val="auto"/>
                <w:u w:val="single"/>
              </w:rPr>
            </w:pPr>
            <w:r>
              <w:rPr>
                <w:rFonts w:hint="eastAsia"/>
                <w:b/>
                <w:bCs/>
                <w:color w:val="auto"/>
                <w:u w:val="single"/>
              </w:rPr>
              <w:t>每周一次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5" w:hRule="atLeast"/>
        </w:trPr>
        <w:tc>
          <w:tcPr>
            <w:tcW w:w="659" w:type="pct"/>
            <w:vMerge w:val="continue"/>
            <w:tcBorders>
              <w:left w:val="single" w:color="auto" w:sz="8" w:space="0"/>
            </w:tcBorders>
            <w:vAlign w:val="center"/>
          </w:tcPr>
          <w:p>
            <w:pPr>
              <w:pStyle w:val="182"/>
              <w:bidi w:val="0"/>
              <w:rPr>
                <w:b/>
                <w:bCs/>
                <w:color w:val="auto"/>
                <w:u w:val="single"/>
              </w:rPr>
            </w:pPr>
          </w:p>
        </w:tc>
        <w:tc>
          <w:tcPr>
            <w:tcW w:w="518" w:type="pct"/>
            <w:vMerge w:val="restart"/>
            <w:vAlign w:val="center"/>
          </w:tcPr>
          <w:p>
            <w:pPr>
              <w:pStyle w:val="182"/>
              <w:bidi w:val="0"/>
              <w:rPr>
                <w:b/>
                <w:bCs/>
                <w:color w:val="auto"/>
                <w:u w:val="single"/>
              </w:rPr>
            </w:pPr>
            <w:r>
              <w:rPr>
                <w:rFonts w:hint="eastAsia"/>
                <w:b/>
                <w:bCs/>
                <w:color w:val="auto"/>
                <w:u w:val="single"/>
              </w:rPr>
              <w:t>废气</w:t>
            </w:r>
          </w:p>
        </w:tc>
        <w:tc>
          <w:tcPr>
            <w:tcW w:w="1362" w:type="pct"/>
            <w:vAlign w:val="center"/>
          </w:tcPr>
          <w:p>
            <w:pPr>
              <w:pStyle w:val="182"/>
              <w:bidi w:val="0"/>
              <w:rPr>
                <w:rFonts w:hint="eastAsia" w:eastAsia="宋体"/>
                <w:b/>
                <w:bCs/>
                <w:color w:val="auto"/>
                <w:u w:val="single"/>
                <w:lang w:val="en-US" w:eastAsia="zh-CN"/>
              </w:rPr>
            </w:pPr>
            <w:r>
              <w:rPr>
                <w:rFonts w:hint="eastAsia"/>
                <w:b/>
                <w:bCs/>
                <w:color w:val="auto"/>
                <w:u w:val="single"/>
              </w:rPr>
              <w:t>颗粒物（无组织）</w:t>
            </w:r>
          </w:p>
        </w:tc>
        <w:tc>
          <w:tcPr>
            <w:tcW w:w="1098" w:type="pct"/>
            <w:vAlign w:val="center"/>
          </w:tcPr>
          <w:p>
            <w:pPr>
              <w:pStyle w:val="182"/>
              <w:bidi w:val="0"/>
              <w:rPr>
                <w:b/>
                <w:bCs/>
                <w:color w:val="auto"/>
                <w:u w:val="single"/>
              </w:rPr>
            </w:pPr>
            <w:r>
              <w:rPr>
                <w:rFonts w:hint="eastAsia"/>
                <w:b/>
                <w:bCs/>
                <w:color w:val="auto"/>
                <w:u w:val="single"/>
              </w:rPr>
              <w:t>四周厂界</w:t>
            </w:r>
          </w:p>
        </w:tc>
        <w:tc>
          <w:tcPr>
            <w:tcW w:w="1361" w:type="pct"/>
            <w:vAlign w:val="center"/>
          </w:tcPr>
          <w:p>
            <w:pPr>
              <w:pStyle w:val="182"/>
              <w:bidi w:val="0"/>
              <w:rPr>
                <w:b/>
                <w:bCs/>
                <w:color w:val="auto"/>
                <w:u w:val="single"/>
              </w:rPr>
            </w:pPr>
            <w:r>
              <w:rPr>
                <w:rFonts w:hint="eastAsia"/>
                <w:b/>
                <w:bCs/>
                <w:color w:val="auto"/>
                <w:u w:val="single"/>
              </w:rPr>
              <w:t>1次/季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5" w:hRule="atLeast"/>
        </w:trPr>
        <w:tc>
          <w:tcPr>
            <w:tcW w:w="659" w:type="pct"/>
            <w:vMerge w:val="continue"/>
            <w:tcBorders>
              <w:left w:val="single" w:color="auto" w:sz="8" w:space="0"/>
            </w:tcBorders>
            <w:vAlign w:val="center"/>
          </w:tcPr>
          <w:p>
            <w:pPr>
              <w:pStyle w:val="182"/>
              <w:bidi w:val="0"/>
              <w:rPr>
                <w:b/>
                <w:bCs/>
                <w:color w:val="auto"/>
                <w:u w:val="single"/>
              </w:rPr>
            </w:pPr>
          </w:p>
        </w:tc>
        <w:tc>
          <w:tcPr>
            <w:tcW w:w="518" w:type="pct"/>
            <w:vMerge w:val="continue"/>
            <w:vAlign w:val="center"/>
          </w:tcPr>
          <w:p>
            <w:pPr>
              <w:pStyle w:val="182"/>
              <w:bidi w:val="0"/>
              <w:rPr>
                <w:rFonts w:hint="eastAsia"/>
                <w:b/>
                <w:bCs/>
                <w:color w:val="auto"/>
                <w:u w:val="single"/>
              </w:rPr>
            </w:pPr>
          </w:p>
        </w:tc>
        <w:tc>
          <w:tcPr>
            <w:tcW w:w="1362" w:type="pct"/>
            <w:vAlign w:val="center"/>
          </w:tcPr>
          <w:p>
            <w:pPr>
              <w:pStyle w:val="182"/>
              <w:bidi w:val="0"/>
              <w:rPr>
                <w:rFonts w:hint="default" w:eastAsia="宋体"/>
                <w:b/>
                <w:bCs/>
                <w:color w:val="auto"/>
                <w:u w:val="single"/>
                <w:lang w:val="en-US" w:eastAsia="zh-CN"/>
              </w:rPr>
            </w:pPr>
            <w:r>
              <w:rPr>
                <w:rFonts w:hint="eastAsia"/>
                <w:b/>
                <w:bCs/>
                <w:color w:val="auto"/>
                <w:u w:val="single"/>
                <w:lang w:val="en-US" w:eastAsia="zh-CN"/>
              </w:rPr>
              <w:t>硫酸雾（无组织）</w:t>
            </w:r>
          </w:p>
        </w:tc>
        <w:tc>
          <w:tcPr>
            <w:tcW w:w="1098" w:type="pct"/>
            <w:vAlign w:val="center"/>
          </w:tcPr>
          <w:p>
            <w:pPr>
              <w:pStyle w:val="182"/>
              <w:bidi w:val="0"/>
              <w:rPr>
                <w:rFonts w:hint="eastAsia"/>
                <w:b/>
                <w:bCs/>
                <w:color w:val="auto"/>
                <w:u w:val="single"/>
              </w:rPr>
            </w:pPr>
            <w:r>
              <w:rPr>
                <w:rFonts w:hint="eastAsia"/>
                <w:b/>
                <w:bCs/>
                <w:color w:val="auto"/>
                <w:u w:val="single"/>
              </w:rPr>
              <w:t>四周厂界</w:t>
            </w:r>
          </w:p>
        </w:tc>
        <w:tc>
          <w:tcPr>
            <w:tcW w:w="1361" w:type="pct"/>
            <w:vAlign w:val="center"/>
          </w:tcPr>
          <w:p>
            <w:pPr>
              <w:pStyle w:val="182"/>
              <w:bidi w:val="0"/>
              <w:rPr>
                <w:rFonts w:hint="eastAsia"/>
                <w:b/>
                <w:bCs/>
                <w:color w:val="auto"/>
                <w:u w:val="single"/>
              </w:rPr>
            </w:pPr>
            <w:r>
              <w:rPr>
                <w:rFonts w:hint="eastAsia"/>
                <w:b/>
                <w:bCs/>
                <w:color w:val="auto"/>
                <w:u w:val="single"/>
              </w:rPr>
              <w:t>1次/季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59" w:type="pct"/>
            <w:vMerge w:val="continue"/>
            <w:tcBorders>
              <w:left w:val="single" w:color="auto" w:sz="8" w:space="0"/>
              <w:bottom w:val="single" w:color="auto" w:sz="8" w:space="0"/>
            </w:tcBorders>
            <w:vAlign w:val="center"/>
          </w:tcPr>
          <w:p>
            <w:pPr>
              <w:pStyle w:val="182"/>
              <w:bidi w:val="0"/>
              <w:rPr>
                <w:b/>
                <w:bCs/>
                <w:color w:val="auto"/>
                <w:u w:val="single"/>
              </w:rPr>
            </w:pPr>
          </w:p>
        </w:tc>
        <w:tc>
          <w:tcPr>
            <w:tcW w:w="518" w:type="pct"/>
            <w:vMerge w:val="continue"/>
            <w:tcBorders>
              <w:bottom w:val="single" w:color="auto" w:sz="4" w:space="0"/>
            </w:tcBorders>
            <w:vAlign w:val="center"/>
          </w:tcPr>
          <w:p>
            <w:pPr>
              <w:pStyle w:val="182"/>
              <w:bidi w:val="0"/>
              <w:rPr>
                <w:rFonts w:hint="eastAsia"/>
                <w:b/>
                <w:bCs/>
                <w:color w:val="auto"/>
                <w:u w:val="single"/>
              </w:rPr>
            </w:pPr>
          </w:p>
        </w:tc>
        <w:tc>
          <w:tcPr>
            <w:tcW w:w="1362" w:type="pct"/>
            <w:tcBorders>
              <w:bottom w:val="single" w:color="auto" w:sz="4" w:space="0"/>
            </w:tcBorders>
            <w:vAlign w:val="center"/>
          </w:tcPr>
          <w:p>
            <w:pPr>
              <w:pStyle w:val="182"/>
              <w:bidi w:val="0"/>
              <w:rPr>
                <w:rFonts w:hint="eastAsia"/>
                <w:b/>
                <w:bCs/>
                <w:color w:val="auto"/>
                <w:u w:val="single"/>
              </w:rPr>
            </w:pPr>
            <w:r>
              <w:rPr>
                <w:rFonts w:hint="eastAsia"/>
                <w:b/>
                <w:bCs/>
                <w:color w:val="auto"/>
                <w:u w:val="single"/>
              </w:rPr>
              <w:t>颗粒物（</w:t>
            </w:r>
            <w:r>
              <w:rPr>
                <w:rFonts w:hint="eastAsia"/>
                <w:b/>
                <w:bCs/>
                <w:color w:val="auto"/>
                <w:u w:val="single"/>
                <w:lang w:val="en-US" w:eastAsia="zh-CN"/>
              </w:rPr>
              <w:t>有</w:t>
            </w:r>
            <w:r>
              <w:rPr>
                <w:rFonts w:hint="eastAsia"/>
                <w:b/>
                <w:bCs/>
                <w:color w:val="auto"/>
                <w:u w:val="single"/>
              </w:rPr>
              <w:t>组织）</w:t>
            </w:r>
          </w:p>
        </w:tc>
        <w:tc>
          <w:tcPr>
            <w:tcW w:w="1098" w:type="pct"/>
            <w:tcBorders>
              <w:bottom w:val="single" w:color="auto" w:sz="4" w:space="0"/>
            </w:tcBorders>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排气筒</w:t>
            </w:r>
          </w:p>
        </w:tc>
        <w:tc>
          <w:tcPr>
            <w:tcW w:w="1361" w:type="pct"/>
            <w:tcBorders>
              <w:bottom w:val="single" w:color="auto" w:sz="4" w:space="0"/>
            </w:tcBorders>
            <w:vAlign w:val="center"/>
          </w:tcPr>
          <w:p>
            <w:pPr>
              <w:pStyle w:val="182"/>
              <w:bidi w:val="0"/>
              <w:rPr>
                <w:rFonts w:hint="eastAsia"/>
                <w:b/>
                <w:bCs/>
                <w:color w:val="auto"/>
                <w:u w:val="single"/>
              </w:rPr>
            </w:pPr>
            <w:r>
              <w:rPr>
                <w:b/>
                <w:bCs/>
                <w:color w:val="auto"/>
                <w:u w:val="single"/>
              </w:rPr>
              <w:t>1次/季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59" w:type="pct"/>
            <w:vMerge w:val="continue"/>
            <w:tcBorders>
              <w:left w:val="single" w:color="auto" w:sz="8" w:space="0"/>
              <w:bottom w:val="single" w:color="auto" w:sz="8" w:space="0"/>
            </w:tcBorders>
            <w:vAlign w:val="center"/>
          </w:tcPr>
          <w:p>
            <w:pPr>
              <w:pStyle w:val="182"/>
              <w:bidi w:val="0"/>
              <w:rPr>
                <w:b/>
                <w:bCs/>
                <w:color w:val="auto"/>
                <w:u w:val="single"/>
              </w:rPr>
            </w:pPr>
          </w:p>
        </w:tc>
        <w:tc>
          <w:tcPr>
            <w:tcW w:w="518" w:type="pct"/>
            <w:tcBorders>
              <w:bottom w:val="single" w:color="auto" w:sz="4" w:space="0"/>
            </w:tcBorders>
            <w:vAlign w:val="center"/>
          </w:tcPr>
          <w:p>
            <w:pPr>
              <w:pStyle w:val="182"/>
              <w:bidi w:val="0"/>
              <w:rPr>
                <w:b/>
                <w:bCs/>
                <w:color w:val="auto"/>
                <w:u w:val="single"/>
              </w:rPr>
            </w:pPr>
            <w:r>
              <w:rPr>
                <w:rFonts w:hint="eastAsia"/>
                <w:b/>
                <w:bCs/>
                <w:color w:val="auto"/>
                <w:u w:val="single"/>
              </w:rPr>
              <w:t>噪声</w:t>
            </w:r>
          </w:p>
        </w:tc>
        <w:tc>
          <w:tcPr>
            <w:tcW w:w="1362" w:type="pct"/>
            <w:tcBorders>
              <w:bottom w:val="single" w:color="auto" w:sz="4" w:space="0"/>
            </w:tcBorders>
            <w:vAlign w:val="center"/>
          </w:tcPr>
          <w:p>
            <w:pPr>
              <w:pStyle w:val="182"/>
              <w:bidi w:val="0"/>
              <w:rPr>
                <w:b/>
                <w:bCs/>
                <w:color w:val="auto"/>
                <w:u w:val="single"/>
              </w:rPr>
            </w:pPr>
            <w:r>
              <w:rPr>
                <w:rFonts w:hint="eastAsia"/>
                <w:b/>
                <w:bCs/>
                <w:color w:val="auto"/>
                <w:u w:val="single"/>
              </w:rPr>
              <w:t>等效声级</w:t>
            </w:r>
          </w:p>
        </w:tc>
        <w:tc>
          <w:tcPr>
            <w:tcW w:w="1098" w:type="pct"/>
            <w:tcBorders>
              <w:bottom w:val="single" w:color="auto" w:sz="4" w:space="0"/>
            </w:tcBorders>
            <w:vAlign w:val="center"/>
          </w:tcPr>
          <w:p>
            <w:pPr>
              <w:pStyle w:val="182"/>
              <w:bidi w:val="0"/>
              <w:rPr>
                <w:b/>
                <w:bCs/>
                <w:color w:val="auto"/>
                <w:u w:val="single"/>
              </w:rPr>
            </w:pPr>
            <w:r>
              <w:rPr>
                <w:rFonts w:hint="eastAsia"/>
                <w:b/>
                <w:bCs/>
                <w:color w:val="auto"/>
                <w:u w:val="single"/>
              </w:rPr>
              <w:t>高噪声车间、主要设备、厂界</w:t>
            </w:r>
          </w:p>
        </w:tc>
        <w:tc>
          <w:tcPr>
            <w:tcW w:w="1361" w:type="pct"/>
            <w:tcBorders>
              <w:bottom w:val="single" w:color="auto" w:sz="4" w:space="0"/>
            </w:tcBorders>
            <w:vAlign w:val="center"/>
          </w:tcPr>
          <w:p>
            <w:pPr>
              <w:pStyle w:val="182"/>
              <w:bidi w:val="0"/>
              <w:rPr>
                <w:b/>
                <w:bCs/>
                <w:color w:val="auto"/>
                <w:u w:val="single"/>
              </w:rPr>
            </w:pPr>
            <w:r>
              <w:rPr>
                <w:rFonts w:hint="eastAsia"/>
                <w:b/>
                <w:bCs/>
                <w:color w:val="auto"/>
                <w:u w:val="single"/>
              </w:rPr>
              <w:t>每季一次，每次两天，昼、夜各一次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59" w:type="pct"/>
            <w:vMerge w:val="continue"/>
            <w:tcBorders>
              <w:top w:val="single" w:color="auto" w:sz="8" w:space="0"/>
              <w:left w:val="single" w:color="auto" w:sz="8" w:space="0"/>
              <w:bottom w:val="single" w:color="auto" w:sz="8" w:space="0"/>
            </w:tcBorders>
            <w:vAlign w:val="center"/>
          </w:tcPr>
          <w:p>
            <w:pPr>
              <w:pStyle w:val="182"/>
              <w:bidi w:val="0"/>
              <w:rPr>
                <w:b/>
                <w:bCs/>
                <w:color w:val="auto"/>
                <w:u w:val="single"/>
              </w:rPr>
            </w:pPr>
          </w:p>
        </w:tc>
        <w:tc>
          <w:tcPr>
            <w:tcW w:w="518" w:type="pct"/>
            <w:tcBorders>
              <w:top w:val="single" w:color="auto" w:sz="4" w:space="0"/>
              <w:bottom w:val="single" w:color="auto" w:sz="8" w:space="0"/>
            </w:tcBorders>
            <w:vAlign w:val="center"/>
          </w:tcPr>
          <w:p>
            <w:pPr>
              <w:pStyle w:val="182"/>
              <w:bidi w:val="0"/>
              <w:rPr>
                <w:b/>
                <w:bCs/>
                <w:color w:val="auto"/>
                <w:u w:val="single"/>
              </w:rPr>
            </w:pPr>
            <w:r>
              <w:rPr>
                <w:rFonts w:hint="eastAsia"/>
                <w:b/>
                <w:bCs/>
                <w:color w:val="auto"/>
                <w:u w:val="single"/>
              </w:rPr>
              <w:t>固废</w:t>
            </w:r>
          </w:p>
        </w:tc>
        <w:tc>
          <w:tcPr>
            <w:tcW w:w="1362" w:type="pct"/>
            <w:tcBorders>
              <w:top w:val="single" w:color="auto" w:sz="4" w:space="0"/>
              <w:bottom w:val="single" w:color="auto" w:sz="8" w:space="0"/>
            </w:tcBorders>
            <w:vAlign w:val="center"/>
          </w:tcPr>
          <w:p>
            <w:pPr>
              <w:pStyle w:val="182"/>
              <w:bidi w:val="0"/>
              <w:rPr>
                <w:b/>
                <w:bCs/>
                <w:color w:val="auto"/>
                <w:u w:val="single"/>
              </w:rPr>
            </w:pPr>
            <w:r>
              <w:rPr>
                <w:rFonts w:hint="eastAsia"/>
                <w:b/>
                <w:bCs/>
                <w:color w:val="auto"/>
                <w:u w:val="single"/>
              </w:rPr>
              <w:t>沉淀池</w:t>
            </w:r>
            <w:r>
              <w:rPr>
                <w:rFonts w:hint="eastAsia"/>
                <w:b/>
                <w:bCs/>
                <w:color w:val="auto"/>
                <w:u w:val="single"/>
                <w:lang w:val="en-US" w:eastAsia="zh-CN"/>
              </w:rPr>
              <w:t>杂质</w:t>
            </w:r>
            <w:r>
              <w:rPr>
                <w:rFonts w:hint="eastAsia"/>
                <w:b/>
                <w:bCs/>
                <w:color w:val="auto"/>
                <w:u w:val="single"/>
              </w:rPr>
              <w:t>、废包装袋等</w:t>
            </w:r>
          </w:p>
        </w:tc>
        <w:tc>
          <w:tcPr>
            <w:tcW w:w="1098" w:type="pct"/>
            <w:tcBorders>
              <w:top w:val="single" w:color="auto" w:sz="4" w:space="0"/>
              <w:bottom w:val="single" w:color="auto" w:sz="8" w:space="0"/>
            </w:tcBorders>
            <w:vAlign w:val="center"/>
          </w:tcPr>
          <w:p>
            <w:pPr>
              <w:pStyle w:val="182"/>
              <w:bidi w:val="0"/>
              <w:rPr>
                <w:b/>
                <w:bCs/>
                <w:color w:val="auto"/>
                <w:u w:val="single"/>
              </w:rPr>
            </w:pPr>
            <w:r>
              <w:rPr>
                <w:rFonts w:hint="eastAsia"/>
                <w:b/>
                <w:bCs/>
                <w:color w:val="auto"/>
                <w:u w:val="single"/>
              </w:rPr>
              <w:t>加强管理，统计登记，统一处理</w:t>
            </w:r>
          </w:p>
        </w:tc>
        <w:tc>
          <w:tcPr>
            <w:tcW w:w="1361" w:type="pct"/>
            <w:tcBorders>
              <w:top w:val="single" w:color="auto" w:sz="4" w:space="0"/>
              <w:bottom w:val="single" w:color="auto" w:sz="8" w:space="0"/>
            </w:tcBorders>
            <w:vAlign w:val="center"/>
          </w:tcPr>
          <w:p>
            <w:pPr>
              <w:pStyle w:val="182"/>
              <w:bidi w:val="0"/>
              <w:rPr>
                <w:b/>
                <w:bCs/>
                <w:color w:val="auto"/>
                <w:u w:val="single"/>
              </w:rPr>
            </w:pPr>
            <w:r>
              <w:rPr>
                <w:rFonts w:hint="eastAsia"/>
                <w:b/>
                <w:bCs/>
                <w:color w:val="auto"/>
                <w:u w:val="single"/>
              </w:rPr>
              <w:t>每月一次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59" w:type="pct"/>
            <w:vMerge w:val="restart"/>
            <w:tcBorders>
              <w:left w:val="single" w:color="auto" w:sz="8" w:space="0"/>
            </w:tcBorders>
            <w:vAlign w:val="center"/>
          </w:tcPr>
          <w:p>
            <w:pPr>
              <w:pStyle w:val="182"/>
              <w:bidi w:val="0"/>
              <w:rPr>
                <w:b/>
                <w:bCs/>
                <w:color w:val="auto"/>
                <w:u w:val="single"/>
              </w:rPr>
            </w:pPr>
            <w:r>
              <w:rPr>
                <w:rFonts w:hint="eastAsia"/>
                <w:b/>
                <w:bCs/>
                <w:color w:val="auto"/>
                <w:u w:val="single"/>
              </w:rPr>
              <w:t>环境质量监测</w:t>
            </w:r>
          </w:p>
        </w:tc>
        <w:tc>
          <w:tcPr>
            <w:tcW w:w="518" w:type="pct"/>
            <w:vAlign w:val="center"/>
          </w:tcPr>
          <w:p>
            <w:pPr>
              <w:pStyle w:val="182"/>
              <w:bidi w:val="0"/>
              <w:rPr>
                <w:b/>
                <w:bCs/>
                <w:color w:val="auto"/>
                <w:u w:val="single"/>
              </w:rPr>
            </w:pPr>
            <w:r>
              <w:rPr>
                <w:rFonts w:hint="eastAsia"/>
                <w:b/>
                <w:bCs/>
                <w:color w:val="auto"/>
                <w:u w:val="single"/>
              </w:rPr>
              <w:t>地下水</w:t>
            </w:r>
          </w:p>
        </w:tc>
        <w:tc>
          <w:tcPr>
            <w:tcW w:w="1362" w:type="pct"/>
            <w:vAlign w:val="center"/>
          </w:tcPr>
          <w:p>
            <w:pPr>
              <w:pStyle w:val="182"/>
              <w:bidi w:val="0"/>
              <w:rPr>
                <w:b/>
                <w:bCs/>
                <w:color w:val="auto"/>
                <w:u w:val="single"/>
              </w:rPr>
            </w:pPr>
            <w:r>
              <w:rPr>
                <w:rFonts w:hint="eastAsia"/>
                <w:b/>
                <w:bCs/>
                <w:color w:val="auto"/>
                <w:u w:val="single"/>
              </w:rPr>
              <w:t>耗氧量（</w:t>
            </w:r>
            <w:r>
              <w:rPr>
                <w:b/>
                <w:bCs/>
                <w:color w:val="auto"/>
                <w:u w:val="single"/>
              </w:rPr>
              <w:t>CODMn</w:t>
            </w:r>
            <w:r>
              <w:rPr>
                <w:rFonts w:hint="eastAsia"/>
                <w:b/>
                <w:bCs/>
                <w:color w:val="auto"/>
                <w:u w:val="single"/>
              </w:rPr>
              <w:t>）、NH</w:t>
            </w:r>
            <w:r>
              <w:rPr>
                <w:rFonts w:hint="eastAsia"/>
                <w:b/>
                <w:bCs/>
                <w:color w:val="auto"/>
                <w:u w:val="single"/>
                <w:vertAlign w:val="subscript"/>
              </w:rPr>
              <w:t>3</w:t>
            </w:r>
            <w:r>
              <w:rPr>
                <w:rFonts w:hint="eastAsia"/>
                <w:b/>
                <w:bCs/>
                <w:color w:val="auto"/>
                <w:u w:val="single"/>
              </w:rPr>
              <w:t>-N、</w:t>
            </w:r>
          </w:p>
        </w:tc>
        <w:tc>
          <w:tcPr>
            <w:tcW w:w="1098" w:type="pct"/>
            <w:vAlign w:val="center"/>
          </w:tcPr>
          <w:p>
            <w:pPr>
              <w:pStyle w:val="182"/>
              <w:bidi w:val="0"/>
              <w:rPr>
                <w:b/>
                <w:bCs/>
                <w:color w:val="auto"/>
                <w:u w:val="single"/>
              </w:rPr>
            </w:pPr>
            <w:r>
              <w:rPr>
                <w:rFonts w:hint="eastAsia"/>
                <w:b/>
                <w:bCs/>
                <w:color w:val="auto"/>
                <w:u w:val="single"/>
              </w:rPr>
              <w:t>夏庄村（</w:t>
            </w:r>
            <w:r>
              <w:rPr>
                <w:rFonts w:hint="eastAsia"/>
                <w:b/>
                <w:bCs/>
                <w:color w:val="auto"/>
                <w:u w:val="single"/>
                <w:lang w:val="en-US" w:eastAsia="zh-CN"/>
              </w:rPr>
              <w:t>上</w:t>
            </w:r>
            <w:r>
              <w:rPr>
                <w:rFonts w:hint="eastAsia"/>
                <w:b/>
                <w:bCs/>
                <w:color w:val="auto"/>
                <w:u w:val="single"/>
              </w:rPr>
              <w:t>游）、十八里村（</w:t>
            </w:r>
            <w:r>
              <w:rPr>
                <w:rFonts w:hint="eastAsia"/>
                <w:b/>
                <w:bCs/>
                <w:color w:val="auto"/>
                <w:u w:val="single"/>
                <w:lang w:val="en-US" w:eastAsia="zh-CN"/>
              </w:rPr>
              <w:t>下</w:t>
            </w:r>
            <w:r>
              <w:rPr>
                <w:rFonts w:hint="eastAsia"/>
                <w:b/>
                <w:bCs/>
                <w:color w:val="auto"/>
                <w:u w:val="single"/>
              </w:rPr>
              <w:t>游）</w:t>
            </w:r>
          </w:p>
        </w:tc>
        <w:tc>
          <w:tcPr>
            <w:tcW w:w="1361" w:type="pct"/>
            <w:vAlign w:val="center"/>
          </w:tcPr>
          <w:p>
            <w:pPr>
              <w:pStyle w:val="182"/>
              <w:bidi w:val="0"/>
              <w:rPr>
                <w:b/>
                <w:bCs/>
                <w:color w:val="auto"/>
                <w:u w:val="single"/>
              </w:rPr>
            </w:pPr>
            <w:r>
              <w:rPr>
                <w:rFonts w:hint="eastAsia"/>
                <w:b/>
                <w:bCs/>
                <w:color w:val="auto"/>
                <w:u w:val="single"/>
              </w:rPr>
              <w:t>每半年</w:t>
            </w:r>
            <w:r>
              <w:rPr>
                <w:b/>
                <w:bCs/>
                <w:color w:val="auto"/>
                <w:u w:val="single"/>
              </w:rPr>
              <w:t>1</w:t>
            </w:r>
            <w:r>
              <w:rPr>
                <w:rFonts w:hint="eastAsia"/>
                <w:b/>
                <w:bCs/>
                <w:color w:val="auto"/>
                <w:u w:val="single"/>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59" w:type="pct"/>
            <w:vMerge w:val="continue"/>
            <w:tcBorders>
              <w:left w:val="single" w:color="auto" w:sz="8" w:space="0"/>
              <w:bottom w:val="single" w:color="auto" w:sz="8" w:space="0"/>
            </w:tcBorders>
            <w:vAlign w:val="center"/>
          </w:tcPr>
          <w:p>
            <w:pPr>
              <w:pStyle w:val="182"/>
              <w:bidi w:val="0"/>
              <w:rPr>
                <w:b/>
                <w:bCs/>
                <w:color w:val="auto"/>
                <w:u w:val="single"/>
              </w:rPr>
            </w:pPr>
          </w:p>
        </w:tc>
        <w:tc>
          <w:tcPr>
            <w:tcW w:w="518" w:type="pct"/>
            <w:tcBorders>
              <w:bottom w:val="single" w:color="auto" w:sz="8" w:space="0"/>
            </w:tcBorders>
            <w:vAlign w:val="center"/>
          </w:tcPr>
          <w:p>
            <w:pPr>
              <w:pStyle w:val="182"/>
              <w:bidi w:val="0"/>
              <w:rPr>
                <w:b/>
                <w:bCs/>
                <w:color w:val="auto"/>
                <w:u w:val="single"/>
              </w:rPr>
            </w:pPr>
            <w:r>
              <w:rPr>
                <w:rFonts w:hint="eastAsia"/>
                <w:b/>
                <w:bCs/>
                <w:color w:val="auto"/>
                <w:u w:val="single"/>
              </w:rPr>
              <w:t>环境空气</w:t>
            </w:r>
          </w:p>
        </w:tc>
        <w:tc>
          <w:tcPr>
            <w:tcW w:w="1362" w:type="pct"/>
            <w:tcBorders>
              <w:bottom w:val="single" w:color="auto" w:sz="8" w:space="0"/>
            </w:tcBorders>
            <w:vAlign w:val="center"/>
          </w:tcPr>
          <w:p>
            <w:pPr>
              <w:pStyle w:val="182"/>
              <w:bidi w:val="0"/>
              <w:rPr>
                <w:rFonts w:hint="eastAsia" w:eastAsia="宋体"/>
                <w:b/>
                <w:bCs/>
                <w:color w:val="auto"/>
                <w:u w:val="single"/>
                <w:lang w:val="en-US" w:eastAsia="zh-CN"/>
              </w:rPr>
            </w:pPr>
            <w:r>
              <w:rPr>
                <w:rFonts w:hint="eastAsia"/>
                <w:b/>
                <w:bCs/>
                <w:color w:val="auto"/>
                <w:u w:val="single"/>
                <w:lang w:val="en-US" w:eastAsia="zh-CN"/>
              </w:rPr>
              <w:t>颗粒物</w:t>
            </w:r>
          </w:p>
        </w:tc>
        <w:tc>
          <w:tcPr>
            <w:tcW w:w="1098" w:type="pct"/>
            <w:tcBorders>
              <w:bottom w:val="single" w:color="auto" w:sz="8" w:space="0"/>
            </w:tcBorders>
            <w:vAlign w:val="center"/>
          </w:tcPr>
          <w:p>
            <w:pPr>
              <w:pStyle w:val="182"/>
              <w:bidi w:val="0"/>
              <w:rPr>
                <w:b/>
                <w:bCs/>
                <w:color w:val="auto"/>
                <w:u w:val="single"/>
              </w:rPr>
            </w:pPr>
            <w:r>
              <w:rPr>
                <w:rFonts w:hint="eastAsia"/>
                <w:b/>
                <w:bCs/>
                <w:color w:val="auto"/>
                <w:u w:val="single"/>
              </w:rPr>
              <w:t>夏庄村、姚庄村</w:t>
            </w:r>
          </w:p>
        </w:tc>
        <w:tc>
          <w:tcPr>
            <w:tcW w:w="1361" w:type="pct"/>
            <w:tcBorders>
              <w:bottom w:val="single" w:color="auto" w:sz="8" w:space="0"/>
            </w:tcBorders>
            <w:vAlign w:val="center"/>
          </w:tcPr>
          <w:p>
            <w:pPr>
              <w:pStyle w:val="182"/>
              <w:bidi w:val="0"/>
              <w:rPr>
                <w:b/>
                <w:bCs/>
                <w:color w:val="auto"/>
                <w:u w:val="single"/>
              </w:rPr>
            </w:pPr>
            <w:r>
              <w:rPr>
                <w:rFonts w:hint="eastAsia"/>
                <w:b/>
                <w:bCs/>
                <w:color w:val="auto"/>
                <w:u w:val="single"/>
              </w:rPr>
              <w:t>每年一次</w:t>
            </w:r>
          </w:p>
        </w:tc>
      </w:tr>
    </w:tbl>
    <w:p>
      <w:pPr>
        <w:pStyle w:val="9"/>
        <w:bidi w:val="0"/>
        <w:rPr>
          <w:color w:val="auto"/>
        </w:rPr>
      </w:pPr>
      <w:r>
        <w:rPr>
          <w:rFonts w:hint="eastAsia"/>
          <w:color w:val="auto"/>
        </w:rPr>
        <w:t>8.2.5应急监测计划</w:t>
      </w:r>
    </w:p>
    <w:p>
      <w:pPr>
        <w:bidi w:val="0"/>
        <w:rPr>
          <w:color w:val="auto"/>
        </w:rPr>
      </w:pPr>
      <w:r>
        <w:rPr>
          <w:rFonts w:hint="eastAsia"/>
          <w:color w:val="auto"/>
        </w:rPr>
        <w:t>当企业发生非正常工况或污染防治设施运行不正常时，大量未经处理的污染物排放可能对环境产生严重的污染，本公司环境监测站应对该情况下可能产生的污染源及时分析，并立即委托地方环境监测站同时监测，以便采取应急措施，将产生的环境影响控制在</w:t>
      </w:r>
      <w:r>
        <w:rPr>
          <w:rFonts w:hint="eastAsia"/>
          <w:color w:val="auto"/>
          <w:lang w:eastAsia="zh-CN"/>
        </w:rPr>
        <w:t>最低程度</w:t>
      </w:r>
      <w:r>
        <w:rPr>
          <w:rFonts w:hint="eastAsia"/>
          <w:color w:val="auto"/>
        </w:rPr>
        <w:t>。应急监测计划见表</w:t>
      </w:r>
      <w:r>
        <w:rPr>
          <w:color w:val="auto"/>
        </w:rPr>
        <w:t>8.2</w:t>
      </w:r>
      <w:r>
        <w:rPr>
          <w:rFonts w:hint="eastAsia"/>
          <w:color w:val="auto"/>
        </w:rPr>
        <w:t>-</w:t>
      </w:r>
      <w:r>
        <w:rPr>
          <w:color w:val="auto"/>
        </w:rPr>
        <w:t>2</w:t>
      </w:r>
      <w:r>
        <w:rPr>
          <w:rFonts w:hint="eastAsia"/>
          <w:color w:val="auto"/>
        </w:rPr>
        <w:t>。</w:t>
      </w:r>
    </w:p>
    <w:p>
      <w:pPr>
        <w:pStyle w:val="181"/>
        <w:bidi w:val="0"/>
        <w:rPr>
          <w:color w:val="auto"/>
        </w:rPr>
      </w:pPr>
      <w:r>
        <w:rPr>
          <w:rFonts w:hint="eastAsia"/>
          <w:color w:val="auto"/>
        </w:rPr>
        <w:t>表</w:t>
      </w:r>
      <w:r>
        <w:rPr>
          <w:color w:val="auto"/>
        </w:rPr>
        <w:t>8.2</w:t>
      </w:r>
      <w:r>
        <w:rPr>
          <w:rFonts w:hint="eastAsia"/>
          <w:color w:val="auto"/>
        </w:rPr>
        <w:t>-</w:t>
      </w:r>
      <w:r>
        <w:rPr>
          <w:color w:val="auto"/>
        </w:rPr>
        <w:t xml:space="preserve">2 </w:t>
      </w:r>
      <w:r>
        <w:rPr>
          <w:rFonts w:hint="eastAsia"/>
          <w:color w:val="auto"/>
          <w:lang w:val="en-US" w:eastAsia="zh-CN"/>
        </w:rPr>
        <w:t xml:space="preserve">                 </w:t>
      </w:r>
      <w:r>
        <w:rPr>
          <w:color w:val="auto"/>
        </w:rPr>
        <w:t xml:space="preserve"> </w:t>
      </w:r>
      <w:r>
        <w:rPr>
          <w:rFonts w:hint="eastAsia"/>
          <w:color w:val="auto"/>
        </w:rPr>
        <w:t>应急监测计划表</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2889"/>
        <w:gridCol w:w="2732"/>
        <w:gridCol w:w="20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tcBorders>
              <w:bottom w:val="single" w:color="auto" w:sz="8" w:space="0"/>
            </w:tcBorders>
            <w:vAlign w:val="center"/>
          </w:tcPr>
          <w:p>
            <w:pPr>
              <w:pStyle w:val="182"/>
              <w:bidi w:val="0"/>
              <w:rPr>
                <w:color w:val="auto"/>
              </w:rPr>
            </w:pPr>
            <w:r>
              <w:rPr>
                <w:rFonts w:hint="eastAsia"/>
                <w:color w:val="auto"/>
              </w:rPr>
              <w:t>序号</w:t>
            </w:r>
          </w:p>
        </w:tc>
        <w:tc>
          <w:tcPr>
            <w:tcW w:w="1695" w:type="pct"/>
            <w:tcBorders>
              <w:bottom w:val="single" w:color="auto" w:sz="8" w:space="0"/>
            </w:tcBorders>
            <w:vAlign w:val="center"/>
          </w:tcPr>
          <w:p>
            <w:pPr>
              <w:pStyle w:val="182"/>
              <w:bidi w:val="0"/>
              <w:rPr>
                <w:color w:val="auto"/>
              </w:rPr>
            </w:pPr>
            <w:r>
              <w:rPr>
                <w:rFonts w:hint="eastAsia"/>
                <w:color w:val="auto"/>
              </w:rPr>
              <w:t>事故类型</w:t>
            </w:r>
          </w:p>
        </w:tc>
        <w:tc>
          <w:tcPr>
            <w:tcW w:w="1603" w:type="pct"/>
            <w:tcBorders>
              <w:bottom w:val="single" w:color="auto" w:sz="8" w:space="0"/>
            </w:tcBorders>
            <w:vAlign w:val="center"/>
          </w:tcPr>
          <w:p>
            <w:pPr>
              <w:pStyle w:val="182"/>
              <w:bidi w:val="0"/>
              <w:rPr>
                <w:color w:val="auto"/>
              </w:rPr>
            </w:pPr>
            <w:r>
              <w:rPr>
                <w:rFonts w:hint="eastAsia"/>
                <w:color w:val="auto"/>
              </w:rPr>
              <w:t>监测位置</w:t>
            </w:r>
          </w:p>
        </w:tc>
        <w:tc>
          <w:tcPr>
            <w:tcW w:w="1192" w:type="pct"/>
            <w:tcBorders>
              <w:bottom w:val="single" w:color="auto" w:sz="8" w:space="0"/>
            </w:tcBorders>
            <w:vAlign w:val="center"/>
          </w:tcPr>
          <w:p>
            <w:pPr>
              <w:pStyle w:val="182"/>
              <w:bidi w:val="0"/>
              <w:rPr>
                <w:color w:val="auto"/>
              </w:rPr>
            </w:pPr>
            <w:r>
              <w:rPr>
                <w:rFonts w:hint="eastAsia"/>
                <w:color w:val="auto"/>
              </w:rPr>
              <w:t>监测项目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tcBorders>
              <w:bottom w:val="single" w:color="auto" w:sz="8" w:space="0"/>
            </w:tcBorders>
            <w:vAlign w:val="center"/>
          </w:tcPr>
          <w:p>
            <w:pPr>
              <w:pStyle w:val="182"/>
              <w:bidi w:val="0"/>
              <w:rPr>
                <w:color w:val="auto"/>
              </w:rPr>
            </w:pPr>
            <w:r>
              <w:rPr>
                <w:color w:val="auto"/>
              </w:rPr>
              <w:t>1</w:t>
            </w:r>
          </w:p>
        </w:tc>
        <w:tc>
          <w:tcPr>
            <w:tcW w:w="1695" w:type="pct"/>
            <w:vAlign w:val="center"/>
          </w:tcPr>
          <w:p>
            <w:pPr>
              <w:pStyle w:val="182"/>
              <w:bidi w:val="0"/>
              <w:rPr>
                <w:color w:val="auto"/>
              </w:rPr>
            </w:pPr>
            <w:r>
              <w:rPr>
                <w:rFonts w:hint="eastAsia"/>
                <w:color w:val="auto"/>
              </w:rPr>
              <w:t>污水处理设施运行出现问题</w:t>
            </w:r>
          </w:p>
        </w:tc>
        <w:tc>
          <w:tcPr>
            <w:tcW w:w="1603" w:type="pct"/>
            <w:vAlign w:val="center"/>
          </w:tcPr>
          <w:p>
            <w:pPr>
              <w:pStyle w:val="182"/>
              <w:bidi w:val="0"/>
              <w:rPr>
                <w:color w:val="auto"/>
              </w:rPr>
            </w:pPr>
            <w:r>
              <w:rPr>
                <w:rFonts w:hint="eastAsia"/>
                <w:color w:val="auto"/>
              </w:rPr>
              <w:t>污水处理设施各单元进出口</w:t>
            </w:r>
          </w:p>
        </w:tc>
        <w:tc>
          <w:tcPr>
            <w:tcW w:w="1192" w:type="pct"/>
            <w:vAlign w:val="center"/>
          </w:tcPr>
          <w:p>
            <w:pPr>
              <w:pStyle w:val="182"/>
              <w:bidi w:val="0"/>
              <w:rPr>
                <w:rFonts w:hint="default" w:eastAsia="宋体"/>
                <w:color w:val="auto"/>
                <w:lang w:val="en-US" w:eastAsia="zh-CN"/>
              </w:rPr>
            </w:pPr>
            <w:r>
              <w:rPr>
                <w:rFonts w:hint="eastAsia"/>
                <w:color w:val="auto"/>
              </w:rPr>
              <w:t>流量、</w:t>
            </w:r>
            <w:r>
              <w:rPr>
                <w:color w:val="auto"/>
              </w:rPr>
              <w:t>COD</w:t>
            </w:r>
            <w:r>
              <w:rPr>
                <w:rFonts w:hint="eastAsia"/>
                <w:color w:val="auto"/>
              </w:rPr>
              <w:t>、NH</w:t>
            </w:r>
            <w:r>
              <w:rPr>
                <w:rFonts w:hint="eastAsia"/>
                <w:color w:val="auto"/>
                <w:vertAlign w:val="subscript"/>
              </w:rPr>
              <w:t>3</w:t>
            </w:r>
            <w:r>
              <w:rPr>
                <w:rFonts w:hint="eastAsia"/>
                <w:color w:val="auto"/>
              </w:rPr>
              <w:t>-N、</w:t>
            </w:r>
            <w:r>
              <w:rPr>
                <w:color w:val="auto"/>
              </w:rPr>
              <w:t>SS</w:t>
            </w:r>
            <w:r>
              <w:rPr>
                <w:rFonts w:hint="eastAsia"/>
                <w:color w:val="auto"/>
              </w:rPr>
              <w:t>、TP、TN</w:t>
            </w:r>
            <w:r>
              <w:rPr>
                <w:rFonts w:hint="eastAsia"/>
                <w:color w:val="auto"/>
                <w:lang w:eastAsia="zh-CN"/>
              </w:rPr>
              <w:t>、</w:t>
            </w:r>
            <w:r>
              <w:rPr>
                <w:rFonts w:hint="eastAsia"/>
                <w:color w:val="auto"/>
                <w:lang w:val="en-US" w:eastAsia="zh-CN"/>
              </w:rPr>
              <w:t>色度</w:t>
            </w:r>
          </w:p>
        </w:tc>
      </w:tr>
    </w:tbl>
    <w:p>
      <w:pPr>
        <w:pStyle w:val="9"/>
        <w:bidi w:val="0"/>
        <w:rPr>
          <w:color w:val="auto"/>
        </w:rPr>
      </w:pPr>
      <w:r>
        <w:rPr>
          <w:rFonts w:hint="eastAsia"/>
          <w:color w:val="auto"/>
        </w:rPr>
        <w:t>8.2.</w:t>
      </w:r>
      <w:r>
        <w:rPr>
          <w:rFonts w:hint="eastAsia"/>
          <w:color w:val="auto"/>
          <w:lang w:val="en-US" w:eastAsia="zh-CN"/>
        </w:rPr>
        <w:t>6</w:t>
      </w:r>
      <w:r>
        <w:rPr>
          <w:rFonts w:hint="eastAsia"/>
          <w:color w:val="auto"/>
        </w:rPr>
        <w:t>监测分析方法</w:t>
      </w:r>
    </w:p>
    <w:p>
      <w:pPr>
        <w:bidi w:val="0"/>
        <w:rPr>
          <w:color w:val="auto"/>
        </w:rPr>
      </w:pPr>
      <w:r>
        <w:rPr>
          <w:rFonts w:hint="eastAsia"/>
          <w:color w:val="auto"/>
        </w:rPr>
        <w:t>样品采集及分析采用国标（或推荐）方法，对目前尚无国标方法的项目，则采用《空气和废气监测分析方法》（第四版）中的分析方法。</w:t>
      </w:r>
    </w:p>
    <w:p>
      <w:pPr>
        <w:pStyle w:val="9"/>
        <w:bidi w:val="0"/>
        <w:rPr>
          <w:color w:val="auto"/>
        </w:rPr>
      </w:pPr>
      <w:r>
        <w:rPr>
          <w:color w:val="auto"/>
        </w:rPr>
        <w:t>8.2.</w:t>
      </w:r>
      <w:r>
        <w:rPr>
          <w:rFonts w:hint="eastAsia"/>
          <w:color w:val="auto"/>
          <w:lang w:val="en-US" w:eastAsia="zh-CN"/>
        </w:rPr>
        <w:t>7</w:t>
      </w:r>
      <w:r>
        <w:rPr>
          <w:color w:val="auto"/>
        </w:rPr>
        <w:t>环境管理台账</w:t>
      </w:r>
    </w:p>
    <w:p>
      <w:pPr>
        <w:bidi w:val="0"/>
        <w:rPr>
          <w:color w:val="auto"/>
        </w:rPr>
      </w:pPr>
      <w:r>
        <w:rPr>
          <w:color w:val="auto"/>
        </w:rPr>
        <w:t>企业应当按照排污许可证证中环境管理台账建立环境保护台账，台账主要包括生产设施运行记录表、废水处理设施运行记录表、废气处理设施运行记录表等相关内容。环境管理台账表格样式参见表8</w:t>
      </w:r>
      <w:r>
        <w:rPr>
          <w:rFonts w:hint="eastAsia"/>
          <w:color w:val="auto"/>
        </w:rPr>
        <w:t>.2-</w:t>
      </w:r>
      <w:r>
        <w:rPr>
          <w:color w:val="auto"/>
        </w:rPr>
        <w:t>3。</w:t>
      </w:r>
    </w:p>
    <w:p>
      <w:pPr>
        <w:pStyle w:val="181"/>
        <w:bidi w:val="0"/>
        <w:rPr>
          <w:color w:val="auto"/>
        </w:rPr>
      </w:pPr>
      <w:r>
        <w:rPr>
          <w:color w:val="auto"/>
        </w:rPr>
        <w:t>表8</w:t>
      </w:r>
      <w:r>
        <w:rPr>
          <w:rFonts w:hint="eastAsia"/>
          <w:color w:val="auto"/>
        </w:rPr>
        <w:t>.2</w:t>
      </w:r>
      <w:r>
        <w:rPr>
          <w:color w:val="auto"/>
        </w:rPr>
        <w:t>-</w:t>
      </w:r>
      <w:r>
        <w:rPr>
          <w:rFonts w:hint="eastAsia"/>
          <w:color w:val="auto"/>
        </w:rPr>
        <w:t>3</w:t>
      </w:r>
      <w:r>
        <w:rPr>
          <w:color w:val="auto"/>
        </w:rPr>
        <w:t xml:space="preserve">  </w:t>
      </w:r>
      <w:r>
        <w:rPr>
          <w:rFonts w:hint="eastAsia"/>
          <w:color w:val="auto"/>
          <w:lang w:val="en-US" w:eastAsia="zh-CN"/>
        </w:rPr>
        <w:t xml:space="preserve">              </w:t>
      </w:r>
      <w:r>
        <w:rPr>
          <w:color w:val="auto"/>
        </w:rPr>
        <w:t>环境管理台账</w:t>
      </w:r>
    </w:p>
    <w:tbl>
      <w:tblPr>
        <w:tblStyle w:val="32"/>
        <w:tblW w:w="4998"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239"/>
        <w:gridCol w:w="1601"/>
        <w:gridCol w:w="1420"/>
        <w:gridCol w:w="1420"/>
        <w:gridCol w:w="1420"/>
        <w:gridCol w:w="142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7" w:type="pct"/>
            <w:tcBorders>
              <w:top w:val="single" w:color="auto" w:sz="8" w:space="0"/>
              <w:left w:val="single" w:color="auto" w:sz="8" w:space="0"/>
              <w:bottom w:val="single" w:color="auto" w:sz="6" w:space="0"/>
              <w:right w:val="single" w:color="auto" w:sz="6" w:space="0"/>
            </w:tcBorders>
            <w:vAlign w:val="center"/>
          </w:tcPr>
          <w:p>
            <w:pPr>
              <w:pStyle w:val="182"/>
              <w:bidi w:val="0"/>
              <w:rPr>
                <w:b/>
                <w:bCs/>
                <w:color w:val="auto"/>
              </w:rPr>
            </w:pPr>
            <w:r>
              <w:rPr>
                <w:b/>
                <w:bCs/>
                <w:color w:val="auto"/>
              </w:rPr>
              <w:t>序号</w:t>
            </w:r>
          </w:p>
        </w:tc>
        <w:tc>
          <w:tcPr>
            <w:tcW w:w="939" w:type="pct"/>
            <w:tcBorders>
              <w:top w:val="single" w:color="auto" w:sz="8" w:space="0"/>
              <w:left w:val="single" w:color="auto" w:sz="6" w:space="0"/>
              <w:bottom w:val="single" w:color="auto" w:sz="6" w:space="0"/>
              <w:right w:val="single" w:color="auto" w:sz="6" w:space="0"/>
            </w:tcBorders>
            <w:vAlign w:val="center"/>
          </w:tcPr>
          <w:p>
            <w:pPr>
              <w:pStyle w:val="182"/>
              <w:bidi w:val="0"/>
              <w:rPr>
                <w:b/>
                <w:bCs/>
                <w:color w:val="auto"/>
              </w:rPr>
            </w:pPr>
            <w:r>
              <w:rPr>
                <w:b/>
                <w:bCs/>
                <w:color w:val="auto"/>
              </w:rPr>
              <w:t>设施类别</w:t>
            </w:r>
          </w:p>
        </w:tc>
        <w:tc>
          <w:tcPr>
            <w:tcW w:w="833" w:type="pct"/>
            <w:tcBorders>
              <w:top w:val="single" w:color="auto" w:sz="8" w:space="0"/>
              <w:left w:val="single" w:color="auto" w:sz="6" w:space="0"/>
              <w:bottom w:val="single" w:color="auto" w:sz="6" w:space="0"/>
              <w:right w:val="single" w:color="auto" w:sz="6" w:space="0"/>
            </w:tcBorders>
            <w:vAlign w:val="center"/>
          </w:tcPr>
          <w:p>
            <w:pPr>
              <w:pStyle w:val="182"/>
              <w:bidi w:val="0"/>
              <w:rPr>
                <w:b/>
                <w:bCs/>
                <w:color w:val="auto"/>
              </w:rPr>
            </w:pPr>
            <w:r>
              <w:rPr>
                <w:b/>
                <w:bCs/>
                <w:color w:val="auto"/>
              </w:rPr>
              <w:t>操作参数</w:t>
            </w:r>
          </w:p>
        </w:tc>
        <w:tc>
          <w:tcPr>
            <w:tcW w:w="833" w:type="pct"/>
            <w:tcBorders>
              <w:top w:val="single" w:color="auto" w:sz="8" w:space="0"/>
              <w:left w:val="single" w:color="auto" w:sz="6" w:space="0"/>
              <w:bottom w:val="single" w:color="auto" w:sz="6" w:space="0"/>
              <w:right w:val="single" w:color="auto" w:sz="6" w:space="0"/>
            </w:tcBorders>
            <w:vAlign w:val="center"/>
          </w:tcPr>
          <w:p>
            <w:pPr>
              <w:pStyle w:val="182"/>
              <w:bidi w:val="0"/>
              <w:rPr>
                <w:b/>
                <w:bCs/>
                <w:color w:val="auto"/>
              </w:rPr>
            </w:pPr>
            <w:r>
              <w:rPr>
                <w:b/>
                <w:bCs/>
                <w:color w:val="auto"/>
              </w:rPr>
              <w:t>记录内容</w:t>
            </w:r>
          </w:p>
        </w:tc>
        <w:tc>
          <w:tcPr>
            <w:tcW w:w="833" w:type="pct"/>
            <w:tcBorders>
              <w:top w:val="single" w:color="auto" w:sz="8" w:space="0"/>
              <w:left w:val="single" w:color="auto" w:sz="6" w:space="0"/>
              <w:bottom w:val="single" w:color="auto" w:sz="6" w:space="0"/>
              <w:right w:val="single" w:color="auto" w:sz="6" w:space="0"/>
            </w:tcBorders>
            <w:vAlign w:val="center"/>
          </w:tcPr>
          <w:p>
            <w:pPr>
              <w:pStyle w:val="182"/>
              <w:bidi w:val="0"/>
              <w:rPr>
                <w:b/>
                <w:bCs/>
                <w:color w:val="auto"/>
              </w:rPr>
            </w:pPr>
            <w:r>
              <w:rPr>
                <w:b/>
                <w:bCs/>
                <w:color w:val="auto"/>
              </w:rPr>
              <w:t>记录频次</w:t>
            </w:r>
          </w:p>
        </w:tc>
        <w:tc>
          <w:tcPr>
            <w:tcW w:w="833" w:type="pct"/>
            <w:tcBorders>
              <w:top w:val="single" w:color="auto" w:sz="8" w:space="0"/>
              <w:left w:val="single" w:color="auto" w:sz="6" w:space="0"/>
              <w:bottom w:val="single" w:color="auto" w:sz="6" w:space="0"/>
              <w:right w:val="single" w:color="auto" w:sz="8" w:space="0"/>
            </w:tcBorders>
            <w:vAlign w:val="center"/>
          </w:tcPr>
          <w:p>
            <w:pPr>
              <w:pStyle w:val="182"/>
              <w:bidi w:val="0"/>
              <w:rPr>
                <w:b/>
                <w:bCs/>
                <w:color w:val="auto"/>
              </w:rPr>
            </w:pPr>
            <w:r>
              <w:rPr>
                <w:b/>
                <w:bCs/>
                <w:color w:val="auto"/>
              </w:rPr>
              <w:t>记录形式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7"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939" w:type="pct"/>
            <w:vMerge w:val="restar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生产设施</w:t>
            </w:r>
          </w:p>
        </w:tc>
        <w:tc>
          <w:tcPr>
            <w:tcW w:w="83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7"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939" w:type="pct"/>
            <w:vMerge w:val="continue"/>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p>
        </w:tc>
        <w:tc>
          <w:tcPr>
            <w:tcW w:w="83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7" w:type="pct"/>
            <w:tcBorders>
              <w:top w:val="single" w:color="auto" w:sz="6" w:space="0"/>
              <w:left w:val="single" w:color="auto" w:sz="8" w:space="0"/>
              <w:bottom w:val="single" w:color="auto" w:sz="6" w:space="0"/>
              <w:right w:val="single" w:color="auto" w:sz="6" w:space="0"/>
            </w:tcBorders>
            <w:vAlign w:val="center"/>
          </w:tcPr>
          <w:p>
            <w:pPr>
              <w:pStyle w:val="182"/>
              <w:bidi w:val="0"/>
              <w:rPr>
                <w:color w:val="auto"/>
              </w:rPr>
            </w:pPr>
          </w:p>
        </w:tc>
        <w:tc>
          <w:tcPr>
            <w:tcW w:w="939" w:type="pct"/>
            <w:tcBorders>
              <w:top w:val="single" w:color="auto" w:sz="6" w:space="0"/>
              <w:left w:val="single" w:color="auto" w:sz="6" w:space="0"/>
              <w:bottom w:val="single" w:color="auto" w:sz="8" w:space="0"/>
              <w:right w:val="single" w:color="auto" w:sz="6" w:space="0"/>
            </w:tcBorders>
            <w:vAlign w:val="center"/>
          </w:tcPr>
          <w:p>
            <w:pPr>
              <w:pStyle w:val="182"/>
              <w:bidi w:val="0"/>
              <w:rPr>
                <w:color w:val="auto"/>
              </w:rPr>
            </w:pPr>
            <w:r>
              <w:rPr>
                <w:color w:val="auto"/>
              </w:rPr>
              <w:t>污染防治设施</w:t>
            </w:r>
          </w:p>
        </w:tc>
        <w:tc>
          <w:tcPr>
            <w:tcW w:w="83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8" w:space="0"/>
            </w:tcBorders>
            <w:vAlign w:val="center"/>
          </w:tcPr>
          <w:p>
            <w:pPr>
              <w:pStyle w:val="182"/>
              <w:bidi w:val="0"/>
              <w:rPr>
                <w:color w:val="auto"/>
              </w:rPr>
            </w:pPr>
            <w:r>
              <w:rPr>
                <w:color w:val="auto"/>
              </w:rPr>
              <w:t>……</w:t>
            </w:r>
          </w:p>
        </w:tc>
      </w:tr>
    </w:tbl>
    <w:p>
      <w:pPr>
        <w:pStyle w:val="7"/>
        <w:bidi w:val="0"/>
        <w:rPr>
          <w:color w:val="auto"/>
        </w:rPr>
      </w:pPr>
      <w:bookmarkStart w:id="385" w:name="_Toc5012"/>
      <w:r>
        <w:rPr>
          <w:color w:val="auto"/>
        </w:rPr>
        <w:t>8.3</w:t>
      </w:r>
      <w:r>
        <w:rPr>
          <w:rFonts w:hint="eastAsia"/>
          <w:color w:val="auto"/>
        </w:rPr>
        <w:t>信息公开内容</w:t>
      </w:r>
      <w:bookmarkEnd w:id="385"/>
    </w:p>
    <w:p>
      <w:pPr>
        <w:bidi w:val="0"/>
        <w:rPr>
          <w:color w:val="auto"/>
        </w:rPr>
      </w:pPr>
      <w:r>
        <w:rPr>
          <w:rFonts w:hint="eastAsia"/>
          <w:color w:val="auto"/>
        </w:rPr>
        <w:t>一、项目概况</w:t>
      </w:r>
    </w:p>
    <w:p>
      <w:pPr>
        <w:bidi w:val="0"/>
        <w:rPr>
          <w:color w:val="auto"/>
        </w:rPr>
      </w:pPr>
      <w:r>
        <w:rPr>
          <w:rFonts w:hint="eastAsia"/>
          <w:color w:val="auto"/>
        </w:rPr>
        <w:t>新乡化纤股份有限公司拟投资</w:t>
      </w:r>
      <w:r>
        <w:rPr>
          <w:color w:val="auto"/>
        </w:rPr>
        <w:t>10</w:t>
      </w:r>
      <w:r>
        <w:rPr>
          <w:rFonts w:hint="eastAsia"/>
          <w:color w:val="auto"/>
        </w:rPr>
        <w:t>000万元建设“新乡化纤股份有限公司年产5000吨菌草生物质纤维产业化研发中试项目”。该项目已经新乡经济技术开发区管理委员会备案（备案编号：2</w:t>
      </w:r>
      <w:r>
        <w:rPr>
          <w:color w:val="auto"/>
        </w:rPr>
        <w:t>210-410772-04-02-369482</w:t>
      </w:r>
      <w:r>
        <w:rPr>
          <w:rFonts w:hint="eastAsia"/>
          <w:color w:val="auto"/>
        </w:rPr>
        <w:t>），项目建设符合国家产业政策。</w:t>
      </w:r>
    </w:p>
    <w:p>
      <w:pPr>
        <w:bidi w:val="0"/>
        <w:rPr>
          <w:color w:val="auto"/>
        </w:rPr>
      </w:pPr>
      <w:r>
        <w:rPr>
          <w:rFonts w:hint="eastAsia"/>
          <w:color w:val="auto"/>
        </w:rPr>
        <w:t>二、针对项目运营期产生的环境影响，项目拟采取的防治措施：</w:t>
      </w:r>
    </w:p>
    <w:p>
      <w:pPr>
        <w:bidi w:val="0"/>
        <w:rPr>
          <w:color w:val="auto"/>
        </w:rPr>
      </w:pPr>
      <w:r>
        <w:rPr>
          <w:rFonts w:hint="eastAsia"/>
          <w:color w:val="auto"/>
        </w:rPr>
        <w:t>（1）废气</w:t>
      </w:r>
    </w:p>
    <w:p>
      <w:pPr>
        <w:bidi w:val="0"/>
        <w:rPr>
          <w:color w:val="auto"/>
        </w:rPr>
      </w:pPr>
      <w:r>
        <w:rPr>
          <w:rFonts w:hint="eastAsia"/>
          <w:color w:val="auto"/>
        </w:rPr>
        <w:t>本项目废气主要为蒸煮工序产生的废气</w:t>
      </w:r>
      <w:r>
        <w:rPr>
          <w:rFonts w:hint="eastAsia"/>
          <w:color w:val="auto"/>
          <w:lang w:eastAsia="zh-CN"/>
        </w:rPr>
        <w:t>、</w:t>
      </w:r>
      <w:r>
        <w:rPr>
          <w:rFonts w:hint="eastAsia"/>
          <w:color w:val="auto"/>
        </w:rPr>
        <w:t>原料堆放过程中产生的扬尘</w:t>
      </w:r>
      <w:r>
        <w:rPr>
          <w:rFonts w:hint="eastAsia"/>
          <w:color w:val="auto"/>
          <w:lang w:val="en-US" w:eastAsia="zh-CN"/>
        </w:rPr>
        <w:t>以及</w:t>
      </w:r>
      <w:r>
        <w:rPr>
          <w:rFonts w:hint="eastAsia"/>
          <w:color w:val="auto"/>
        </w:rPr>
        <w:t>木</w:t>
      </w:r>
      <w:r>
        <w:rPr>
          <w:rFonts w:hint="eastAsia"/>
          <w:b w:val="0"/>
          <w:bCs w:val="0"/>
          <w:color w:val="auto"/>
          <w:u w:val="none"/>
        </w:rPr>
        <w:t>质素</w:t>
      </w:r>
      <w:r>
        <w:rPr>
          <w:rFonts w:hint="eastAsia"/>
          <w:b w:val="0"/>
          <w:bCs w:val="0"/>
          <w:color w:val="auto"/>
          <w:u w:val="none"/>
          <w:lang w:val="en-US" w:eastAsia="zh-CN"/>
        </w:rPr>
        <w:t>混合物</w:t>
      </w:r>
      <w:r>
        <w:rPr>
          <w:rFonts w:hint="eastAsia"/>
          <w:b w:val="0"/>
          <w:bCs w:val="0"/>
          <w:color w:val="auto"/>
          <w:u w:val="none"/>
        </w:rPr>
        <w:t>干燥</w:t>
      </w:r>
      <w:r>
        <w:rPr>
          <w:rFonts w:hint="eastAsia"/>
          <w:color w:val="auto"/>
        </w:rPr>
        <w:t>、卸料、运输</w:t>
      </w:r>
      <w:r>
        <w:rPr>
          <w:rFonts w:hint="eastAsia"/>
          <w:color w:val="auto"/>
          <w:lang w:val="en-US" w:eastAsia="zh-CN"/>
        </w:rPr>
        <w:t>产生的有组织与无组织废气。</w:t>
      </w:r>
    </w:p>
    <w:p>
      <w:pPr>
        <w:bidi w:val="0"/>
        <w:rPr>
          <w:color w:val="auto"/>
        </w:rPr>
      </w:pPr>
      <w:r>
        <w:rPr>
          <w:rFonts w:hint="eastAsia"/>
          <w:color w:val="auto"/>
        </w:rPr>
        <w:t>蒸煮废气拟采取措施：将蒸煮废气通过在设备顶部配套的管道风机抽至五效蒸发器进行余热回收利用；少量逸散的废气通过车间</w:t>
      </w:r>
      <w:r>
        <w:rPr>
          <w:rFonts w:hint="eastAsia"/>
          <w:color w:val="auto"/>
          <w:lang w:val="en-US" w:eastAsia="zh-CN"/>
        </w:rPr>
        <w:t>排风</w:t>
      </w:r>
      <w:r>
        <w:rPr>
          <w:rFonts w:hint="eastAsia"/>
          <w:color w:val="auto"/>
        </w:rPr>
        <w:t>系统收集后无组织排放。</w:t>
      </w:r>
    </w:p>
    <w:p>
      <w:pPr>
        <w:bidi w:val="0"/>
        <w:rPr>
          <w:rFonts w:hint="eastAsia"/>
          <w:color w:val="auto"/>
        </w:rPr>
      </w:pPr>
      <w:r>
        <w:rPr>
          <w:rFonts w:hint="eastAsia"/>
          <w:color w:val="auto"/>
        </w:rPr>
        <w:t>菌草堆料库扬尘拟采取措施：设置密闭式菌草堆料库，仓库地面进行硬化，顶部设置雾化喷淋装置。</w:t>
      </w:r>
    </w:p>
    <w:p>
      <w:pPr>
        <w:bidi w:val="0"/>
        <w:rPr>
          <w:rFonts w:hint="eastAsia"/>
          <w:b/>
          <w:bCs/>
          <w:color w:val="auto"/>
          <w:u w:val="single"/>
        </w:rPr>
      </w:pPr>
      <w:r>
        <w:rPr>
          <w:rFonts w:hint="eastAsia"/>
          <w:b/>
          <w:bCs/>
          <w:color w:val="auto"/>
          <w:u w:val="single"/>
        </w:rPr>
        <w:t>木质素</w:t>
      </w:r>
      <w:r>
        <w:rPr>
          <w:rFonts w:hint="eastAsia"/>
          <w:b/>
          <w:bCs/>
          <w:color w:val="auto"/>
          <w:u w:val="single"/>
          <w:lang w:val="en-US" w:eastAsia="zh-CN"/>
        </w:rPr>
        <w:t>混合物</w:t>
      </w:r>
      <w:r>
        <w:rPr>
          <w:rFonts w:hint="eastAsia"/>
          <w:b/>
          <w:bCs/>
          <w:color w:val="auto"/>
          <w:u w:val="single"/>
        </w:rPr>
        <w:t>干燥</w:t>
      </w:r>
      <w:r>
        <w:rPr>
          <w:rFonts w:hint="eastAsia"/>
          <w:b/>
          <w:bCs/>
          <w:color w:val="auto"/>
          <w:u w:val="single"/>
          <w:lang w:val="en-US" w:eastAsia="zh-CN"/>
        </w:rPr>
        <w:t>产生的有组织颗粒物：袋式除尘；</w:t>
      </w:r>
    </w:p>
    <w:p>
      <w:pPr>
        <w:bidi w:val="0"/>
        <w:rPr>
          <w:rFonts w:hint="default"/>
          <w:b/>
          <w:bCs/>
          <w:color w:val="auto"/>
          <w:u w:val="single"/>
          <w:lang w:val="en-US"/>
        </w:rPr>
      </w:pPr>
      <w:r>
        <w:rPr>
          <w:rFonts w:hint="eastAsia"/>
          <w:b/>
          <w:bCs/>
          <w:color w:val="auto"/>
          <w:u w:val="single"/>
          <w:lang w:val="en-US" w:eastAsia="zh-CN"/>
        </w:rPr>
        <w:t>收集、分装产生的无组织颗粒物：车间封闭、洒水降尘。</w:t>
      </w:r>
    </w:p>
    <w:p>
      <w:pPr>
        <w:bidi w:val="0"/>
        <w:rPr>
          <w:color w:val="auto"/>
        </w:rPr>
      </w:pPr>
      <w:r>
        <w:rPr>
          <w:rFonts w:hint="eastAsia"/>
          <w:color w:val="auto"/>
        </w:rPr>
        <w:t>（2）废水</w:t>
      </w:r>
    </w:p>
    <w:p>
      <w:pPr>
        <w:bidi w:val="0"/>
        <w:rPr>
          <w:color w:val="auto"/>
        </w:rPr>
      </w:pPr>
      <w:r>
        <w:rPr>
          <w:rFonts w:hint="eastAsia"/>
          <w:color w:val="auto"/>
        </w:rPr>
        <w:t>本工程废水主要是</w:t>
      </w:r>
      <w:r>
        <w:rPr>
          <w:rFonts w:hint="eastAsia"/>
          <w:color w:val="auto"/>
          <w:lang w:val="en-US" w:eastAsia="zh-CN"/>
        </w:rPr>
        <w:t>除杂废水、</w:t>
      </w:r>
      <w:r>
        <w:rPr>
          <w:rFonts w:hint="eastAsia"/>
          <w:color w:val="auto"/>
        </w:rPr>
        <w:t>清洗</w:t>
      </w:r>
      <w:r>
        <w:rPr>
          <w:rFonts w:hint="eastAsia"/>
          <w:color w:val="auto"/>
          <w:lang w:eastAsia="zh-CN"/>
        </w:rPr>
        <w:t>，</w:t>
      </w:r>
      <w:r>
        <w:rPr>
          <w:rFonts w:hint="eastAsia"/>
          <w:color w:val="auto"/>
        </w:rPr>
        <w:t>漂白废水。</w:t>
      </w:r>
    </w:p>
    <w:p>
      <w:pPr>
        <w:bidi w:val="0"/>
        <w:rPr>
          <w:color w:val="auto"/>
        </w:rPr>
      </w:pPr>
      <w:r>
        <w:rPr>
          <w:rFonts w:hint="eastAsia"/>
          <w:color w:val="auto"/>
        </w:rPr>
        <w:t>本项目新增废水排放量为</w:t>
      </w:r>
      <w:r>
        <w:rPr>
          <w:rFonts w:hint="eastAsia"/>
          <w:color w:val="auto"/>
          <w:lang w:val="en-US" w:eastAsia="zh-CN"/>
        </w:rPr>
        <w:t>947.73t</w:t>
      </w:r>
      <w:r>
        <w:rPr>
          <w:rFonts w:hint="eastAsia"/>
          <w:color w:val="auto"/>
        </w:rPr>
        <w:t>/d，经污水处理站处理，污水处理站出口以及总排口废水各项水质均能满足《污水综合排放标准》（GB8978-1996）表4</w:t>
      </w:r>
      <w:r>
        <w:rPr>
          <w:rFonts w:hint="eastAsia"/>
          <w:color w:val="auto"/>
          <w:lang w:val="en-US" w:eastAsia="zh-CN"/>
        </w:rPr>
        <w:t>二级</w:t>
      </w:r>
      <w:r>
        <w:rPr>
          <w:rFonts w:hint="eastAsia"/>
          <w:color w:val="auto"/>
        </w:rPr>
        <w:t>（化纤浆粕工业）标准、排污许可证废水污染物允许排放浓度及小店污水处理厂进水指标要求，进入新乡市小店污水处理厂进一步处理。</w:t>
      </w:r>
    </w:p>
    <w:p>
      <w:pPr>
        <w:bidi w:val="0"/>
        <w:rPr>
          <w:color w:val="auto"/>
        </w:rPr>
      </w:pPr>
      <w:r>
        <w:rPr>
          <w:rFonts w:hint="eastAsia"/>
          <w:color w:val="auto"/>
        </w:rPr>
        <w:t>（3）噪声</w:t>
      </w:r>
    </w:p>
    <w:p>
      <w:pPr>
        <w:bidi w:val="0"/>
        <w:rPr>
          <w:color w:val="auto"/>
        </w:rPr>
      </w:pPr>
      <w:r>
        <w:rPr>
          <w:rFonts w:hint="eastAsia"/>
          <w:color w:val="auto"/>
        </w:rPr>
        <w:t>工程将对高噪声设备采取减振、隔声等措施</w:t>
      </w:r>
      <w:r>
        <w:rPr>
          <w:rFonts w:hint="eastAsia"/>
          <w:color w:val="auto"/>
          <w:lang w:eastAsia="zh-CN"/>
        </w:rPr>
        <w:t>，</w:t>
      </w:r>
      <w:r>
        <w:rPr>
          <w:rFonts w:hint="eastAsia"/>
          <w:color w:val="auto"/>
          <w:lang w:val="en-US" w:eastAsia="zh-CN"/>
        </w:rPr>
        <w:t>经距离衰减后</w:t>
      </w:r>
      <w:r>
        <w:rPr>
          <w:rFonts w:hint="eastAsia"/>
          <w:color w:val="auto"/>
        </w:rPr>
        <w:t>，各厂界均可以满足《工业企业厂界环境噪声排放标准》（GB12348-2008）3类昼间65dB(A)、夜间55dB(A</w:t>
      </w:r>
      <w:r>
        <w:rPr>
          <w:rFonts w:hint="eastAsia"/>
          <w:color w:val="auto"/>
          <w:lang w:eastAsia="zh-CN"/>
        </w:rPr>
        <w:t>)</w:t>
      </w:r>
      <w:r>
        <w:rPr>
          <w:rFonts w:hint="eastAsia"/>
          <w:color w:val="auto"/>
        </w:rPr>
        <w:t>的标准要求。</w:t>
      </w:r>
    </w:p>
    <w:p>
      <w:pPr>
        <w:bidi w:val="0"/>
        <w:rPr>
          <w:color w:val="auto"/>
        </w:rPr>
      </w:pPr>
      <w:r>
        <w:rPr>
          <w:rFonts w:hint="eastAsia"/>
          <w:color w:val="auto"/>
        </w:rPr>
        <w:t>（4）固废</w:t>
      </w:r>
    </w:p>
    <w:p>
      <w:pPr>
        <w:bidi w:val="0"/>
        <w:rPr>
          <w:color w:val="auto"/>
        </w:rPr>
      </w:pPr>
      <w:r>
        <w:rPr>
          <w:rFonts w:hint="eastAsia"/>
          <w:color w:val="auto"/>
        </w:rPr>
        <w:t>工程产生的固废主要有水力除杂</w:t>
      </w:r>
      <w:r>
        <w:rPr>
          <w:rFonts w:hint="eastAsia"/>
          <w:color w:val="auto"/>
          <w:lang w:val="en-US" w:eastAsia="zh-CN"/>
        </w:rPr>
        <w:t>产生的杂质</w:t>
      </w:r>
      <w:r>
        <w:rPr>
          <w:rFonts w:hint="eastAsia"/>
          <w:color w:val="auto"/>
        </w:rPr>
        <w:t>、</w:t>
      </w:r>
      <w:r>
        <w:rPr>
          <w:rFonts w:hint="eastAsia"/>
          <w:b/>
          <w:bCs/>
          <w:color w:val="auto"/>
          <w:u w:val="single"/>
          <w:lang w:val="en-US" w:eastAsia="zh-CN"/>
        </w:rPr>
        <w:t>未煮解滤渣、</w:t>
      </w:r>
      <w:r>
        <w:rPr>
          <w:rFonts w:hint="eastAsia"/>
          <w:color w:val="auto"/>
        </w:rPr>
        <w:t>废包装袋以及生活垃圾等。其中废包装袋为危险废物，在危废暂存间暂存后定期交由有资质单位处置；沉淀池污泥</w:t>
      </w:r>
      <w:r>
        <w:rPr>
          <w:rFonts w:hint="eastAsia"/>
          <w:color w:val="auto"/>
          <w:lang w:val="en-US" w:eastAsia="zh-CN"/>
        </w:rPr>
        <w:t>与杂质</w:t>
      </w:r>
      <w:r>
        <w:rPr>
          <w:rFonts w:hint="eastAsia"/>
          <w:color w:val="auto"/>
        </w:rPr>
        <w:t>为一般固废，在一般固废暂存间暂存，定期送厂区锅炉燃烧；生活垃圾为一般固废，集中收集后送环卫部门指定地点处理。各种固废均能实现合理处置。</w:t>
      </w:r>
    </w:p>
    <w:p>
      <w:pPr>
        <w:bidi w:val="0"/>
        <w:rPr>
          <w:color w:val="auto"/>
        </w:rPr>
      </w:pPr>
      <w:r>
        <w:rPr>
          <w:rFonts w:hint="eastAsia"/>
          <w:color w:val="auto"/>
        </w:rPr>
        <w:t>企业在运营期内，应自行开展污染物排放监测或者委托有资质的检测单位对企业的排污情况进行监测，并通过多种渠道向社会公开相关信息。</w:t>
      </w:r>
    </w:p>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p>
      <w:pPr>
        <w:pStyle w:val="7"/>
        <w:bidi w:val="0"/>
        <w:rPr>
          <w:color w:val="auto"/>
        </w:rPr>
      </w:pPr>
      <w:bookmarkStart w:id="386" w:name="_Toc16716"/>
      <w:bookmarkStart w:id="387" w:name="_Toc7660"/>
      <w:bookmarkStart w:id="388" w:name="_Toc29565"/>
      <w:bookmarkStart w:id="389" w:name="_Toc67041084"/>
      <w:bookmarkStart w:id="390" w:name="_Toc30165670"/>
      <w:r>
        <w:rPr>
          <w:rFonts w:hint="eastAsia"/>
          <w:color w:val="auto"/>
        </w:rPr>
        <w:t>8.4</w:t>
      </w:r>
      <w:r>
        <w:rPr>
          <w:color w:val="auto"/>
        </w:rPr>
        <w:t>排污口标志管理</w:t>
      </w:r>
      <w:bookmarkEnd w:id="386"/>
      <w:bookmarkEnd w:id="387"/>
      <w:bookmarkEnd w:id="388"/>
      <w:bookmarkEnd w:id="389"/>
      <w:bookmarkEnd w:id="390"/>
    </w:p>
    <w:p>
      <w:pPr>
        <w:bidi w:val="0"/>
        <w:rPr>
          <w:color w:val="auto"/>
        </w:rPr>
      </w:pPr>
      <w:r>
        <w:rPr>
          <w:color w:val="auto"/>
        </w:rPr>
        <w:t>根据《</w:t>
      </w:r>
      <w:r>
        <w:rPr>
          <w:rFonts w:hint="eastAsia"/>
          <w:color w:val="auto"/>
          <w:lang w:eastAsia="zh-CN"/>
        </w:rPr>
        <w:t>环境保护图形标志 排放口（源）</w:t>
      </w:r>
      <w:r>
        <w:rPr>
          <w:color w:val="auto"/>
        </w:rPr>
        <w:t>》（GB15562.1-1995）、《</w:t>
      </w:r>
      <w:r>
        <w:rPr>
          <w:rFonts w:hint="eastAsia"/>
          <w:color w:val="auto"/>
          <w:lang w:eastAsia="zh-CN"/>
        </w:rPr>
        <w:t>环境保护图形标志 固体废物贮存（处置）场</w:t>
      </w:r>
      <w:r>
        <w:rPr>
          <w:color w:val="auto"/>
        </w:rPr>
        <w:t>》（GB15562.2-1995）标准要求，本项目应在废气、废水排放口、固废贮存场所和噪声排放源分别设置环境保护图形标志牌，便于污染源监督管理及常规监测工作的进行。根据规定要求各排污口（源）提示标志形状采用正方形边框，背景颜色采用绿色，图形颜色采用白色。标志牌应设在与之功能相应的醒目处，并保持清晰、完整。具体标志牌示意详见下图。</w:t>
      </w:r>
    </w:p>
    <w:p>
      <w:pPr>
        <w:spacing w:line="240" w:lineRule="auto"/>
        <w:ind w:left="0" w:leftChars="0" w:firstLine="0" w:firstLineChars="0"/>
        <w:jc w:val="center"/>
        <w:rPr>
          <w:color w:val="auto"/>
        </w:rPr>
      </w:pPr>
    </w:p>
    <w:p>
      <w:pPr>
        <w:spacing w:line="240" w:lineRule="auto"/>
        <w:ind w:left="0" w:leftChars="0" w:firstLine="0" w:firstLineChars="0"/>
        <w:jc w:val="center"/>
        <w:rPr>
          <w:color w:val="auto"/>
        </w:rPr>
      </w:pPr>
      <w:r>
        <w:rPr>
          <w:color w:val="auto"/>
        </w:rPr>
        <w:drawing>
          <wp:inline distT="0" distB="0" distL="0" distR="0">
            <wp:extent cx="4726940" cy="2646045"/>
            <wp:effectExtent l="0" t="0" r="12700" b="5715"/>
            <wp:docPr id="5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7"/>
                    <pic:cNvPicPr>
                      <a:picLocks noChangeAspect="1" noChangeArrowheads="1"/>
                    </pic:cNvPicPr>
                  </pic:nvPicPr>
                  <pic:blipFill>
                    <a:blip r:embed="rId88" cstate="print">
                      <a:extLst>
                        <a:ext uri="{28A0092B-C50C-407E-A947-70E740481C1C}">
                          <a14:useLocalDpi xmlns:a14="http://schemas.microsoft.com/office/drawing/2010/main" val="0"/>
                        </a:ext>
                      </a:extLst>
                    </a:blip>
                    <a:srcRect l="-662" t="-1832" r="18436" b="1"/>
                    <a:stretch>
                      <a:fillRect/>
                    </a:stretch>
                  </pic:blipFill>
                  <pic:spPr>
                    <a:xfrm>
                      <a:off x="0" y="0"/>
                      <a:ext cx="4726940" cy="2646830"/>
                    </a:xfrm>
                    <a:prstGeom prst="rect">
                      <a:avLst/>
                    </a:prstGeom>
                    <a:noFill/>
                    <a:ln>
                      <a:noFill/>
                    </a:ln>
                    <a:effectLst/>
                  </pic:spPr>
                </pic:pic>
              </a:graphicData>
            </a:graphic>
          </wp:inline>
        </w:drawing>
      </w:r>
    </w:p>
    <w:p>
      <w:pPr>
        <w:pStyle w:val="2"/>
        <w:ind w:left="0" w:leftChars="0" w:firstLine="0" w:firstLineChars="0"/>
        <w:jc w:val="center"/>
        <w:rPr>
          <w:color w:val="auto"/>
        </w:rPr>
      </w:pPr>
      <w:r>
        <w:rPr>
          <w:color w:val="auto"/>
        </w:rPr>
        <w:drawing>
          <wp:inline distT="0" distB="0" distL="114300" distR="114300">
            <wp:extent cx="5085080" cy="3242945"/>
            <wp:effectExtent l="0" t="0" r="5080" b="317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89"/>
                    <a:stretch>
                      <a:fillRect/>
                    </a:stretch>
                  </pic:blipFill>
                  <pic:spPr>
                    <a:xfrm>
                      <a:off x="0" y="0"/>
                      <a:ext cx="5085080" cy="3242945"/>
                    </a:xfrm>
                    <a:prstGeom prst="rect">
                      <a:avLst/>
                    </a:prstGeom>
                    <a:noFill/>
                    <a:ln>
                      <a:noFill/>
                    </a:ln>
                  </pic:spPr>
                </pic:pic>
              </a:graphicData>
            </a:graphic>
          </wp:inline>
        </w:drawing>
      </w:r>
    </w:p>
    <w:p>
      <w:pPr>
        <w:pStyle w:val="181"/>
        <w:bidi w:val="0"/>
        <w:ind w:left="0" w:leftChars="0" w:firstLine="0" w:firstLineChars="0"/>
        <w:jc w:val="center"/>
        <w:rPr>
          <w:color w:val="auto"/>
        </w:rPr>
      </w:pPr>
      <w:r>
        <w:rPr>
          <w:color w:val="auto"/>
        </w:rPr>
        <w:t>图8.4-1  环境保护图形</w:t>
      </w:r>
    </w:p>
    <w:p>
      <w:pPr>
        <w:bidi w:val="0"/>
        <w:rPr>
          <w:color w:val="auto"/>
        </w:rPr>
      </w:pPr>
      <w:r>
        <w:rPr>
          <w:color w:val="auto"/>
        </w:rPr>
        <w:t>排污口标志牌设在醒目处，设置高度为上边缘距地面约2m。建议每年对标志牌进行检查和维护一次，确保标志牌清晰完整。</w:t>
      </w:r>
    </w:p>
    <w:p>
      <w:pPr>
        <w:pStyle w:val="7"/>
        <w:bidi w:val="0"/>
        <w:rPr>
          <w:rFonts w:hint="eastAsia"/>
          <w:color w:val="auto"/>
        </w:rPr>
      </w:pPr>
      <w:bookmarkStart w:id="391" w:name="_Toc7697"/>
      <w:r>
        <w:rPr>
          <w:rFonts w:hint="eastAsia"/>
          <w:color w:val="auto"/>
          <w:lang w:val="en-US" w:eastAsia="zh-CN"/>
        </w:rPr>
        <w:t>8.5</w:t>
      </w:r>
      <w:r>
        <w:rPr>
          <w:rFonts w:hint="eastAsia"/>
          <w:color w:val="auto"/>
        </w:rPr>
        <w:t>“三同时”竣工验收内容</w:t>
      </w:r>
      <w:bookmarkEnd w:id="391"/>
    </w:p>
    <w:p>
      <w:pPr>
        <w:bidi w:val="0"/>
        <w:rPr>
          <w:rFonts w:hint="eastAsia"/>
          <w:b/>
          <w:bCs/>
          <w:color w:val="auto"/>
          <w:u w:val="single"/>
        </w:rPr>
      </w:pPr>
      <w:r>
        <w:rPr>
          <w:rFonts w:hint="eastAsia"/>
          <w:b/>
          <w:bCs/>
          <w:color w:val="auto"/>
          <w:u w:val="single"/>
        </w:rPr>
        <w:t>按照国家有关要求，建设项目必须严格执行“三同时”制度，环保竣工验收也有相应的“三同时”验收内容。本项目环保设施竣工验收内容见下表。</w:t>
      </w:r>
    </w:p>
    <w:p>
      <w:pPr>
        <w:pStyle w:val="181"/>
        <w:bidi w:val="0"/>
        <w:rPr>
          <w:rFonts w:hint="eastAsia"/>
          <w:b/>
          <w:bCs/>
          <w:color w:val="auto"/>
          <w:u w:val="single"/>
        </w:rPr>
      </w:pPr>
      <w:r>
        <w:rPr>
          <w:rFonts w:hint="eastAsia"/>
          <w:b/>
          <w:bCs/>
          <w:color w:val="auto"/>
          <w:u w:val="single"/>
        </w:rPr>
        <w:t>表</w:t>
      </w:r>
      <w:r>
        <w:rPr>
          <w:rFonts w:hint="eastAsia"/>
          <w:b/>
          <w:bCs/>
          <w:color w:val="auto"/>
          <w:u w:val="single"/>
          <w:lang w:val="en-US" w:eastAsia="zh-CN"/>
        </w:rPr>
        <w:t>8.5</w:t>
      </w:r>
      <w:r>
        <w:rPr>
          <w:rFonts w:hint="eastAsia"/>
          <w:b/>
          <w:bCs/>
          <w:color w:val="auto"/>
          <w:u w:val="single"/>
        </w:rPr>
        <w:t xml:space="preserve">-1 </w:t>
      </w:r>
      <w:r>
        <w:rPr>
          <w:rFonts w:hint="eastAsia"/>
          <w:b/>
          <w:bCs/>
          <w:color w:val="auto"/>
          <w:u w:val="single"/>
          <w:lang w:val="en-US" w:eastAsia="zh-CN"/>
        </w:rPr>
        <w:t xml:space="preserve">         </w:t>
      </w:r>
      <w:r>
        <w:rPr>
          <w:rFonts w:hint="eastAsia"/>
          <w:b/>
          <w:bCs/>
          <w:color w:val="auto"/>
          <w:u w:val="single"/>
        </w:rPr>
        <w:t>环保设施竣工验收内容一览表</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4"/>
        <w:gridCol w:w="1609"/>
        <w:gridCol w:w="1675"/>
        <w:gridCol w:w="1709"/>
        <w:gridCol w:w="1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3" w:type="dxa"/>
            <w:gridSpan w:val="2"/>
            <w:vAlign w:val="center"/>
          </w:tcPr>
          <w:p>
            <w:pPr>
              <w:pStyle w:val="182"/>
              <w:bidi w:val="0"/>
              <w:rPr>
                <w:rFonts w:hint="eastAsia"/>
                <w:b/>
                <w:bCs/>
                <w:color w:val="auto"/>
                <w:u w:val="single"/>
              </w:rPr>
            </w:pPr>
            <w:r>
              <w:rPr>
                <w:rFonts w:hint="eastAsia"/>
                <w:b/>
                <w:bCs/>
                <w:color w:val="auto"/>
                <w:u w:val="single"/>
              </w:rPr>
              <w:t>产污环节</w:t>
            </w:r>
          </w:p>
        </w:tc>
        <w:tc>
          <w:tcPr>
            <w:tcW w:w="1675" w:type="dxa"/>
            <w:vAlign w:val="center"/>
          </w:tcPr>
          <w:p>
            <w:pPr>
              <w:pStyle w:val="182"/>
              <w:bidi w:val="0"/>
              <w:rPr>
                <w:b/>
                <w:bCs/>
                <w:color w:val="auto"/>
                <w:u w:val="single"/>
              </w:rPr>
            </w:pPr>
            <w:r>
              <w:rPr>
                <w:rFonts w:hint="eastAsia"/>
                <w:b/>
                <w:bCs/>
                <w:color w:val="auto"/>
                <w:u w:val="single"/>
              </w:rPr>
              <w:t>污染物</w:t>
            </w:r>
          </w:p>
        </w:tc>
        <w:tc>
          <w:tcPr>
            <w:tcW w:w="1709" w:type="dxa"/>
            <w:vAlign w:val="center"/>
          </w:tcPr>
          <w:p>
            <w:pPr>
              <w:pStyle w:val="182"/>
              <w:bidi w:val="0"/>
              <w:rPr>
                <w:b/>
                <w:bCs/>
                <w:color w:val="auto"/>
                <w:u w:val="single"/>
              </w:rPr>
            </w:pPr>
            <w:r>
              <w:rPr>
                <w:rFonts w:hint="eastAsia"/>
                <w:b/>
                <w:bCs/>
                <w:color w:val="auto"/>
                <w:u w:val="single"/>
              </w:rPr>
              <w:t>处理措施</w:t>
            </w:r>
          </w:p>
        </w:tc>
        <w:tc>
          <w:tcPr>
            <w:tcW w:w="1956" w:type="dxa"/>
            <w:vAlign w:val="center"/>
          </w:tcPr>
          <w:p>
            <w:pPr>
              <w:pStyle w:val="182"/>
              <w:bidi w:val="0"/>
              <w:rPr>
                <w:b/>
                <w:bCs/>
                <w:color w:val="auto"/>
                <w:u w:val="single"/>
              </w:rPr>
            </w:pPr>
            <w:r>
              <w:rPr>
                <w:rFonts w:hint="eastAsia"/>
                <w:b/>
                <w:bCs/>
                <w:color w:val="auto"/>
                <w:u w:val="single"/>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restart"/>
            <w:vAlign w:val="center"/>
          </w:tcPr>
          <w:p>
            <w:pPr>
              <w:pStyle w:val="182"/>
              <w:bidi w:val="0"/>
              <w:rPr>
                <w:rFonts w:hint="eastAsia"/>
                <w:b/>
                <w:bCs/>
                <w:color w:val="auto"/>
                <w:u w:val="single"/>
                <w:lang w:val="en-US" w:eastAsia="zh-CN"/>
              </w:rPr>
            </w:pPr>
            <w:r>
              <w:rPr>
                <w:rFonts w:hint="eastAsia"/>
                <w:b/>
                <w:bCs/>
                <w:color w:val="auto"/>
                <w:u w:val="single"/>
                <w:lang w:val="en-US" w:eastAsia="zh-CN"/>
              </w:rPr>
              <w:t>废气</w:t>
            </w:r>
          </w:p>
        </w:tc>
        <w:tc>
          <w:tcPr>
            <w:tcW w:w="1609" w:type="dxa"/>
            <w:vAlign w:val="center"/>
          </w:tcPr>
          <w:p>
            <w:pPr>
              <w:pStyle w:val="182"/>
              <w:bidi w:val="0"/>
              <w:rPr>
                <w:rFonts w:hint="eastAsia"/>
                <w:b/>
                <w:bCs/>
                <w:color w:val="auto"/>
                <w:u w:val="single"/>
                <w:lang w:val="en-US" w:eastAsia="zh-CN"/>
              </w:rPr>
            </w:pPr>
            <w:r>
              <w:rPr>
                <w:rFonts w:hint="eastAsia"/>
                <w:b/>
                <w:bCs/>
                <w:color w:val="auto"/>
                <w:u w:val="single"/>
              </w:rPr>
              <w:t>堆料库扬尘</w:t>
            </w:r>
          </w:p>
        </w:tc>
        <w:tc>
          <w:tcPr>
            <w:tcW w:w="167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颗粒物</w:t>
            </w:r>
          </w:p>
        </w:tc>
        <w:tc>
          <w:tcPr>
            <w:tcW w:w="1709" w:type="dxa"/>
            <w:vAlign w:val="center"/>
          </w:tcPr>
          <w:p>
            <w:pPr>
              <w:pStyle w:val="182"/>
              <w:bidi w:val="0"/>
              <w:rPr>
                <w:b/>
                <w:bCs/>
                <w:color w:val="auto"/>
                <w:u w:val="single"/>
              </w:rPr>
            </w:pPr>
            <w:r>
              <w:rPr>
                <w:rFonts w:hint="eastAsia"/>
                <w:b/>
                <w:bCs/>
                <w:color w:val="auto"/>
                <w:u w:val="single"/>
              </w:rPr>
              <w:t>料库密闭，洒水抑尘</w:t>
            </w:r>
          </w:p>
        </w:tc>
        <w:tc>
          <w:tcPr>
            <w:tcW w:w="1956" w:type="dxa"/>
            <w:vAlign w:val="center"/>
          </w:tcPr>
          <w:p>
            <w:pPr>
              <w:pStyle w:val="182"/>
              <w:bidi w:val="0"/>
              <w:rPr>
                <w:b/>
                <w:bCs/>
                <w:color w:val="auto"/>
                <w:u w:val="single"/>
              </w:rPr>
            </w:pPr>
            <w:r>
              <w:rPr>
                <w:rFonts w:hint="eastAsia"/>
                <w:b/>
                <w:bCs/>
                <w:color w:val="auto"/>
                <w:u w:val="single"/>
              </w:rPr>
              <w:t>《大气污染物综合排放标准》（GB16297-1996）表2无组织排放监控浓度限值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continue"/>
            <w:vAlign w:val="center"/>
          </w:tcPr>
          <w:p>
            <w:pPr>
              <w:pStyle w:val="182"/>
              <w:rPr>
                <w:b/>
                <w:bCs/>
                <w:color w:val="auto"/>
                <w:u w:val="single"/>
              </w:rPr>
            </w:pPr>
          </w:p>
        </w:tc>
        <w:tc>
          <w:tcPr>
            <w:tcW w:w="1609" w:type="dxa"/>
            <w:vAlign w:val="center"/>
          </w:tcPr>
          <w:p>
            <w:pPr>
              <w:pStyle w:val="182"/>
              <w:rPr>
                <w:b/>
                <w:bCs/>
                <w:color w:val="auto"/>
                <w:u w:val="single"/>
              </w:rPr>
            </w:pPr>
            <w:r>
              <w:rPr>
                <w:rFonts w:hint="eastAsia"/>
                <w:b/>
                <w:bCs/>
                <w:color w:val="auto"/>
                <w:u w:val="single"/>
              </w:rPr>
              <w:t>蒸煮废气</w:t>
            </w:r>
          </w:p>
        </w:tc>
        <w:tc>
          <w:tcPr>
            <w:tcW w:w="1675" w:type="dxa"/>
            <w:vAlign w:val="center"/>
          </w:tcPr>
          <w:p>
            <w:pPr>
              <w:pStyle w:val="182"/>
              <w:rPr>
                <w:rFonts w:hint="eastAsia"/>
                <w:b/>
                <w:bCs/>
                <w:color w:val="auto"/>
                <w:u w:val="single"/>
                <w:lang w:val="en-US" w:eastAsia="zh-CN"/>
              </w:rPr>
            </w:pPr>
            <w:r>
              <w:rPr>
                <w:rFonts w:hint="eastAsia"/>
                <w:b/>
                <w:bCs/>
                <w:color w:val="auto"/>
                <w:u w:val="single"/>
                <w:lang w:val="en-US" w:eastAsia="zh-CN"/>
              </w:rPr>
              <w:t>/</w:t>
            </w:r>
          </w:p>
        </w:tc>
        <w:tc>
          <w:tcPr>
            <w:tcW w:w="1709" w:type="dxa"/>
            <w:vAlign w:val="center"/>
          </w:tcPr>
          <w:p>
            <w:pPr>
              <w:pStyle w:val="182"/>
              <w:rPr>
                <w:b/>
                <w:bCs/>
                <w:color w:val="auto"/>
                <w:u w:val="single"/>
              </w:rPr>
            </w:pPr>
            <w:r>
              <w:rPr>
                <w:rFonts w:hint="eastAsia"/>
                <w:b/>
                <w:bCs/>
                <w:color w:val="auto"/>
                <w:u w:val="single"/>
              </w:rPr>
              <w:t>设备顶部设置管道风机，抽至五效蒸发器进行回收利用</w:t>
            </w:r>
          </w:p>
        </w:tc>
        <w:tc>
          <w:tcPr>
            <w:tcW w:w="1956" w:type="dxa"/>
            <w:vAlign w:val="center"/>
          </w:tcPr>
          <w:p>
            <w:pPr>
              <w:pStyle w:val="182"/>
              <w:rPr>
                <w:rFonts w:hint="eastAsia" w:eastAsia="宋体"/>
                <w:b/>
                <w:bCs/>
                <w:color w:val="auto"/>
                <w:u w:val="single"/>
                <w:lang w:val="en-US" w:eastAsia="zh-CN"/>
              </w:rPr>
            </w:pPr>
            <w:r>
              <w:rPr>
                <w:rFonts w:hint="eastAsia"/>
                <w:b/>
                <w:bCs/>
                <w:color w:val="auto"/>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continue"/>
            <w:vAlign w:val="center"/>
          </w:tcPr>
          <w:p>
            <w:pPr>
              <w:pStyle w:val="182"/>
              <w:rPr>
                <w:b/>
                <w:bCs/>
                <w:color w:val="auto"/>
                <w:u w:val="single"/>
              </w:rPr>
            </w:pPr>
          </w:p>
        </w:tc>
        <w:tc>
          <w:tcPr>
            <w:tcW w:w="1609" w:type="dxa"/>
            <w:vAlign w:val="center"/>
          </w:tcPr>
          <w:p>
            <w:pPr>
              <w:pStyle w:val="182"/>
              <w:rPr>
                <w:rFonts w:hint="default"/>
                <w:b/>
                <w:bCs/>
                <w:color w:val="auto"/>
                <w:u w:val="single"/>
                <w:lang w:val="en-US" w:eastAsia="zh-CN"/>
              </w:rPr>
            </w:pPr>
            <w:r>
              <w:rPr>
                <w:rFonts w:hint="eastAsia"/>
                <w:b/>
                <w:bCs/>
                <w:color w:val="auto"/>
                <w:u w:val="single"/>
                <w:lang w:val="en-US" w:eastAsia="zh-CN"/>
              </w:rPr>
              <w:t>酸站</w:t>
            </w:r>
          </w:p>
        </w:tc>
        <w:tc>
          <w:tcPr>
            <w:tcW w:w="1675" w:type="dxa"/>
            <w:vAlign w:val="center"/>
          </w:tcPr>
          <w:p>
            <w:pPr>
              <w:pStyle w:val="182"/>
              <w:rPr>
                <w:rFonts w:hint="eastAsia"/>
                <w:b/>
                <w:bCs/>
                <w:color w:val="auto"/>
                <w:u w:val="single"/>
                <w:lang w:val="en-US" w:eastAsia="zh-CN"/>
              </w:rPr>
            </w:pPr>
            <w:r>
              <w:rPr>
                <w:rFonts w:hint="eastAsia"/>
                <w:b/>
                <w:bCs/>
                <w:color w:val="auto"/>
                <w:u w:val="single"/>
                <w:lang w:val="en-US" w:eastAsia="zh-CN"/>
              </w:rPr>
              <w:t>硫酸雾</w:t>
            </w:r>
          </w:p>
        </w:tc>
        <w:tc>
          <w:tcPr>
            <w:tcW w:w="1709" w:type="dxa"/>
            <w:vAlign w:val="center"/>
          </w:tcPr>
          <w:p>
            <w:pPr>
              <w:pStyle w:val="182"/>
              <w:rPr>
                <w:rFonts w:hint="eastAsia"/>
                <w:b/>
                <w:bCs/>
                <w:color w:val="auto"/>
                <w:u w:val="single"/>
              </w:rPr>
            </w:pPr>
            <w:r>
              <w:rPr>
                <w:rFonts w:hint="eastAsia"/>
                <w:b/>
                <w:bCs/>
                <w:color w:val="auto"/>
                <w:u w:val="single"/>
              </w:rPr>
              <w:t>依托酸站处理设施（NaCO</w:t>
            </w:r>
            <w:r>
              <w:rPr>
                <w:rFonts w:hint="eastAsia"/>
                <w:b/>
                <w:bCs/>
                <w:color w:val="auto"/>
                <w:u w:val="single"/>
                <w:vertAlign w:val="subscript"/>
              </w:rPr>
              <w:t>3</w:t>
            </w:r>
            <w:r>
              <w:rPr>
                <w:rFonts w:hint="eastAsia"/>
                <w:b/>
                <w:bCs/>
                <w:color w:val="auto"/>
                <w:u w:val="single"/>
              </w:rPr>
              <w:t>喷淋装置+活性炭吸附处理）</w:t>
            </w:r>
          </w:p>
        </w:tc>
        <w:tc>
          <w:tcPr>
            <w:tcW w:w="1956" w:type="dxa"/>
            <w:vAlign w:val="center"/>
          </w:tcPr>
          <w:p>
            <w:pPr>
              <w:pStyle w:val="182"/>
              <w:rPr>
                <w:b/>
                <w:bCs/>
                <w:color w:val="auto"/>
                <w:u w:val="single"/>
              </w:rPr>
            </w:pPr>
            <w:r>
              <w:rPr>
                <w:rFonts w:hint="eastAsia"/>
                <w:b/>
                <w:bCs/>
                <w:color w:val="auto"/>
                <w:u w:val="single"/>
              </w:rPr>
              <w:t>《大气污染物综合排放标准》（GB16297-1996）表2无组织排放监控浓度限值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continue"/>
            <w:vAlign w:val="center"/>
          </w:tcPr>
          <w:p>
            <w:pPr>
              <w:pStyle w:val="182"/>
              <w:bidi w:val="0"/>
              <w:rPr>
                <w:b/>
                <w:bCs/>
                <w:color w:val="auto"/>
                <w:u w:val="single"/>
              </w:rPr>
            </w:pPr>
          </w:p>
        </w:tc>
        <w:tc>
          <w:tcPr>
            <w:tcW w:w="1609" w:type="dxa"/>
            <w:vAlign w:val="center"/>
          </w:tcPr>
          <w:p>
            <w:pPr>
              <w:pStyle w:val="182"/>
              <w:bidi w:val="0"/>
              <w:rPr>
                <w:rFonts w:hint="eastAsia"/>
                <w:b/>
                <w:bCs/>
                <w:color w:val="auto"/>
                <w:u w:val="single"/>
                <w:lang w:val="en-US" w:eastAsia="zh-CN"/>
              </w:rPr>
            </w:pPr>
            <w:r>
              <w:rPr>
                <w:rFonts w:hint="eastAsia"/>
                <w:b/>
                <w:bCs/>
                <w:color w:val="auto"/>
                <w:u w:val="single"/>
              </w:rPr>
              <w:t>木质素</w:t>
            </w:r>
            <w:r>
              <w:rPr>
                <w:rFonts w:hint="eastAsia"/>
                <w:b/>
                <w:bCs/>
                <w:color w:val="auto"/>
                <w:u w:val="single"/>
                <w:lang w:val="en-US" w:eastAsia="zh-CN"/>
              </w:rPr>
              <w:t>混合物</w:t>
            </w:r>
            <w:r>
              <w:rPr>
                <w:rFonts w:hint="eastAsia"/>
                <w:b/>
                <w:bCs/>
                <w:color w:val="auto"/>
                <w:u w:val="single"/>
              </w:rPr>
              <w:t>干燥</w:t>
            </w:r>
          </w:p>
        </w:tc>
        <w:tc>
          <w:tcPr>
            <w:tcW w:w="167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有组织颗粒物</w:t>
            </w:r>
          </w:p>
        </w:tc>
        <w:tc>
          <w:tcPr>
            <w:tcW w:w="1709" w:type="dxa"/>
            <w:vAlign w:val="center"/>
          </w:tcPr>
          <w:p>
            <w:pPr>
              <w:pStyle w:val="182"/>
              <w:bidi w:val="0"/>
              <w:rPr>
                <w:rFonts w:hint="eastAsia"/>
                <w:b/>
                <w:bCs/>
                <w:color w:val="auto"/>
                <w:u w:val="single"/>
              </w:rPr>
            </w:pPr>
            <w:r>
              <w:rPr>
                <w:rFonts w:hint="eastAsia"/>
                <w:b/>
                <w:bCs/>
                <w:color w:val="auto"/>
                <w:u w:val="single"/>
                <w:lang w:val="en-US" w:eastAsia="zh-CN"/>
              </w:rPr>
              <w:t>袋式除尘；</w:t>
            </w:r>
          </w:p>
        </w:tc>
        <w:tc>
          <w:tcPr>
            <w:tcW w:w="1956" w:type="dxa"/>
            <w:vAlign w:val="center"/>
          </w:tcPr>
          <w:p>
            <w:pPr>
              <w:pStyle w:val="182"/>
              <w:bidi w:val="0"/>
              <w:rPr>
                <w:rFonts w:hint="eastAsia"/>
                <w:b/>
                <w:bCs/>
                <w:color w:val="auto"/>
                <w:u w:val="single"/>
              </w:rPr>
            </w:pPr>
            <w:r>
              <w:rPr>
                <w:rFonts w:hint="eastAsia"/>
                <w:b/>
                <w:bCs/>
                <w:color w:val="auto"/>
                <w:u w:val="single"/>
              </w:rPr>
              <w:t>《新乡市生态环境局关于进一步规范工业企业颗粒物排放限值的通知》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continue"/>
            <w:vAlign w:val="center"/>
          </w:tcPr>
          <w:p>
            <w:pPr>
              <w:pStyle w:val="182"/>
              <w:bidi w:val="0"/>
              <w:rPr>
                <w:b/>
                <w:bCs/>
                <w:color w:val="auto"/>
                <w:u w:val="single"/>
              </w:rPr>
            </w:pPr>
          </w:p>
        </w:tc>
        <w:tc>
          <w:tcPr>
            <w:tcW w:w="1609" w:type="dxa"/>
            <w:vAlign w:val="center"/>
          </w:tcPr>
          <w:p>
            <w:pPr>
              <w:pStyle w:val="182"/>
              <w:bidi w:val="0"/>
              <w:rPr>
                <w:rFonts w:hint="eastAsia"/>
                <w:b/>
                <w:bCs/>
                <w:color w:val="auto"/>
                <w:u w:val="single"/>
                <w:lang w:val="en-US" w:eastAsia="zh-CN"/>
              </w:rPr>
            </w:pPr>
            <w:r>
              <w:rPr>
                <w:rFonts w:hint="eastAsia"/>
                <w:b/>
                <w:bCs/>
                <w:color w:val="auto"/>
                <w:u w:val="single"/>
                <w:lang w:val="en-US" w:eastAsia="zh-CN"/>
              </w:rPr>
              <w:t>收集</w:t>
            </w:r>
            <w:r>
              <w:rPr>
                <w:rFonts w:hint="eastAsia"/>
                <w:b/>
                <w:bCs/>
                <w:color w:val="auto"/>
                <w:u w:val="single"/>
              </w:rPr>
              <w:t>、</w:t>
            </w:r>
            <w:r>
              <w:rPr>
                <w:rFonts w:hint="eastAsia"/>
                <w:b/>
                <w:bCs/>
                <w:color w:val="auto"/>
                <w:u w:val="single"/>
                <w:lang w:val="en-US" w:eastAsia="zh-CN"/>
              </w:rPr>
              <w:t>分装产生</w:t>
            </w:r>
          </w:p>
        </w:tc>
        <w:tc>
          <w:tcPr>
            <w:tcW w:w="1675" w:type="dxa"/>
            <w:vAlign w:val="center"/>
          </w:tcPr>
          <w:p>
            <w:pPr>
              <w:pStyle w:val="182"/>
              <w:bidi w:val="0"/>
              <w:rPr>
                <w:rFonts w:hint="eastAsia"/>
                <w:b/>
                <w:bCs/>
                <w:color w:val="auto"/>
                <w:u w:val="single"/>
                <w:lang w:val="en-US" w:eastAsia="zh-CN"/>
              </w:rPr>
            </w:pPr>
            <w:r>
              <w:rPr>
                <w:rFonts w:hint="eastAsia"/>
                <w:b/>
                <w:bCs/>
                <w:color w:val="auto"/>
                <w:u w:val="single"/>
                <w:lang w:val="en-US" w:eastAsia="zh-CN"/>
              </w:rPr>
              <w:t>无组织颗粒物</w:t>
            </w:r>
          </w:p>
        </w:tc>
        <w:tc>
          <w:tcPr>
            <w:tcW w:w="1709" w:type="dxa"/>
            <w:vAlign w:val="center"/>
          </w:tcPr>
          <w:p>
            <w:pPr>
              <w:pStyle w:val="182"/>
              <w:bidi w:val="0"/>
              <w:rPr>
                <w:rFonts w:hint="eastAsia"/>
                <w:b/>
                <w:bCs/>
                <w:color w:val="auto"/>
                <w:u w:val="single"/>
              </w:rPr>
            </w:pPr>
            <w:r>
              <w:rPr>
                <w:rFonts w:hint="eastAsia"/>
                <w:b/>
                <w:bCs/>
                <w:color w:val="auto"/>
                <w:u w:val="single"/>
                <w:lang w:val="en-US" w:eastAsia="zh-CN"/>
              </w:rPr>
              <w:t>车间封闭、洒水降尘</w:t>
            </w:r>
          </w:p>
        </w:tc>
        <w:tc>
          <w:tcPr>
            <w:tcW w:w="1956" w:type="dxa"/>
            <w:vAlign w:val="center"/>
          </w:tcPr>
          <w:p>
            <w:pPr>
              <w:pStyle w:val="182"/>
              <w:bidi w:val="0"/>
              <w:rPr>
                <w:rFonts w:hint="eastAsia"/>
                <w:b/>
                <w:bCs/>
                <w:color w:val="auto"/>
                <w:u w:val="single"/>
              </w:rPr>
            </w:pPr>
            <w:r>
              <w:rPr>
                <w:rFonts w:hint="eastAsia"/>
                <w:b/>
                <w:bCs/>
                <w:color w:val="auto"/>
                <w:u w:val="single"/>
              </w:rPr>
              <w:t>《大气污染物综合排放标准》（GB16297-1996）表2无组织排放监控浓度限值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Align w:val="center"/>
          </w:tcPr>
          <w:p>
            <w:pPr>
              <w:pStyle w:val="182"/>
              <w:bidi w:val="0"/>
              <w:rPr>
                <w:rFonts w:hint="eastAsia"/>
                <w:b/>
                <w:bCs/>
                <w:color w:val="auto"/>
                <w:u w:val="single"/>
                <w:lang w:val="en-US" w:eastAsia="zh-CN"/>
              </w:rPr>
            </w:pPr>
            <w:r>
              <w:rPr>
                <w:rFonts w:hint="eastAsia"/>
                <w:b/>
                <w:bCs/>
                <w:color w:val="auto"/>
                <w:u w:val="single"/>
                <w:lang w:val="en-US" w:eastAsia="zh-CN"/>
              </w:rPr>
              <w:t>废水</w:t>
            </w:r>
          </w:p>
        </w:tc>
        <w:tc>
          <w:tcPr>
            <w:tcW w:w="1609" w:type="dxa"/>
            <w:vAlign w:val="center"/>
          </w:tcPr>
          <w:p>
            <w:pPr>
              <w:pStyle w:val="182"/>
              <w:bidi w:val="0"/>
              <w:rPr>
                <w:b/>
                <w:bCs/>
                <w:color w:val="auto"/>
                <w:u w:val="single"/>
              </w:rPr>
            </w:pPr>
            <w:r>
              <w:rPr>
                <w:b/>
                <w:bCs/>
                <w:color w:val="auto"/>
                <w:u w:val="single"/>
              </w:rPr>
              <w:t>生产、生活废水</w:t>
            </w:r>
          </w:p>
        </w:tc>
        <w:tc>
          <w:tcPr>
            <w:tcW w:w="1675" w:type="dxa"/>
            <w:vAlign w:val="center"/>
          </w:tcPr>
          <w:p>
            <w:pPr>
              <w:pStyle w:val="182"/>
              <w:bidi w:val="0"/>
              <w:rPr>
                <w:rFonts w:hint="default" w:eastAsia="宋体"/>
                <w:b/>
                <w:bCs/>
                <w:color w:val="auto"/>
                <w:u w:val="single"/>
                <w:lang w:val="en-US" w:eastAsia="zh-CN"/>
              </w:rPr>
            </w:pPr>
            <w:r>
              <w:rPr>
                <w:b/>
                <w:bCs/>
                <w:color w:val="auto"/>
                <w:u w:val="single"/>
              </w:rPr>
              <w:t>COD</w:t>
            </w:r>
            <w:r>
              <w:rPr>
                <w:rFonts w:hint="eastAsia"/>
                <w:b/>
                <w:bCs/>
                <w:color w:val="auto"/>
                <w:u w:val="single"/>
              </w:rPr>
              <w:t>、</w:t>
            </w:r>
            <w:r>
              <w:rPr>
                <w:b/>
                <w:bCs/>
                <w:color w:val="auto"/>
                <w:u w:val="single"/>
              </w:rPr>
              <w:t>BOD</w:t>
            </w:r>
            <w:r>
              <w:rPr>
                <w:b/>
                <w:bCs/>
                <w:color w:val="auto"/>
                <w:u w:val="single"/>
                <w:vertAlign w:val="subscript"/>
              </w:rPr>
              <w:t>5</w:t>
            </w:r>
            <w:r>
              <w:rPr>
                <w:rFonts w:hint="eastAsia"/>
                <w:b/>
                <w:bCs/>
                <w:color w:val="auto"/>
                <w:u w:val="single"/>
              </w:rPr>
              <w:t>、</w:t>
            </w:r>
            <w:r>
              <w:rPr>
                <w:b/>
                <w:bCs/>
                <w:color w:val="auto"/>
                <w:u w:val="single"/>
              </w:rPr>
              <w:t>SS</w:t>
            </w:r>
            <w:r>
              <w:rPr>
                <w:rFonts w:hint="eastAsia"/>
                <w:b/>
                <w:bCs/>
                <w:color w:val="auto"/>
                <w:u w:val="single"/>
              </w:rPr>
              <w:t>、NH</w:t>
            </w:r>
            <w:r>
              <w:rPr>
                <w:rFonts w:hint="eastAsia"/>
                <w:b/>
                <w:bCs/>
                <w:color w:val="auto"/>
                <w:u w:val="single"/>
                <w:vertAlign w:val="subscript"/>
              </w:rPr>
              <w:t>3</w:t>
            </w:r>
            <w:r>
              <w:rPr>
                <w:rFonts w:hint="eastAsia"/>
                <w:b/>
                <w:bCs/>
                <w:color w:val="auto"/>
                <w:u w:val="single"/>
              </w:rPr>
              <w:t>-N、</w:t>
            </w:r>
            <w:r>
              <w:rPr>
                <w:b/>
                <w:bCs/>
                <w:color w:val="auto"/>
                <w:u w:val="single"/>
              </w:rPr>
              <w:t>TP</w:t>
            </w:r>
            <w:r>
              <w:rPr>
                <w:rFonts w:hint="eastAsia"/>
                <w:b/>
                <w:bCs/>
                <w:color w:val="auto"/>
                <w:u w:val="single"/>
              </w:rPr>
              <w:t>、</w:t>
            </w:r>
            <w:r>
              <w:rPr>
                <w:b/>
                <w:bCs/>
                <w:color w:val="auto"/>
                <w:u w:val="single"/>
              </w:rPr>
              <w:t>TN</w:t>
            </w:r>
            <w:r>
              <w:rPr>
                <w:rFonts w:hint="eastAsia"/>
                <w:b/>
                <w:bCs/>
                <w:color w:val="auto"/>
                <w:u w:val="single"/>
                <w:lang w:eastAsia="zh-CN"/>
              </w:rPr>
              <w:t>、</w:t>
            </w:r>
            <w:r>
              <w:rPr>
                <w:rFonts w:hint="eastAsia"/>
                <w:b/>
                <w:bCs/>
                <w:color w:val="auto"/>
                <w:u w:val="single"/>
                <w:lang w:val="en-US" w:eastAsia="zh-CN"/>
              </w:rPr>
              <w:t>色度</w:t>
            </w:r>
          </w:p>
        </w:tc>
        <w:tc>
          <w:tcPr>
            <w:tcW w:w="1709" w:type="dxa"/>
            <w:vAlign w:val="center"/>
          </w:tcPr>
          <w:p>
            <w:pPr>
              <w:pStyle w:val="182"/>
              <w:bidi w:val="0"/>
              <w:rPr>
                <w:b/>
                <w:bCs/>
                <w:color w:val="auto"/>
                <w:u w:val="single"/>
              </w:rPr>
            </w:pPr>
            <w:r>
              <w:rPr>
                <w:rFonts w:hint="eastAsia"/>
                <w:b/>
                <w:bCs/>
                <w:color w:val="auto"/>
                <w:u w:val="single"/>
              </w:rPr>
              <w:t>厂区废水连接管网，依托厂区内3.8万t/d污水处理站</w:t>
            </w:r>
          </w:p>
        </w:tc>
        <w:tc>
          <w:tcPr>
            <w:tcW w:w="1956" w:type="dxa"/>
            <w:vAlign w:val="center"/>
          </w:tcPr>
          <w:p>
            <w:pPr>
              <w:pStyle w:val="182"/>
              <w:bidi w:val="0"/>
              <w:rPr>
                <w:b/>
                <w:bCs/>
                <w:color w:val="auto"/>
                <w:u w:val="single"/>
              </w:rPr>
            </w:pPr>
            <w:r>
              <w:rPr>
                <w:rFonts w:hint="eastAsia"/>
                <w:b/>
                <w:bCs/>
                <w:color w:val="auto"/>
                <w:u w:val="single"/>
              </w:rPr>
              <w:t>小店污水处理厂收水标准</w:t>
            </w:r>
            <w:r>
              <w:rPr>
                <w:rFonts w:hint="eastAsia"/>
                <w:b/>
                <w:bCs/>
                <w:color w:val="auto"/>
                <w:u w:val="single"/>
                <w:lang w:eastAsia="zh-CN"/>
              </w:rPr>
              <w:t>；</w:t>
            </w:r>
            <w:r>
              <w:rPr>
                <w:rFonts w:hint="eastAsia"/>
                <w:b/>
                <w:bCs/>
                <w:color w:val="auto"/>
                <w:u w:val="single"/>
              </w:rPr>
              <w:t xml:space="preserve">《污水综合排放标准》（GB8978-1996） 表4 </w:t>
            </w:r>
            <w:r>
              <w:rPr>
                <w:rFonts w:hint="eastAsia"/>
                <w:b/>
                <w:bCs/>
                <w:color w:val="auto"/>
                <w:u w:val="single"/>
                <w:lang w:val="en-US" w:eastAsia="zh-CN"/>
              </w:rPr>
              <w:t>二级（</w:t>
            </w:r>
            <w:r>
              <w:rPr>
                <w:rFonts w:hint="eastAsia"/>
                <w:b/>
                <w:bCs/>
                <w:color w:val="auto"/>
                <w:u w:val="single"/>
              </w:rPr>
              <w:t>化学浆粕行业</w:t>
            </w:r>
            <w:r>
              <w:rPr>
                <w:rFonts w:hint="eastAsia"/>
                <w:b/>
                <w:bCs/>
                <w:color w:val="auto"/>
                <w:u w:val="single"/>
                <w:lang w:val="en-US" w:eastAsia="zh-CN"/>
              </w:rPr>
              <w:t>）</w:t>
            </w:r>
            <w:r>
              <w:rPr>
                <w:rFonts w:hint="eastAsia"/>
                <w:b/>
                <w:bCs/>
                <w:color w:val="auto"/>
                <w:u w:val="single"/>
                <w:lang w:eastAsia="zh-CN"/>
              </w:rPr>
              <w:t>；</w:t>
            </w:r>
            <w:r>
              <w:rPr>
                <w:rFonts w:hint="eastAsia"/>
                <w:b/>
                <w:bCs/>
                <w:color w:val="auto"/>
                <w:u w:val="single"/>
              </w:rPr>
              <w:t>化纤厂新厂区排污许可证废水允许排放浓度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restart"/>
            <w:vAlign w:val="center"/>
          </w:tcPr>
          <w:p>
            <w:pPr>
              <w:pStyle w:val="182"/>
              <w:bidi w:val="0"/>
              <w:rPr>
                <w:b/>
                <w:bCs/>
                <w:color w:val="auto"/>
                <w:u w:val="single"/>
              </w:rPr>
            </w:pPr>
            <w:r>
              <w:rPr>
                <w:b/>
                <w:bCs/>
                <w:color w:val="auto"/>
                <w:u w:val="single"/>
              </w:rPr>
              <w:t>固废</w:t>
            </w:r>
          </w:p>
        </w:tc>
        <w:tc>
          <w:tcPr>
            <w:tcW w:w="1609" w:type="dxa"/>
            <w:vAlign w:val="center"/>
          </w:tcPr>
          <w:p>
            <w:pPr>
              <w:pStyle w:val="182"/>
              <w:bidi w:val="0"/>
              <w:rPr>
                <w:b/>
                <w:bCs/>
                <w:color w:val="auto"/>
                <w:u w:val="single"/>
              </w:rPr>
            </w:pPr>
            <w:r>
              <w:rPr>
                <w:rFonts w:hint="eastAsia"/>
                <w:b/>
                <w:bCs/>
                <w:color w:val="auto"/>
                <w:u w:val="single"/>
              </w:rPr>
              <w:t>水力除杂沉淀池污泥</w:t>
            </w:r>
          </w:p>
        </w:tc>
        <w:tc>
          <w:tcPr>
            <w:tcW w:w="1675" w:type="dxa"/>
            <w:vAlign w:val="center"/>
          </w:tcPr>
          <w:p>
            <w:pPr>
              <w:pStyle w:val="182"/>
              <w:bidi w:val="0"/>
              <w:rPr>
                <w:b/>
                <w:bCs/>
                <w:color w:val="auto"/>
                <w:u w:val="single"/>
              </w:rPr>
            </w:pPr>
            <w:r>
              <w:rPr>
                <w:b/>
                <w:bCs/>
                <w:color w:val="auto"/>
                <w:u w:val="single"/>
              </w:rPr>
              <w:t>一般固废</w:t>
            </w:r>
          </w:p>
        </w:tc>
        <w:tc>
          <w:tcPr>
            <w:tcW w:w="1709" w:type="dxa"/>
            <w:vAlign w:val="center"/>
          </w:tcPr>
          <w:p>
            <w:pPr>
              <w:pStyle w:val="182"/>
              <w:bidi w:val="0"/>
              <w:rPr>
                <w:b/>
                <w:bCs/>
                <w:color w:val="auto"/>
                <w:u w:val="single"/>
              </w:rPr>
            </w:pPr>
            <w:r>
              <w:rPr>
                <w:rFonts w:hint="eastAsia"/>
                <w:b/>
                <w:bCs/>
                <w:color w:val="auto"/>
                <w:u w:val="single"/>
              </w:rPr>
              <w:t>依托现有一般固废暂存间</w:t>
            </w:r>
            <w:r>
              <w:rPr>
                <w:rFonts w:hint="default"/>
                <w:color w:val="auto"/>
                <w:lang w:val="en-US" w:eastAsia="zh-CN"/>
              </w:rPr>
              <w:t>（36m</w:t>
            </w:r>
            <w:r>
              <w:rPr>
                <w:rFonts w:hint="default"/>
                <w:color w:val="auto"/>
                <w:vertAlign w:val="superscript"/>
                <w:lang w:val="en-US" w:eastAsia="zh-CN"/>
              </w:rPr>
              <w:t>2</w:t>
            </w:r>
            <w:r>
              <w:rPr>
                <w:rFonts w:hint="default"/>
                <w:color w:val="auto"/>
                <w:lang w:val="en-US" w:eastAsia="zh-CN"/>
              </w:rPr>
              <w:t>）</w:t>
            </w:r>
            <w:r>
              <w:rPr>
                <w:rFonts w:hint="eastAsia"/>
                <w:b/>
                <w:bCs/>
                <w:color w:val="auto"/>
                <w:u w:val="single"/>
              </w:rPr>
              <w:t>暂存后，送厂区锅炉燃烧</w:t>
            </w:r>
          </w:p>
        </w:tc>
        <w:tc>
          <w:tcPr>
            <w:tcW w:w="1956" w:type="dxa"/>
            <w:vMerge w:val="restart"/>
            <w:vAlign w:val="center"/>
          </w:tcPr>
          <w:p>
            <w:pPr>
              <w:pStyle w:val="182"/>
              <w:bidi w:val="0"/>
              <w:rPr>
                <w:b/>
                <w:bCs/>
                <w:color w:val="auto"/>
                <w:u w:val="single"/>
              </w:rPr>
            </w:pPr>
            <w:r>
              <w:rPr>
                <w:rFonts w:hint="eastAsia"/>
                <w:b/>
                <w:bCs/>
                <w:color w:val="auto"/>
                <w:u w:val="single"/>
              </w:rPr>
              <w:t>《一般工业固体废物贮存和填埋污染控制标准》（GB18599-2020）中防渗漏、防雨淋、防扬尘等环境保护要求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continue"/>
            <w:vAlign w:val="center"/>
          </w:tcPr>
          <w:p>
            <w:pPr>
              <w:pStyle w:val="182"/>
              <w:bidi w:val="0"/>
              <w:rPr>
                <w:b/>
                <w:bCs/>
                <w:color w:val="auto"/>
                <w:u w:val="single"/>
              </w:rPr>
            </w:pPr>
          </w:p>
        </w:tc>
        <w:tc>
          <w:tcPr>
            <w:tcW w:w="1609" w:type="dxa"/>
            <w:vAlign w:val="center"/>
          </w:tcPr>
          <w:p>
            <w:pPr>
              <w:pStyle w:val="182"/>
              <w:bidi w:val="0"/>
              <w:rPr>
                <w:rFonts w:hint="eastAsia"/>
                <w:b/>
                <w:bCs/>
                <w:color w:val="auto"/>
                <w:u w:val="single"/>
              </w:rPr>
            </w:pPr>
            <w:r>
              <w:rPr>
                <w:rFonts w:hint="eastAsia"/>
                <w:b/>
                <w:bCs/>
                <w:color w:val="auto"/>
                <w:u w:val="single"/>
              </w:rPr>
              <w:t>后续工序未煮解杂质</w:t>
            </w:r>
          </w:p>
        </w:tc>
        <w:tc>
          <w:tcPr>
            <w:tcW w:w="1675" w:type="dxa"/>
            <w:vAlign w:val="center"/>
          </w:tcPr>
          <w:p>
            <w:pPr>
              <w:pStyle w:val="182"/>
              <w:bidi w:val="0"/>
              <w:rPr>
                <w:b/>
                <w:bCs/>
                <w:color w:val="auto"/>
                <w:u w:val="single"/>
              </w:rPr>
            </w:pPr>
            <w:r>
              <w:rPr>
                <w:b/>
                <w:bCs/>
                <w:color w:val="auto"/>
                <w:u w:val="single"/>
              </w:rPr>
              <w:t>一般固废</w:t>
            </w:r>
          </w:p>
        </w:tc>
        <w:tc>
          <w:tcPr>
            <w:tcW w:w="1709" w:type="dxa"/>
            <w:vAlign w:val="center"/>
          </w:tcPr>
          <w:p>
            <w:pPr>
              <w:pStyle w:val="182"/>
              <w:bidi w:val="0"/>
              <w:rPr>
                <w:rFonts w:hint="eastAsia"/>
                <w:b/>
                <w:bCs/>
                <w:color w:val="auto"/>
                <w:u w:val="single"/>
              </w:rPr>
            </w:pPr>
            <w:r>
              <w:rPr>
                <w:rFonts w:hint="eastAsia"/>
                <w:b/>
                <w:bCs/>
                <w:color w:val="auto"/>
                <w:u w:val="single"/>
              </w:rPr>
              <w:t>依托现有一般固废暂存间</w:t>
            </w:r>
            <w:r>
              <w:rPr>
                <w:rFonts w:hint="default"/>
                <w:color w:val="auto"/>
                <w:lang w:val="en-US" w:eastAsia="zh-CN"/>
              </w:rPr>
              <w:t>（36m</w:t>
            </w:r>
            <w:r>
              <w:rPr>
                <w:rFonts w:hint="default"/>
                <w:color w:val="auto"/>
                <w:vertAlign w:val="superscript"/>
                <w:lang w:val="en-US" w:eastAsia="zh-CN"/>
              </w:rPr>
              <w:t>2</w:t>
            </w:r>
            <w:r>
              <w:rPr>
                <w:rFonts w:hint="default"/>
                <w:color w:val="auto"/>
                <w:lang w:val="en-US" w:eastAsia="zh-CN"/>
              </w:rPr>
              <w:t>）</w:t>
            </w:r>
            <w:r>
              <w:rPr>
                <w:rFonts w:hint="eastAsia"/>
                <w:b/>
                <w:bCs/>
                <w:color w:val="auto"/>
                <w:u w:val="single"/>
              </w:rPr>
              <w:t>暂存后，送厂区锅炉燃烧</w:t>
            </w:r>
          </w:p>
        </w:tc>
        <w:tc>
          <w:tcPr>
            <w:tcW w:w="1956" w:type="dxa"/>
            <w:vMerge w:val="continue"/>
            <w:vAlign w:val="center"/>
          </w:tcPr>
          <w:p>
            <w:pPr>
              <w:pStyle w:val="182"/>
              <w:bidi w:val="0"/>
              <w:rPr>
                <w:rFonts w:hint="eastAsia"/>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continue"/>
            <w:vAlign w:val="center"/>
          </w:tcPr>
          <w:p>
            <w:pPr>
              <w:pStyle w:val="182"/>
              <w:rPr>
                <w:b/>
                <w:bCs/>
                <w:color w:val="auto"/>
                <w:u w:val="single"/>
              </w:rPr>
            </w:pPr>
          </w:p>
        </w:tc>
        <w:tc>
          <w:tcPr>
            <w:tcW w:w="1609" w:type="dxa"/>
            <w:vAlign w:val="center"/>
          </w:tcPr>
          <w:p>
            <w:pPr>
              <w:pStyle w:val="182"/>
              <w:rPr>
                <w:b/>
                <w:bCs/>
                <w:color w:val="auto"/>
                <w:u w:val="single"/>
                <w:lang w:val="en-US" w:eastAsia="zh-CN"/>
              </w:rPr>
            </w:pPr>
            <w:r>
              <w:rPr>
                <w:rFonts w:hint="eastAsia"/>
                <w:b/>
                <w:bCs/>
                <w:color w:val="auto"/>
                <w:u w:val="single"/>
              </w:rPr>
              <w:t>生活垃圾</w:t>
            </w:r>
          </w:p>
        </w:tc>
        <w:tc>
          <w:tcPr>
            <w:tcW w:w="1675" w:type="dxa"/>
            <w:vAlign w:val="center"/>
          </w:tcPr>
          <w:p>
            <w:pPr>
              <w:pStyle w:val="182"/>
              <w:rPr>
                <w:b/>
                <w:bCs/>
                <w:color w:val="auto"/>
                <w:u w:val="single"/>
              </w:rPr>
            </w:pPr>
            <w:r>
              <w:rPr>
                <w:b/>
                <w:bCs/>
                <w:color w:val="auto"/>
                <w:u w:val="single"/>
              </w:rPr>
              <w:t>一般固废</w:t>
            </w:r>
          </w:p>
        </w:tc>
        <w:tc>
          <w:tcPr>
            <w:tcW w:w="1709" w:type="dxa"/>
            <w:vAlign w:val="center"/>
          </w:tcPr>
          <w:p>
            <w:pPr>
              <w:pStyle w:val="182"/>
              <w:rPr>
                <w:b/>
                <w:bCs/>
                <w:color w:val="auto"/>
                <w:u w:val="single"/>
              </w:rPr>
            </w:pPr>
            <w:r>
              <w:rPr>
                <w:rFonts w:hint="eastAsia"/>
                <w:b/>
                <w:bCs/>
                <w:color w:val="auto"/>
                <w:u w:val="single"/>
              </w:rPr>
              <w:t>集中收集后送环卫部门指定地点处理</w:t>
            </w:r>
          </w:p>
        </w:tc>
        <w:tc>
          <w:tcPr>
            <w:tcW w:w="1956" w:type="dxa"/>
            <w:vMerge w:val="continue"/>
            <w:vAlign w:val="center"/>
          </w:tcPr>
          <w:p>
            <w:pPr>
              <w:pStyle w:val="182"/>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9" w:hRule="atLeast"/>
          <w:jc w:val="center"/>
        </w:trPr>
        <w:tc>
          <w:tcPr>
            <w:tcW w:w="1574" w:type="dxa"/>
            <w:vMerge w:val="continue"/>
            <w:vAlign w:val="center"/>
          </w:tcPr>
          <w:p>
            <w:pPr>
              <w:pStyle w:val="182"/>
              <w:rPr>
                <w:b/>
                <w:bCs/>
                <w:color w:val="auto"/>
                <w:u w:val="single"/>
              </w:rPr>
            </w:pPr>
          </w:p>
        </w:tc>
        <w:tc>
          <w:tcPr>
            <w:tcW w:w="1609" w:type="dxa"/>
            <w:vAlign w:val="center"/>
          </w:tcPr>
          <w:p>
            <w:pPr>
              <w:pStyle w:val="182"/>
              <w:rPr>
                <w:b/>
                <w:bCs/>
                <w:color w:val="auto"/>
                <w:u w:val="single"/>
                <w:lang w:val="en-US" w:eastAsia="zh-CN"/>
              </w:rPr>
            </w:pPr>
            <w:r>
              <w:rPr>
                <w:rFonts w:hint="eastAsia"/>
                <w:b/>
                <w:bCs/>
                <w:color w:val="auto"/>
                <w:u w:val="single"/>
              </w:rPr>
              <w:t>废包装袋</w:t>
            </w:r>
          </w:p>
        </w:tc>
        <w:tc>
          <w:tcPr>
            <w:tcW w:w="1675" w:type="dxa"/>
            <w:vAlign w:val="center"/>
          </w:tcPr>
          <w:p>
            <w:pPr>
              <w:pStyle w:val="182"/>
              <w:rPr>
                <w:b/>
                <w:bCs/>
                <w:color w:val="auto"/>
                <w:u w:val="single"/>
              </w:rPr>
            </w:pPr>
            <w:r>
              <w:rPr>
                <w:b/>
                <w:bCs/>
                <w:color w:val="auto"/>
                <w:u w:val="single"/>
              </w:rPr>
              <w:t>危险废物</w:t>
            </w:r>
          </w:p>
        </w:tc>
        <w:tc>
          <w:tcPr>
            <w:tcW w:w="1709" w:type="dxa"/>
            <w:vAlign w:val="center"/>
          </w:tcPr>
          <w:p>
            <w:pPr>
              <w:pStyle w:val="182"/>
              <w:rPr>
                <w:b/>
                <w:bCs/>
                <w:color w:val="auto"/>
                <w:u w:val="single"/>
              </w:rPr>
            </w:pPr>
            <w:r>
              <w:rPr>
                <w:rFonts w:hint="eastAsia"/>
                <w:b/>
                <w:bCs/>
                <w:color w:val="auto"/>
                <w:u w:val="single"/>
              </w:rPr>
              <w:t>依托现有全封闭危废堆存间（</w:t>
            </w:r>
            <w:r>
              <w:rPr>
                <w:rFonts w:hint="eastAsia"/>
                <w:b/>
                <w:bCs/>
                <w:color w:val="auto"/>
                <w:u w:val="single"/>
                <w:vertAlign w:val="baseline"/>
                <w:lang w:val="en-US" w:eastAsia="zh-CN"/>
              </w:rPr>
              <w:t>75m</w:t>
            </w:r>
            <w:r>
              <w:rPr>
                <w:rFonts w:hint="eastAsia"/>
                <w:b/>
                <w:bCs/>
                <w:color w:val="auto"/>
                <w:u w:val="single"/>
                <w:vertAlign w:val="superscript"/>
                <w:lang w:val="en-US" w:eastAsia="zh-CN"/>
              </w:rPr>
              <w:t>2</w:t>
            </w:r>
            <w:r>
              <w:rPr>
                <w:rFonts w:hint="eastAsia"/>
                <w:b/>
                <w:bCs/>
                <w:color w:val="auto"/>
                <w:u w:val="single"/>
              </w:rPr>
              <w:t>），暂存，定期交由有资质的单位进行处置</w:t>
            </w:r>
          </w:p>
        </w:tc>
        <w:tc>
          <w:tcPr>
            <w:tcW w:w="1956" w:type="dxa"/>
            <w:vAlign w:val="center"/>
          </w:tcPr>
          <w:p>
            <w:pPr>
              <w:pStyle w:val="182"/>
              <w:rPr>
                <w:b/>
                <w:bCs/>
                <w:color w:val="auto"/>
                <w:u w:val="single"/>
              </w:rPr>
            </w:pPr>
            <w:r>
              <w:rPr>
                <w:rFonts w:hint="eastAsia"/>
                <w:b/>
                <w:bCs/>
                <w:color w:val="auto"/>
                <w:u w:val="single"/>
              </w:rPr>
              <w:t>《危险废物贮存污染控制标准》（GB 18597-2023）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Align w:val="center"/>
          </w:tcPr>
          <w:p>
            <w:pPr>
              <w:pStyle w:val="182"/>
              <w:bidi w:val="0"/>
              <w:rPr>
                <w:b/>
                <w:bCs/>
                <w:color w:val="auto"/>
                <w:u w:val="single"/>
                <w:lang w:val="en-US" w:eastAsia="zh-CN"/>
              </w:rPr>
            </w:pPr>
            <w:r>
              <w:rPr>
                <w:b/>
                <w:bCs/>
                <w:color w:val="auto"/>
                <w:u w:val="single"/>
              </w:rPr>
              <w:t>噪声</w:t>
            </w:r>
          </w:p>
        </w:tc>
        <w:tc>
          <w:tcPr>
            <w:tcW w:w="1609" w:type="dxa"/>
            <w:vAlign w:val="center"/>
          </w:tcPr>
          <w:p>
            <w:pPr>
              <w:pStyle w:val="182"/>
              <w:bidi w:val="0"/>
              <w:rPr>
                <w:b/>
                <w:bCs/>
                <w:color w:val="auto"/>
                <w:u w:val="single"/>
                <w:lang w:val="en-US" w:eastAsia="zh-CN"/>
              </w:rPr>
            </w:pPr>
            <w:r>
              <w:rPr>
                <w:b/>
                <w:bCs/>
                <w:color w:val="auto"/>
                <w:u w:val="single"/>
              </w:rPr>
              <w:t>设备噪声</w:t>
            </w:r>
          </w:p>
        </w:tc>
        <w:tc>
          <w:tcPr>
            <w:tcW w:w="1675" w:type="dxa"/>
            <w:vAlign w:val="center"/>
          </w:tcPr>
          <w:p>
            <w:pPr>
              <w:pStyle w:val="182"/>
              <w:bidi w:val="0"/>
              <w:rPr>
                <w:b/>
                <w:bCs/>
                <w:color w:val="auto"/>
                <w:u w:val="single"/>
                <w:lang w:val="en-US" w:eastAsia="zh-CN"/>
              </w:rPr>
            </w:pPr>
            <w:r>
              <w:rPr>
                <w:rFonts w:hint="eastAsia"/>
                <w:b/>
                <w:bCs/>
                <w:color w:val="auto"/>
                <w:u w:val="single"/>
              </w:rPr>
              <w:t>噪声</w:t>
            </w:r>
          </w:p>
        </w:tc>
        <w:tc>
          <w:tcPr>
            <w:tcW w:w="1709" w:type="dxa"/>
            <w:vAlign w:val="center"/>
          </w:tcPr>
          <w:p>
            <w:pPr>
              <w:pStyle w:val="182"/>
              <w:bidi w:val="0"/>
              <w:rPr>
                <w:b/>
                <w:bCs/>
                <w:color w:val="auto"/>
                <w:u w:val="single"/>
                <w:lang w:val="en-US" w:eastAsia="zh-CN"/>
              </w:rPr>
            </w:pPr>
            <w:r>
              <w:rPr>
                <w:rFonts w:hint="eastAsia"/>
                <w:b/>
                <w:bCs/>
                <w:color w:val="auto"/>
                <w:u w:val="single"/>
              </w:rPr>
              <w:t>减振、隔音设施</w:t>
            </w:r>
          </w:p>
        </w:tc>
        <w:tc>
          <w:tcPr>
            <w:tcW w:w="1956" w:type="dxa"/>
            <w:vAlign w:val="center"/>
          </w:tcPr>
          <w:p>
            <w:pPr>
              <w:pStyle w:val="182"/>
              <w:bidi w:val="0"/>
              <w:rPr>
                <w:rFonts w:hint="default"/>
                <w:b/>
                <w:bCs/>
                <w:color w:val="auto"/>
                <w:u w:val="single"/>
                <w:lang w:val="en-US" w:eastAsia="zh-CN"/>
              </w:rPr>
            </w:pPr>
            <w:r>
              <w:rPr>
                <w:rFonts w:hint="eastAsia"/>
                <w:b/>
                <w:bCs/>
                <w:color w:val="auto"/>
                <w:u w:val="single"/>
              </w:rPr>
              <w:t>《工业企业厂界环境噪声排放标准》（GB12348-2008）</w:t>
            </w:r>
            <w:r>
              <w:rPr>
                <w:rFonts w:hint="eastAsia"/>
                <w:b/>
                <w:bCs/>
                <w:color w:val="auto"/>
                <w:u w:val="single"/>
                <w:lang w:val="en-US" w:eastAsia="zh-CN"/>
              </w:rPr>
              <w:t>3类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3" w:type="dxa"/>
            <w:gridSpan w:val="2"/>
            <w:vAlign w:val="center"/>
          </w:tcPr>
          <w:p>
            <w:pPr>
              <w:pStyle w:val="182"/>
              <w:bidi w:val="0"/>
              <w:rPr>
                <w:b/>
                <w:bCs/>
                <w:color w:val="auto"/>
                <w:u w:val="single"/>
                <w:lang w:val="en-US" w:eastAsia="zh-CN"/>
              </w:rPr>
            </w:pPr>
            <w:r>
              <w:rPr>
                <w:rFonts w:hint="eastAsia"/>
                <w:b/>
                <w:bCs/>
                <w:color w:val="auto"/>
                <w:u w:val="single"/>
              </w:rPr>
              <w:t>地下水防护措施</w:t>
            </w:r>
          </w:p>
        </w:tc>
        <w:tc>
          <w:tcPr>
            <w:tcW w:w="3384" w:type="dxa"/>
            <w:gridSpan w:val="2"/>
            <w:vAlign w:val="center"/>
          </w:tcPr>
          <w:p>
            <w:pPr>
              <w:pStyle w:val="182"/>
              <w:bidi w:val="0"/>
              <w:rPr>
                <w:rFonts w:hint="eastAsia"/>
                <w:b/>
                <w:bCs/>
                <w:color w:val="auto"/>
                <w:u w:val="single"/>
              </w:rPr>
            </w:pPr>
            <w:r>
              <w:rPr>
                <w:rFonts w:hint="eastAsia"/>
                <w:b/>
                <w:bCs/>
                <w:color w:val="auto"/>
                <w:u w:val="single"/>
              </w:rPr>
              <w:t>对生产车间、废污水收集管道，一般固废全密闭暂存间和危险固废全密闭暂存间，按设计要求分区进行防渗。</w:t>
            </w:r>
          </w:p>
        </w:tc>
        <w:tc>
          <w:tcPr>
            <w:tcW w:w="1956" w:type="dxa"/>
            <w:vAlign w:val="center"/>
          </w:tcPr>
          <w:p>
            <w:pPr>
              <w:pStyle w:val="182"/>
              <w:bidi w:val="0"/>
              <w:rPr>
                <w:rFonts w:hint="eastAsia"/>
                <w:b/>
                <w:bCs/>
                <w:color w:val="auto"/>
                <w:u w:val="single"/>
                <w:lang w:val="en-US" w:eastAsia="zh-CN"/>
              </w:rPr>
            </w:pPr>
            <w:r>
              <w:rPr>
                <w:rFonts w:hint="eastAsia"/>
                <w:b/>
                <w:bCs/>
                <w:color w:val="auto"/>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3" w:type="dxa"/>
            <w:gridSpan w:val="2"/>
            <w:vAlign w:val="center"/>
          </w:tcPr>
          <w:p>
            <w:pPr>
              <w:pStyle w:val="182"/>
              <w:bidi w:val="0"/>
              <w:rPr>
                <w:color w:val="auto"/>
              </w:rPr>
            </w:pPr>
            <w:r>
              <w:rPr>
                <w:rFonts w:hint="eastAsia"/>
                <w:color w:val="auto"/>
              </w:rPr>
              <w:t>风险防范措施</w:t>
            </w:r>
          </w:p>
        </w:tc>
        <w:tc>
          <w:tcPr>
            <w:tcW w:w="3384" w:type="dxa"/>
            <w:gridSpan w:val="2"/>
            <w:vAlign w:val="center"/>
          </w:tcPr>
          <w:p>
            <w:pPr>
              <w:pStyle w:val="182"/>
              <w:bidi w:val="0"/>
              <w:rPr>
                <w:color w:val="auto"/>
              </w:rPr>
            </w:pPr>
            <w:r>
              <w:rPr>
                <w:rFonts w:hint="eastAsia"/>
                <w:color w:val="auto"/>
              </w:rPr>
              <w:t>1、加强运行管理和应急措施建设管理；</w:t>
            </w:r>
          </w:p>
          <w:p>
            <w:pPr>
              <w:pStyle w:val="182"/>
              <w:bidi w:val="0"/>
              <w:rPr>
                <w:color w:val="auto"/>
              </w:rPr>
            </w:pPr>
            <w:r>
              <w:rPr>
                <w:rFonts w:hint="eastAsia"/>
                <w:color w:val="auto"/>
              </w:rPr>
              <w:t>2、依托现有事故应急废水收集池，拦截措施等。</w:t>
            </w:r>
          </w:p>
          <w:p>
            <w:pPr>
              <w:pStyle w:val="182"/>
              <w:bidi w:val="0"/>
              <w:rPr>
                <w:rFonts w:hint="eastAsia"/>
                <w:color w:val="auto"/>
              </w:rPr>
            </w:pPr>
            <w:r>
              <w:rPr>
                <w:rFonts w:hint="eastAsia"/>
                <w:color w:val="auto"/>
              </w:rPr>
              <w:t>3、依托应急救援器材、监测仪器；定期进行安全教育培训、事故应急演练。</w:t>
            </w:r>
          </w:p>
        </w:tc>
        <w:tc>
          <w:tcPr>
            <w:tcW w:w="1956" w:type="dxa"/>
            <w:vAlign w:val="center"/>
          </w:tcPr>
          <w:p>
            <w:pPr>
              <w:pStyle w:val="182"/>
              <w:bidi w:val="0"/>
              <w:rPr>
                <w:rFonts w:hint="eastAsia"/>
                <w:color w:val="auto"/>
                <w:lang w:val="en-US" w:eastAsia="zh-CN"/>
              </w:rPr>
            </w:pPr>
            <w:r>
              <w:rPr>
                <w:rFonts w:hint="eastAsia"/>
                <w:color w:val="auto"/>
                <w:lang w:val="en-US" w:eastAsia="zh-CN"/>
              </w:rPr>
              <w:t>/</w:t>
            </w:r>
          </w:p>
        </w:tc>
      </w:tr>
    </w:tbl>
    <w:p>
      <w:pPr>
        <w:rPr>
          <w:color w:val="auto"/>
        </w:rPr>
      </w:pPr>
    </w:p>
    <w:p>
      <w:pPr>
        <w:pStyle w:val="2"/>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pPr>
        <w:pStyle w:val="6"/>
        <w:bidi w:val="0"/>
        <w:rPr>
          <w:color w:val="auto"/>
        </w:rPr>
      </w:pPr>
      <w:bookmarkStart w:id="392" w:name="_Toc25640"/>
      <w:bookmarkStart w:id="393" w:name="_Toc324839668"/>
      <w:bookmarkStart w:id="394" w:name="_Toc324839385"/>
      <w:bookmarkStart w:id="395" w:name="_Toc67041085"/>
      <w:bookmarkStart w:id="396" w:name="_Toc16276"/>
      <w:bookmarkStart w:id="397" w:name="_Toc17558"/>
      <w:bookmarkStart w:id="398" w:name="_Toc28866858"/>
      <w:bookmarkStart w:id="399" w:name="_Toc311812694"/>
      <w:r>
        <w:rPr>
          <w:color w:val="auto"/>
        </w:rPr>
        <w:t>第</w:t>
      </w:r>
      <w:r>
        <w:rPr>
          <w:rFonts w:hint="eastAsia"/>
          <w:color w:val="auto"/>
        </w:rPr>
        <w:t>九</w:t>
      </w:r>
      <w:r>
        <w:rPr>
          <w:color w:val="auto"/>
        </w:rPr>
        <w:t>章  评价结论与建议</w:t>
      </w:r>
      <w:bookmarkEnd w:id="392"/>
      <w:bookmarkEnd w:id="393"/>
      <w:bookmarkEnd w:id="394"/>
      <w:bookmarkEnd w:id="395"/>
      <w:bookmarkEnd w:id="396"/>
      <w:bookmarkEnd w:id="397"/>
      <w:bookmarkEnd w:id="398"/>
      <w:bookmarkEnd w:id="399"/>
    </w:p>
    <w:p>
      <w:pPr>
        <w:pStyle w:val="7"/>
        <w:bidi w:val="0"/>
        <w:rPr>
          <w:color w:val="auto"/>
        </w:rPr>
      </w:pPr>
      <w:bookmarkStart w:id="400" w:name="_Toc18553"/>
      <w:bookmarkStart w:id="401" w:name="_Toc4640"/>
      <w:bookmarkStart w:id="402" w:name="_Toc324839669"/>
      <w:bookmarkStart w:id="403" w:name="_Toc324839386"/>
      <w:bookmarkStart w:id="404" w:name="_Toc17620"/>
      <w:bookmarkStart w:id="405" w:name="_Toc67041086"/>
      <w:bookmarkStart w:id="406" w:name="_Toc28866859"/>
      <w:bookmarkStart w:id="407" w:name="_Toc311812696"/>
      <w:r>
        <w:rPr>
          <w:color w:val="auto"/>
        </w:rPr>
        <w:t>9.1评价结论</w:t>
      </w:r>
      <w:bookmarkEnd w:id="400"/>
      <w:bookmarkEnd w:id="401"/>
      <w:bookmarkEnd w:id="402"/>
      <w:bookmarkEnd w:id="403"/>
      <w:bookmarkEnd w:id="404"/>
      <w:bookmarkEnd w:id="405"/>
      <w:bookmarkEnd w:id="406"/>
      <w:bookmarkEnd w:id="407"/>
    </w:p>
    <w:p>
      <w:pPr>
        <w:pStyle w:val="9"/>
        <w:bidi w:val="0"/>
        <w:rPr>
          <w:color w:val="auto"/>
        </w:rPr>
      </w:pPr>
      <w:bookmarkStart w:id="408" w:name="_Toc7939"/>
      <w:r>
        <w:rPr>
          <w:color w:val="auto"/>
        </w:rPr>
        <w:t>9.1.1工程建设符合国家产业政策</w:t>
      </w:r>
      <w:bookmarkEnd w:id="408"/>
    </w:p>
    <w:p>
      <w:pPr>
        <w:bidi w:val="0"/>
        <w:rPr>
          <w:color w:val="auto"/>
        </w:rPr>
      </w:pPr>
      <w:r>
        <w:rPr>
          <w:rFonts w:hint="eastAsia"/>
          <w:color w:val="auto"/>
        </w:rPr>
        <w:t>该项目属于《产业结构调整指导目录（2019年本）》中鼓励类“二十、纺织”第</w:t>
      </w:r>
      <w:r>
        <w:rPr>
          <w:color w:val="auto"/>
        </w:rPr>
        <w:t>3</w:t>
      </w:r>
      <w:r>
        <w:rPr>
          <w:rFonts w:hint="eastAsia"/>
          <w:color w:val="auto"/>
        </w:rPr>
        <w:t>项“采用绿色、环保工艺与装备生产新溶剂法纤维素纤维（Lyocell）、细菌纤维素纤维、以竹、麻等新型可再生资源为原料的再生纤维素纤维、聚乳酸纤维（PLA）、海藻纤维、壳聚糖纤维、聚羟基脂肪酸酯纤维（PHA）、动植物蛋白纤维”，符合国家产业政策要求。该项目已经新乡经济技术开发区管理委员会备案，备案编号：2</w:t>
      </w:r>
      <w:r>
        <w:rPr>
          <w:color w:val="auto"/>
        </w:rPr>
        <w:t>210-410772-04-02-369482</w:t>
      </w:r>
      <w:r>
        <w:rPr>
          <w:rFonts w:hint="eastAsia"/>
          <w:color w:val="auto"/>
        </w:rPr>
        <w:t>。</w:t>
      </w:r>
    </w:p>
    <w:p>
      <w:pPr>
        <w:pStyle w:val="9"/>
        <w:bidi w:val="0"/>
        <w:rPr>
          <w:color w:val="auto"/>
        </w:rPr>
      </w:pPr>
      <w:bookmarkStart w:id="409" w:name="_Toc2430"/>
      <w:r>
        <w:rPr>
          <w:rFonts w:hint="eastAsia"/>
          <w:color w:val="auto"/>
        </w:rPr>
        <w:t>9.1.2工程选址符合规划要求，厂区平面布置较为合理</w:t>
      </w:r>
    </w:p>
    <w:bookmarkEnd w:id="409"/>
    <w:p>
      <w:pPr>
        <w:bidi w:val="0"/>
        <w:rPr>
          <w:color w:val="auto"/>
        </w:rPr>
      </w:pPr>
      <w:r>
        <w:rPr>
          <w:rFonts w:hint="eastAsia"/>
          <w:color w:val="auto"/>
        </w:rPr>
        <w:t>本项目厂址位于新乡经济技术开发区，符合园区总体发展规划要求，根据《新乡经济技术开发区发展规划（2009-2020）》用地规划图，本项目用地属于工业用地，符合新乡经济技术开发区总体发展规划和土地性质规划。根据《新乡经济技术开发区发展规划（2009-2020）》产业布局图，拟建项目厂址所在地块属于化纤纺织用地，符合产业布局要求。</w:t>
      </w:r>
    </w:p>
    <w:p>
      <w:pPr>
        <w:bidi w:val="0"/>
        <w:rPr>
          <w:color w:val="auto"/>
        </w:rPr>
      </w:pPr>
      <w:r>
        <w:rPr>
          <w:rFonts w:hint="eastAsia"/>
          <w:color w:val="auto"/>
        </w:rPr>
        <w:t>预测结果显示：项目对敏感点影响不大，对区域环境空气、地表水、地下水声及土壤环境无显著影响，从环保角度看工程选址可行。工程生产车间、辅助工程等设施在总体平面布置上可满足工艺流程合理、物料输送顺畅的原则，厂区平面布置较为合理。</w:t>
      </w:r>
    </w:p>
    <w:p>
      <w:pPr>
        <w:pStyle w:val="9"/>
        <w:bidi w:val="0"/>
        <w:rPr>
          <w:color w:val="auto"/>
        </w:rPr>
      </w:pPr>
      <w:r>
        <w:rPr>
          <w:color w:val="auto"/>
        </w:rPr>
        <w:t>9.1.3评价区域内的环境质量现状</w:t>
      </w:r>
    </w:p>
    <w:p>
      <w:pPr>
        <w:bidi w:val="0"/>
        <w:rPr>
          <w:rFonts w:hint="eastAsia"/>
          <w:color w:val="auto"/>
          <w:sz w:val="21"/>
          <w:szCs w:val="21"/>
        </w:rPr>
      </w:pPr>
      <w:bookmarkStart w:id="410" w:name="_Toc4331"/>
      <w:r>
        <w:rPr>
          <w:rFonts w:hint="eastAsia"/>
          <w:color w:val="auto"/>
        </w:rPr>
        <w:t>评价区基本污染物（SO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、CO、O</w:t>
      </w:r>
      <w:r>
        <w:rPr>
          <w:rFonts w:hint="eastAsia"/>
          <w:color w:val="auto"/>
          <w:vertAlign w:val="subscript"/>
        </w:rPr>
        <w:t>3</w:t>
      </w:r>
      <w:r>
        <w:rPr>
          <w:rFonts w:hint="eastAsia"/>
          <w:color w:val="auto"/>
        </w:rPr>
        <w:t>）环境质量现状监测结果显示，PM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和O</w:t>
      </w:r>
      <w:r>
        <w:rPr>
          <w:rFonts w:hint="eastAsia"/>
          <w:color w:val="auto"/>
          <w:vertAlign w:val="subscript"/>
        </w:rPr>
        <w:t>3</w:t>
      </w:r>
      <w:r>
        <w:rPr>
          <w:rFonts w:hint="eastAsia"/>
          <w:color w:val="auto"/>
        </w:rPr>
        <w:t xml:space="preserve">均不能够满足《环境空气质量标准》（GB3095-2012）二级标准要求，根据《环境影响评价技术导则 </w:t>
      </w:r>
      <w:r>
        <w:rPr>
          <w:rFonts w:hint="eastAsia"/>
          <w:color w:val="auto"/>
          <w:lang w:val="en-US" w:eastAsia="zh-CN"/>
        </w:rPr>
        <w:t xml:space="preserve"> </w:t>
      </w:r>
      <w:r>
        <w:rPr>
          <w:rFonts w:hint="eastAsia"/>
          <w:color w:val="auto"/>
        </w:rPr>
        <w:t>大气环境》(HJ2.2-2018)，本项</w:t>
      </w:r>
      <w:r>
        <w:rPr>
          <w:rFonts w:hint="eastAsia"/>
          <w:color w:val="auto"/>
          <w:sz w:val="21"/>
          <w:szCs w:val="21"/>
        </w:rPr>
        <w:t>目所在区域属于未达标区。</w:t>
      </w:r>
    </w:p>
    <w:p>
      <w:pPr>
        <w:bidi w:val="0"/>
        <w:rPr>
          <w:rFonts w:hint="eastAsia"/>
          <w:color w:val="auto"/>
        </w:rPr>
      </w:pPr>
      <w:r>
        <w:rPr>
          <w:rFonts w:hint="eastAsia"/>
          <w:color w:val="auto"/>
          <w:sz w:val="21"/>
          <w:szCs w:val="21"/>
        </w:rPr>
        <w:t>地表水：大沙河水环境质量正在逐步改善。</w:t>
      </w:r>
      <w:r>
        <w:rPr>
          <w:rFonts w:hint="eastAsia"/>
          <w:b/>
          <w:bCs/>
          <w:color w:val="auto"/>
          <w:sz w:val="21"/>
          <w:szCs w:val="21"/>
          <w:u w:val="single"/>
        </w:rPr>
        <w:t>项目所在区域地表水水质有出现超过《地表水环境质量标准》（GB3838-2002）Ⅳ类标准的情况，根据大沙河水花堡桥断面的监测资料可以看出，大沙河水质已逐步改善，水环境质量</w:t>
      </w:r>
      <w:r>
        <w:rPr>
          <w:rFonts w:hint="eastAsia"/>
          <w:b/>
          <w:bCs/>
          <w:color w:val="auto"/>
          <w:sz w:val="21"/>
          <w:szCs w:val="21"/>
          <w:u w:val="single"/>
          <w:lang w:val="en-US" w:eastAsia="zh-CN"/>
        </w:rPr>
        <w:t>整体</w:t>
      </w:r>
      <w:r>
        <w:rPr>
          <w:rFonts w:hint="eastAsia"/>
          <w:b/>
          <w:bCs/>
          <w:color w:val="auto"/>
          <w:sz w:val="21"/>
          <w:szCs w:val="21"/>
          <w:u w:val="single"/>
        </w:rPr>
        <w:t>现</w:t>
      </w:r>
      <w:r>
        <w:rPr>
          <w:rFonts w:hint="eastAsia"/>
          <w:b/>
          <w:bCs/>
          <w:color w:val="auto"/>
          <w:u w:val="single"/>
        </w:rPr>
        <w:t>状良好。</w:t>
      </w:r>
    </w:p>
    <w:p>
      <w:pPr>
        <w:bidi w:val="0"/>
        <w:rPr>
          <w:rFonts w:hint="eastAsia"/>
          <w:color w:val="auto"/>
        </w:rPr>
      </w:pPr>
      <w:r>
        <w:rPr>
          <w:rFonts w:hint="eastAsia"/>
          <w:color w:val="auto"/>
        </w:rPr>
        <w:t>声环境质量：目前项目各厂界处的噪声环境现状可以满足《声环境质量标准》（GB3096-2008）3类标准的要求，厂址区域声环境质量现状较好。</w:t>
      </w:r>
    </w:p>
    <w:p>
      <w:pPr>
        <w:bidi w:val="0"/>
        <w:rPr>
          <w:rFonts w:hint="eastAsia"/>
          <w:color w:val="auto"/>
        </w:rPr>
      </w:pPr>
      <w:r>
        <w:rPr>
          <w:rFonts w:hint="eastAsia"/>
          <w:color w:val="auto"/>
        </w:rPr>
        <w:t>地下水环境质量：地下水水质调查统计结果表明，本次水质调查点位的各监测因子均满足《地下水质量标准》（GB/T14848-2017）Ⅲ类水质标准要求；说明项目所在区域地下水水质较好。</w:t>
      </w:r>
    </w:p>
    <w:p>
      <w:pPr>
        <w:bidi w:val="0"/>
        <w:rPr>
          <w:rFonts w:hint="eastAsia"/>
          <w:color w:val="auto"/>
        </w:rPr>
      </w:pPr>
      <w:r>
        <w:rPr>
          <w:rFonts w:hint="eastAsia"/>
          <w:color w:val="auto"/>
        </w:rPr>
        <w:t>土壤环境质量：由土壤监测及其统计结果可知，项目厂址区域土壤中各监测点位的各监测因子均能满足《土壤环境质量 建设用地土壤污染风险管控标准（试行）》（GB36600-2018）第二类用地筛选值要求。</w:t>
      </w:r>
    </w:p>
    <w:p>
      <w:pPr>
        <w:pStyle w:val="9"/>
        <w:bidi w:val="0"/>
        <w:rPr>
          <w:color w:val="auto"/>
        </w:rPr>
      </w:pPr>
      <w:r>
        <w:rPr>
          <w:color w:val="auto"/>
        </w:rPr>
        <w:t>9.1.4环境影响预测及评价结论</w:t>
      </w:r>
      <w:bookmarkEnd w:id="410"/>
    </w:p>
    <w:p>
      <w:pPr>
        <w:spacing w:line="520" w:lineRule="exact"/>
        <w:ind w:firstLine="480" w:firstLineChars="200"/>
        <w:rPr>
          <w:color w:val="auto"/>
        </w:rPr>
      </w:pPr>
      <w:r>
        <w:rPr>
          <w:rFonts w:hint="eastAsia"/>
          <w:color w:val="auto"/>
        </w:rPr>
        <w:t>（1）</w:t>
      </w:r>
      <w:r>
        <w:rPr>
          <w:color w:val="auto"/>
        </w:rPr>
        <w:t>大气环境影响评价结论</w:t>
      </w:r>
    </w:p>
    <w:p>
      <w:pPr>
        <w:spacing w:line="520" w:lineRule="exact"/>
        <w:ind w:firstLine="480" w:firstLineChars="200"/>
        <w:rPr>
          <w:color w:val="auto"/>
        </w:rPr>
      </w:pPr>
      <w:r>
        <w:rPr>
          <w:rFonts w:hint="eastAsia"/>
          <w:color w:val="auto"/>
        </w:rPr>
        <w:t>本项目各大气污染物的最大落地浓度均未达到标准值的10%，通过采取了严格的环保措施后，本项目排放的大气污染物可满足《大气污染物综合排放标准》（GB16297-1996）表2排放浓度限值</w:t>
      </w:r>
      <w:r>
        <w:rPr>
          <w:rFonts w:hint="eastAsia"/>
          <w:color w:val="auto"/>
          <w:lang w:val="en-US" w:eastAsia="zh-CN"/>
        </w:rPr>
        <w:t>及</w:t>
      </w:r>
      <w:r>
        <w:rPr>
          <w:color w:val="auto"/>
        </w:rPr>
        <w:t>《新乡市生态环境局关于进一步规范工业企业颗粒物排放限值的通知》</w:t>
      </w:r>
      <w:r>
        <w:rPr>
          <w:rFonts w:hint="eastAsia"/>
          <w:color w:val="auto"/>
          <w:lang w:val="en-US" w:eastAsia="zh-CN"/>
        </w:rPr>
        <w:t>的相关限制</w:t>
      </w:r>
      <w:r>
        <w:rPr>
          <w:rFonts w:hint="eastAsia"/>
          <w:color w:val="auto"/>
        </w:rPr>
        <w:t>。根据估算模型的计算结果，不会对周围村庄带来明显不利影响。</w:t>
      </w:r>
      <w:r>
        <w:rPr>
          <w:color w:val="auto"/>
        </w:rPr>
        <w:t>在保证评价要求和工程设计的防治措施正常运行的条件下，本工程建设对周围大气环境影响可接受。</w:t>
      </w:r>
    </w:p>
    <w:p>
      <w:pPr>
        <w:spacing w:line="520" w:lineRule="exact"/>
        <w:ind w:firstLine="482" w:firstLineChars="200"/>
        <w:rPr>
          <w:b/>
          <w:bCs/>
          <w:color w:val="auto"/>
          <w:u w:val="single"/>
        </w:rPr>
      </w:pPr>
      <w:r>
        <w:rPr>
          <w:rFonts w:hint="eastAsia"/>
          <w:b/>
          <w:bCs/>
          <w:color w:val="auto"/>
          <w:u w:val="single"/>
        </w:rPr>
        <w:t>（2）</w:t>
      </w:r>
      <w:r>
        <w:rPr>
          <w:b/>
          <w:bCs/>
          <w:color w:val="auto"/>
          <w:u w:val="single"/>
        </w:rPr>
        <w:t>地表水环境影响评价结论</w:t>
      </w:r>
    </w:p>
    <w:p>
      <w:pPr>
        <w:spacing w:line="520" w:lineRule="exact"/>
        <w:ind w:firstLine="482" w:firstLineChars="200"/>
        <w:rPr>
          <w:b/>
          <w:bCs/>
          <w:color w:val="auto"/>
          <w:u w:val="single"/>
        </w:rPr>
      </w:pPr>
      <w:r>
        <w:rPr>
          <w:rFonts w:hint="eastAsia"/>
          <w:b/>
          <w:bCs/>
          <w:color w:val="auto"/>
          <w:u w:val="single"/>
        </w:rPr>
        <w:t>本项目建成后全厂废水排放量为</w:t>
      </w:r>
      <w:r>
        <w:rPr>
          <w:rFonts w:hint="eastAsia"/>
          <w:b/>
          <w:bCs/>
          <w:color w:val="auto"/>
          <w:u w:val="single"/>
          <w:lang w:val="en-US" w:eastAsia="zh-CN"/>
        </w:rPr>
        <w:t>20998.98</w:t>
      </w:r>
      <w:r>
        <w:rPr>
          <w:rFonts w:hint="eastAsia"/>
          <w:b/>
          <w:bCs/>
          <w:color w:val="auto"/>
          <w:u w:val="single"/>
        </w:rPr>
        <w:t>m</w:t>
      </w:r>
      <w:r>
        <w:rPr>
          <w:rFonts w:hint="eastAsia"/>
          <w:b/>
          <w:bCs/>
          <w:color w:val="auto"/>
          <w:u w:val="single"/>
          <w:vertAlign w:val="superscript"/>
        </w:rPr>
        <w:t>3</w:t>
      </w:r>
      <w:r>
        <w:rPr>
          <w:rFonts w:hint="eastAsia"/>
          <w:b/>
          <w:bCs/>
          <w:color w:val="auto"/>
          <w:u w:val="single"/>
        </w:rPr>
        <w:t>/d，经污水处理站处理后主要污染物的排放浓度为COD</w:t>
      </w:r>
      <w:r>
        <w:rPr>
          <w:b/>
          <w:bCs/>
          <w:color w:val="auto"/>
          <w:u w:val="single"/>
        </w:rPr>
        <w:t xml:space="preserve"> </w:t>
      </w:r>
      <w:r>
        <w:rPr>
          <w:rFonts w:hint="eastAsia"/>
          <w:b/>
          <w:bCs/>
          <w:color w:val="auto"/>
          <w:u w:val="single"/>
          <w:lang w:val="en-US" w:eastAsia="zh-CN"/>
        </w:rPr>
        <w:t>82.83</w:t>
      </w:r>
      <w:r>
        <w:rPr>
          <w:rFonts w:hint="eastAsia"/>
          <w:b/>
          <w:bCs/>
          <w:color w:val="auto"/>
          <w:u w:val="single"/>
        </w:rPr>
        <w:t>mg/L、N</w:t>
      </w:r>
      <w:r>
        <w:rPr>
          <w:b/>
          <w:bCs/>
          <w:color w:val="auto"/>
          <w:u w:val="single"/>
        </w:rPr>
        <w:t>H</w:t>
      </w:r>
      <w:r>
        <w:rPr>
          <w:b/>
          <w:bCs/>
          <w:color w:val="auto"/>
          <w:u w:val="single"/>
          <w:vertAlign w:val="subscript"/>
        </w:rPr>
        <w:t>3</w:t>
      </w:r>
      <w:r>
        <w:rPr>
          <w:b/>
          <w:bCs/>
          <w:color w:val="auto"/>
          <w:u w:val="single"/>
        </w:rPr>
        <w:t xml:space="preserve">-N </w:t>
      </w:r>
      <w:r>
        <w:rPr>
          <w:rFonts w:hint="eastAsia"/>
          <w:b/>
          <w:bCs/>
          <w:color w:val="auto"/>
          <w:u w:val="single"/>
          <w:lang w:val="en-US" w:eastAsia="zh-CN"/>
        </w:rPr>
        <w:t>4.87</w:t>
      </w:r>
      <w:r>
        <w:rPr>
          <w:rFonts w:hint="eastAsia"/>
          <w:b/>
          <w:bCs/>
          <w:color w:val="auto"/>
          <w:u w:val="single"/>
        </w:rPr>
        <w:t>mg/L、SS</w:t>
      </w:r>
      <w:r>
        <w:rPr>
          <w:b/>
          <w:bCs/>
          <w:color w:val="auto"/>
          <w:u w:val="single"/>
        </w:rPr>
        <w:t xml:space="preserve"> </w:t>
      </w:r>
      <w:r>
        <w:rPr>
          <w:rFonts w:hint="eastAsia"/>
          <w:b/>
          <w:bCs/>
          <w:color w:val="auto"/>
          <w:u w:val="single"/>
          <w:lang w:val="en-US" w:eastAsia="zh-CN"/>
        </w:rPr>
        <w:t>9.24</w:t>
      </w:r>
      <w:r>
        <w:rPr>
          <w:rFonts w:hint="eastAsia"/>
          <w:b/>
          <w:bCs/>
          <w:color w:val="auto"/>
          <w:u w:val="single"/>
        </w:rPr>
        <w:t>mg/L、BOD</w:t>
      </w:r>
      <w:r>
        <w:rPr>
          <w:b/>
          <w:bCs/>
          <w:color w:val="auto"/>
          <w:u w:val="single"/>
        </w:rPr>
        <w:t xml:space="preserve"> </w:t>
      </w:r>
      <w:r>
        <w:rPr>
          <w:rFonts w:hint="eastAsia"/>
          <w:b/>
          <w:bCs/>
          <w:color w:val="auto"/>
          <w:u w:val="single"/>
          <w:lang w:val="en-US" w:eastAsia="zh-CN"/>
        </w:rPr>
        <w:t>14.69</w:t>
      </w:r>
      <w:r>
        <w:rPr>
          <w:rFonts w:hint="eastAsia"/>
          <w:b/>
          <w:bCs/>
          <w:color w:val="auto"/>
          <w:u w:val="single"/>
        </w:rPr>
        <w:t>mg/L、TN</w:t>
      </w:r>
      <w:r>
        <w:rPr>
          <w:b/>
          <w:bCs/>
          <w:color w:val="auto"/>
          <w:u w:val="single"/>
        </w:rPr>
        <w:t xml:space="preserve"> </w:t>
      </w:r>
      <w:r>
        <w:rPr>
          <w:rFonts w:hint="eastAsia"/>
          <w:b/>
          <w:bCs/>
          <w:color w:val="auto"/>
          <w:u w:val="single"/>
          <w:lang w:val="en-US" w:eastAsia="zh-CN"/>
        </w:rPr>
        <w:t>10.03</w:t>
      </w:r>
      <w:r>
        <w:rPr>
          <w:rFonts w:hint="eastAsia"/>
          <w:b/>
          <w:bCs/>
          <w:color w:val="auto"/>
          <w:u w:val="single"/>
        </w:rPr>
        <w:t>mg/L、TP</w:t>
      </w:r>
      <w:r>
        <w:rPr>
          <w:b/>
          <w:bCs/>
          <w:color w:val="auto"/>
          <w:u w:val="single"/>
        </w:rPr>
        <w:t xml:space="preserve"> 0.</w:t>
      </w:r>
      <w:r>
        <w:rPr>
          <w:rFonts w:hint="eastAsia"/>
          <w:b/>
          <w:bCs/>
          <w:color w:val="auto"/>
          <w:u w:val="single"/>
          <w:lang w:val="en-US" w:eastAsia="zh-CN"/>
        </w:rPr>
        <w:t>31</w:t>
      </w:r>
      <w:r>
        <w:rPr>
          <w:rFonts w:hint="eastAsia"/>
          <w:b/>
          <w:bCs/>
          <w:color w:val="auto"/>
          <w:u w:val="single"/>
        </w:rPr>
        <w:t>mg/L，各污染因子均能满足经开区应急和生态环境管理局文件要求的标准限值，同时也可满足小店污水处理厂的收水水质要求，且项目排放废水量占其处理负荷量比例较小、总处理量未超出设计处理负荷量，不会对小店污水处理厂的出水水质产生影响。因此评价认为：项目废水经处理后，对地表水环境的影响可接受。</w:t>
      </w:r>
    </w:p>
    <w:p>
      <w:pPr>
        <w:spacing w:line="520" w:lineRule="exact"/>
        <w:ind w:firstLine="480" w:firstLineChars="200"/>
        <w:rPr>
          <w:color w:val="auto"/>
        </w:rPr>
      </w:pPr>
      <w:r>
        <w:rPr>
          <w:rFonts w:hint="eastAsia"/>
          <w:color w:val="auto"/>
        </w:rPr>
        <w:t>（3）</w:t>
      </w:r>
      <w:r>
        <w:rPr>
          <w:color w:val="auto"/>
        </w:rPr>
        <w:t>地下水环境影响预测与评价结论</w:t>
      </w:r>
    </w:p>
    <w:p>
      <w:pPr>
        <w:spacing w:line="520" w:lineRule="exact"/>
        <w:ind w:firstLine="480" w:firstLineChars="200"/>
        <w:rPr>
          <w:color w:val="auto"/>
        </w:rPr>
      </w:pPr>
      <w:r>
        <w:rPr>
          <w:color w:val="auto"/>
        </w:rPr>
        <w:t>在非正常工况下，该工程对厂址周围的地下水环境有一定的影响。但从泄漏概率、地面破损概率综合考虑，废水池渗入地下是概率很小的事件，如果采取适当的预防措施和应急处理措施，可以把对地下水环境的影响控制到地下水环境容量可以接受的程度。</w:t>
      </w:r>
    </w:p>
    <w:p>
      <w:pPr>
        <w:spacing w:line="520" w:lineRule="exact"/>
        <w:ind w:firstLine="480" w:firstLineChars="200"/>
        <w:rPr>
          <w:color w:val="auto"/>
        </w:rPr>
      </w:pPr>
      <w:r>
        <w:rPr>
          <w:rFonts w:hint="eastAsia"/>
          <w:color w:val="auto"/>
        </w:rPr>
        <w:t>（4）</w:t>
      </w:r>
      <w:r>
        <w:rPr>
          <w:color w:val="auto"/>
        </w:rPr>
        <w:t>声环境影响预测与评价结论</w:t>
      </w:r>
    </w:p>
    <w:p>
      <w:pPr>
        <w:spacing w:line="520" w:lineRule="exact"/>
        <w:ind w:firstLine="480" w:firstLineChars="200"/>
        <w:rPr>
          <w:color w:val="auto"/>
        </w:rPr>
      </w:pPr>
      <w:r>
        <w:rPr>
          <w:color w:val="auto"/>
        </w:rPr>
        <w:t>工程完成后，由于厂区内高噪声设备均采取了有效的降噪措施，工程噪声对厂界及周围敏感点的影响不大，各厂界噪声预测值均不超标。评价认为，工程建成后其噪声对周围声环境的影响可以接受。</w:t>
      </w:r>
    </w:p>
    <w:p>
      <w:pPr>
        <w:spacing w:line="520" w:lineRule="exact"/>
        <w:ind w:firstLine="480" w:firstLineChars="200"/>
        <w:rPr>
          <w:color w:val="auto"/>
        </w:rPr>
      </w:pPr>
      <w:r>
        <w:rPr>
          <w:rFonts w:hint="eastAsia"/>
          <w:color w:val="auto"/>
        </w:rPr>
        <w:t>（5）</w:t>
      </w:r>
      <w:r>
        <w:rPr>
          <w:color w:val="auto"/>
        </w:rPr>
        <w:t>土壤环境影响预测与评价结论</w:t>
      </w:r>
    </w:p>
    <w:p>
      <w:pPr>
        <w:spacing w:line="520" w:lineRule="exact"/>
        <w:ind w:firstLine="480" w:firstLineChars="200"/>
        <w:rPr>
          <w:color w:val="auto"/>
        </w:rPr>
      </w:pPr>
      <w:r>
        <w:rPr>
          <w:color w:val="auto"/>
        </w:rPr>
        <w:t>本项目厂内现状监测点各监测因子监测结果值均低于《</w:t>
      </w:r>
      <w:r>
        <w:rPr>
          <w:rFonts w:hint="eastAsia"/>
          <w:color w:val="auto"/>
          <w:lang w:eastAsia="zh-CN"/>
        </w:rPr>
        <w:t>土壤环境质量 建设用地土壤污染风险管控标准（试行）</w:t>
      </w:r>
      <w:r>
        <w:rPr>
          <w:color w:val="auto"/>
        </w:rPr>
        <w:t>》（GB36600-2018）（试行）表1第二类用地风险筛选值，土壤环境质量现状总体较好。通过采取经采取清洁生产、绿化、防渗、风险防控、跟踪监测等措施后，项目建设对占地范围内、周边敏感点的影响较小，不会造成评价因子的超标，因此，本项目对土壤环境影响可接受。</w:t>
      </w:r>
    </w:p>
    <w:p>
      <w:pPr>
        <w:pStyle w:val="9"/>
        <w:bidi w:val="0"/>
        <w:rPr>
          <w:color w:val="auto"/>
        </w:rPr>
      </w:pPr>
      <w:bookmarkStart w:id="411" w:name="_Toc24199"/>
      <w:r>
        <w:rPr>
          <w:color w:val="auto"/>
        </w:rPr>
        <w:t>9.1.5污染防治措施</w:t>
      </w:r>
    </w:p>
    <w:p>
      <w:pPr>
        <w:spacing w:line="520" w:lineRule="exact"/>
        <w:ind w:firstLine="480" w:firstLineChars="200"/>
        <w:rPr>
          <w:color w:val="auto"/>
        </w:rPr>
      </w:pPr>
      <w:r>
        <w:rPr>
          <w:color w:val="auto"/>
        </w:rPr>
        <w:t>工程完成后，各项污染防治措施可行，固废</w:t>
      </w:r>
      <w:r>
        <w:rPr>
          <w:rFonts w:hint="eastAsia"/>
          <w:color w:val="auto"/>
          <w:lang w:eastAsia="zh-CN"/>
        </w:rPr>
        <w:t>采取了有效的</w:t>
      </w:r>
      <w:r>
        <w:rPr>
          <w:color w:val="auto"/>
        </w:rPr>
        <w:t>处置措施，全厂废水、废气、噪声污染物能够做到达标排放</w:t>
      </w:r>
    </w:p>
    <w:p>
      <w:pPr>
        <w:spacing w:line="520" w:lineRule="exact"/>
        <w:ind w:firstLine="480" w:firstLineChars="200"/>
        <w:rPr>
          <w:color w:val="auto"/>
        </w:rPr>
      </w:pPr>
      <w:r>
        <w:rPr>
          <w:rFonts w:hint="eastAsia"/>
          <w:color w:val="auto"/>
        </w:rPr>
        <w:t>（1）废气</w:t>
      </w:r>
    </w:p>
    <w:p>
      <w:pPr>
        <w:bidi w:val="0"/>
        <w:rPr>
          <w:rFonts w:hint="eastAsia"/>
          <w:color w:val="auto"/>
        </w:rPr>
      </w:pPr>
      <w:bookmarkStart w:id="412" w:name="_Hlk121080578"/>
      <w:r>
        <w:rPr>
          <w:rFonts w:hint="eastAsia"/>
          <w:color w:val="auto"/>
        </w:rPr>
        <w:t>本项目废气主要为蒸煮工序产生的废气、原料堆放过程中产生的扬尘以及木</w:t>
      </w:r>
      <w:r>
        <w:rPr>
          <w:rFonts w:hint="eastAsia"/>
          <w:b w:val="0"/>
          <w:bCs w:val="0"/>
          <w:color w:val="auto"/>
          <w:u w:val="single"/>
        </w:rPr>
        <w:t>质素</w:t>
      </w:r>
      <w:r>
        <w:rPr>
          <w:rFonts w:hint="eastAsia"/>
          <w:b w:val="0"/>
          <w:bCs w:val="0"/>
          <w:color w:val="auto"/>
          <w:u w:val="single"/>
          <w:lang w:val="en-US" w:eastAsia="zh-CN"/>
        </w:rPr>
        <w:t>混合物</w:t>
      </w:r>
      <w:r>
        <w:rPr>
          <w:rFonts w:hint="eastAsia"/>
          <w:b w:val="0"/>
          <w:bCs w:val="0"/>
          <w:color w:val="auto"/>
          <w:u w:val="single"/>
        </w:rPr>
        <w:t>干燥</w:t>
      </w:r>
      <w:r>
        <w:rPr>
          <w:rFonts w:hint="eastAsia"/>
          <w:color w:val="auto"/>
        </w:rPr>
        <w:t>、卸料、运输产生的有组织与无组织废气</w:t>
      </w:r>
      <w:r>
        <w:rPr>
          <w:rFonts w:hint="eastAsia"/>
          <w:color w:val="auto"/>
          <w:lang w:eastAsia="zh-CN"/>
        </w:rPr>
        <w:t>。</w:t>
      </w:r>
    </w:p>
    <w:p>
      <w:pPr>
        <w:bidi w:val="0"/>
        <w:rPr>
          <w:rFonts w:hint="eastAsia"/>
          <w:color w:val="auto"/>
        </w:rPr>
      </w:pPr>
      <w:r>
        <w:rPr>
          <w:rFonts w:hint="eastAsia"/>
          <w:color w:val="auto"/>
        </w:rPr>
        <w:t>蒸煮废气拟采取措施：将蒸煮废气通过在设备顶部配套的管道风机抽至五效蒸发器进行余热回收利用；少量逸散的废气通过车间空调系统收集后无组织排放。</w:t>
      </w:r>
    </w:p>
    <w:p>
      <w:pPr>
        <w:bidi w:val="0"/>
        <w:rPr>
          <w:rFonts w:hint="eastAsia"/>
          <w:color w:val="auto"/>
        </w:rPr>
      </w:pPr>
      <w:r>
        <w:rPr>
          <w:rFonts w:hint="eastAsia"/>
          <w:color w:val="auto"/>
        </w:rPr>
        <w:t>菌草堆料库扬尘拟采取措施：设置密闭式菌草堆料库，仓库地面进行硬化，顶部设置雾化喷淋装置。</w:t>
      </w:r>
    </w:p>
    <w:p>
      <w:pPr>
        <w:bidi w:val="0"/>
        <w:rPr>
          <w:rFonts w:hint="eastAsia"/>
          <w:color w:val="auto"/>
        </w:rPr>
      </w:pPr>
      <w:r>
        <w:rPr>
          <w:rFonts w:hint="eastAsia"/>
          <w:color w:val="auto"/>
        </w:rPr>
        <w:t>木质素混合物干燥产生的有组织颗粒物：袋式除尘；</w:t>
      </w:r>
    </w:p>
    <w:p>
      <w:pPr>
        <w:bidi w:val="0"/>
        <w:rPr>
          <w:rFonts w:hint="default"/>
          <w:color w:val="auto"/>
          <w:lang w:val="en-US" w:eastAsia="zh-CN"/>
        </w:rPr>
      </w:pPr>
      <w:r>
        <w:rPr>
          <w:rFonts w:hint="eastAsia"/>
          <w:color w:val="auto"/>
          <w:lang w:val="en-US" w:eastAsia="zh-CN"/>
        </w:rPr>
        <w:t>收集、分装</w:t>
      </w:r>
      <w:r>
        <w:rPr>
          <w:rFonts w:hint="eastAsia"/>
          <w:color w:val="auto"/>
        </w:rPr>
        <w:t>产生的无组织颗粒物：车间封闭、洒水降尘。</w:t>
      </w:r>
      <w:r>
        <w:rPr>
          <w:rFonts w:hint="eastAsia"/>
          <w:color w:val="auto"/>
          <w:lang w:val="en-US" w:eastAsia="zh-CN"/>
        </w:rPr>
        <w:t>本项目建设新增加的硫酸雾依托原系统处理后无组织排放</w:t>
      </w:r>
    </w:p>
    <w:bookmarkEnd w:id="412"/>
    <w:p>
      <w:pPr>
        <w:spacing w:line="520" w:lineRule="exact"/>
        <w:ind w:firstLine="480" w:firstLineChars="200"/>
        <w:rPr>
          <w:color w:val="auto"/>
        </w:rPr>
      </w:pPr>
      <w:r>
        <w:rPr>
          <w:rFonts w:hint="eastAsia"/>
          <w:color w:val="auto"/>
        </w:rPr>
        <w:t>（2）废水</w:t>
      </w:r>
    </w:p>
    <w:p>
      <w:pPr>
        <w:spacing w:line="520" w:lineRule="exact"/>
        <w:ind w:firstLine="480" w:firstLineChars="200"/>
        <w:rPr>
          <w:color w:val="auto"/>
        </w:rPr>
      </w:pPr>
      <w:r>
        <w:rPr>
          <w:rFonts w:hint="eastAsia"/>
          <w:color w:val="auto"/>
        </w:rPr>
        <w:t>本工程废水主要是</w:t>
      </w:r>
      <w:r>
        <w:rPr>
          <w:rFonts w:hint="eastAsia"/>
          <w:color w:val="auto"/>
          <w:lang w:val="en-US" w:eastAsia="zh-CN"/>
        </w:rPr>
        <w:t>水力</w:t>
      </w:r>
      <w:r>
        <w:rPr>
          <w:rFonts w:hint="eastAsia"/>
          <w:color w:val="auto"/>
        </w:rPr>
        <w:t>清洗、漂白废水。</w:t>
      </w:r>
    </w:p>
    <w:p>
      <w:pPr>
        <w:spacing w:line="520" w:lineRule="exact"/>
        <w:ind w:firstLine="480" w:firstLineChars="200"/>
        <w:rPr>
          <w:color w:val="auto"/>
        </w:rPr>
      </w:pPr>
      <w:r>
        <w:rPr>
          <w:rFonts w:hint="eastAsia"/>
          <w:color w:val="auto"/>
        </w:rPr>
        <w:t>本项目新增废水排放量为</w:t>
      </w:r>
      <w:r>
        <w:rPr>
          <w:rFonts w:hint="eastAsia"/>
          <w:color w:val="auto"/>
          <w:lang w:val="en-US" w:eastAsia="zh-CN"/>
        </w:rPr>
        <w:t>947.73m</w:t>
      </w:r>
      <w:r>
        <w:rPr>
          <w:rFonts w:hint="eastAsia"/>
          <w:color w:val="auto"/>
          <w:vertAlign w:val="superscript"/>
          <w:lang w:val="en-US" w:eastAsia="zh-CN"/>
        </w:rPr>
        <w:t>3</w:t>
      </w:r>
      <w:r>
        <w:rPr>
          <w:rFonts w:hint="eastAsia"/>
          <w:color w:val="auto"/>
        </w:rPr>
        <w:t>/d，经污水处理站处理，污水处理站出口以及总排口废水各项水质均能满足《污水综合排放标准》（GB8978-1996）</w:t>
      </w:r>
      <w:r>
        <w:rPr>
          <w:rFonts w:hint="eastAsia"/>
          <w:bCs/>
          <w:color w:val="auto"/>
        </w:rPr>
        <w:t>表4</w:t>
      </w:r>
      <w:r>
        <w:rPr>
          <w:rFonts w:hint="eastAsia"/>
          <w:bCs/>
          <w:color w:val="auto"/>
          <w:lang w:val="en-US" w:eastAsia="zh-CN"/>
        </w:rPr>
        <w:t>二级</w:t>
      </w:r>
      <w:r>
        <w:rPr>
          <w:rFonts w:hint="eastAsia"/>
          <w:bCs/>
          <w:color w:val="auto"/>
        </w:rPr>
        <w:t>（化纤浆粕工业）标准</w:t>
      </w:r>
      <w:r>
        <w:rPr>
          <w:rFonts w:hint="eastAsia"/>
          <w:color w:val="auto"/>
        </w:rPr>
        <w:t>、排污许可证废水污染物最高允许排放浓度及小店污水处理厂进水指标要求，进入新乡市小店污水处理厂进一步处理。</w:t>
      </w:r>
    </w:p>
    <w:p>
      <w:pPr>
        <w:spacing w:line="520" w:lineRule="exact"/>
        <w:ind w:firstLine="480" w:firstLineChars="200"/>
        <w:rPr>
          <w:color w:val="auto"/>
        </w:rPr>
      </w:pPr>
      <w:r>
        <w:rPr>
          <w:rFonts w:hint="eastAsia"/>
          <w:color w:val="auto"/>
        </w:rPr>
        <w:t>（3）噪声</w:t>
      </w:r>
    </w:p>
    <w:p>
      <w:pPr>
        <w:spacing w:line="520" w:lineRule="exact"/>
        <w:ind w:firstLine="480" w:firstLineChars="200"/>
        <w:rPr>
          <w:color w:val="auto"/>
        </w:rPr>
      </w:pPr>
      <w:r>
        <w:rPr>
          <w:rFonts w:hint="eastAsia"/>
          <w:color w:val="auto"/>
        </w:rPr>
        <w:t>工程将对高噪声设备采取减振、隔声等措施，各厂界均可以满足《工业企业厂界环境噪声排放标准》（GB12348-2008）3类昼间65dB(A)、夜间55dB(A</w:t>
      </w:r>
      <w:r>
        <w:rPr>
          <w:rFonts w:hint="eastAsia"/>
          <w:color w:val="auto"/>
          <w:lang w:eastAsia="zh-CN"/>
        </w:rPr>
        <w:t>)</w:t>
      </w:r>
      <w:r>
        <w:rPr>
          <w:rFonts w:hint="eastAsia"/>
          <w:color w:val="auto"/>
        </w:rPr>
        <w:t>的标准要求。</w:t>
      </w:r>
    </w:p>
    <w:p>
      <w:pPr>
        <w:spacing w:line="520" w:lineRule="exact"/>
        <w:ind w:firstLine="480" w:firstLineChars="200"/>
        <w:rPr>
          <w:color w:val="auto"/>
        </w:rPr>
      </w:pPr>
      <w:r>
        <w:rPr>
          <w:rFonts w:hint="eastAsia"/>
          <w:color w:val="auto"/>
        </w:rPr>
        <w:t>（4）固废</w:t>
      </w:r>
    </w:p>
    <w:p>
      <w:pPr>
        <w:bidi w:val="0"/>
        <w:rPr>
          <w:rFonts w:hint="eastAsia"/>
          <w:color w:val="auto"/>
        </w:rPr>
      </w:pPr>
      <w:r>
        <w:rPr>
          <w:rFonts w:hint="eastAsia"/>
          <w:color w:val="auto"/>
        </w:rPr>
        <w:t>工程产生的固废主要有水力除杂</w:t>
      </w:r>
      <w:r>
        <w:rPr>
          <w:rFonts w:hint="eastAsia"/>
          <w:color w:val="auto"/>
          <w:lang w:val="en-US" w:eastAsia="zh-CN"/>
        </w:rPr>
        <w:t>杂质</w:t>
      </w:r>
      <w:r>
        <w:rPr>
          <w:rFonts w:hint="eastAsia"/>
          <w:color w:val="auto"/>
        </w:rPr>
        <w:t>、后续工序未煮解</w:t>
      </w:r>
      <w:r>
        <w:rPr>
          <w:rFonts w:hint="eastAsia"/>
          <w:color w:val="auto"/>
          <w:lang w:val="en-US" w:eastAsia="zh-CN"/>
        </w:rPr>
        <w:t>滤渣</w:t>
      </w:r>
      <w:r>
        <w:rPr>
          <w:rFonts w:hint="eastAsia"/>
          <w:color w:val="auto"/>
        </w:rPr>
        <w:t>、废包装袋以及生活垃圾等。其中废包装袋为危险废物，在危废暂存间暂存后定期交由有资质单位处置；沉淀池污泥与杂质为一般固废，在一般固废暂存间暂存，定期送厂区锅炉燃烧；生活垃圾为一般固废，集中收集后送环卫部门指定地点处理。各种固废均能实现合理处置。</w:t>
      </w:r>
    </w:p>
    <w:p>
      <w:pPr>
        <w:pStyle w:val="9"/>
        <w:bidi w:val="0"/>
        <w:rPr>
          <w:color w:val="auto"/>
        </w:rPr>
      </w:pPr>
      <w:r>
        <w:rPr>
          <w:color w:val="auto"/>
        </w:rPr>
        <w:t>9.1.6工程可能产生的环境风险对周围环境影响可接受</w:t>
      </w:r>
    </w:p>
    <w:p>
      <w:pPr>
        <w:spacing w:line="500" w:lineRule="exact"/>
        <w:ind w:firstLine="480" w:firstLineChars="200"/>
        <w:rPr>
          <w:color w:val="auto"/>
        </w:rPr>
      </w:pPr>
      <w:r>
        <w:rPr>
          <w:color w:val="auto"/>
        </w:rPr>
        <w:t>根据风险评价分析，最大可信事故为</w:t>
      </w:r>
      <w:r>
        <w:rPr>
          <w:rFonts w:hint="eastAsia"/>
          <w:color w:val="auto"/>
          <w:lang w:val="en-US" w:eastAsia="zh-CN"/>
        </w:rPr>
        <w:t>固体二氧化氯释放剂、硫酸的</w:t>
      </w:r>
      <w:r>
        <w:rPr>
          <w:rFonts w:hint="eastAsia"/>
          <w:color w:val="auto"/>
        </w:rPr>
        <w:t>泄漏</w:t>
      </w:r>
      <w:r>
        <w:rPr>
          <w:color w:val="auto"/>
        </w:rPr>
        <w:t>。建设单位应严格遵守各项安全操作规程和制度，加强安全管理。通过制定并落实切实可行的事故防范措施和应急预案，能够将事故风险影响降低到最低程度，该项目建设的环境风险水平是可以接受的。</w:t>
      </w:r>
    </w:p>
    <w:p>
      <w:pPr>
        <w:pStyle w:val="9"/>
        <w:bidi w:val="0"/>
        <w:rPr>
          <w:color w:val="auto"/>
        </w:rPr>
      </w:pPr>
      <w:bookmarkStart w:id="413" w:name="_Toc11794"/>
      <w:r>
        <w:rPr>
          <w:color w:val="auto"/>
        </w:rPr>
        <w:t>9.1.7工程环保投资</w:t>
      </w:r>
      <w:bookmarkEnd w:id="413"/>
    </w:p>
    <w:p>
      <w:pPr>
        <w:spacing w:line="520" w:lineRule="exact"/>
        <w:ind w:firstLine="480" w:firstLineChars="200"/>
        <w:rPr>
          <w:color w:val="auto"/>
        </w:rPr>
      </w:pPr>
      <w:r>
        <w:rPr>
          <w:rFonts w:hint="eastAsia"/>
          <w:color w:val="auto"/>
        </w:rPr>
        <w:t>本项目总投资10000万元，其中环保投资约1</w:t>
      </w:r>
      <w:r>
        <w:rPr>
          <w:rFonts w:hint="eastAsia"/>
          <w:color w:val="auto"/>
          <w:lang w:val="en-US" w:eastAsia="zh-CN"/>
        </w:rPr>
        <w:t>3</w:t>
      </w:r>
      <w:r>
        <w:rPr>
          <w:rFonts w:hint="eastAsia"/>
          <w:color w:val="auto"/>
        </w:rPr>
        <w:t>5万元，占总投资的1.</w:t>
      </w:r>
      <w:r>
        <w:rPr>
          <w:rFonts w:hint="eastAsia"/>
          <w:color w:val="auto"/>
          <w:lang w:val="en-US" w:eastAsia="zh-CN"/>
        </w:rPr>
        <w:t>3</w:t>
      </w:r>
      <w:r>
        <w:rPr>
          <w:rFonts w:hint="eastAsia"/>
          <w:color w:val="auto"/>
        </w:rPr>
        <w:t>5%。</w:t>
      </w:r>
      <w:r>
        <w:rPr>
          <w:color w:val="auto"/>
        </w:rPr>
        <w:t>建设单位应认真落实评价提出的各项污染防治措施，确保落实到位，严格执行环保“三同时”制度。</w:t>
      </w:r>
    </w:p>
    <w:p>
      <w:pPr>
        <w:pStyle w:val="9"/>
        <w:bidi w:val="0"/>
        <w:rPr>
          <w:color w:val="auto"/>
        </w:rPr>
      </w:pPr>
      <w:r>
        <w:rPr>
          <w:color w:val="auto"/>
        </w:rPr>
        <w:t>9.1.8工程符合清洁生产的要求</w:t>
      </w:r>
    </w:p>
    <w:p>
      <w:pPr>
        <w:spacing w:line="520" w:lineRule="exact"/>
        <w:ind w:firstLine="480" w:firstLineChars="200"/>
        <w:rPr>
          <w:color w:val="auto"/>
        </w:rPr>
      </w:pPr>
      <w:r>
        <w:rPr>
          <w:rFonts w:hint="eastAsia"/>
          <w:color w:val="auto"/>
        </w:rPr>
        <w:t>本项目工艺装备先进、污染物排放量较少、污染防治措施完善、综合能耗低，具有明显的经济效益，符合清洁生产要求。</w:t>
      </w:r>
    </w:p>
    <w:p>
      <w:pPr>
        <w:pStyle w:val="9"/>
        <w:bidi w:val="0"/>
        <w:rPr>
          <w:color w:val="auto"/>
        </w:rPr>
      </w:pPr>
      <w:r>
        <w:rPr>
          <w:color w:val="auto"/>
        </w:rPr>
        <w:t>9.1.9工程建成后将具有较好的社会效益和经济效益</w:t>
      </w:r>
    </w:p>
    <w:p>
      <w:pPr>
        <w:spacing w:line="520" w:lineRule="exact"/>
        <w:ind w:firstLine="480" w:firstLineChars="200"/>
        <w:rPr>
          <w:color w:val="auto"/>
        </w:rPr>
      </w:pPr>
      <w:r>
        <w:rPr>
          <w:color w:val="auto"/>
        </w:rPr>
        <w:t>由环境经济效益分析可知，项目采取的各种污染防治措施合理可行，可使项目生产过程中产生的污染物得到较大程度的削减，同时项目的建设将会促进当地经济发展，增加就业机会，具有较好的经济效益和社会效益。</w:t>
      </w:r>
    </w:p>
    <w:p>
      <w:pPr>
        <w:pStyle w:val="9"/>
        <w:bidi w:val="0"/>
        <w:rPr>
          <w:color w:val="auto"/>
        </w:rPr>
      </w:pPr>
      <w:r>
        <w:rPr>
          <w:rFonts w:hint="eastAsia"/>
          <w:color w:val="auto"/>
        </w:rPr>
        <w:t>9.1.10公众参与调查结果表明，公众普遍支持该项目的建设</w:t>
      </w:r>
    </w:p>
    <w:p>
      <w:pPr>
        <w:bidi w:val="0"/>
        <w:rPr>
          <w:color w:val="auto"/>
        </w:rPr>
      </w:pPr>
      <w:r>
        <w:rPr>
          <w:rFonts w:hint="eastAsia"/>
          <w:color w:val="auto"/>
        </w:rPr>
        <w:t>新乡化纤股份有限公司按照《环境影响评价公众参与办法》的要求，于202</w:t>
      </w:r>
      <w:r>
        <w:rPr>
          <w:color w:val="auto"/>
        </w:rPr>
        <w:t>2</w:t>
      </w:r>
      <w:r>
        <w:rPr>
          <w:rFonts w:hint="eastAsia"/>
          <w:color w:val="auto"/>
        </w:rPr>
        <w:t>年1</w:t>
      </w:r>
      <w:r>
        <w:rPr>
          <w:color w:val="auto"/>
        </w:rPr>
        <w:t>1</w:t>
      </w:r>
      <w:r>
        <w:rPr>
          <w:rFonts w:hint="eastAsia"/>
          <w:color w:val="auto"/>
        </w:rPr>
        <w:t>月2日在环境影响评价信息公示平台上进行了第一次公示；并于202</w:t>
      </w:r>
      <w:r>
        <w:rPr>
          <w:color w:val="auto"/>
        </w:rPr>
        <w:t>2</w:t>
      </w:r>
      <w:r>
        <w:rPr>
          <w:rFonts w:hint="eastAsia"/>
          <w:color w:val="auto"/>
        </w:rPr>
        <w:t>年12月</w:t>
      </w:r>
      <w:r>
        <w:rPr>
          <w:color w:val="auto"/>
        </w:rPr>
        <w:t>5</w:t>
      </w:r>
      <w:r>
        <w:rPr>
          <w:rFonts w:hint="eastAsia"/>
          <w:color w:val="auto"/>
        </w:rPr>
        <w:t>日</w:t>
      </w:r>
      <w:r>
        <w:rPr>
          <w:rFonts w:hint="eastAsia"/>
          <w:color w:val="auto"/>
          <w:lang w:eastAsia="zh-CN"/>
        </w:rPr>
        <w:t>—</w:t>
      </w:r>
      <w:r>
        <w:rPr>
          <w:rFonts w:hint="eastAsia"/>
          <w:color w:val="auto"/>
        </w:rPr>
        <w:t>202</w:t>
      </w:r>
      <w:r>
        <w:rPr>
          <w:color w:val="auto"/>
        </w:rPr>
        <w:t>2</w:t>
      </w:r>
      <w:r>
        <w:rPr>
          <w:rFonts w:hint="eastAsia"/>
          <w:color w:val="auto"/>
        </w:rPr>
        <w:t>年12月</w:t>
      </w:r>
      <w:r>
        <w:rPr>
          <w:color w:val="auto"/>
        </w:rPr>
        <w:t>16</w:t>
      </w:r>
      <w:r>
        <w:rPr>
          <w:rFonts w:hint="eastAsia"/>
          <w:color w:val="auto"/>
        </w:rPr>
        <w:t>日在环境影响评价信息公示平台上进行了征求意见稿全文公示并征求公众意见，根据建设单位反馈，公示期间没有收到关于本项目建设有关的意见和建议。</w:t>
      </w:r>
    </w:p>
    <w:p>
      <w:pPr>
        <w:bidi w:val="0"/>
        <w:rPr>
          <w:color w:val="auto"/>
        </w:rPr>
      </w:pPr>
      <w:r>
        <w:rPr>
          <w:rFonts w:hint="eastAsia"/>
          <w:color w:val="auto"/>
        </w:rPr>
        <w:t>建设单位的公参真实性、有效性、代表性、公正性符合相关环保要求。</w:t>
      </w:r>
    </w:p>
    <w:p>
      <w:pPr>
        <w:pStyle w:val="9"/>
        <w:bidi w:val="0"/>
        <w:rPr>
          <w:color w:val="auto"/>
        </w:rPr>
      </w:pPr>
      <w:r>
        <w:rPr>
          <w:rFonts w:hint="eastAsia"/>
          <w:color w:val="auto"/>
        </w:rPr>
        <w:t>9.1.11总量控制指标建议</w:t>
      </w:r>
    </w:p>
    <w:p>
      <w:pPr>
        <w:bidi w:val="0"/>
        <w:rPr>
          <w:rFonts w:hint="eastAsia"/>
          <w:b/>
          <w:bCs/>
          <w:color w:val="auto"/>
          <w:u w:val="single"/>
        </w:rPr>
      </w:pPr>
      <w:r>
        <w:rPr>
          <w:rFonts w:hint="eastAsia"/>
          <w:b/>
          <w:bCs/>
          <w:color w:val="auto"/>
          <w:u w:val="single"/>
        </w:rPr>
        <w:t>评价建议将项目污染物排放量纳入总量指标进行控制：</w:t>
      </w:r>
    </w:p>
    <w:p>
      <w:pPr>
        <w:bidi w:val="0"/>
        <w:rPr>
          <w:rFonts w:hint="eastAsia"/>
        </w:rPr>
      </w:pPr>
      <w:r>
        <w:rPr>
          <w:rFonts w:hint="eastAsia"/>
          <w:b/>
          <w:bCs/>
          <w:u w:val="single"/>
        </w:rPr>
        <w:t>本项目新增水污染物排放量为COD 12.512t/a，NH</w:t>
      </w:r>
      <w:r>
        <w:rPr>
          <w:rFonts w:hint="eastAsia"/>
          <w:b/>
          <w:bCs/>
          <w:u w:val="single"/>
          <w:vertAlign w:val="subscript"/>
        </w:rPr>
        <w:t>3</w:t>
      </w:r>
      <w:r>
        <w:rPr>
          <w:rFonts w:hint="eastAsia"/>
          <w:b/>
          <w:bCs/>
          <w:u w:val="single"/>
        </w:rPr>
        <w:t>-N 0.626t/a。新增废气污染物总量指标为：颗粒物0.841t/a，本项目大气污染物需进行倍量替代，项目所需替代量为1.682 t/a；水污染物替代量为COD 12.512t/a，NH</w:t>
      </w:r>
      <w:r>
        <w:rPr>
          <w:rFonts w:hint="eastAsia"/>
          <w:b/>
          <w:bCs/>
          <w:u w:val="single"/>
          <w:vertAlign w:val="subscript"/>
        </w:rPr>
        <w:t>3</w:t>
      </w:r>
      <w:r>
        <w:rPr>
          <w:rFonts w:hint="eastAsia"/>
          <w:b/>
          <w:bCs/>
          <w:u w:val="single"/>
        </w:rPr>
        <w:t>-N 0.626t/a。其中颗粒物拟从河南晋开集团延化化工有限公司排污许可注销后核算的削减量131.6t/a中扣除，COD和氨氮拟从东兴实业污水处理厂提标改造拟形成的削减量182.5t/a和54.75t/a中扣除。</w:t>
      </w:r>
    </w:p>
    <w:p>
      <w:pPr>
        <w:pStyle w:val="7"/>
        <w:bidi w:val="0"/>
        <w:rPr>
          <w:color w:val="auto"/>
        </w:rPr>
      </w:pPr>
      <w:bookmarkStart w:id="414" w:name="_Toc22017"/>
      <w:bookmarkStart w:id="415" w:name="_Toc67041088"/>
      <w:bookmarkStart w:id="416" w:name="_Toc28866861"/>
      <w:bookmarkStart w:id="417" w:name="_Toc489346024"/>
      <w:bookmarkStart w:id="418" w:name="_Toc7727"/>
      <w:bookmarkStart w:id="419" w:name="_Toc1843"/>
      <w:r>
        <w:rPr>
          <w:color w:val="auto"/>
        </w:rPr>
        <w:t>9.</w:t>
      </w:r>
      <w:r>
        <w:rPr>
          <w:rFonts w:hint="eastAsia"/>
          <w:color w:val="auto"/>
          <w:lang w:val="en-US" w:eastAsia="zh-CN"/>
        </w:rPr>
        <w:t>2</w:t>
      </w:r>
      <w:r>
        <w:rPr>
          <w:color w:val="auto"/>
        </w:rPr>
        <w:t>总结论</w:t>
      </w:r>
      <w:bookmarkEnd w:id="414"/>
      <w:bookmarkEnd w:id="415"/>
      <w:bookmarkEnd w:id="416"/>
      <w:bookmarkEnd w:id="417"/>
      <w:bookmarkEnd w:id="418"/>
      <w:bookmarkEnd w:id="419"/>
    </w:p>
    <w:p>
      <w:pPr>
        <w:bidi w:val="0"/>
        <w:rPr>
          <w:color w:val="auto"/>
        </w:rPr>
      </w:pPr>
      <w:r>
        <w:rPr>
          <w:color w:val="auto"/>
        </w:rPr>
        <w:t>新乡化纤股份有限公司年产5000吨菌草生物质纤维产业化研发中试项目</w:t>
      </w:r>
      <w:r>
        <w:rPr>
          <w:rFonts w:hint="eastAsia"/>
          <w:color w:val="auto"/>
        </w:rPr>
        <w:t>属于《产业结构调整指导目录（2019年本）》中的鼓励类，符合国家产业政策；项目用地为工业用地，符合园区总体发展规划要求；根据环境影响预测结果：在保证评价要求和工程设计的防治措施正常运行的条件下，本项目对周围大气环境、地表水环境、地下水环境以及声环境的影响可接受；工程环境风险可接受；工程完成后，各项污染防治措施可行，全厂废水、废气、噪声污染物能够做到达标排放，固废采取了有效的处置措施；公众参与调查结果表明，公众对项目的建设无反对意见。从环保角度而言，该项目建设可行。</w:t>
      </w:r>
    </w:p>
    <w:bookmarkEnd w:id="411"/>
    <w:p>
      <w:pPr>
        <w:pStyle w:val="7"/>
        <w:bidi w:val="0"/>
        <w:rPr>
          <w:color w:val="auto"/>
        </w:rPr>
      </w:pPr>
      <w:bookmarkStart w:id="420" w:name="_Toc27640"/>
      <w:r>
        <w:rPr>
          <w:color w:val="auto"/>
        </w:rPr>
        <w:t>9.</w:t>
      </w:r>
      <w:r>
        <w:rPr>
          <w:rFonts w:hint="eastAsia"/>
          <w:color w:val="auto"/>
          <w:lang w:val="en-US" w:eastAsia="zh-CN"/>
        </w:rPr>
        <w:t>3</w:t>
      </w:r>
      <w:r>
        <w:rPr>
          <w:color w:val="auto"/>
        </w:rPr>
        <w:t>建议</w:t>
      </w:r>
      <w:bookmarkEnd w:id="420"/>
    </w:p>
    <w:p>
      <w:pPr>
        <w:bidi w:val="0"/>
        <w:rPr>
          <w:color w:val="auto"/>
        </w:rPr>
      </w:pPr>
      <w:r>
        <w:rPr>
          <w:color w:val="auto"/>
        </w:rPr>
        <w:t>（1）建设单位应严格执行环保“三同时”制度，确保环保资金落实到位。</w:t>
      </w:r>
    </w:p>
    <w:p>
      <w:pPr>
        <w:bidi w:val="0"/>
        <w:rPr>
          <w:color w:val="auto"/>
        </w:rPr>
      </w:pPr>
      <w:r>
        <w:rPr>
          <w:color w:val="auto"/>
        </w:rPr>
        <w:t>（2）建立健全安全生产和管理制度，积极消除事故隐患，杜绝事故发生。</w:t>
      </w:r>
    </w:p>
    <w:p>
      <w:pPr>
        <w:bidi w:val="0"/>
        <w:rPr>
          <w:color w:val="auto"/>
        </w:rPr>
      </w:pPr>
      <w:r>
        <w:rPr>
          <w:color w:val="auto"/>
        </w:rPr>
        <w:t>（3）加强公司清洁生产工作，认真实施各项清洁生产措施，提高原料利用率，减少污染物的排放量。</w:t>
      </w:r>
    </w:p>
    <w:p>
      <w:pPr>
        <w:bidi w:val="0"/>
        <w:rPr>
          <w:color w:val="auto"/>
        </w:rPr>
      </w:pPr>
      <w:r>
        <w:rPr>
          <w:color w:val="auto"/>
        </w:rPr>
        <w:t>（4）加强厂区及周围的环境绿化，利用绿色植物阻滞粉尘、吸音降噪作用，有效降低噪声对外环境的影响。</w:t>
      </w:r>
    </w:p>
    <w:p>
      <w:pPr>
        <w:bidi w:val="0"/>
        <w:rPr>
          <w:color w:val="auto"/>
        </w:rPr>
      </w:pPr>
      <w:r>
        <w:rPr>
          <w:color w:val="auto"/>
        </w:rPr>
        <w:t>（5）加强环境保护机构建设，健全环保规章制度，加强对各种污染防治设施的运行管理，定期维护检修，确保其正常稳定运行。</w:t>
      </w:r>
    </w:p>
    <w:p>
      <w:pPr>
        <w:bidi w:val="0"/>
        <w:rPr>
          <w:color w:val="auto"/>
        </w:rPr>
      </w:pPr>
      <w:r>
        <w:rPr>
          <w:color w:val="auto"/>
        </w:rPr>
        <w:t>（6）规范员工的岗位操作章程制度、增强员工的安全意识。</w:t>
      </w:r>
    </w:p>
    <w:p>
      <w:pPr>
        <w:rPr>
          <w:color w:val="auto"/>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pPr>
    </w:p>
    <w:sdt>
      <w:sdtPr>
        <w:rPr>
          <w:rFonts w:ascii="宋体" w:hAnsi="宋体" w:eastAsia="宋体" w:cstheme="minorBidi"/>
          <w:kern w:val="2"/>
          <w:sz w:val="21"/>
          <w:szCs w:val="24"/>
          <w:lang w:val="en-US" w:eastAsia="zh-CN" w:bidi="ar-SA"/>
        </w:rPr>
        <w:id w:val="147465654"/>
        <w15:color w:val="DBDBDB"/>
        <w:docPartObj>
          <w:docPartGallery w:val="Table of Contents"/>
          <w:docPartUnique/>
        </w:docPartObj>
      </w:sdtPr>
      <w:sdtEndPr>
        <w:rPr>
          <w:rFonts w:hint="eastAsia" w:asciiTheme="minorHAnsi" w:hAnsiTheme="minorHAnsi" w:eastAsiaTheme="minorEastAsia" w:cstheme="minorBidi"/>
          <w:b/>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bookmarkStart w:id="421" w:name="_Toc4583"/>
          <w:bookmarkStart w:id="422" w:name="_Toc15482"/>
        </w:p>
        <w:p>
          <w:pPr>
            <w:pStyle w:val="78"/>
            <w:tabs>
              <w:tab w:val="right" w:leader="dot" w:pos="9638"/>
            </w:tabs>
            <w:ind w:left="0" w:leftChars="0"/>
          </w:pPr>
          <w:bookmarkStart w:id="423" w:name="_Toc9834"/>
        </w:p>
      </w:sdtContent>
    </w:sdt>
    <w:p>
      <w:pPr>
        <w:pStyle w:val="6"/>
        <w:bidi w:val="0"/>
        <w:rPr>
          <w:rFonts w:hint="eastAsia"/>
          <w:lang w:val="en-US" w:eastAsia="zh-CN"/>
        </w:rPr>
      </w:pPr>
      <w:r>
        <w:rPr>
          <w:rFonts w:hint="eastAsia"/>
          <w:lang w:val="en-US" w:eastAsia="zh-CN"/>
        </w:rPr>
        <w:t>附  图</w:t>
      </w:r>
      <w:bookmarkEnd w:id="421"/>
      <w:bookmarkEnd w:id="422"/>
      <w:bookmarkEnd w:id="423"/>
    </w:p>
    <w:p>
      <w:pPr>
        <w:pStyle w:val="9"/>
        <w:bidi w:val="0"/>
        <w:outlineLvl w:val="0"/>
        <w:rPr>
          <w:rFonts w:hint="eastAsia"/>
          <w:lang w:val="en-US" w:eastAsia="zh-CN"/>
        </w:rPr>
      </w:pPr>
      <w:bookmarkStart w:id="424" w:name="_Toc5487"/>
      <w:bookmarkStart w:id="425" w:name="_Toc15397"/>
      <w:bookmarkStart w:id="426" w:name="_Toc6474"/>
      <w:r>
        <w:rPr>
          <w:rFonts w:hint="eastAsia"/>
          <w:lang w:val="en-US" w:eastAsia="zh-CN"/>
        </w:rPr>
        <w:t>附</w:t>
      </w:r>
      <w:r>
        <w:t xml:space="preserve">图1 </w:t>
      </w:r>
      <w:r>
        <w:rPr>
          <w:rFonts w:hint="eastAsia"/>
          <w:lang w:val="en-US" w:eastAsia="zh-CN"/>
        </w:rPr>
        <w:t xml:space="preserve"> </w:t>
      </w:r>
      <w:r>
        <w:t>项目地理位置图</w:t>
      </w:r>
      <w:bookmarkEnd w:id="424"/>
      <w:bookmarkEnd w:id="425"/>
      <w:bookmarkEnd w:id="426"/>
    </w:p>
    <w:p>
      <w:pPr>
        <w:ind w:left="0" w:leftChars="0" w:firstLine="0" w:firstLineChars="0"/>
        <w:jc w:val="center"/>
        <w:rPr>
          <w:rFonts w:ascii="Times New Roman" w:hAnsi="Times New Roman" w:cs="Times New Roman"/>
          <w:b/>
          <w:bCs/>
          <w:color w:val="auto"/>
          <w:sz w:val="24"/>
          <w:szCs w:val="24"/>
          <w:lang w:val="zh-CN"/>
        </w:rPr>
      </w:pPr>
      <w:r>
        <w:drawing>
          <wp:inline distT="0" distB="0" distL="114300" distR="114300">
            <wp:extent cx="5905500" cy="4968240"/>
            <wp:effectExtent l="0" t="0" r="7620" b="0"/>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90"/>
                    <a:stretch>
                      <a:fillRect/>
                    </a:stretch>
                  </pic:blipFill>
                  <pic:spPr>
                    <a:xfrm>
                      <a:off x="0" y="0"/>
                      <a:ext cx="5905500" cy="4968240"/>
                    </a:xfrm>
                    <a:prstGeom prst="rect">
                      <a:avLst/>
                    </a:prstGeom>
                    <a:noFill/>
                    <a:ln>
                      <a:noFill/>
                    </a:ln>
                  </pic:spPr>
                </pic:pic>
              </a:graphicData>
            </a:graphic>
          </wp:inline>
        </w:drawing>
      </w:r>
    </w:p>
    <w:p>
      <w:pPr>
        <w:pStyle w:val="2"/>
        <w:rPr>
          <w:rFonts w:ascii="Times New Roman" w:hAnsi="Times New Roman" w:cs="Times New Roman"/>
          <w:b/>
          <w:bCs/>
          <w:color w:val="auto"/>
          <w:sz w:val="24"/>
          <w:szCs w:val="24"/>
          <w:lang w:val="zh-CN"/>
        </w:rPr>
      </w:pPr>
    </w:p>
    <w:p>
      <w:pPr>
        <w:rPr>
          <w:lang w:val="zh-CN"/>
        </w:rPr>
        <w:sectPr>
          <w:footerReference r:id="rId22" w:type="default"/>
          <w:pgSz w:w="11906" w:h="16838"/>
          <w:pgMar w:top="1134" w:right="1134" w:bottom="1134" w:left="1134" w:header="851" w:footer="992" w:gutter="0"/>
          <w:pgNumType w:fmt="decimal" w:start="322"/>
          <w:cols w:space="425" w:num="1"/>
          <w:docGrid w:type="lines" w:linePitch="312" w:charSpace="0"/>
        </w:sectPr>
      </w:pPr>
    </w:p>
    <w:p>
      <w:pPr>
        <w:pStyle w:val="9"/>
        <w:bidi w:val="0"/>
        <w:outlineLvl w:val="0"/>
      </w:pPr>
      <w:bookmarkStart w:id="427" w:name="_Toc7981"/>
      <w:bookmarkStart w:id="428" w:name="_Toc5032"/>
      <w:bookmarkStart w:id="429" w:name="_Toc16620"/>
      <w:r>
        <w:rPr>
          <w:rFonts w:hint="eastAsia"/>
        </w:rPr>
        <w:t>附图2  项目周边环境敏感点示意图</w:t>
      </w:r>
      <w:bookmarkEnd w:id="427"/>
      <w:bookmarkEnd w:id="428"/>
      <w:bookmarkEnd w:id="429"/>
    </w:p>
    <w:p>
      <w:pPr>
        <w:ind w:left="0" w:leftChars="0" w:firstLine="0" w:firstLineChars="0"/>
        <w:jc w:val="both"/>
      </w:pPr>
      <w:r>
        <w:drawing>
          <wp:inline distT="0" distB="0" distL="114300" distR="114300">
            <wp:extent cx="6293485" cy="4567555"/>
            <wp:effectExtent l="0" t="0" r="635" b="4445"/>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91"/>
                    <a:stretch>
                      <a:fillRect/>
                    </a:stretch>
                  </pic:blipFill>
                  <pic:spPr>
                    <a:xfrm>
                      <a:off x="0" y="0"/>
                      <a:ext cx="6293485" cy="4567555"/>
                    </a:xfrm>
                    <a:prstGeom prst="rect">
                      <a:avLst/>
                    </a:prstGeom>
                    <a:noFill/>
                    <a:ln>
                      <a:noFill/>
                    </a:ln>
                  </pic:spPr>
                </pic:pic>
              </a:graphicData>
            </a:graphic>
          </wp:inline>
        </w:drawing>
      </w:r>
    </w:p>
    <w:p>
      <w:pPr>
        <w:pStyle w:val="2"/>
        <w:ind w:left="0" w:leftChars="0" w:firstLine="0" w:firstLineChars="0"/>
        <w:jc w:val="center"/>
        <w:rPr>
          <w:rFonts w:hint="default"/>
          <w:b/>
          <w:bCs/>
          <w:lang w:val="en-US" w:eastAsia="zh-CN"/>
        </w:rPr>
      </w:pPr>
      <w:bookmarkStart w:id="430" w:name="_Toc9617"/>
      <w:r>
        <w:rPr>
          <w:rFonts w:hint="eastAsia"/>
          <w:b/>
          <w:bCs/>
          <w:lang w:val="en-US" w:eastAsia="zh-CN"/>
        </w:rPr>
        <w:t>（1）大气评价范围</w:t>
      </w:r>
      <w:bookmarkEnd w:id="430"/>
    </w:p>
    <w:p>
      <w:pPr>
        <w:ind w:left="0" w:leftChars="0" w:firstLine="0" w:firstLineChars="0"/>
        <w:jc w:val="both"/>
        <w:rPr>
          <w:rFonts w:ascii="Times New Roman" w:hAnsi="Times New Roman" w:cs="Times New Roman"/>
          <w:b/>
          <w:bCs/>
          <w:color w:val="auto"/>
          <w:sz w:val="24"/>
          <w:szCs w:val="24"/>
        </w:rPr>
      </w:pPr>
      <w:r>
        <w:drawing>
          <wp:inline distT="0" distB="0" distL="114300" distR="114300">
            <wp:extent cx="6087110" cy="4810125"/>
            <wp:effectExtent l="0" t="0" r="8890" b="5715"/>
            <wp:docPr id="9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2"/>
                    <pic:cNvPicPr>
                      <a:picLocks noChangeAspect="1"/>
                    </pic:cNvPicPr>
                  </pic:nvPicPr>
                  <pic:blipFill>
                    <a:blip r:embed="rId92"/>
                    <a:stretch>
                      <a:fillRect/>
                    </a:stretch>
                  </pic:blipFill>
                  <pic:spPr>
                    <a:xfrm>
                      <a:off x="0" y="0"/>
                      <a:ext cx="6087110" cy="4810125"/>
                    </a:xfrm>
                    <a:prstGeom prst="rect">
                      <a:avLst/>
                    </a:prstGeom>
                    <a:noFill/>
                    <a:ln>
                      <a:noFill/>
                    </a:ln>
                  </pic:spPr>
                </pic:pic>
              </a:graphicData>
            </a:graphic>
          </wp:inline>
        </w:drawing>
      </w:r>
    </w:p>
    <w:p>
      <w:pPr>
        <w:pStyle w:val="2"/>
        <w:ind w:left="0" w:leftChars="0" w:firstLine="0" w:firstLineChars="0"/>
        <w:jc w:val="center"/>
        <w:rPr>
          <w:rFonts w:hint="default" w:eastAsiaTheme="minorEastAsia"/>
          <w:b/>
          <w:bCs/>
          <w:lang w:val="en-US" w:eastAsia="zh-CN"/>
        </w:rPr>
      </w:pPr>
      <w:r>
        <w:rPr>
          <w:rFonts w:hint="eastAsia"/>
          <w:b/>
          <w:bCs/>
          <w:lang w:val="en-US" w:eastAsia="zh-CN"/>
        </w:rPr>
        <w:t>（2）地下水评价范围</w:t>
      </w:r>
    </w:p>
    <w:p>
      <w:pPr>
        <w:ind w:left="0" w:leftChars="0" w:firstLine="0" w:firstLineChars="0"/>
        <w:jc w:val="both"/>
        <w:rPr>
          <w:rFonts w:ascii="Times New Roman" w:hAnsi="Times New Roman" w:cs="Times New Roman"/>
          <w:b/>
          <w:bCs/>
          <w:color w:val="auto"/>
          <w:sz w:val="24"/>
          <w:szCs w:val="24"/>
        </w:rPr>
        <w:sectPr>
          <w:pgSz w:w="11906" w:h="16838"/>
          <w:pgMar w:top="1134" w:right="1134" w:bottom="1134" w:left="1134" w:header="851" w:footer="992" w:gutter="0"/>
          <w:pgNumType w:fmt="decimal"/>
          <w:cols w:space="425" w:num="1"/>
          <w:docGrid w:type="lines" w:linePitch="312" w:charSpace="0"/>
        </w:sectPr>
      </w:pPr>
    </w:p>
    <w:p>
      <w:pPr>
        <w:pStyle w:val="9"/>
        <w:bidi w:val="0"/>
        <w:outlineLvl w:val="0"/>
      </w:pPr>
      <w:bookmarkStart w:id="431" w:name="_Toc16274"/>
      <w:bookmarkStart w:id="432" w:name="_Toc16070"/>
      <w:bookmarkStart w:id="433" w:name="_Toc9522"/>
      <w:r>
        <w:rPr>
          <w:rFonts w:hint="eastAsia"/>
        </w:rPr>
        <w:t>附图3</w:t>
      </w:r>
      <w:r>
        <w:t xml:space="preserve">  </w:t>
      </w:r>
      <w:r>
        <w:rPr>
          <w:rFonts w:hint="eastAsia"/>
        </w:rPr>
        <w:t>厂区平面布置图</w:t>
      </w:r>
      <w:bookmarkEnd w:id="431"/>
      <w:bookmarkEnd w:id="432"/>
      <w:bookmarkEnd w:id="433"/>
    </w:p>
    <w:p>
      <w:pPr>
        <w:bidi w:val="0"/>
        <w:ind w:left="0" w:leftChars="0" w:firstLine="0" w:firstLineChars="0"/>
        <w:jc w:val="center"/>
        <w:rPr>
          <w:rFonts w:ascii="Times New Roman" w:hAnsi="Times New Roman" w:cs="Times New Roman"/>
          <w:b/>
          <w:bCs/>
          <w:color w:val="auto"/>
          <w:sz w:val="24"/>
          <w:szCs w:val="24"/>
        </w:rPr>
      </w:pPr>
      <w:r>
        <w:rPr>
          <w:sz w:val="21"/>
        </w:rPr>
        <w:pict>
          <v:group id="组合 61" o:spid="_x0000_s2331" o:spt="203" style="position:absolute;left:0pt;margin-left:87.65pt;margin-top:162.15pt;height:77.4pt;width:92pt;z-index:251739136;mso-width-relative:page;mso-height-relative:page;" coordorigin="3170,56737" coordsize="1840,1548" o:gfxdata="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">
            <o:lock v:ext="edit" aspectratio="f"/>
            <v:shape id="椭圆 30" o:spid="_x0000_s2329" o:spt="3" type="#_x0000_t3" style="position:absolute;left:3255;top:56737;height:1549;width:1511;v-text-anchor:middle;" fillcolor="#FFFFFF" filled="t" stroked="t" coordsize="21600,21600" o:gfxdata="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8HGuvQAA&#10;ANsAAAAPAAAAAAAAAAEAIAAAACIAAABkcnMvZG93bnJldi54bWxQSwECFAAUAAAACACHTuJAMy8F&#10;njsAAAA5AAAAEAAAAAAAAAABACAAAAAMAQAAZHJzL3NoYXBleG1sLnhtbFBLBQYAAAAABgAGAFsB&#10;AAC2AwAAAAA=&#10;">
              <v:path/>
              <v:fill on="t" color2="#FFFFFF" opacity="0f" focussize="0,0"/>
              <v:stroke weight="2.25pt" color="#FF0000" miterlimit="8" joinstyle="miter"/>
              <v:imagedata o:title=""/>
              <o:lock v:ext="edit" aspectratio="f"/>
            </v:shape>
            <v:shape id="文本框 31" o:spid="_x0000_s2330" o:spt="202" type="#_x0000_t202" style="position:absolute;left:3170;top:57068;height:820;width:1840;" fillcolor="#FFFFFF" filled="t" stroked="t" coordsize="21600,21600" o:gfxdata="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4beqr4A&#10;AADbAAAADwAAAAAAAAABACAAAAAiAAAAZHJzL2Rvd25yZXYueG1sUEsBAhQAFAAAAAgAh07iQDMv&#10;BZ47AAAAOQAAABAAAAAAAAAAAQAgAAAADQEAAGRycy9zaGFwZXhtbC54bWxQSwUGAAAAAAYABgBb&#10;AQAAtwMAAAAA&#10;">
              <v:path/>
              <v:fill on="t" color2="#FFFFFF" opacity="5242f" focussize="0,0"/>
              <v:stroke weight="0.5pt" color="#000000" joinstyle="round"/>
              <v:imagedata o:title=""/>
              <o:lock v:ext="edit" aspectratio="f"/>
              <v:textbox>
                <w:txbxContent>
                  <w:p>
                    <w:pPr>
                      <w:rPr>
                        <w:rFonts w:hint="eastAsia" w:eastAsiaTheme="minorEastAsia"/>
                        <w:b/>
                        <w:bCs/>
                        <w:color w:val="FF0000"/>
                        <w:sz w:val="44"/>
                        <w:szCs w:val="52"/>
                        <w:lang w:val="en-US" w:eastAsia="zh-CN"/>
                      </w:rPr>
                    </w:pPr>
                    <w:r>
                      <w:rPr>
                        <w:rFonts w:hint="eastAsia"/>
                        <w:b/>
                        <w:bCs/>
                        <w:color w:val="FF0000"/>
                        <w:sz w:val="44"/>
                        <w:szCs w:val="52"/>
                        <w:lang w:val="en-US" w:eastAsia="zh-CN"/>
                      </w:rPr>
                      <w:t>本项目</w:t>
                    </w:r>
                  </w:p>
                </w:txbxContent>
              </v:textbox>
            </v:shape>
          </v:group>
        </w:pict>
      </w:r>
      <w:r>
        <w:rPr>
          <w:rFonts w:hint="eastAsia" w:eastAsiaTheme="minorEastAsia"/>
          <w:color w:val="auto"/>
          <w:lang w:eastAsia="zh-CN"/>
        </w:rPr>
        <w:drawing>
          <wp:inline distT="0" distB="0" distL="114300" distR="114300">
            <wp:extent cx="7634605" cy="4946015"/>
            <wp:effectExtent l="0" t="0" r="635" b="6985"/>
            <wp:docPr id="86" name="图片 86" descr="3厂区总平面布置图202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厂区总平面布置图2022.11.9"/>
                    <pic:cNvPicPr>
                      <a:picLocks noChangeAspect="1"/>
                    </pic:cNvPicPr>
                  </pic:nvPicPr>
                  <pic:blipFill>
                    <a:blip r:embed="rId93"/>
                    <a:srcRect t="8361"/>
                    <a:stretch>
                      <a:fillRect/>
                    </a:stretch>
                  </pic:blipFill>
                  <pic:spPr>
                    <a:xfrm>
                      <a:off x="0" y="0"/>
                      <a:ext cx="7634605" cy="4946015"/>
                    </a:xfrm>
                    <a:prstGeom prst="rect">
                      <a:avLst/>
                    </a:prstGeom>
                  </pic:spPr>
                </pic:pic>
              </a:graphicData>
            </a:graphic>
          </wp:inline>
        </w:drawing>
      </w:r>
    </w:p>
    <w:p>
      <w:pPr>
        <w:pStyle w:val="2"/>
      </w:pPr>
    </w:p>
    <w:p>
      <w:pPr>
        <w:sectPr>
          <w:pgSz w:w="16838" w:h="11906" w:orient="landscape"/>
          <w:pgMar w:top="1134" w:right="1134" w:bottom="1134" w:left="1134" w:header="851" w:footer="992" w:gutter="0"/>
          <w:pgNumType w:fmt="decimal"/>
          <w:cols w:space="425" w:num="1"/>
          <w:docGrid w:type="lines" w:linePitch="312" w:charSpace="0"/>
        </w:sectPr>
      </w:pPr>
    </w:p>
    <w:p>
      <w:pPr>
        <w:pStyle w:val="9"/>
        <w:bidi w:val="0"/>
        <w:outlineLvl w:val="0"/>
      </w:pPr>
      <w:bookmarkStart w:id="434" w:name="_Toc26697"/>
      <w:bookmarkStart w:id="435" w:name="_Toc26302"/>
      <w:bookmarkStart w:id="436" w:name="_Toc30125"/>
      <w:r>
        <w:rPr>
          <w:rFonts w:hint="eastAsia"/>
        </w:rPr>
        <w:t>附图4  项目平面布置图</w:t>
      </w:r>
      <w:bookmarkEnd w:id="434"/>
      <w:bookmarkEnd w:id="435"/>
      <w:bookmarkEnd w:id="436"/>
    </w:p>
    <w:p>
      <w:pPr>
        <w:bidi w:val="0"/>
        <w:jc w:val="center"/>
        <w:rPr>
          <w:rFonts w:hint="eastAsia" w:eastAsiaTheme="minorEastAsia"/>
          <w:lang w:eastAsia="zh-CN"/>
        </w:rPr>
        <w:sectPr>
          <w:pgSz w:w="16838" w:h="11906" w:orient="landscape"/>
          <w:pgMar w:top="1134" w:right="1134" w:bottom="1134" w:left="1134" w:header="851" w:footer="992" w:gutter="0"/>
          <w:pgNumType w:fmt="decimal"/>
          <w:cols w:space="425" w:num="1"/>
          <w:docGrid w:type="lines" w:linePitch="312" w:charSpace="0"/>
        </w:sectPr>
      </w:pPr>
      <w:r>
        <w:rPr>
          <w:sz w:val="21"/>
        </w:rPr>
        <w:pict>
          <v:shape id="文本框 90" o:spid="_x0000_s2332" o:spt="202" type="#_x0000_t202" style="position:absolute;left:0pt;margin-left:478.95pt;margin-top:61.3pt;height:37.45pt;width:72.5pt;z-index:251737088;mso-width-relative:page;mso-height-relative:page;" fillcolor="#FFFFFF" filled="t" stroked="f" coordsize="21600,21600" o:gfxdata="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SE&#10;r9raAAAADAEAAA8AAAAAAAAAAQAgAAAAIgAAAGRycy9kb3ducmV2LnhtbFBLAQIUABQAAAAIAIdO&#10;4kBHPC+cWgIAAK0EAAAOAAAAAAAAAAEAIAAAACkBAABkcnMvZTJvRG9jLnhtbFBLBQYAAAAABgAG&#10;AFkBAAD1BQAAAAA=&#10;">
            <v:path/>
            <v:fill on="t" color2="#FFFFFF" opacity="0f" focussize="0,0"/>
            <v:stroke on="f" weight="0.5pt"/>
            <v:imagedata o:title=""/>
            <o:lock v:ext="edit" aspectratio="f"/>
            <v:textbox>
              <w:txbxContent>
                <w:p>
                  <w:pPr>
                    <w:rPr>
                      <w:rFonts w:hint="default" w:eastAsiaTheme="minorEastAsia"/>
                      <w:b/>
                      <w:bCs/>
                      <w:color w:val="FF0000"/>
                      <w:sz w:val="36"/>
                      <w:szCs w:val="36"/>
                      <w:lang w:val="en-US" w:eastAsia="zh-CN"/>
                    </w:rPr>
                  </w:pPr>
                  <w:r>
                    <w:rPr>
                      <w:rFonts w:hint="eastAsia"/>
                      <w:b/>
                      <w:bCs/>
                      <w:color w:val="FF0000"/>
                      <w:sz w:val="36"/>
                      <w:szCs w:val="36"/>
                      <w:lang w:val="en-US" w:eastAsia="zh-CN"/>
                    </w:rPr>
                    <w:t>成品库</w:t>
                  </w:r>
                </w:p>
              </w:txbxContent>
            </v:textbox>
          </v:shape>
        </w:pict>
      </w:r>
      <w:r>
        <w:rPr>
          <w:sz w:val="21"/>
        </w:rPr>
        <w:pict>
          <v:shape id="文本框 91" o:spid="_x0000_s2328" o:spt="202" type="#_x0000_t202" style="position:absolute;left:0pt;margin-left:488.55pt;margin-top:141.4pt;height:37.45pt;width:72.5pt;z-index:251736064;mso-width-relative:page;mso-height-relative:page;" fillcolor="#FFFFFF" filled="t" stroked="f" coordsize="21600,21600" o:gfxdata="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eJ&#10;tsraAAAADAEAAA8AAAAAAAAAAQAgAAAAIgAAAGRycy9kb3ducmV2LnhtbFBLAQIUABQAAAAIAIdO&#10;4kAfHWhSWgIAAK0EAAAOAAAAAAAAAAEAIAAAACkBAABkcnMvZTJvRG9jLnhtbFBLBQYAAAAABgAG&#10;AFkBAAD1BQAAAAA=&#10;">
            <v:path/>
            <v:fill on="t" color2="#FFFFFF" opacity="0f" focussize="0,0"/>
            <v:stroke on="f" weight="0.5pt"/>
            <v:imagedata o:title=""/>
            <o:lock v:ext="edit" aspectratio="f"/>
            <v:textbox>
              <w:txbxContent>
                <w:p>
                  <w:pPr>
                    <w:rPr>
                      <w:rFonts w:hint="default" w:eastAsiaTheme="minorEastAsia"/>
                      <w:b/>
                      <w:bCs/>
                      <w:color w:val="FF0000"/>
                      <w:sz w:val="36"/>
                      <w:szCs w:val="36"/>
                      <w:lang w:val="en-US" w:eastAsia="zh-CN"/>
                    </w:rPr>
                  </w:pPr>
                  <w:r>
                    <w:rPr>
                      <w:rFonts w:hint="eastAsia"/>
                      <w:b/>
                      <w:bCs/>
                      <w:color w:val="FF0000"/>
                      <w:sz w:val="36"/>
                      <w:szCs w:val="36"/>
                      <w:lang w:val="en-US" w:eastAsia="zh-CN"/>
                    </w:rPr>
                    <w:t>成品库</w:t>
                  </w:r>
                </w:p>
              </w:txbxContent>
            </v:textbox>
          </v:shape>
        </w:pict>
      </w:r>
      <w:r>
        <w:rPr>
          <w:sz w:val="21"/>
        </w:rPr>
        <w:pict>
          <v:shape id="文本框 92" o:spid="_x0000_s2333" o:spt="202" type="#_x0000_t202" style="position:absolute;left:0pt;margin-left:432.25pt;margin-top:113.8pt;height:100pt;width:26.25pt;z-index:251738112;mso-width-relative:page;mso-height-relative:page;" fillcolor="#FFFFFF" filled="t" stroked="f" coordsize="21600,21600" o:gfxdata="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9TaM&#10;FdoAAAALAQAADwAAAAAAAAABACAAAAAiAAAAZHJzL2Rvd25yZXYueG1sUEsBAhQAFAAAAAgAh07i&#10;QILBKe5ZAgAArgQAAA4AAAAAAAAAAQAgAAAAKQEAAGRycy9lMm9Eb2MueG1sUEsFBgAAAAAGAAYA&#10;WQEAAPQFAAAAAA==&#10;">
            <v:path/>
            <v:fill on="t" color2="#FFFFFF" opacity="0f" focussize="0,0"/>
            <v:stroke on="f" weight="0.5pt"/>
            <v:imagedata o:title=""/>
            <o:lock v:ext="edit" aspectratio="f"/>
            <v:textbox>
              <w:txbxContent>
                <w:p>
                  <w:pPr>
                    <w:rPr>
                      <w:rFonts w:hint="default" w:eastAsiaTheme="minorEastAsia"/>
                      <w:b/>
                      <w:bCs/>
                      <w:color w:val="FF0000"/>
                      <w:sz w:val="36"/>
                      <w:szCs w:val="36"/>
                      <w:lang w:val="en-US" w:eastAsia="zh-CN"/>
                    </w:rPr>
                  </w:pPr>
                  <w:r>
                    <w:rPr>
                      <w:rFonts w:hint="eastAsia"/>
                      <w:b/>
                      <w:bCs/>
                      <w:color w:val="FF0000"/>
                      <w:sz w:val="36"/>
                      <w:szCs w:val="36"/>
                      <w:lang w:val="en-US" w:eastAsia="zh-CN"/>
                    </w:rPr>
                    <w:t>辅材库</w:t>
                  </w:r>
                </w:p>
              </w:txbxContent>
            </v:textbox>
          </v:shape>
        </w:pict>
      </w:r>
      <w:r>
        <w:rPr>
          <w:sz w:val="21"/>
        </w:rPr>
        <w:pict>
          <v:shape id="文本框 93" o:spid="_x0000_s2334" o:spt="202" type="#_x0000_t202" style="position:absolute;left:0pt;margin-left:493.5pt;margin-top:227.4pt;height:37.45pt;width:53.15pt;z-index:251735040;mso-width-relative:page;mso-height-relative:page;" fillcolor="#FFFFFF" filled="t" stroked="f" coordsize="21600,21600" o:gfxdata="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m0/jbNsAAAAMAQAADwAAAAAAAAABACAAAAAiAAAAZHJzL2Rvd25yZXYueG1sUEsBAhQAFAAAAAgA&#10;h07iQMVh7J1bAgAArQQAAA4AAAAAAAAAAQAgAAAAKgEAAGRycy9lMm9Eb2MueG1sUEsFBgAAAAAG&#10;AAYAWQEAAPcFAAAAAA==&#10;">
            <v:path/>
            <v:fill on="t" color2="#FFFFFF" opacity="0f" focussize="0,0"/>
            <v:stroke on="f" weight="0.5pt"/>
            <v:imagedata o:title=""/>
            <o:lock v:ext="edit" aspectratio="f"/>
            <v:textbox>
              <w:txbxContent>
                <w:p>
                  <w:pPr>
                    <w:rPr>
                      <w:rFonts w:hint="default" w:eastAsiaTheme="minorEastAsia"/>
                      <w:b/>
                      <w:bCs/>
                      <w:color w:val="FF0000"/>
                      <w:sz w:val="36"/>
                      <w:szCs w:val="36"/>
                      <w:lang w:val="en-US" w:eastAsia="zh-CN"/>
                    </w:rPr>
                  </w:pPr>
                  <w:r>
                    <w:rPr>
                      <w:rFonts w:hint="eastAsia"/>
                      <w:b/>
                      <w:bCs/>
                      <w:color w:val="FF0000"/>
                      <w:sz w:val="36"/>
                      <w:szCs w:val="36"/>
                      <w:lang w:val="en-US" w:eastAsia="zh-CN"/>
                    </w:rPr>
                    <w:t>抄浆</w:t>
                  </w:r>
                </w:p>
              </w:txbxContent>
            </v:textbox>
          </v:shape>
        </w:pict>
      </w:r>
      <w:r>
        <w:rPr>
          <w:sz w:val="21"/>
        </w:rPr>
        <w:pict>
          <v:shape id="文本框 96" o:spid="_x0000_s2335" o:spt="202" type="#_x0000_t202" style="position:absolute;left:0pt;margin-left:254.85pt;margin-top:143.05pt;height:37.45pt;width:153.1pt;z-index:251731968;mso-width-relative:page;mso-height-relative:page;" fillcolor="#FFFFFF" filled="t" stroked="f" coordsize="21600,21600" o:gfxdata="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t9vZNoAAAALAQAADwAAAAAAAAABACAAAAAiAAAAZHJzL2Rvd25yZXYueG1sUEsBAhQAFAAAAAgA&#10;h07iQPrHhsxcAgAArgQAAA4AAAAAAAAAAQAgAAAAKQEAAGRycy9lMm9Eb2MueG1sUEsFBgAAAAAG&#10;AAYAWQEAAPcFAAAAAA==&#10;">
            <v:path/>
            <v:fill on="t" color2="#FFFFFF" opacity="0f" focussize="0,0"/>
            <v:stroke on="f" weight="0.5pt"/>
            <v:imagedata o:title=""/>
            <o:lock v:ext="edit" aspectratio="f"/>
            <v:textbox>
              <w:txbxContent>
                <w:p>
                  <w:pPr>
                    <w:rPr>
                      <w:rFonts w:hint="default" w:eastAsiaTheme="minorEastAsia"/>
                      <w:b/>
                      <w:bCs/>
                      <w:color w:val="FF0000"/>
                      <w:sz w:val="36"/>
                      <w:szCs w:val="36"/>
                      <w:lang w:val="en-US" w:eastAsia="zh-CN"/>
                    </w:rPr>
                  </w:pPr>
                  <w:r>
                    <w:rPr>
                      <w:rFonts w:hint="eastAsia"/>
                      <w:b/>
                      <w:bCs/>
                      <w:color w:val="FF0000"/>
                      <w:sz w:val="36"/>
                      <w:szCs w:val="36"/>
                      <w:lang w:val="en-US" w:eastAsia="zh-CN"/>
                    </w:rPr>
                    <w:t>蒸发生产木质素</w:t>
                  </w:r>
                </w:p>
              </w:txbxContent>
            </v:textbox>
          </v:shape>
        </w:pict>
      </w:r>
      <w:r>
        <w:rPr>
          <w:sz w:val="21"/>
        </w:rPr>
        <w:pict>
          <v:shape id="文本框 97" o:spid="_x0000_s2336" o:spt="202" type="#_x0000_t202" style="position:absolute;left:0pt;margin-left:351.95pt;margin-top:235.85pt;height:37.45pt;width:53.15pt;z-index:251734016;mso-width-relative:page;mso-height-relative:page;" fillcolor="#FFFFFF" filled="t" stroked="f" coordsize="21600,21600" o:gfxdata="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5qXxDbAAAACwEAAA8AAAAAAAAAAQAgAAAAIgAAAGRycy9kb3ducmV2LnhtbFBLAQIUABQAAAAI&#10;AIdO4kAn6BISXAIAAK0EAAAOAAAAAAAAAAEAIAAAACoBAABkcnMvZTJvRG9jLnhtbFBLBQYAAAAA&#10;BgAGAFkBAAD4BQAAAAA=&#10;">
            <v:path/>
            <v:fill on="t" color2="#FFFFFF" opacity="0f" focussize="0,0"/>
            <v:stroke on="f" weight="0.5pt"/>
            <v:imagedata o:title=""/>
            <o:lock v:ext="edit" aspectratio="f"/>
            <v:textbox>
              <w:txbxContent>
                <w:p>
                  <w:pPr>
                    <w:rPr>
                      <w:rFonts w:hint="default" w:eastAsiaTheme="minorEastAsia"/>
                      <w:b/>
                      <w:bCs/>
                      <w:color w:val="FF0000"/>
                      <w:sz w:val="36"/>
                      <w:szCs w:val="36"/>
                      <w:lang w:val="en-US" w:eastAsia="zh-CN"/>
                    </w:rPr>
                  </w:pPr>
                  <w:r>
                    <w:rPr>
                      <w:rFonts w:hint="eastAsia"/>
                      <w:b/>
                      <w:bCs/>
                      <w:color w:val="FF0000"/>
                      <w:sz w:val="36"/>
                      <w:szCs w:val="36"/>
                      <w:lang w:val="en-US" w:eastAsia="zh-CN"/>
                    </w:rPr>
                    <w:t>漂白</w:t>
                  </w:r>
                </w:p>
              </w:txbxContent>
            </v:textbox>
          </v:shape>
        </w:pict>
      </w:r>
      <w:r>
        <w:rPr>
          <w:sz w:val="21"/>
        </w:rPr>
        <w:pict>
          <v:shape id="文本框 98" o:spid="_x0000_s2337" o:spt="202" type="#_x0000_t202" style="position:absolute;left:0pt;margin-left:257.55pt;margin-top:236.2pt;height:37.45pt;width:53.15pt;z-index:251732992;mso-width-relative:page;mso-height-relative:page;" fillcolor="#FFFFFF" filled="t" stroked="f" coordsize="21600,21600" o:gfxdata="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3&#10;fPcz2gAAAAsBAAAPAAAAAAAAAAEAIAAAACIAAABkcnMvZG93bnJldi54bWxQSwECFAAUAAAACACH&#10;TuJA6RHY0FsCAACtBAAADgAAAAAAAAABACAAAAApAQAAZHJzL2Uyb0RvYy54bWxQSwUGAAAAAAYA&#10;BgBZAQAA9gUAAAAA&#10;">
            <v:path/>
            <v:fill on="t" color2="#FFFFFF" opacity="0f" focussize="0,0"/>
            <v:stroke on="f" weight="0.5pt"/>
            <v:imagedata o:title=""/>
            <o:lock v:ext="edit" aspectratio="f"/>
            <v:textbox>
              <w:txbxContent>
                <w:p>
                  <w:pPr>
                    <w:rPr>
                      <w:rFonts w:hint="default" w:eastAsiaTheme="minorEastAsia"/>
                      <w:b/>
                      <w:bCs/>
                      <w:color w:val="FF0000"/>
                      <w:sz w:val="36"/>
                      <w:szCs w:val="36"/>
                      <w:lang w:val="en-US" w:eastAsia="zh-CN"/>
                    </w:rPr>
                  </w:pPr>
                  <w:r>
                    <w:rPr>
                      <w:rFonts w:hint="eastAsia"/>
                      <w:b/>
                      <w:bCs/>
                      <w:color w:val="FF0000"/>
                      <w:sz w:val="36"/>
                      <w:szCs w:val="36"/>
                      <w:lang w:val="en-US" w:eastAsia="zh-CN"/>
                    </w:rPr>
                    <w:t>洗浆</w:t>
                  </w:r>
                </w:p>
              </w:txbxContent>
            </v:textbox>
          </v:shape>
        </w:pict>
      </w:r>
      <w:r>
        <w:rPr>
          <w:sz w:val="21"/>
        </w:rPr>
        <w:pict>
          <v:shape id="文本框 99" o:spid="_x0000_s2338" o:spt="202" type="#_x0000_t202" style="position:absolute;left:0pt;margin-left:174.8pt;margin-top:216.25pt;height:37.45pt;width:60.2pt;z-index:251730944;mso-width-relative:page;mso-height-relative:page;" fillcolor="#FFFFFF" filled="t" stroked="f" coordsize="21600,21600" o:gfxdata="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FafxtsAAAALAQAADwAAAAAAAAABACAAAAAiAAAAZHJzL2Rvd25yZXYueG1sUEsBAhQAFAAAAAgA&#10;h07iQCKSMYlbAgAArQQAAA4AAAAAAAAAAQAgAAAAKgEAAGRycy9lMm9Eb2MueG1sUEsFBgAAAAAG&#10;AAYAWQEAAPcFAAAAAA==&#10;">
            <v:path/>
            <v:fill on="t" color2="#FFFFFF" opacity="0f" focussize="0,0"/>
            <v:stroke on="f" weight="0.5pt"/>
            <v:imagedata o:title=""/>
            <o:lock v:ext="edit" aspectratio="f"/>
            <v:textbox>
              <w:txbxContent>
                <w:p>
                  <w:pPr>
                    <w:rPr>
                      <w:rFonts w:hint="default" w:eastAsiaTheme="minorEastAsia"/>
                      <w:b/>
                      <w:bCs/>
                      <w:color w:val="FF0000"/>
                      <w:sz w:val="36"/>
                      <w:szCs w:val="36"/>
                      <w:lang w:val="en-US" w:eastAsia="zh-CN"/>
                    </w:rPr>
                  </w:pPr>
                  <w:r>
                    <w:rPr>
                      <w:rFonts w:hint="eastAsia"/>
                      <w:b/>
                      <w:bCs/>
                      <w:color w:val="FF0000"/>
                      <w:sz w:val="36"/>
                      <w:szCs w:val="36"/>
                      <w:lang w:val="en-US" w:eastAsia="zh-CN"/>
                    </w:rPr>
                    <w:t>蒸煮</w:t>
                  </w:r>
                </w:p>
              </w:txbxContent>
            </v:textbox>
          </v:shape>
        </w:pict>
      </w:r>
      <w:r>
        <w:rPr>
          <w:sz w:val="21"/>
        </w:rPr>
        <w:pict>
          <v:rect id="矩形 100" o:spid="_x0000_s2325" o:spt="1" style="position:absolute;left:0pt;margin-left:98.05pt;margin-top:5.65pt;height:398.05pt;width:547.9pt;z-index:251726848;v-text-anchor:middle;mso-width-relative:page;mso-height-relative:page;" fillcolor="#FFFF00" filled="t" stroked="t" coordsize="21600,21600" o:gfxdata="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DTvYC2gAA&#10;AAsBAAAPAAAAAAAAAAEAIAAAACIAAABkcnMvZG93bnJldi54bWxQSwECFAAUAAAACACHTuJAd54K&#10;gY4CAAAmBQAADgAAAAAAAAABACAAAAApAQAAZHJzL2Uyb0RvYy54bWxQSwUGAAAAAAYABgBZAQAA&#10;KQYAAAAA&#10;">
            <v:path/>
            <v:fill on="t" color2="#FFFFFF" opacity="14417f" focussize="0,0"/>
            <v:stroke weight="3pt" color="#FF0000" miterlimit="8" joinstyle="miter"/>
            <v:imagedata o:title=""/>
            <o:lock v:ext="edit" aspectratio="f"/>
          </v:rect>
        </w:pict>
      </w:r>
      <w:r>
        <w:rPr>
          <w:sz w:val="21"/>
        </w:rPr>
        <w:pict>
          <v:shape id="文本框 101" o:spid="_x0000_s2324" o:spt="202" type="#_x0000_t202" style="position:absolute;left:0pt;margin-left:173.2pt;margin-top:121.05pt;height:67.4pt;width:64.15pt;z-index:251729920;mso-width-relative:page;mso-height-relative:page;" fillcolor="#FFFFFF" filled="t" stroked="f" coordsize="21600,21600" o:gfxdata="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A&#10;5eES2gAAAAsBAAAPAAAAAAAAAAEAIAAAACIAAABkcnMvZG93bnJldi54bWxQSwECFAAUAAAACACH&#10;TuJAle62olsCAACvBAAADgAAAAAAAAABACAAAAApAQAAZHJzL2Uyb0RvYy54bWxQSwUGAAAAAAYA&#10;BgBZAQAA9gUAAAAA&#10;">
            <v:path/>
            <v:fill on="t" color2="#FFFFFF" opacity="0f" focussize="0,0"/>
            <v:stroke on="f" weight="0.5pt"/>
            <v:imagedata o:title=""/>
            <o:lock v:ext="edit" aspectratio="f"/>
            <v:textbox>
              <w:txbxContent>
                <w:p>
                  <w:pPr>
                    <w:rPr>
                      <w:rFonts w:hint="eastAsia"/>
                      <w:b/>
                      <w:bCs/>
                      <w:color w:val="FF0000"/>
                      <w:sz w:val="36"/>
                      <w:szCs w:val="36"/>
                      <w:lang w:val="en-US" w:eastAsia="zh-CN"/>
                    </w:rPr>
                  </w:pPr>
                  <w:r>
                    <w:rPr>
                      <w:rFonts w:hint="eastAsia"/>
                      <w:b/>
                      <w:bCs/>
                      <w:color w:val="FF0000"/>
                      <w:sz w:val="36"/>
                      <w:szCs w:val="36"/>
                      <w:lang w:val="en-US" w:eastAsia="zh-CN"/>
                    </w:rPr>
                    <w:t>水力</w:t>
                  </w:r>
                </w:p>
                <w:p>
                  <w:pPr>
                    <w:rPr>
                      <w:rFonts w:hint="default" w:eastAsiaTheme="minorEastAsia"/>
                      <w:b/>
                      <w:bCs/>
                      <w:color w:val="FF0000"/>
                      <w:sz w:val="36"/>
                      <w:szCs w:val="36"/>
                      <w:lang w:val="en-US" w:eastAsia="zh-CN"/>
                    </w:rPr>
                  </w:pPr>
                  <w:r>
                    <w:rPr>
                      <w:rFonts w:hint="eastAsia"/>
                      <w:b/>
                      <w:bCs/>
                      <w:color w:val="FF0000"/>
                      <w:sz w:val="36"/>
                      <w:szCs w:val="36"/>
                      <w:lang w:val="en-US" w:eastAsia="zh-CN"/>
                    </w:rPr>
                    <w:t>除杂</w:t>
                  </w:r>
                </w:p>
              </w:txbxContent>
            </v:textbox>
          </v:shape>
        </w:pict>
      </w:r>
      <w:r>
        <w:rPr>
          <w:sz w:val="21"/>
        </w:rPr>
        <w:pict>
          <v:shape id="文本框 102" o:spid="_x0000_s2327" o:spt="202" type="#_x0000_t202" style="position:absolute;left:0pt;margin-left:180.2pt;margin-top:60.25pt;height:37.45pt;width:64.15pt;z-index:251728896;mso-width-relative:page;mso-height-relative:page;" fillcolor="#FFFFFF" filled="t" stroked="f" coordsize="21600,21600" o:gfxdata="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bS3WLNoAAAALAQAADwAAAAAAAAABACAAAAAiAAAAZHJzL2Rvd25yZXYueG1sUEsBAhQAFAAAAAgA&#10;h07iQFvjGshcAgAArwQAAA4AAAAAAAAAAQAgAAAAKQEAAGRycy9lMm9Eb2MueG1sUEsFBgAAAAAG&#10;AAYAWQEAAPcFAAAAAA==&#10;">
            <v:path/>
            <v:fill on="t" color2="#FFFFFF" opacity="0f" focussize="0,0"/>
            <v:stroke on="f" weight="0.5pt"/>
            <v:imagedata o:title=""/>
            <o:lock v:ext="edit" aspectratio="f"/>
            <v:textbox>
              <w:txbxContent>
                <w:p>
                  <w:pPr>
                    <w:rPr>
                      <w:rFonts w:hint="eastAsia" w:eastAsiaTheme="minorEastAsia"/>
                      <w:b/>
                      <w:bCs/>
                      <w:color w:val="FF0000"/>
                      <w:sz w:val="72"/>
                      <w:szCs w:val="144"/>
                      <w:lang w:val="en-US" w:eastAsia="zh-CN"/>
                    </w:rPr>
                  </w:pPr>
                  <w:r>
                    <w:rPr>
                      <w:rFonts w:hint="eastAsia"/>
                      <w:b/>
                      <w:bCs/>
                      <w:color w:val="FF0000"/>
                      <w:sz w:val="40"/>
                      <w:szCs w:val="48"/>
                      <w:lang w:val="en-US" w:eastAsia="zh-CN"/>
                    </w:rPr>
                    <w:t>备料</w:t>
                  </w:r>
                </w:p>
              </w:txbxContent>
            </v:textbox>
          </v:shape>
        </w:pict>
      </w:r>
      <w:r>
        <w:rPr>
          <w:sz w:val="21"/>
        </w:rPr>
        <w:pict>
          <v:shape id="文本框 103" o:spid="_x0000_s2326" o:spt="202" type="#_x0000_t202" style="position:absolute;left:0pt;margin-left:126.45pt;margin-top:69.85pt;height:172.4pt;width:31.75pt;z-index:251727872;mso-width-relative:page;mso-height-relative:page;" filled="f" stroked="f" coordsize="21600,21600" o:gfxdata="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IzKqB3QAAAAsBAAAPAAAA&#10;AAAAAAEAIAAAACIAAABkcnMvZG93bnJldi54bWxQSwECFAAUAAAACACHTuJAiZeo00kCAAB2BAAA&#10;DgAAAAAAAAABACAAAAAsAQAAZHJzL2Uyb0RvYy54bWxQSwUGAAAAAAYABgBZAQAA5wUAAAAA&#10;">
            <v:path/>
            <v:fill on="f" focussize="0,0"/>
            <v:stroke on="f" weight="0.5pt"/>
            <v:imagedata o:title=""/>
            <o:lock v:ext="edit" aspectratio="f"/>
            <v:textbox>
              <w:txbxContent>
                <w:p>
                  <w:pPr>
                    <w:rPr>
                      <w:rFonts w:hint="eastAsia" w:eastAsiaTheme="minorEastAsia"/>
                      <w:b/>
                      <w:bCs/>
                      <w:color w:val="FF0000"/>
                      <w:sz w:val="72"/>
                      <w:szCs w:val="144"/>
                      <w:lang w:val="en-US" w:eastAsia="zh-CN"/>
                    </w:rPr>
                  </w:pPr>
                  <w:r>
                    <w:rPr>
                      <w:rFonts w:hint="eastAsia"/>
                      <w:b/>
                      <w:bCs/>
                      <w:color w:val="FF0000"/>
                      <w:sz w:val="40"/>
                      <w:szCs w:val="48"/>
                      <w:lang w:val="en-US" w:eastAsia="zh-CN"/>
                    </w:rPr>
                    <w:t>菌草堆料库</w:t>
                  </w:r>
                </w:p>
              </w:txbxContent>
            </v:textbox>
          </v:shape>
        </w:pict>
      </w:r>
      <w:r>
        <w:rPr>
          <w:rFonts w:ascii="Times New Roman" w:hAnsi="Times New Roman" w:cs="Times New Roman"/>
          <w:b/>
          <w:bCs/>
          <w:sz w:val="24"/>
        </w:rPr>
        <w:drawing>
          <wp:inline distT="0" distB="0" distL="0" distR="0">
            <wp:extent cx="7271385" cy="5276850"/>
            <wp:effectExtent l="0" t="0" r="13335" b="1143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94" cstate="print">
                      <a:extLst>
                        <a:ext uri="{28A0092B-C50C-407E-A947-70E740481C1C}">
                          <a14:useLocalDpi xmlns:a14="http://schemas.microsoft.com/office/drawing/2010/main" val="0"/>
                        </a:ext>
                      </a:extLst>
                    </a:blip>
                    <a:srcRect l="3014" t="441"/>
                    <a:stretch>
                      <a:fillRect/>
                    </a:stretch>
                  </pic:blipFill>
                  <pic:spPr>
                    <a:xfrm>
                      <a:off x="0" y="0"/>
                      <a:ext cx="7271385" cy="5276850"/>
                    </a:xfrm>
                    <a:prstGeom prst="rect">
                      <a:avLst/>
                    </a:prstGeom>
                    <a:ln>
                      <a:noFill/>
                    </a:ln>
                  </pic:spPr>
                </pic:pic>
              </a:graphicData>
            </a:graphic>
          </wp:inline>
        </w:drawing>
      </w:r>
    </w:p>
    <w:p>
      <w:pPr>
        <w:pStyle w:val="9"/>
        <w:bidi w:val="0"/>
        <w:outlineLvl w:val="0"/>
        <w:rPr>
          <w:rFonts w:hint="default"/>
          <w:lang w:val="en-US" w:eastAsia="zh-CN"/>
        </w:rPr>
      </w:pPr>
      <w:bookmarkStart w:id="437" w:name="_Toc17709"/>
      <w:bookmarkStart w:id="438" w:name="_Toc9868"/>
      <w:bookmarkStart w:id="439" w:name="_Toc17523"/>
      <w:r>
        <w:rPr>
          <w:rFonts w:hint="eastAsia"/>
        </w:rPr>
        <w:t>附图5</w:t>
      </w:r>
      <w:r>
        <w:t xml:space="preserve">  </w:t>
      </w:r>
      <w:bookmarkEnd w:id="437"/>
      <w:r>
        <w:rPr>
          <w:rFonts w:hint="eastAsia"/>
          <w:lang w:val="en-US" w:eastAsia="zh-CN"/>
        </w:rPr>
        <w:t>小店镇总体规划图及项目地理位置图</w:t>
      </w:r>
      <w:bookmarkEnd w:id="438"/>
      <w:bookmarkEnd w:id="439"/>
    </w:p>
    <w:p>
      <w:pPr>
        <w:pStyle w:val="2"/>
        <w:ind w:left="0" w:leftChars="0" w:firstLine="0" w:firstLineChars="0"/>
        <w:jc w:val="center"/>
        <w:rPr>
          <w:rFonts w:hint="eastAsia" w:eastAsiaTheme="minorEastAsia"/>
          <w:color w:val="auto"/>
          <w:lang w:eastAsia="zh-CN"/>
        </w:rPr>
        <w:sectPr>
          <w:pgSz w:w="16838" w:h="11906" w:orient="landscape"/>
          <w:pgMar w:top="1134" w:right="1134" w:bottom="1134" w:left="1134" w:header="851" w:footer="992" w:gutter="0"/>
          <w:pgNumType w:fmt="decimal"/>
          <w:cols w:space="425" w:num="1"/>
          <w:docGrid w:type="lines" w:linePitch="312" w:charSpace="0"/>
        </w:sectPr>
      </w:pPr>
      <w:r>
        <w:rPr>
          <w:rFonts w:hint="eastAsia" w:eastAsiaTheme="minorEastAsia"/>
          <w:color w:val="auto"/>
          <w:lang w:eastAsia="zh-CN"/>
        </w:rPr>
        <w:object>
          <v:shape id="_x0000_i1028" o:spt="75" alt="" type="#_x0000_t75" style="height:402.7pt;width:586.3pt;" o:ole="t" filled="f" o:preferrelative="t" stroked="f" coordsize="21600,21600">
            <v:path/>
            <v:fill on="f" focussize="0,0"/>
            <v:stroke on="f"/>
            <v:imagedata r:id="rId96" cropleft="6261f" cropright="6392f" cropbottom="4418f" o:title=""/>
            <o:lock v:ext="edit" aspectratio="t"/>
            <w10:wrap type="none"/>
            <w10:anchorlock/>
          </v:shape>
          <o:OLEObject Type="Embed" ProgID="Word.Document.12" ShapeID="_x0000_i1028" DrawAspect="Content" ObjectID="_1468075728" r:id="rId95">
            <o:LockedField>false</o:LockedField>
          </o:OLEObject>
        </w:object>
      </w:r>
    </w:p>
    <w:p>
      <w:pPr>
        <w:pStyle w:val="9"/>
        <w:bidi w:val="0"/>
        <w:outlineLvl w:val="0"/>
        <w:rPr>
          <w:rFonts w:hint="default"/>
          <w:lang w:val="en-US" w:eastAsia="zh-CN"/>
        </w:rPr>
      </w:pPr>
      <w:bookmarkStart w:id="440" w:name="_Toc11468"/>
      <w:r>
        <w:rPr>
          <w:rFonts w:hint="eastAsia"/>
          <w:lang w:val="en-US" w:eastAsia="zh-CN"/>
        </w:rPr>
        <w:t>附图6 集聚区产业布局规划图</w:t>
      </w:r>
      <w:bookmarkEnd w:id="440"/>
    </w:p>
    <w:p>
      <w:pPr>
        <w:jc w:val="center"/>
        <w:rPr>
          <w:rFonts w:hint="eastAsia"/>
          <w:lang w:eastAsia="zh-CN"/>
        </w:rPr>
        <w:sectPr>
          <w:pgSz w:w="16838" w:h="11906" w:orient="landscape"/>
          <w:pgMar w:top="1134" w:right="1134" w:bottom="1134" w:left="1134" w:header="851" w:footer="992" w:gutter="0"/>
          <w:pgNumType w:fmt="decimal"/>
          <w:cols w:space="425" w:num="1"/>
          <w:docGrid w:type="lines" w:linePitch="312" w:charSpace="0"/>
        </w:sectPr>
      </w:pPr>
      <w:r>
        <w:rPr>
          <w:rFonts w:hint="eastAsia"/>
          <w:lang w:eastAsia="zh-CN"/>
        </w:rPr>
        <w:object>
          <v:shape id="_x0000_i1029" o:spt="75" alt="" type="#_x0000_t75" style="height:402.25pt;width:744.75pt;" o:ole="t" filled="f" o:preferrelative="t" stroked="f" coordsize="21600,21600">
            <v:path/>
            <v:fill on="f" focussize="0,0"/>
            <v:stroke on="f"/>
            <v:imagedata r:id="rId98" cropright="5530f" cropbottom="21406f" o:title=""/>
            <o:lock v:ext="edit" aspectratio="t"/>
            <w10:wrap type="none"/>
            <w10:anchorlock/>
          </v:shape>
          <o:OLEObject Type="Embed" ProgID="Word.Document.8" ShapeID="_x0000_i1029" DrawAspect="Content" ObjectID="_1468075729" r:id="rId97">
            <o:LockedField>false</o:LockedField>
          </o:OLEObject>
        </w:object>
      </w:r>
    </w:p>
    <w:p>
      <w:pPr>
        <w:pStyle w:val="9"/>
        <w:bidi w:val="0"/>
        <w:outlineLvl w:val="0"/>
        <w:rPr>
          <w:rFonts w:hint="eastAsia"/>
          <w:lang w:eastAsia="zh-CN"/>
        </w:rPr>
      </w:pPr>
      <w:bookmarkStart w:id="441" w:name="_Toc31862"/>
      <w:bookmarkStart w:id="442" w:name="_Toc17062"/>
      <w:r>
        <w:rPr>
          <w:rFonts w:hint="eastAsia"/>
          <w:lang w:eastAsia="zh-CN"/>
        </w:rPr>
        <w:t>附图7 国家新乡经济技术开发区噪声功能区划图</w:t>
      </w:r>
      <w:bookmarkEnd w:id="441"/>
      <w:bookmarkEnd w:id="442"/>
    </w:p>
    <w:p>
      <w:pPr>
        <w:jc w:val="center"/>
        <w:rPr>
          <w:rFonts w:hint="eastAsia"/>
          <w:lang w:eastAsia="zh-CN"/>
        </w:rPr>
      </w:pPr>
      <w:r>
        <w:drawing>
          <wp:inline distT="0" distB="0" distL="114300" distR="114300">
            <wp:extent cx="7200900" cy="4892040"/>
            <wp:effectExtent l="0" t="0" r="7620" b="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99"/>
                    <a:stretch>
                      <a:fillRect/>
                    </a:stretch>
                  </pic:blipFill>
                  <pic:spPr>
                    <a:xfrm>
                      <a:off x="0" y="0"/>
                      <a:ext cx="7200900" cy="4892040"/>
                    </a:xfrm>
                    <a:prstGeom prst="rect">
                      <a:avLst/>
                    </a:prstGeom>
                    <a:noFill/>
                    <a:ln>
                      <a:noFill/>
                    </a:ln>
                  </pic:spPr>
                </pic:pic>
              </a:graphicData>
            </a:graphic>
          </wp:inline>
        </w:drawing>
      </w:r>
    </w:p>
    <w:p>
      <w:pPr>
        <w:pStyle w:val="2"/>
        <w:rPr>
          <w:rFonts w:hint="eastAsia"/>
          <w:lang w:eastAsia="zh-CN"/>
        </w:rPr>
      </w:pPr>
    </w:p>
    <w:p>
      <w:pPr>
        <w:rPr>
          <w:rFonts w:hint="eastAsia"/>
          <w:lang w:eastAsia="zh-CN"/>
        </w:rPr>
        <w:sectPr>
          <w:pgSz w:w="16838" w:h="11906" w:orient="landscape"/>
          <w:pgMar w:top="1134" w:right="1134" w:bottom="1134" w:left="1134" w:header="851" w:footer="992" w:gutter="0"/>
          <w:pgNumType w:fmt="decimal"/>
          <w:cols w:space="425" w:num="1"/>
          <w:docGrid w:type="lines" w:linePitch="312" w:charSpace="0"/>
        </w:sectPr>
      </w:pPr>
    </w:p>
    <w:p>
      <w:pPr>
        <w:pStyle w:val="9"/>
        <w:bidi w:val="0"/>
        <w:outlineLvl w:val="0"/>
        <w:rPr>
          <w:rFonts w:hint="eastAsia"/>
          <w:lang w:val="en-US" w:eastAsia="zh-CN"/>
        </w:rPr>
      </w:pPr>
      <w:bookmarkStart w:id="443" w:name="_Toc1080"/>
      <w:bookmarkStart w:id="444" w:name="_Toc6695"/>
      <w:bookmarkStart w:id="445" w:name="_Toc31495"/>
      <w:r>
        <w:rPr>
          <w:rFonts w:hint="eastAsia"/>
          <w:lang w:val="en-US" w:eastAsia="zh-CN"/>
        </w:rPr>
        <w:t>附图8 本项目现状</w:t>
      </w:r>
      <w:bookmarkEnd w:id="443"/>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bidi w:val="0"/>
              <w:rPr>
                <w:rFonts w:hint="default"/>
                <w:lang w:val="en-US" w:eastAsia="zh-CN"/>
              </w:rPr>
            </w:pPr>
            <w:r>
              <w:rPr>
                <w:rFonts w:hint="default"/>
                <w:lang w:val="en-US" w:eastAsia="zh-CN"/>
              </w:rPr>
              <w:drawing>
                <wp:inline distT="0" distB="0" distL="114300" distR="114300">
                  <wp:extent cx="2519680" cy="1889760"/>
                  <wp:effectExtent l="0" t="0" r="10160" b="0"/>
                  <wp:docPr id="105" name="图片 105" descr="095fda7951f5876addcfbeec48fc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095fda7951f5876addcfbeec48fc941"/>
                          <pic:cNvPicPr>
                            <a:picLocks noChangeAspect="1"/>
                          </pic:cNvPicPr>
                        </pic:nvPicPr>
                        <pic:blipFill>
                          <a:blip r:embed="rId100"/>
                          <a:stretch>
                            <a:fillRect/>
                          </a:stretch>
                        </pic:blipFill>
                        <pic:spPr>
                          <a:xfrm>
                            <a:off x="0" y="0"/>
                            <a:ext cx="2519680" cy="1889760"/>
                          </a:xfrm>
                          <a:prstGeom prst="rect">
                            <a:avLst/>
                          </a:prstGeom>
                        </pic:spPr>
                      </pic:pic>
                    </a:graphicData>
                  </a:graphic>
                </wp:inline>
              </w:drawing>
            </w:r>
          </w:p>
        </w:tc>
        <w:tc>
          <w:tcPr>
            <w:tcW w:w="4261" w:type="dxa"/>
          </w:tcPr>
          <w:p>
            <w:pPr>
              <w:bidi w:val="0"/>
              <w:rPr>
                <w:rFonts w:hint="default"/>
                <w:vertAlign w:val="baseline"/>
                <w:lang w:val="en-US" w:eastAsia="zh-CN"/>
              </w:rPr>
            </w:pPr>
            <w:r>
              <w:rPr>
                <w:rFonts w:hint="default"/>
                <w:vertAlign w:val="baseline"/>
                <w:lang w:val="en-US" w:eastAsia="zh-CN"/>
              </w:rPr>
              <w:drawing>
                <wp:inline distT="0" distB="0" distL="114300" distR="114300">
                  <wp:extent cx="2519680" cy="1889760"/>
                  <wp:effectExtent l="0" t="0" r="10160" b="0"/>
                  <wp:docPr id="106" name="图片 106" descr="7fdd72d7e248ec60186b6b0425c6f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7fdd72d7e248ec60186b6b0425c6f0c"/>
                          <pic:cNvPicPr>
                            <a:picLocks noChangeAspect="1"/>
                          </pic:cNvPicPr>
                        </pic:nvPicPr>
                        <pic:blipFill>
                          <a:blip r:embed="rId101"/>
                          <a:stretch>
                            <a:fillRect/>
                          </a:stretch>
                        </pic:blipFill>
                        <pic:spPr>
                          <a:xfrm>
                            <a:off x="0" y="0"/>
                            <a:ext cx="2519680" cy="1889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bidi w:val="0"/>
              <w:jc w:val="center"/>
              <w:rPr>
                <w:rFonts w:hint="default"/>
                <w:lang w:val="en-US" w:eastAsia="zh-CN"/>
              </w:rPr>
            </w:pPr>
            <w:r>
              <w:rPr>
                <w:rFonts w:hint="eastAsia"/>
                <w:lang w:val="en-US" w:eastAsia="zh-CN"/>
              </w:rPr>
              <w:t>工程师勘察现场</w:t>
            </w:r>
          </w:p>
        </w:tc>
        <w:tc>
          <w:tcPr>
            <w:tcW w:w="4261" w:type="dxa"/>
          </w:tcPr>
          <w:p>
            <w:pPr>
              <w:bidi w:val="0"/>
              <w:jc w:val="center"/>
              <w:rPr>
                <w:rFonts w:hint="default"/>
                <w:vertAlign w:val="baseline"/>
                <w:lang w:val="en-US" w:eastAsia="zh-CN"/>
              </w:rPr>
            </w:pPr>
            <w:r>
              <w:rPr>
                <w:rFonts w:hint="eastAsia"/>
                <w:vertAlign w:val="baseline"/>
                <w:lang w:val="en-US" w:eastAsia="zh-CN"/>
              </w:rPr>
              <w:t>项目北侧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bidi w:val="0"/>
              <w:rPr>
                <w:rFonts w:hint="default"/>
                <w:vertAlign w:val="baseline"/>
                <w:lang w:val="en-US" w:eastAsia="zh-CN"/>
              </w:rPr>
            </w:pPr>
            <w:r>
              <w:rPr>
                <w:rFonts w:hint="default"/>
                <w:vertAlign w:val="baseline"/>
                <w:lang w:val="en-US" w:eastAsia="zh-CN"/>
              </w:rPr>
              <w:drawing>
                <wp:inline distT="0" distB="0" distL="114300" distR="114300">
                  <wp:extent cx="2519680" cy="1889760"/>
                  <wp:effectExtent l="0" t="0" r="10160" b="0"/>
                  <wp:docPr id="107" name="图片 107" descr="de1df357c357abf4ff4545132a09b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de1df357c357abf4ff4545132a09b3d"/>
                          <pic:cNvPicPr>
                            <a:picLocks noChangeAspect="1"/>
                          </pic:cNvPicPr>
                        </pic:nvPicPr>
                        <pic:blipFill>
                          <a:blip r:embed="rId102"/>
                          <a:stretch>
                            <a:fillRect/>
                          </a:stretch>
                        </pic:blipFill>
                        <pic:spPr>
                          <a:xfrm>
                            <a:off x="0" y="0"/>
                            <a:ext cx="2519680" cy="1889760"/>
                          </a:xfrm>
                          <a:prstGeom prst="rect">
                            <a:avLst/>
                          </a:prstGeom>
                        </pic:spPr>
                      </pic:pic>
                    </a:graphicData>
                  </a:graphic>
                </wp:inline>
              </w:drawing>
            </w:r>
          </w:p>
        </w:tc>
        <w:tc>
          <w:tcPr>
            <w:tcW w:w="4261" w:type="dxa"/>
          </w:tcPr>
          <w:p>
            <w:pPr>
              <w:bidi w:val="0"/>
              <w:rPr>
                <w:rFonts w:hint="default"/>
                <w:vertAlign w:val="baseline"/>
                <w:lang w:val="en-US" w:eastAsia="zh-CN"/>
              </w:rPr>
            </w:pPr>
            <w:r>
              <w:rPr>
                <w:rFonts w:hint="default"/>
                <w:vertAlign w:val="baseline"/>
                <w:lang w:val="en-US" w:eastAsia="zh-CN"/>
              </w:rPr>
              <w:drawing>
                <wp:inline distT="0" distB="0" distL="114300" distR="114300">
                  <wp:extent cx="2519680" cy="1889760"/>
                  <wp:effectExtent l="0" t="0" r="10160" b="0"/>
                  <wp:docPr id="108" name="图片 108" descr="a2adf42dfd2976a23bcecaeac9c1a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a2adf42dfd2976a23bcecaeac9c1a8b"/>
                          <pic:cNvPicPr>
                            <a:picLocks noChangeAspect="1"/>
                          </pic:cNvPicPr>
                        </pic:nvPicPr>
                        <pic:blipFill>
                          <a:blip r:embed="rId103"/>
                          <a:stretch>
                            <a:fillRect/>
                          </a:stretch>
                        </pic:blipFill>
                        <pic:spPr>
                          <a:xfrm>
                            <a:off x="0" y="0"/>
                            <a:ext cx="2519680" cy="1889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bidi w:val="0"/>
              <w:jc w:val="center"/>
              <w:rPr>
                <w:rFonts w:hint="default"/>
                <w:vertAlign w:val="baseline"/>
                <w:lang w:val="en-US" w:eastAsia="zh-CN"/>
              </w:rPr>
            </w:pPr>
            <w:r>
              <w:rPr>
                <w:rFonts w:hint="eastAsia"/>
                <w:vertAlign w:val="baseline"/>
                <w:lang w:val="en-US" w:eastAsia="zh-CN"/>
              </w:rPr>
              <w:t>项目南侧</w:t>
            </w:r>
          </w:p>
        </w:tc>
        <w:tc>
          <w:tcPr>
            <w:tcW w:w="4261" w:type="dxa"/>
          </w:tcPr>
          <w:p>
            <w:pPr>
              <w:bidi w:val="0"/>
              <w:jc w:val="center"/>
              <w:rPr>
                <w:rFonts w:hint="default"/>
                <w:vertAlign w:val="baseline"/>
                <w:lang w:val="en-US" w:eastAsia="zh-CN"/>
              </w:rPr>
            </w:pPr>
            <w:r>
              <w:rPr>
                <w:rFonts w:hint="eastAsia"/>
                <w:vertAlign w:val="baseline"/>
                <w:lang w:val="en-US" w:eastAsia="zh-CN"/>
              </w:rPr>
              <w:t>项目东侧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bidi w:val="0"/>
              <w:rPr>
                <w:rFonts w:hint="default"/>
                <w:vertAlign w:val="baseline"/>
                <w:lang w:val="en-US" w:eastAsia="zh-CN"/>
              </w:rPr>
            </w:pPr>
            <w:r>
              <w:rPr>
                <w:rFonts w:hint="default"/>
                <w:vertAlign w:val="baseline"/>
                <w:lang w:val="en-US" w:eastAsia="zh-CN"/>
              </w:rPr>
              <w:drawing>
                <wp:inline distT="0" distB="0" distL="114300" distR="114300">
                  <wp:extent cx="2519680" cy="1889760"/>
                  <wp:effectExtent l="0" t="0" r="10160" b="0"/>
                  <wp:docPr id="109" name="图片 109" descr="eea8dcfaaed4505b822b9b09c780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eea8dcfaaed4505b822b9b09c780f40"/>
                          <pic:cNvPicPr>
                            <a:picLocks noChangeAspect="1"/>
                          </pic:cNvPicPr>
                        </pic:nvPicPr>
                        <pic:blipFill>
                          <a:blip r:embed="rId104"/>
                          <a:stretch>
                            <a:fillRect/>
                          </a:stretch>
                        </pic:blipFill>
                        <pic:spPr>
                          <a:xfrm>
                            <a:off x="0" y="0"/>
                            <a:ext cx="2519680" cy="1889760"/>
                          </a:xfrm>
                          <a:prstGeom prst="rect">
                            <a:avLst/>
                          </a:prstGeom>
                        </pic:spPr>
                      </pic:pic>
                    </a:graphicData>
                  </a:graphic>
                </wp:inline>
              </w:drawing>
            </w:r>
          </w:p>
        </w:tc>
        <w:tc>
          <w:tcPr>
            <w:tcW w:w="4261" w:type="dxa"/>
          </w:tcPr>
          <w:p>
            <w:pPr>
              <w:bidi w:val="0"/>
              <w:rPr>
                <w:rFonts w:hint="default"/>
                <w:vertAlign w:val="baseline"/>
                <w:lang w:val="en-US" w:eastAsia="zh-CN"/>
              </w:rPr>
            </w:pPr>
            <w:r>
              <w:rPr>
                <w:rFonts w:hint="default"/>
                <w:vertAlign w:val="baseline"/>
                <w:lang w:val="en-US" w:eastAsia="zh-CN"/>
              </w:rPr>
              <w:drawing>
                <wp:inline distT="0" distB="0" distL="114300" distR="114300">
                  <wp:extent cx="2519680" cy="1889760"/>
                  <wp:effectExtent l="0" t="0" r="10160" b="0"/>
                  <wp:docPr id="110" name="图片 110" descr="24e82b7ea38ba80340bad65b127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4e82b7ea38ba80340bad65b1271675"/>
                          <pic:cNvPicPr>
                            <a:picLocks noChangeAspect="1"/>
                          </pic:cNvPicPr>
                        </pic:nvPicPr>
                        <pic:blipFill>
                          <a:blip r:embed="rId105"/>
                          <a:stretch>
                            <a:fillRect/>
                          </a:stretch>
                        </pic:blipFill>
                        <pic:spPr>
                          <a:xfrm>
                            <a:off x="0" y="0"/>
                            <a:ext cx="2519680" cy="1889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bidi w:val="0"/>
              <w:jc w:val="center"/>
              <w:rPr>
                <w:rFonts w:hint="default"/>
                <w:vertAlign w:val="baseline"/>
                <w:lang w:val="en-US" w:eastAsia="zh-CN"/>
              </w:rPr>
            </w:pPr>
            <w:r>
              <w:rPr>
                <w:rFonts w:hint="eastAsia"/>
                <w:vertAlign w:val="baseline"/>
                <w:lang w:val="en-US" w:eastAsia="zh-CN"/>
              </w:rPr>
              <w:t>项目西侧</w:t>
            </w:r>
          </w:p>
        </w:tc>
        <w:tc>
          <w:tcPr>
            <w:tcW w:w="4261" w:type="dxa"/>
          </w:tcPr>
          <w:p>
            <w:pPr>
              <w:bidi w:val="0"/>
              <w:jc w:val="center"/>
              <w:rPr>
                <w:rFonts w:hint="default"/>
                <w:vertAlign w:val="baseline"/>
                <w:lang w:val="en-US" w:eastAsia="zh-CN"/>
              </w:rPr>
            </w:pPr>
            <w:r>
              <w:rPr>
                <w:rFonts w:hint="eastAsia"/>
                <w:vertAlign w:val="baseline"/>
                <w:lang w:val="en-US" w:eastAsia="zh-CN"/>
              </w:rPr>
              <w:t>项目场地</w:t>
            </w:r>
          </w:p>
        </w:tc>
      </w:tr>
    </w:tbl>
    <w:p>
      <w:pPr>
        <w:bidi w:val="0"/>
        <w:rPr>
          <w:rFonts w:hint="default"/>
          <w:lang w:val="en-US" w:eastAsia="zh-CN"/>
        </w:rPr>
        <w:sectPr>
          <w:pgSz w:w="11906" w:h="16838"/>
          <w:pgMar w:top="1440" w:right="1800" w:bottom="1440" w:left="1800" w:header="851" w:footer="992" w:gutter="0"/>
          <w:pgNumType w:fmt="decimal"/>
          <w:cols w:space="425" w:num="1"/>
          <w:docGrid w:type="lines" w:linePitch="312" w:charSpace="0"/>
        </w:sectPr>
      </w:pPr>
    </w:p>
    <w:p>
      <w:pPr>
        <w:pStyle w:val="6"/>
        <w:bidi w:val="0"/>
        <w:rPr>
          <w:rFonts w:hint="eastAsia"/>
          <w:color w:val="auto"/>
          <w:lang w:val="en-US" w:eastAsia="zh-CN"/>
        </w:rPr>
      </w:pPr>
      <w:bookmarkStart w:id="446" w:name="_Toc32593"/>
      <w:r>
        <w:rPr>
          <w:rFonts w:hint="eastAsia"/>
          <w:color w:val="auto"/>
          <w:lang w:val="en-US" w:eastAsia="zh-CN"/>
        </w:rPr>
        <w:t>附件</w:t>
      </w:r>
      <w:bookmarkEnd w:id="444"/>
      <w:bookmarkEnd w:id="445"/>
      <w:bookmarkEnd w:id="446"/>
    </w:p>
    <w:p>
      <w:pPr>
        <w:pStyle w:val="9"/>
        <w:bidi w:val="0"/>
        <w:outlineLvl w:val="0"/>
        <w:rPr>
          <w:rFonts w:hint="eastAsia"/>
          <w:color w:val="auto"/>
          <w:lang w:val="en-US" w:eastAsia="zh-CN"/>
        </w:rPr>
      </w:pPr>
      <w:bookmarkStart w:id="447" w:name="_Toc17912"/>
      <w:bookmarkStart w:id="448" w:name="_Toc24474"/>
      <w:bookmarkStart w:id="449" w:name="_Toc13065"/>
      <w:r>
        <w:rPr>
          <w:rFonts w:hint="eastAsia"/>
          <w:color w:val="auto"/>
          <w:lang w:val="en-US" w:eastAsia="zh-CN"/>
        </w:rPr>
        <w:t xml:space="preserve">附件1  </w:t>
      </w:r>
      <w:r>
        <w:rPr>
          <w:rFonts w:ascii="Times New Roman" w:hAnsi="Times New Roman" w:cs="Times New Roman"/>
          <w:b/>
          <w:bCs/>
          <w:color w:val="auto"/>
          <w:sz w:val="24"/>
          <w:szCs w:val="24"/>
        </w:rPr>
        <w:t>委托书</w:t>
      </w:r>
      <w:bookmarkEnd w:id="447"/>
      <w:bookmarkEnd w:id="448"/>
      <w:bookmarkEnd w:id="449"/>
    </w:p>
    <w:p>
      <w:pPr>
        <w:widowControl/>
        <w:jc w:val="left"/>
        <w:rPr>
          <w:rFonts w:hint="eastAsia" w:eastAsiaTheme="minorEastAsia"/>
          <w:color w:val="auto"/>
          <w:lang w:eastAsia="zh-CN"/>
        </w:rPr>
        <w:sectPr>
          <w:pgSz w:w="11906" w:h="16838"/>
          <w:pgMar w:top="1440" w:right="1800" w:bottom="1440" w:left="1800" w:header="851" w:footer="992" w:gutter="0"/>
          <w:pgNumType w:fmt="decimal"/>
          <w:cols w:space="425" w:num="1"/>
          <w:docGrid w:type="lines" w:linePitch="312" w:charSpace="0"/>
        </w:sectPr>
      </w:pPr>
      <w:r>
        <w:rPr>
          <w:rFonts w:hint="eastAsia" w:eastAsiaTheme="minorEastAsia"/>
          <w:color w:val="auto"/>
          <w:lang w:eastAsia="zh-CN"/>
        </w:rPr>
        <w:drawing>
          <wp:inline distT="0" distB="0" distL="114300" distR="114300">
            <wp:extent cx="5273675" cy="7455535"/>
            <wp:effectExtent l="0" t="0" r="14605" b="12065"/>
            <wp:docPr id="111" name="图片 111"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委托书"/>
                    <pic:cNvPicPr>
                      <a:picLocks noChangeAspect="1"/>
                    </pic:cNvPicPr>
                  </pic:nvPicPr>
                  <pic:blipFill>
                    <a:blip r:embed="rId106"/>
                    <a:stretch>
                      <a:fillRect/>
                    </a:stretch>
                  </pic:blipFill>
                  <pic:spPr>
                    <a:xfrm>
                      <a:off x="0" y="0"/>
                      <a:ext cx="5273675" cy="7455535"/>
                    </a:xfrm>
                    <a:prstGeom prst="rect">
                      <a:avLst/>
                    </a:prstGeom>
                  </pic:spPr>
                </pic:pic>
              </a:graphicData>
            </a:graphic>
          </wp:inline>
        </w:drawing>
      </w:r>
    </w:p>
    <w:p>
      <w:pPr>
        <w:pStyle w:val="9"/>
        <w:bidi w:val="0"/>
        <w:outlineLvl w:val="0"/>
        <w:rPr>
          <w:rFonts w:hint="eastAsia"/>
        </w:rPr>
      </w:pPr>
      <w:bookmarkStart w:id="450" w:name="_Toc28602"/>
      <w:bookmarkStart w:id="451" w:name="_Toc15235"/>
      <w:bookmarkStart w:id="452" w:name="_Toc8893"/>
      <w:r>
        <w:rPr>
          <w:rFonts w:hint="eastAsia"/>
        </w:rPr>
        <w:t>附件2</w:t>
      </w:r>
      <w:r>
        <w:t xml:space="preserve">  </w:t>
      </w:r>
      <w:r>
        <w:rPr>
          <w:rFonts w:hint="eastAsia"/>
        </w:rPr>
        <w:t>备案证明</w:t>
      </w:r>
      <w:bookmarkEnd w:id="450"/>
      <w:bookmarkEnd w:id="451"/>
      <w:bookmarkEnd w:id="452"/>
    </w:p>
    <w:p>
      <w:pPr>
        <w:bidi w:val="0"/>
        <w:rPr>
          <w:rFonts w:hint="eastAsia" w:eastAsiaTheme="minorEastAsia"/>
          <w:lang w:eastAsia="zh-CN"/>
        </w:rPr>
      </w:pPr>
      <w:r>
        <w:rPr>
          <w:rFonts w:hint="eastAsia" w:eastAsiaTheme="minorEastAsia"/>
          <w:lang w:eastAsia="zh-CN"/>
        </w:rPr>
        <w:drawing>
          <wp:inline distT="0" distB="0" distL="114300" distR="114300">
            <wp:extent cx="5576570" cy="7880350"/>
            <wp:effectExtent l="0" t="0" r="1270" b="13970"/>
            <wp:docPr id="112" name="图片 112" descr="备案--5000吨菌草纤维（盖章）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备案--5000吨菌草纤维（盖章）_00"/>
                    <pic:cNvPicPr>
                      <a:picLocks noChangeAspect="1"/>
                    </pic:cNvPicPr>
                  </pic:nvPicPr>
                  <pic:blipFill>
                    <a:blip r:embed="rId107"/>
                    <a:stretch>
                      <a:fillRect/>
                    </a:stretch>
                  </pic:blipFill>
                  <pic:spPr>
                    <a:xfrm>
                      <a:off x="0" y="0"/>
                      <a:ext cx="5576570" cy="7880350"/>
                    </a:xfrm>
                    <a:prstGeom prst="rect">
                      <a:avLst/>
                    </a:prstGeom>
                  </pic:spPr>
                </pic:pic>
              </a:graphicData>
            </a:graphic>
          </wp:inline>
        </w:drawing>
      </w:r>
    </w:p>
    <w:p>
      <w:pPr>
        <w:rPr>
          <w:color w:val="auto"/>
        </w:rPr>
        <w:sectPr>
          <w:pgSz w:w="11906" w:h="16838"/>
          <w:pgMar w:top="1418" w:right="1418" w:bottom="1418" w:left="1701" w:header="851" w:footer="1134" w:gutter="0"/>
          <w:pgNumType w:fmt="decimal"/>
          <w:cols w:space="720" w:num="1"/>
          <w:docGrid w:linePitch="312" w:charSpace="0"/>
        </w:sectPr>
      </w:pPr>
    </w:p>
    <w:p>
      <w:pPr>
        <w:pStyle w:val="9"/>
        <w:bidi w:val="0"/>
        <w:rPr>
          <w:rFonts w:hint="default"/>
          <w:lang w:val="en-US" w:eastAsia="zh-CN"/>
        </w:rPr>
      </w:pPr>
      <w:bookmarkStart w:id="453" w:name="_Toc2678"/>
      <w:r>
        <w:rPr>
          <w:rFonts w:hint="eastAsia"/>
          <w:lang w:val="en-US" w:eastAsia="zh-CN"/>
        </w:rPr>
        <w:t>附件3 河南省生态环境厅关于新乡经济技术开发区发展规划（2009-2020）环境影响跟踪评价报告书的审核意见</w:t>
      </w:r>
    </w:p>
    <w:p>
      <w:pPr>
        <w:jc w:val="center"/>
      </w:pPr>
      <w:r>
        <w:drawing>
          <wp:inline distT="0" distB="0" distL="114300" distR="114300">
            <wp:extent cx="5026025" cy="3626485"/>
            <wp:effectExtent l="0" t="0" r="3175" b="63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08"/>
                    <a:srcRect t="2680"/>
                    <a:stretch>
                      <a:fillRect/>
                    </a:stretch>
                  </pic:blipFill>
                  <pic:spPr>
                    <a:xfrm>
                      <a:off x="0" y="0"/>
                      <a:ext cx="5026025" cy="3626485"/>
                    </a:xfrm>
                    <a:prstGeom prst="rect">
                      <a:avLst/>
                    </a:prstGeom>
                    <a:noFill/>
                    <a:ln>
                      <a:noFill/>
                    </a:ln>
                  </pic:spPr>
                </pic:pic>
              </a:graphicData>
            </a:graphic>
          </wp:inline>
        </w:drawing>
      </w:r>
    </w:p>
    <w:p>
      <w:pPr>
        <w:jc w:val="center"/>
      </w:pPr>
      <w:r>
        <w:drawing>
          <wp:inline distT="0" distB="0" distL="114300" distR="114300">
            <wp:extent cx="5015230" cy="3897630"/>
            <wp:effectExtent l="0" t="0" r="13970" b="381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09"/>
                    <a:stretch>
                      <a:fillRect/>
                    </a:stretch>
                  </pic:blipFill>
                  <pic:spPr>
                    <a:xfrm>
                      <a:off x="0" y="0"/>
                      <a:ext cx="5015230" cy="3897630"/>
                    </a:xfrm>
                    <a:prstGeom prst="rect">
                      <a:avLst/>
                    </a:prstGeom>
                    <a:noFill/>
                    <a:ln>
                      <a:noFill/>
                    </a:ln>
                  </pic:spPr>
                </pic:pic>
              </a:graphicData>
            </a:graphic>
          </wp:inline>
        </w:drawing>
      </w:r>
    </w:p>
    <w:p>
      <w:pPr>
        <w:jc w:val="center"/>
        <w:sectPr>
          <w:pgSz w:w="11906" w:h="16838"/>
          <w:pgMar w:top="1440" w:right="1800" w:bottom="1440" w:left="1800" w:header="851" w:footer="992" w:gutter="0"/>
          <w:pgNumType w:fmt="decimal"/>
          <w:cols w:space="425" w:num="1"/>
          <w:docGrid w:type="lines" w:linePitch="312" w:charSpace="0"/>
        </w:sectPr>
      </w:pPr>
      <w:r>
        <w:drawing>
          <wp:inline distT="0" distB="0" distL="114300" distR="114300">
            <wp:extent cx="5081905" cy="2438400"/>
            <wp:effectExtent l="0" t="0" r="825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10"/>
                    <a:stretch>
                      <a:fillRect/>
                    </a:stretch>
                  </pic:blipFill>
                  <pic:spPr>
                    <a:xfrm>
                      <a:off x="0" y="0"/>
                      <a:ext cx="5081905" cy="2438400"/>
                    </a:xfrm>
                    <a:prstGeom prst="rect">
                      <a:avLst/>
                    </a:prstGeom>
                    <a:noFill/>
                    <a:ln>
                      <a:noFill/>
                    </a:ln>
                  </pic:spPr>
                </pic:pic>
              </a:graphicData>
            </a:graphic>
          </wp:inline>
        </w:drawing>
      </w:r>
    </w:p>
    <w:p>
      <w:pPr>
        <w:pStyle w:val="9"/>
        <w:bidi w:val="0"/>
        <w:outlineLvl w:val="0"/>
        <w:rPr>
          <w:rFonts w:hint="eastAsia"/>
          <w:lang w:val="en-US" w:eastAsia="zh-CN"/>
        </w:rPr>
      </w:pPr>
      <w:bookmarkStart w:id="454" w:name="_Toc16161"/>
      <w:bookmarkStart w:id="455" w:name="_Toc10689"/>
      <w:r>
        <w:rPr>
          <w:rFonts w:hint="eastAsia"/>
          <w:lang w:val="en-US" w:eastAsia="zh-CN"/>
        </w:rPr>
        <w:t>附件4 企业2022年11月检测报告</w:t>
      </w:r>
      <w:bookmarkEnd w:id="454"/>
      <w:bookmarkEnd w:id="455"/>
    </w:p>
    <w:p>
      <w:pPr>
        <w:rPr>
          <w:rFonts w:hint="default"/>
          <w:lang w:val="en-US" w:eastAsia="zh-CN"/>
        </w:rPr>
        <w:sectPr>
          <w:pgSz w:w="11906" w:h="16838"/>
          <w:pgMar w:top="1440" w:right="1800" w:bottom="1440" w:left="1800" w:header="851" w:footer="992" w:gutter="0"/>
          <w:pgNumType w:fmt="decimal"/>
          <w:cols w:space="425" w:num="1"/>
          <w:docGrid w:type="lines" w:linePitch="312" w:charSpace="0"/>
        </w:sectPr>
      </w:pPr>
      <w:r>
        <w:rPr>
          <w:rFonts w:hint="default"/>
          <w:lang w:val="en-US" w:eastAsia="zh-CN"/>
        </w:rPr>
        <w:drawing>
          <wp:inline distT="0" distB="0" distL="114300" distR="114300">
            <wp:extent cx="5271135" cy="7450455"/>
            <wp:effectExtent l="0" t="0" r="1905" b="1905"/>
            <wp:docPr id="116" name="图片 116" descr="新区检测报告2022年8月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新区检测报告2022年8月_页面_18"/>
                    <pic:cNvPicPr>
                      <a:picLocks noChangeAspect="1"/>
                    </pic:cNvPicPr>
                  </pic:nvPicPr>
                  <pic:blipFill>
                    <a:blip r:embed="rId111"/>
                    <a:stretch>
                      <a:fillRect/>
                    </a:stretch>
                  </pic:blipFill>
                  <pic:spPr>
                    <a:xfrm>
                      <a:off x="0" y="0"/>
                      <a:ext cx="5271135" cy="7450455"/>
                    </a:xfrm>
                    <a:prstGeom prst="rect">
                      <a:avLst/>
                    </a:prstGeom>
                  </pic:spPr>
                </pic:pic>
              </a:graphicData>
            </a:graphic>
          </wp:inline>
        </w:drawing>
      </w:r>
      <w:r>
        <w:rPr>
          <w:rFonts w:hint="default"/>
          <w:lang w:val="en-US" w:eastAsia="zh-CN"/>
        </w:rPr>
        <w:drawing>
          <wp:inline distT="0" distB="0" distL="114300" distR="114300">
            <wp:extent cx="5271135" cy="7450455"/>
            <wp:effectExtent l="0" t="0" r="1905" b="1905"/>
            <wp:docPr id="117" name="图片 117" descr="新区检测报告2022年8月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新区检测报告2022年8月_页面_19"/>
                    <pic:cNvPicPr>
                      <a:picLocks noChangeAspect="1"/>
                    </pic:cNvPicPr>
                  </pic:nvPicPr>
                  <pic:blipFill>
                    <a:blip r:embed="rId112"/>
                    <a:stretch>
                      <a:fillRect/>
                    </a:stretch>
                  </pic:blipFill>
                  <pic:spPr>
                    <a:xfrm>
                      <a:off x="0" y="0"/>
                      <a:ext cx="5271135" cy="7450455"/>
                    </a:xfrm>
                    <a:prstGeom prst="rect">
                      <a:avLst/>
                    </a:prstGeom>
                  </pic:spPr>
                </pic:pic>
              </a:graphicData>
            </a:graphic>
          </wp:inline>
        </w:drawing>
      </w:r>
      <w:r>
        <w:rPr>
          <w:rFonts w:hint="default"/>
          <w:lang w:val="en-US" w:eastAsia="zh-CN"/>
        </w:rPr>
        <w:drawing>
          <wp:inline distT="0" distB="0" distL="114300" distR="114300">
            <wp:extent cx="5271135" cy="7450455"/>
            <wp:effectExtent l="0" t="0" r="1905" b="1905"/>
            <wp:docPr id="118" name="图片 118" descr="新区检测报告2022年8月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新区检测报告2022年8月_页面_20"/>
                    <pic:cNvPicPr>
                      <a:picLocks noChangeAspect="1"/>
                    </pic:cNvPicPr>
                  </pic:nvPicPr>
                  <pic:blipFill>
                    <a:blip r:embed="rId113"/>
                    <a:stretch>
                      <a:fillRect/>
                    </a:stretch>
                  </pic:blipFill>
                  <pic:spPr>
                    <a:xfrm>
                      <a:off x="0" y="0"/>
                      <a:ext cx="5271135" cy="7450455"/>
                    </a:xfrm>
                    <a:prstGeom prst="rect">
                      <a:avLst/>
                    </a:prstGeom>
                  </pic:spPr>
                </pic:pic>
              </a:graphicData>
            </a:graphic>
          </wp:inline>
        </w:drawing>
      </w:r>
      <w:r>
        <w:rPr>
          <w:rFonts w:hint="default"/>
          <w:lang w:val="en-US" w:eastAsia="zh-CN"/>
        </w:rPr>
        <w:drawing>
          <wp:inline distT="0" distB="0" distL="114300" distR="114300">
            <wp:extent cx="5271135" cy="7450455"/>
            <wp:effectExtent l="0" t="0" r="1905" b="1905"/>
            <wp:docPr id="119" name="图片 119" descr="新区检测报告2022年8月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新区检测报告2022年8月_页面_21"/>
                    <pic:cNvPicPr>
                      <a:picLocks noChangeAspect="1"/>
                    </pic:cNvPicPr>
                  </pic:nvPicPr>
                  <pic:blipFill>
                    <a:blip r:embed="rId114"/>
                    <a:stretch>
                      <a:fillRect/>
                    </a:stretch>
                  </pic:blipFill>
                  <pic:spPr>
                    <a:xfrm>
                      <a:off x="0" y="0"/>
                      <a:ext cx="5271135" cy="7450455"/>
                    </a:xfrm>
                    <a:prstGeom prst="rect">
                      <a:avLst/>
                    </a:prstGeom>
                  </pic:spPr>
                </pic:pic>
              </a:graphicData>
            </a:graphic>
          </wp:inline>
        </w:drawing>
      </w:r>
      <w:r>
        <w:rPr>
          <w:rFonts w:hint="default"/>
          <w:lang w:val="en-US" w:eastAsia="zh-CN"/>
        </w:rPr>
        <w:drawing>
          <wp:inline distT="0" distB="0" distL="114300" distR="114300">
            <wp:extent cx="5271135" cy="7450455"/>
            <wp:effectExtent l="0" t="0" r="1905" b="1905"/>
            <wp:docPr id="120" name="图片 120" descr="新区检测报告2022年8月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新区检测报告2022年8月_页面_22"/>
                    <pic:cNvPicPr>
                      <a:picLocks noChangeAspect="1"/>
                    </pic:cNvPicPr>
                  </pic:nvPicPr>
                  <pic:blipFill>
                    <a:blip r:embed="rId115"/>
                    <a:stretch>
                      <a:fillRect/>
                    </a:stretch>
                  </pic:blipFill>
                  <pic:spPr>
                    <a:xfrm>
                      <a:off x="0" y="0"/>
                      <a:ext cx="5271135" cy="7450455"/>
                    </a:xfrm>
                    <a:prstGeom prst="rect">
                      <a:avLst/>
                    </a:prstGeom>
                  </pic:spPr>
                </pic:pic>
              </a:graphicData>
            </a:graphic>
          </wp:inline>
        </w:drawing>
      </w:r>
      <w:r>
        <w:rPr>
          <w:rFonts w:hint="default"/>
          <w:lang w:val="en-US" w:eastAsia="zh-CN"/>
        </w:rPr>
        <w:drawing>
          <wp:inline distT="0" distB="0" distL="114300" distR="114300">
            <wp:extent cx="5271135" cy="7450455"/>
            <wp:effectExtent l="0" t="0" r="1905" b="1905"/>
            <wp:docPr id="121" name="图片 121" descr="新区检测报告2022年8月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新区检测报告2022年8月_页面_23"/>
                    <pic:cNvPicPr>
                      <a:picLocks noChangeAspect="1"/>
                    </pic:cNvPicPr>
                  </pic:nvPicPr>
                  <pic:blipFill>
                    <a:blip r:embed="rId116"/>
                    <a:stretch>
                      <a:fillRect/>
                    </a:stretch>
                  </pic:blipFill>
                  <pic:spPr>
                    <a:xfrm>
                      <a:off x="0" y="0"/>
                      <a:ext cx="5271135" cy="7450455"/>
                    </a:xfrm>
                    <a:prstGeom prst="rect">
                      <a:avLst/>
                    </a:prstGeom>
                  </pic:spPr>
                </pic:pic>
              </a:graphicData>
            </a:graphic>
          </wp:inline>
        </w:drawing>
      </w:r>
      <w:r>
        <w:rPr>
          <w:rFonts w:hint="default"/>
          <w:lang w:val="en-US" w:eastAsia="zh-CN"/>
        </w:rPr>
        <w:drawing>
          <wp:inline distT="0" distB="0" distL="114300" distR="114300">
            <wp:extent cx="5271135" cy="7450455"/>
            <wp:effectExtent l="0" t="0" r="1905" b="1905"/>
            <wp:docPr id="122" name="图片 122" descr="新区检测报告2022年8月_页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新区检测报告2022年8月_页面_24"/>
                    <pic:cNvPicPr>
                      <a:picLocks noChangeAspect="1"/>
                    </pic:cNvPicPr>
                  </pic:nvPicPr>
                  <pic:blipFill>
                    <a:blip r:embed="rId117"/>
                    <a:stretch>
                      <a:fillRect/>
                    </a:stretch>
                  </pic:blipFill>
                  <pic:spPr>
                    <a:xfrm>
                      <a:off x="0" y="0"/>
                      <a:ext cx="5271135" cy="7450455"/>
                    </a:xfrm>
                    <a:prstGeom prst="rect">
                      <a:avLst/>
                    </a:prstGeom>
                  </pic:spPr>
                </pic:pic>
              </a:graphicData>
            </a:graphic>
          </wp:inline>
        </w:drawing>
      </w:r>
      <w:r>
        <w:rPr>
          <w:rFonts w:hint="default"/>
          <w:lang w:val="en-US" w:eastAsia="zh-CN"/>
        </w:rPr>
        <w:drawing>
          <wp:inline distT="0" distB="0" distL="114300" distR="114300">
            <wp:extent cx="5271135" cy="7450455"/>
            <wp:effectExtent l="0" t="0" r="1905" b="1905"/>
            <wp:docPr id="123" name="图片 123" descr="新区检测报告2022年8月_页面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新区检测报告2022年8月_页面_25"/>
                    <pic:cNvPicPr>
                      <a:picLocks noChangeAspect="1"/>
                    </pic:cNvPicPr>
                  </pic:nvPicPr>
                  <pic:blipFill>
                    <a:blip r:embed="rId118"/>
                    <a:stretch>
                      <a:fillRect/>
                    </a:stretch>
                  </pic:blipFill>
                  <pic:spPr>
                    <a:xfrm>
                      <a:off x="0" y="0"/>
                      <a:ext cx="5271135" cy="7450455"/>
                    </a:xfrm>
                    <a:prstGeom prst="rect">
                      <a:avLst/>
                    </a:prstGeom>
                  </pic:spPr>
                </pic:pic>
              </a:graphicData>
            </a:graphic>
          </wp:inline>
        </w:drawing>
      </w:r>
      <w:r>
        <w:rPr>
          <w:rFonts w:hint="default"/>
          <w:lang w:val="en-US" w:eastAsia="zh-CN"/>
        </w:rPr>
        <w:drawing>
          <wp:inline distT="0" distB="0" distL="114300" distR="114300">
            <wp:extent cx="5271135" cy="7450455"/>
            <wp:effectExtent l="0" t="0" r="1905" b="1905"/>
            <wp:docPr id="124" name="图片 124" descr="新区检测报告2022年8月_页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新区检测报告2022年8月_页面_26"/>
                    <pic:cNvPicPr>
                      <a:picLocks noChangeAspect="1"/>
                    </pic:cNvPicPr>
                  </pic:nvPicPr>
                  <pic:blipFill>
                    <a:blip r:embed="rId119"/>
                    <a:stretch>
                      <a:fillRect/>
                    </a:stretch>
                  </pic:blipFill>
                  <pic:spPr>
                    <a:xfrm>
                      <a:off x="0" y="0"/>
                      <a:ext cx="5271135" cy="7450455"/>
                    </a:xfrm>
                    <a:prstGeom prst="rect">
                      <a:avLst/>
                    </a:prstGeom>
                  </pic:spPr>
                </pic:pic>
              </a:graphicData>
            </a:graphic>
          </wp:inline>
        </w:drawing>
      </w:r>
      <w:r>
        <w:rPr>
          <w:rFonts w:hint="default"/>
          <w:lang w:val="en-US" w:eastAsia="zh-CN"/>
        </w:rPr>
        <w:drawing>
          <wp:inline distT="0" distB="0" distL="114300" distR="114300">
            <wp:extent cx="5271135" cy="7450455"/>
            <wp:effectExtent l="0" t="0" r="1905" b="1905"/>
            <wp:docPr id="125" name="图片 125" descr="新区检测报告2022年8月_页面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新区检测报告2022年8月_页面_27"/>
                    <pic:cNvPicPr>
                      <a:picLocks noChangeAspect="1"/>
                    </pic:cNvPicPr>
                  </pic:nvPicPr>
                  <pic:blipFill>
                    <a:blip r:embed="rId120"/>
                    <a:stretch>
                      <a:fillRect/>
                    </a:stretch>
                  </pic:blipFill>
                  <pic:spPr>
                    <a:xfrm>
                      <a:off x="0" y="0"/>
                      <a:ext cx="5271135" cy="7450455"/>
                    </a:xfrm>
                    <a:prstGeom prst="rect">
                      <a:avLst/>
                    </a:prstGeom>
                  </pic:spPr>
                </pic:pic>
              </a:graphicData>
            </a:graphic>
          </wp:inline>
        </w:drawing>
      </w:r>
    </w:p>
    <w:p>
      <w:pPr>
        <w:pStyle w:val="9"/>
        <w:bidi w:val="0"/>
        <w:outlineLvl w:val="0"/>
        <w:rPr>
          <w:rFonts w:hint="default"/>
          <w:lang w:val="en-US" w:eastAsia="zh-CN"/>
        </w:rPr>
      </w:pPr>
      <w:bookmarkStart w:id="456" w:name="_Toc1364"/>
      <w:bookmarkStart w:id="457" w:name="_Toc4261"/>
      <w:r>
        <w:rPr>
          <w:rFonts w:hint="eastAsia"/>
          <w:lang w:val="en-US" w:eastAsia="zh-CN"/>
        </w:rPr>
        <w:t xml:space="preserve">附件5  </w:t>
      </w:r>
      <w:bookmarkEnd w:id="453"/>
      <w:r>
        <w:rPr>
          <w:rFonts w:hint="eastAsia"/>
          <w:lang w:val="en-US" w:eastAsia="zh-CN"/>
        </w:rPr>
        <w:t>项目建设现状检测报告</w:t>
      </w:r>
      <w:bookmarkEnd w:id="456"/>
      <w:bookmarkEnd w:id="457"/>
    </w:p>
    <w:p>
      <w:pPr>
        <w:pStyle w:val="2"/>
        <w:ind w:left="0" w:leftChars="0" w:firstLine="0" w:firstLineChars="0"/>
        <w:rPr>
          <w:color w:val="auto"/>
        </w:rPr>
        <w:sectPr>
          <w:pgSz w:w="11906" w:h="16838"/>
          <w:pgMar w:top="1418" w:right="1418" w:bottom="1418" w:left="1701" w:header="851" w:footer="1134" w:gutter="0"/>
          <w:pgNumType w:fmt="decimal"/>
          <w:cols w:space="720" w:num="1"/>
          <w:docGrid w:linePitch="312" w:charSpace="0"/>
        </w:sectPr>
      </w:pPr>
      <w:r>
        <w:rPr>
          <w:color w:val="auto"/>
        </w:rPr>
        <w:drawing>
          <wp:inline distT="0" distB="0" distL="0" distR="0">
            <wp:extent cx="5596255" cy="7915910"/>
            <wp:effectExtent l="0" t="0" r="12065" b="889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596255" cy="7915910"/>
                    </a:xfrm>
                    <a:prstGeom prst="rect">
                      <a:avLst/>
                    </a:prstGeom>
                  </pic:spPr>
                </pic:pic>
              </a:graphicData>
            </a:graphic>
          </wp:inline>
        </w:drawing>
      </w:r>
      <w:r>
        <w:rPr>
          <w:color w:val="auto"/>
        </w:rPr>
        <w:drawing>
          <wp:inline distT="0" distB="0" distL="0" distR="0">
            <wp:extent cx="5908040" cy="8357870"/>
            <wp:effectExtent l="0" t="0" r="5080" b="889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08040" cy="8357870"/>
                    </a:xfrm>
                    <a:prstGeom prst="rect">
                      <a:avLst/>
                    </a:prstGeom>
                  </pic:spPr>
                </pic:pic>
              </a:graphicData>
            </a:graphic>
          </wp:inline>
        </w:drawing>
      </w:r>
      <w:r>
        <w:rPr>
          <w:color w:val="auto"/>
        </w:rPr>
        <w:drawing>
          <wp:inline distT="0" distB="0" distL="0" distR="0">
            <wp:extent cx="6224905" cy="8805545"/>
            <wp:effectExtent l="0" t="0" r="8255" b="317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224905" cy="8805545"/>
                    </a:xfrm>
                    <a:prstGeom prst="rect">
                      <a:avLst/>
                    </a:prstGeom>
                  </pic:spPr>
                </pic:pic>
              </a:graphicData>
            </a:graphic>
          </wp:inline>
        </w:drawing>
      </w:r>
      <w:r>
        <w:rPr>
          <w:color w:val="auto"/>
        </w:rPr>
        <w:drawing>
          <wp:inline distT="0" distB="0" distL="0" distR="0">
            <wp:extent cx="6138545" cy="8683625"/>
            <wp:effectExtent l="0" t="0" r="3175" b="317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138545" cy="8683625"/>
                    </a:xfrm>
                    <a:prstGeom prst="rect">
                      <a:avLst/>
                    </a:prstGeom>
                  </pic:spPr>
                </pic:pic>
              </a:graphicData>
            </a:graphic>
          </wp:inline>
        </w:drawing>
      </w:r>
      <w:r>
        <w:rPr>
          <w:color w:val="auto"/>
        </w:rPr>
        <w:drawing>
          <wp:inline distT="0" distB="0" distL="0" distR="0">
            <wp:extent cx="6224905" cy="8805545"/>
            <wp:effectExtent l="0" t="0" r="8255" b="317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224905" cy="8805545"/>
                    </a:xfrm>
                    <a:prstGeom prst="rect">
                      <a:avLst/>
                    </a:prstGeom>
                  </pic:spPr>
                </pic:pic>
              </a:graphicData>
            </a:graphic>
          </wp:inline>
        </w:drawing>
      </w:r>
      <w:r>
        <w:rPr>
          <w:color w:val="auto"/>
        </w:rPr>
        <w:drawing>
          <wp:inline distT="0" distB="0" distL="0" distR="0">
            <wp:extent cx="6167755" cy="8724900"/>
            <wp:effectExtent l="0" t="0" r="4445" b="762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167755" cy="8724900"/>
                    </a:xfrm>
                    <a:prstGeom prst="rect">
                      <a:avLst/>
                    </a:prstGeom>
                  </pic:spPr>
                </pic:pic>
              </a:graphicData>
            </a:graphic>
          </wp:inline>
        </w:drawing>
      </w:r>
      <w:r>
        <w:rPr>
          <w:color w:val="auto"/>
        </w:rPr>
        <w:drawing>
          <wp:inline distT="0" distB="0" distL="0" distR="0">
            <wp:extent cx="6062345" cy="8575675"/>
            <wp:effectExtent l="0" t="0" r="3175" b="444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062345" cy="8575675"/>
                    </a:xfrm>
                    <a:prstGeom prst="rect">
                      <a:avLst/>
                    </a:prstGeom>
                  </pic:spPr>
                </pic:pic>
              </a:graphicData>
            </a:graphic>
          </wp:inline>
        </w:drawing>
      </w:r>
      <w:r>
        <w:rPr>
          <w:color w:val="auto"/>
        </w:rPr>
        <w:drawing>
          <wp:inline distT="0" distB="0" distL="0" distR="0">
            <wp:extent cx="6202680" cy="8775065"/>
            <wp:effectExtent l="0" t="0" r="0" b="317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202680" cy="8775065"/>
                    </a:xfrm>
                    <a:prstGeom prst="rect">
                      <a:avLst/>
                    </a:prstGeom>
                  </pic:spPr>
                </pic:pic>
              </a:graphicData>
            </a:graphic>
          </wp:inline>
        </w:drawing>
      </w:r>
      <w:r>
        <w:rPr>
          <w:color w:val="auto"/>
        </w:rPr>
        <w:drawing>
          <wp:inline distT="0" distB="0" distL="0" distR="0">
            <wp:extent cx="5967730" cy="8442325"/>
            <wp:effectExtent l="0" t="0" r="6350" b="63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67730" cy="8442325"/>
                    </a:xfrm>
                    <a:prstGeom prst="rect">
                      <a:avLst/>
                    </a:prstGeom>
                  </pic:spPr>
                </pic:pic>
              </a:graphicData>
            </a:graphic>
          </wp:inline>
        </w:drawing>
      </w:r>
      <w:r>
        <w:rPr>
          <w:color w:val="auto"/>
        </w:rPr>
        <w:drawing>
          <wp:inline distT="0" distB="0" distL="0" distR="0">
            <wp:extent cx="6009640" cy="8501380"/>
            <wp:effectExtent l="0" t="0" r="10160" b="254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009640" cy="8501380"/>
                    </a:xfrm>
                    <a:prstGeom prst="rect">
                      <a:avLst/>
                    </a:prstGeom>
                  </pic:spPr>
                </pic:pic>
              </a:graphicData>
            </a:graphic>
          </wp:inline>
        </w:drawing>
      </w:r>
      <w:r>
        <w:rPr>
          <w:color w:val="auto"/>
        </w:rPr>
        <w:drawing>
          <wp:inline distT="0" distB="0" distL="0" distR="0">
            <wp:extent cx="6548120" cy="9262745"/>
            <wp:effectExtent l="0" t="0" r="5080" b="317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548400" cy="9262800"/>
                    </a:xfrm>
                    <a:prstGeom prst="rect">
                      <a:avLst/>
                    </a:prstGeom>
                  </pic:spPr>
                </pic:pic>
              </a:graphicData>
            </a:graphic>
          </wp:inline>
        </w:drawing>
      </w:r>
      <w:r>
        <w:rPr>
          <w:color w:val="auto"/>
        </w:rPr>
        <w:drawing>
          <wp:inline distT="0" distB="0" distL="0" distR="0">
            <wp:extent cx="5935345" cy="8396605"/>
            <wp:effectExtent l="0" t="0" r="8255" b="63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35345" cy="8396605"/>
                    </a:xfrm>
                    <a:prstGeom prst="rect">
                      <a:avLst/>
                    </a:prstGeom>
                  </pic:spPr>
                </pic:pic>
              </a:graphicData>
            </a:graphic>
          </wp:inline>
        </w:drawing>
      </w:r>
      <w:r>
        <w:rPr>
          <w:color w:val="auto"/>
        </w:rPr>
        <w:drawing>
          <wp:inline distT="0" distB="0" distL="0" distR="0">
            <wp:extent cx="6071870" cy="8589010"/>
            <wp:effectExtent l="0" t="0" r="8890" b="635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071870" cy="8589010"/>
                    </a:xfrm>
                    <a:prstGeom prst="rect">
                      <a:avLst/>
                    </a:prstGeom>
                  </pic:spPr>
                </pic:pic>
              </a:graphicData>
            </a:graphic>
          </wp:inline>
        </w:drawing>
      </w:r>
      <w:r>
        <w:rPr>
          <w:color w:val="auto"/>
        </w:rPr>
        <w:drawing>
          <wp:inline distT="0" distB="0" distL="0" distR="0">
            <wp:extent cx="6055995" cy="8567420"/>
            <wp:effectExtent l="0" t="0" r="9525" b="1270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055995" cy="8567420"/>
                    </a:xfrm>
                    <a:prstGeom prst="rect">
                      <a:avLst/>
                    </a:prstGeom>
                  </pic:spPr>
                </pic:pic>
              </a:graphicData>
            </a:graphic>
          </wp:inline>
        </w:drawing>
      </w:r>
      <w:r>
        <w:rPr>
          <w:color w:val="auto"/>
        </w:rPr>
        <w:drawing>
          <wp:inline distT="0" distB="0" distL="0" distR="0">
            <wp:extent cx="6062980" cy="8576945"/>
            <wp:effectExtent l="0" t="0" r="2540" b="317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62980" cy="8576945"/>
                    </a:xfrm>
                    <a:prstGeom prst="rect">
                      <a:avLst/>
                    </a:prstGeom>
                  </pic:spPr>
                </pic:pic>
              </a:graphicData>
            </a:graphic>
          </wp:inline>
        </w:drawing>
      </w:r>
      <w:r>
        <w:rPr>
          <w:color w:val="auto"/>
        </w:rPr>
        <w:drawing>
          <wp:inline distT="0" distB="0" distL="0" distR="0">
            <wp:extent cx="6015990" cy="8510270"/>
            <wp:effectExtent l="0" t="0" r="3810" b="889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15990" cy="8510270"/>
                    </a:xfrm>
                    <a:prstGeom prst="rect">
                      <a:avLst/>
                    </a:prstGeom>
                  </pic:spPr>
                </pic:pic>
              </a:graphicData>
            </a:graphic>
          </wp:inline>
        </w:drawing>
      </w:r>
      <w:r>
        <w:rPr>
          <w:color w:val="auto"/>
        </w:rPr>
        <w:drawing>
          <wp:inline distT="0" distB="0" distL="0" distR="0">
            <wp:extent cx="5605145" cy="7928610"/>
            <wp:effectExtent l="0" t="0" r="3175" b="1143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605145" cy="7928610"/>
                    </a:xfrm>
                    <a:prstGeom prst="rect">
                      <a:avLst/>
                    </a:prstGeom>
                  </pic:spPr>
                </pic:pic>
              </a:graphicData>
            </a:graphic>
          </wp:inline>
        </w:drawing>
      </w:r>
      <w:r>
        <w:rPr>
          <w:color w:val="auto"/>
        </w:rPr>
        <w:drawing>
          <wp:inline distT="0" distB="0" distL="0" distR="0">
            <wp:extent cx="6148705" cy="8697595"/>
            <wp:effectExtent l="0" t="0" r="8255" b="444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148705" cy="8697595"/>
                    </a:xfrm>
                    <a:prstGeom prst="rect">
                      <a:avLst/>
                    </a:prstGeom>
                  </pic:spPr>
                </pic:pic>
              </a:graphicData>
            </a:graphic>
          </wp:inline>
        </w:drawing>
      </w:r>
    </w:p>
    <w:p>
      <w:pPr>
        <w:pStyle w:val="9"/>
        <w:bidi w:val="0"/>
        <w:outlineLvl w:val="0"/>
        <w:rPr>
          <w:rFonts w:hint="eastAsia"/>
          <w:lang w:val="en-US" w:eastAsia="zh-CN"/>
        </w:rPr>
      </w:pPr>
      <w:bookmarkStart w:id="458" w:name="_Toc1800"/>
      <w:r>
        <w:rPr>
          <w:rFonts w:hint="eastAsia"/>
          <w:lang w:val="en-US" w:eastAsia="zh-CN"/>
        </w:rPr>
        <w:t>附件6 包气带及地下水检测</w:t>
      </w:r>
      <w:bookmarkEnd w:id="458"/>
    </w:p>
    <w:p>
      <w:pPr>
        <w:bidi w:val="0"/>
        <w:rPr>
          <w:rFonts w:hint="eastAsia"/>
          <w:lang w:val="en-US" w:eastAsia="zh-CN"/>
        </w:rPr>
      </w:pPr>
      <w:r>
        <w:rPr>
          <w:rFonts w:hint="eastAsia"/>
          <w:lang w:val="en-US" w:eastAsia="zh-CN"/>
        </w:rPr>
        <w:drawing>
          <wp:inline distT="0" distB="0" distL="114300" distR="114300">
            <wp:extent cx="5569585" cy="7875905"/>
            <wp:effectExtent l="0" t="0" r="8255" b="3175"/>
            <wp:docPr id="144" name="图片 144" descr="ZHGT202301073-补充监测-新乡化纤股份有限公司5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ZHGT202301073-补充监测-新乡化纤股份有限公司5份_00"/>
                    <pic:cNvPicPr>
                      <a:picLocks noChangeAspect="1"/>
                    </pic:cNvPicPr>
                  </pic:nvPicPr>
                  <pic:blipFill>
                    <a:blip r:embed="rId139"/>
                    <a:stretch>
                      <a:fillRect/>
                    </a:stretch>
                  </pic:blipFill>
                  <pic:spPr>
                    <a:xfrm>
                      <a:off x="0" y="0"/>
                      <a:ext cx="5569585" cy="7875905"/>
                    </a:xfrm>
                    <a:prstGeom prst="rect">
                      <a:avLst/>
                    </a:prstGeom>
                  </pic:spPr>
                </pic:pic>
              </a:graphicData>
            </a:graphic>
          </wp:inline>
        </w:drawing>
      </w:r>
    </w:p>
    <w:p>
      <w:pPr>
        <w:bidi w:val="0"/>
        <w:rPr>
          <w:rFonts w:hint="eastAsia"/>
          <w:lang w:val="en-US" w:eastAsia="zh-CN"/>
        </w:rPr>
      </w:pPr>
      <w:r>
        <w:rPr>
          <w:rFonts w:hint="eastAsia"/>
          <w:lang w:val="en-US" w:eastAsia="zh-CN"/>
        </w:rPr>
        <w:drawing>
          <wp:inline distT="0" distB="0" distL="114300" distR="114300">
            <wp:extent cx="5569585" cy="7875905"/>
            <wp:effectExtent l="0" t="0" r="8255" b="3175"/>
            <wp:docPr id="145" name="图片 145" descr="ZHGT202301073-补充监测-新乡化纤股份有限公司5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ZHGT202301073-补充监测-新乡化纤股份有限公司5份_01"/>
                    <pic:cNvPicPr>
                      <a:picLocks noChangeAspect="1"/>
                    </pic:cNvPicPr>
                  </pic:nvPicPr>
                  <pic:blipFill>
                    <a:blip r:embed="rId140"/>
                    <a:stretch>
                      <a:fillRect/>
                    </a:stretch>
                  </pic:blipFill>
                  <pic:spPr>
                    <a:xfrm>
                      <a:off x="0" y="0"/>
                      <a:ext cx="5569585" cy="7875905"/>
                    </a:xfrm>
                    <a:prstGeom prst="rect">
                      <a:avLst/>
                    </a:prstGeom>
                  </pic:spPr>
                </pic:pic>
              </a:graphicData>
            </a:graphic>
          </wp:inline>
        </w:drawing>
      </w:r>
    </w:p>
    <w:p>
      <w:pPr>
        <w:bidi w:val="0"/>
        <w:rPr>
          <w:rFonts w:hint="eastAsia"/>
          <w:lang w:val="en-US" w:eastAsia="zh-CN"/>
        </w:rPr>
      </w:pPr>
      <w:r>
        <w:rPr>
          <w:rFonts w:hint="eastAsia"/>
          <w:lang w:val="en-US" w:eastAsia="zh-CN"/>
        </w:rPr>
        <w:drawing>
          <wp:inline distT="0" distB="0" distL="114300" distR="114300">
            <wp:extent cx="5569585" cy="7875905"/>
            <wp:effectExtent l="0" t="0" r="8255" b="3175"/>
            <wp:docPr id="146" name="图片 146" descr="ZHGT202301073-补充监测-新乡化纤股份有限公司5份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ZHGT202301073-补充监测-新乡化纤股份有限公司5份_02"/>
                    <pic:cNvPicPr>
                      <a:picLocks noChangeAspect="1"/>
                    </pic:cNvPicPr>
                  </pic:nvPicPr>
                  <pic:blipFill>
                    <a:blip r:embed="rId141"/>
                    <a:stretch>
                      <a:fillRect/>
                    </a:stretch>
                  </pic:blipFill>
                  <pic:spPr>
                    <a:xfrm>
                      <a:off x="0" y="0"/>
                      <a:ext cx="5569585" cy="7875905"/>
                    </a:xfrm>
                    <a:prstGeom prst="rect">
                      <a:avLst/>
                    </a:prstGeom>
                  </pic:spPr>
                </pic:pic>
              </a:graphicData>
            </a:graphic>
          </wp:inline>
        </w:drawing>
      </w:r>
    </w:p>
    <w:p>
      <w:pPr>
        <w:bidi w:val="0"/>
        <w:rPr>
          <w:rFonts w:hint="eastAsia"/>
          <w:lang w:val="en-US" w:eastAsia="zh-CN"/>
        </w:rPr>
      </w:pPr>
      <w:r>
        <w:rPr>
          <w:rFonts w:hint="eastAsia"/>
          <w:lang w:val="en-US" w:eastAsia="zh-CN"/>
        </w:rPr>
        <w:drawing>
          <wp:inline distT="0" distB="0" distL="114300" distR="114300">
            <wp:extent cx="5569585" cy="7875905"/>
            <wp:effectExtent l="0" t="0" r="8255" b="3175"/>
            <wp:docPr id="147" name="图片 147" descr="ZHGT202301073-补充监测-新乡化纤股份有限公司5份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ZHGT202301073-补充监测-新乡化纤股份有限公司5份_03"/>
                    <pic:cNvPicPr>
                      <a:picLocks noChangeAspect="1"/>
                    </pic:cNvPicPr>
                  </pic:nvPicPr>
                  <pic:blipFill>
                    <a:blip r:embed="rId142"/>
                    <a:stretch>
                      <a:fillRect/>
                    </a:stretch>
                  </pic:blipFill>
                  <pic:spPr>
                    <a:xfrm>
                      <a:off x="0" y="0"/>
                      <a:ext cx="5569585" cy="7875905"/>
                    </a:xfrm>
                    <a:prstGeom prst="rect">
                      <a:avLst/>
                    </a:prstGeom>
                  </pic:spPr>
                </pic:pic>
              </a:graphicData>
            </a:graphic>
          </wp:inline>
        </w:drawing>
      </w:r>
    </w:p>
    <w:p>
      <w:pPr>
        <w:bidi w:val="0"/>
        <w:rPr>
          <w:rFonts w:hint="eastAsia"/>
          <w:lang w:val="en-US" w:eastAsia="zh-CN"/>
        </w:rPr>
      </w:pPr>
    </w:p>
    <w:p>
      <w:pPr>
        <w:bidi w:val="0"/>
        <w:rPr>
          <w:rFonts w:hint="eastAsia"/>
          <w:lang w:val="en-US" w:eastAsia="zh-CN"/>
        </w:rPr>
      </w:pPr>
      <w:r>
        <w:rPr>
          <w:rFonts w:hint="eastAsia"/>
          <w:lang w:val="en-US" w:eastAsia="zh-CN"/>
        </w:rPr>
        <w:drawing>
          <wp:inline distT="0" distB="0" distL="114300" distR="114300">
            <wp:extent cx="5569585" cy="7875905"/>
            <wp:effectExtent l="0" t="0" r="8255" b="3175"/>
            <wp:docPr id="148" name="图片 148" descr="ZHGT202301073-补充监测-新乡化纤股份有限公司5份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ZHGT202301073-补充监测-新乡化纤股份有限公司5份_04"/>
                    <pic:cNvPicPr>
                      <a:picLocks noChangeAspect="1"/>
                    </pic:cNvPicPr>
                  </pic:nvPicPr>
                  <pic:blipFill>
                    <a:blip r:embed="rId143"/>
                    <a:stretch>
                      <a:fillRect/>
                    </a:stretch>
                  </pic:blipFill>
                  <pic:spPr>
                    <a:xfrm>
                      <a:off x="0" y="0"/>
                      <a:ext cx="5569585" cy="7875905"/>
                    </a:xfrm>
                    <a:prstGeom prst="rect">
                      <a:avLst/>
                    </a:prstGeom>
                  </pic:spPr>
                </pic:pic>
              </a:graphicData>
            </a:graphic>
          </wp:inline>
        </w:drawing>
      </w:r>
    </w:p>
    <w:p>
      <w:pPr>
        <w:bidi w:val="0"/>
        <w:rPr>
          <w:rFonts w:hint="eastAsia"/>
          <w:lang w:val="en-US" w:eastAsia="zh-CN"/>
        </w:rPr>
      </w:pPr>
      <w:r>
        <w:rPr>
          <w:rFonts w:hint="eastAsia"/>
          <w:lang w:val="en-US" w:eastAsia="zh-CN"/>
        </w:rPr>
        <w:drawing>
          <wp:inline distT="0" distB="0" distL="114300" distR="114300">
            <wp:extent cx="5569585" cy="7875905"/>
            <wp:effectExtent l="0" t="0" r="8255" b="3175"/>
            <wp:docPr id="149" name="图片 149" descr="ZHGT202301073-补充监测-新乡化纤股份有限公司5份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ZHGT202301073-补充监测-新乡化纤股份有限公司5份_05"/>
                    <pic:cNvPicPr>
                      <a:picLocks noChangeAspect="1"/>
                    </pic:cNvPicPr>
                  </pic:nvPicPr>
                  <pic:blipFill>
                    <a:blip r:embed="rId144"/>
                    <a:stretch>
                      <a:fillRect/>
                    </a:stretch>
                  </pic:blipFill>
                  <pic:spPr>
                    <a:xfrm>
                      <a:off x="0" y="0"/>
                      <a:ext cx="5569585" cy="7875905"/>
                    </a:xfrm>
                    <a:prstGeom prst="rect">
                      <a:avLst/>
                    </a:prstGeom>
                  </pic:spPr>
                </pic:pic>
              </a:graphicData>
            </a:graphic>
          </wp:inline>
        </w:drawing>
      </w:r>
    </w:p>
    <w:p>
      <w:pPr>
        <w:bidi w:val="0"/>
        <w:rPr>
          <w:rFonts w:hint="eastAsia"/>
          <w:lang w:val="en-US" w:eastAsia="zh-CN"/>
        </w:rPr>
      </w:pPr>
    </w:p>
    <w:p>
      <w:pPr>
        <w:pStyle w:val="8"/>
        <w:rPr>
          <w:rFonts w:hint="default"/>
          <w:lang w:val="en-US" w:eastAsia="zh-CN"/>
        </w:rPr>
        <w:sectPr>
          <w:pgSz w:w="11906" w:h="16838"/>
          <w:pgMar w:top="1418" w:right="1418" w:bottom="1418" w:left="1701" w:header="851" w:footer="1134" w:gutter="0"/>
          <w:pgNumType w:fmt="decimal"/>
          <w:cols w:space="720" w:num="1"/>
          <w:docGrid w:linePitch="312" w:charSpace="0"/>
        </w:sectPr>
      </w:pPr>
    </w:p>
    <w:p>
      <w:pPr>
        <w:pStyle w:val="9"/>
        <w:bidi w:val="0"/>
        <w:outlineLvl w:val="0"/>
        <w:rPr>
          <w:rFonts w:hint="eastAsia"/>
          <w:lang w:val="en-US" w:eastAsia="zh-CN"/>
        </w:rPr>
      </w:pPr>
      <w:bookmarkStart w:id="459" w:name="_Toc15650"/>
      <w:bookmarkStart w:id="460" w:name="_Toc24699"/>
      <w:bookmarkStart w:id="461" w:name="_Toc28336"/>
      <w:r>
        <w:rPr>
          <w:rFonts w:hint="eastAsia"/>
          <w:lang w:val="en-US" w:eastAsia="zh-CN"/>
        </w:rPr>
        <w:t>附件7 防渗分区</w:t>
      </w:r>
      <w:bookmarkEnd w:id="459"/>
      <w:bookmarkEnd w:id="460"/>
      <w:bookmarkEnd w:id="461"/>
    </w:p>
    <w:p>
      <w:pPr>
        <w:bidi w:val="0"/>
        <w:ind w:left="0" w:leftChars="0" w:firstLine="0" w:firstLineChars="0"/>
        <w:jc w:val="center"/>
        <w:rPr>
          <w:rFonts w:hint="default"/>
          <w:color w:val="auto"/>
          <w:lang w:val="en-US" w:eastAsia="zh-CN"/>
        </w:rPr>
        <w:sectPr>
          <w:pgSz w:w="16838" w:h="11906" w:orient="landscape"/>
          <w:pgMar w:top="1701" w:right="1418" w:bottom="1418" w:left="1418" w:header="851" w:footer="1134" w:gutter="0"/>
          <w:pgNumType w:fmt="decimal"/>
          <w:cols w:space="720" w:num="1"/>
          <w:docGrid w:linePitch="312" w:charSpace="0"/>
        </w:sectPr>
      </w:pPr>
      <w:r>
        <w:drawing>
          <wp:inline distT="0" distB="0" distL="114300" distR="114300">
            <wp:extent cx="7884795" cy="4610735"/>
            <wp:effectExtent l="0" t="0" r="9525" b="6985"/>
            <wp:docPr id="1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0"/>
                    <pic:cNvPicPr>
                      <a:picLocks noChangeAspect="1"/>
                    </pic:cNvPicPr>
                  </pic:nvPicPr>
                  <pic:blipFill>
                    <a:blip r:embed="rId80"/>
                    <a:stretch>
                      <a:fillRect/>
                    </a:stretch>
                  </pic:blipFill>
                  <pic:spPr>
                    <a:xfrm>
                      <a:off x="0" y="0"/>
                      <a:ext cx="7884795" cy="4610735"/>
                    </a:xfrm>
                    <a:prstGeom prst="rect">
                      <a:avLst/>
                    </a:prstGeom>
                    <a:noFill/>
                    <a:ln>
                      <a:noFill/>
                    </a:ln>
                  </pic:spPr>
                </pic:pic>
              </a:graphicData>
            </a:graphic>
          </wp:inline>
        </w:drawing>
      </w:r>
    </w:p>
    <w:p>
      <w:pPr>
        <w:pStyle w:val="9"/>
        <w:bidi w:val="0"/>
        <w:outlineLvl w:val="0"/>
        <w:rPr>
          <w:rFonts w:hint="eastAsia"/>
          <w:lang w:val="en-US" w:eastAsia="zh-CN"/>
        </w:rPr>
      </w:pPr>
      <w:bookmarkStart w:id="462" w:name="_Toc29789"/>
      <w:bookmarkStart w:id="463" w:name="_Toc31688"/>
      <w:bookmarkStart w:id="464" w:name="_Toc22821"/>
      <w:r>
        <w:rPr>
          <w:rFonts w:hint="eastAsia"/>
          <w:lang w:val="en-US" w:eastAsia="zh-CN"/>
        </w:rPr>
        <w:t>附件8 排污许可证</w:t>
      </w:r>
      <w:bookmarkEnd w:id="462"/>
      <w:bookmarkEnd w:id="463"/>
      <w:bookmarkEnd w:id="464"/>
    </w:p>
    <w:p>
      <w:pPr>
        <w:bidi w:val="0"/>
        <w:ind w:left="0" w:leftChars="0" w:firstLine="0" w:firstLineChars="0"/>
        <w:jc w:val="center"/>
        <w:rPr>
          <w:color w:val="auto"/>
        </w:rPr>
        <w:sectPr>
          <w:pgSz w:w="16838" w:h="11906" w:orient="landscape"/>
          <w:pgMar w:top="1701" w:right="1418" w:bottom="1418" w:left="1418" w:header="851" w:footer="1134" w:gutter="0"/>
          <w:pgNumType w:fmt="decimal"/>
          <w:cols w:space="720" w:num="1"/>
          <w:docGrid w:linePitch="312" w:charSpace="0"/>
        </w:sectPr>
      </w:pPr>
      <w:r>
        <w:rPr>
          <w:color w:val="auto"/>
        </w:rPr>
        <w:drawing>
          <wp:inline distT="0" distB="0" distL="114300" distR="114300">
            <wp:extent cx="6981825" cy="4718050"/>
            <wp:effectExtent l="0" t="0" r="13335" b="6350"/>
            <wp:docPr id="1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
                    <pic:cNvPicPr>
                      <a:picLocks noChangeAspect="1"/>
                    </pic:cNvPicPr>
                  </pic:nvPicPr>
                  <pic:blipFill>
                    <a:blip r:embed="rId145"/>
                    <a:stretch>
                      <a:fillRect/>
                    </a:stretch>
                  </pic:blipFill>
                  <pic:spPr>
                    <a:xfrm>
                      <a:off x="0" y="0"/>
                      <a:ext cx="6981825" cy="4718050"/>
                    </a:xfrm>
                    <a:prstGeom prst="rect">
                      <a:avLst/>
                    </a:prstGeom>
                    <a:noFill/>
                    <a:ln>
                      <a:noFill/>
                    </a:ln>
                  </pic:spPr>
                </pic:pic>
              </a:graphicData>
            </a:graphic>
          </wp:inline>
        </w:drawing>
      </w:r>
    </w:p>
    <w:p>
      <w:pPr>
        <w:pStyle w:val="9"/>
        <w:bidi w:val="0"/>
        <w:outlineLvl w:val="0"/>
        <w:rPr>
          <w:rFonts w:hint="eastAsia"/>
          <w:i w:val="0"/>
          <w:iCs w:val="0"/>
          <w:u w:val="none"/>
          <w:lang w:val="en-US" w:eastAsia="zh-CN"/>
        </w:rPr>
      </w:pPr>
      <w:bookmarkStart w:id="465" w:name="_Toc25755"/>
      <w:bookmarkStart w:id="466" w:name="_Toc16200"/>
      <w:bookmarkStart w:id="467" w:name="_Toc5526"/>
      <w:r>
        <w:rPr>
          <w:rFonts w:hint="eastAsia"/>
          <w:i w:val="0"/>
          <w:iCs w:val="0"/>
          <w:u w:val="none"/>
          <w:lang w:val="en-US" w:eastAsia="zh-CN"/>
        </w:rPr>
        <w:t>附件9 项目小试废水产排情况</w:t>
      </w:r>
      <w:bookmarkEnd w:id="465"/>
    </w:p>
    <w:p>
      <w:pPr>
        <w:bidi w:val="0"/>
        <w:rPr>
          <w:rFonts w:hint="eastAsia"/>
          <w:lang w:val="en-US" w:eastAsia="zh-CN"/>
        </w:rPr>
      </w:pPr>
      <w:r>
        <w:rPr>
          <w:rFonts w:hint="eastAsia"/>
          <w:lang w:val="en-US" w:eastAsia="zh-CN"/>
        </w:rPr>
        <w:drawing>
          <wp:inline distT="0" distB="0" distL="114300" distR="114300">
            <wp:extent cx="5572760" cy="7664450"/>
            <wp:effectExtent l="0" t="0" r="5080" b="1270"/>
            <wp:docPr id="152" name="图片 152" descr="1c58938e4cc42a8df2f0d4c3dc197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1c58938e4cc42a8df2f0d4c3dc1979b"/>
                    <pic:cNvPicPr>
                      <a:picLocks noChangeAspect="1"/>
                    </pic:cNvPicPr>
                  </pic:nvPicPr>
                  <pic:blipFill>
                    <a:blip r:embed="rId146"/>
                    <a:stretch>
                      <a:fillRect/>
                    </a:stretch>
                  </pic:blipFill>
                  <pic:spPr>
                    <a:xfrm>
                      <a:off x="0" y="0"/>
                      <a:ext cx="5572760" cy="7664450"/>
                    </a:xfrm>
                    <a:prstGeom prst="rect">
                      <a:avLst/>
                    </a:prstGeom>
                  </pic:spPr>
                </pic:pic>
              </a:graphicData>
            </a:graphic>
          </wp:inline>
        </w:drawing>
      </w:r>
    </w:p>
    <w:p>
      <w:pPr>
        <w:bidi w:val="0"/>
        <w:rPr>
          <w:rFonts w:hint="eastAsia"/>
          <w:lang w:val="en-US" w:eastAsia="zh-CN"/>
        </w:rPr>
      </w:pPr>
    </w:p>
    <w:p>
      <w:pPr>
        <w:pStyle w:val="8"/>
        <w:ind w:left="0" w:leftChars="0" w:firstLine="0" w:firstLineChars="0"/>
        <w:rPr>
          <w:rFonts w:hint="default"/>
          <w:lang w:val="en-US" w:eastAsia="zh-CN"/>
        </w:rPr>
        <w:sectPr>
          <w:pgSz w:w="11906" w:h="16838"/>
          <w:pgMar w:top="1418" w:right="1418" w:bottom="1418" w:left="1701" w:header="851" w:footer="1134" w:gutter="0"/>
          <w:pgNumType w:fmt="decimal"/>
          <w:cols w:space="720" w:num="1"/>
          <w:docGrid w:linePitch="312" w:charSpace="0"/>
        </w:sectPr>
      </w:pPr>
    </w:p>
    <w:p>
      <w:pPr>
        <w:pStyle w:val="9"/>
        <w:bidi w:val="0"/>
        <w:outlineLvl w:val="0"/>
        <w:rPr>
          <w:rFonts w:hint="eastAsia"/>
          <w:lang w:val="en-US" w:eastAsia="zh-CN"/>
        </w:rPr>
      </w:pPr>
      <w:bookmarkStart w:id="468" w:name="_Toc10884"/>
      <w:r>
        <w:rPr>
          <w:rFonts w:hint="eastAsia"/>
          <w:lang w:val="en-US" w:eastAsia="zh-CN"/>
        </w:rPr>
        <w:t>附件10 厂区其余项目环评批复</w:t>
      </w:r>
      <w:bookmarkEnd w:id="466"/>
      <w:bookmarkEnd w:id="467"/>
      <w:bookmarkEnd w:id="468"/>
    </w:p>
    <w:p>
      <w:pPr>
        <w:pStyle w:val="10"/>
        <w:bidi w:val="0"/>
        <w:outlineLvl w:val="0"/>
        <w:rPr>
          <w:rFonts w:hint="eastAsia"/>
          <w:lang w:val="en-US" w:eastAsia="zh-CN"/>
        </w:rPr>
      </w:pPr>
      <w:bookmarkStart w:id="469" w:name="_Toc4133"/>
      <w:bookmarkStart w:id="470" w:name="_Toc1421"/>
      <w:r>
        <w:rPr>
          <w:rFonts w:hint="eastAsia"/>
          <w:lang w:val="en-US" w:eastAsia="zh-CN"/>
        </w:rPr>
        <w:t>批复1</w:t>
      </w:r>
      <w:bookmarkEnd w:id="469"/>
      <w:bookmarkEnd w:id="470"/>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257165" cy="7286625"/>
            <wp:effectExtent l="0" t="0" r="635" b="13335"/>
            <wp:docPr id="153" name="图片 153" descr="10万吨氨纶项目环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10万吨氨纶项目环评批复_页面_1"/>
                    <pic:cNvPicPr>
                      <a:picLocks noChangeAspect="1"/>
                    </pic:cNvPicPr>
                  </pic:nvPicPr>
                  <pic:blipFill>
                    <a:blip r:embed="rId147"/>
                    <a:stretch>
                      <a:fillRect/>
                    </a:stretch>
                  </pic:blipFill>
                  <pic:spPr>
                    <a:xfrm>
                      <a:off x="0" y="0"/>
                      <a:ext cx="5257165" cy="7286625"/>
                    </a:xfrm>
                    <a:prstGeom prst="rect">
                      <a:avLst/>
                    </a:prstGeom>
                  </pic:spPr>
                </pic:pic>
              </a:graphicData>
            </a:graphic>
          </wp:inline>
        </w:drawing>
      </w:r>
    </w:p>
    <w:p>
      <w:pPr>
        <w:pStyle w:val="2"/>
        <w:rPr>
          <w:rFonts w:hint="default"/>
          <w:color w:val="auto"/>
          <w:lang w:val="en-US" w:eastAsia="zh-CN"/>
        </w:rPr>
      </w:pPr>
    </w:p>
    <w:p>
      <w:pPr>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8475" cy="7731760"/>
            <wp:effectExtent l="0" t="0" r="14605" b="10160"/>
            <wp:docPr id="154" name="图片 154" descr="10万吨氨纶项目环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10万吨氨纶项目环评批复_页面_2"/>
                    <pic:cNvPicPr>
                      <a:picLocks noChangeAspect="1"/>
                    </pic:cNvPicPr>
                  </pic:nvPicPr>
                  <pic:blipFill>
                    <a:blip r:embed="rId148"/>
                    <a:stretch>
                      <a:fillRect/>
                    </a:stretch>
                  </pic:blipFill>
                  <pic:spPr>
                    <a:xfrm>
                      <a:off x="0" y="0"/>
                      <a:ext cx="5578475" cy="7731760"/>
                    </a:xfrm>
                    <a:prstGeom prst="rect">
                      <a:avLst/>
                    </a:prstGeom>
                  </pic:spPr>
                </pic:pic>
              </a:graphicData>
            </a:graphic>
          </wp:inline>
        </w:drawing>
      </w:r>
    </w:p>
    <w:p>
      <w:pPr>
        <w:pStyle w:val="2"/>
        <w:rPr>
          <w:rFonts w:hint="default"/>
          <w:color w:val="auto"/>
          <w:lang w:val="en-US" w:eastAsia="zh-CN"/>
        </w:rPr>
      </w:pPr>
    </w:p>
    <w:p>
      <w:pPr>
        <w:rPr>
          <w:rFonts w:hint="default"/>
          <w:color w:val="auto"/>
          <w:lang w:val="en-US" w:eastAsia="zh-CN"/>
        </w:rPr>
      </w:pPr>
    </w:p>
    <w:p>
      <w:pPr>
        <w:pStyle w:val="2"/>
        <w:rPr>
          <w:rFonts w:hint="default"/>
          <w:color w:val="auto"/>
          <w:lang w:val="en-US" w:eastAsia="zh-CN"/>
        </w:rPr>
      </w:pPr>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8475" cy="7731760"/>
            <wp:effectExtent l="0" t="0" r="14605" b="10160"/>
            <wp:docPr id="155" name="图片 155" descr="10万吨氨纶项目环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10万吨氨纶项目环评批复_页面_3"/>
                    <pic:cNvPicPr>
                      <a:picLocks noChangeAspect="1"/>
                    </pic:cNvPicPr>
                  </pic:nvPicPr>
                  <pic:blipFill>
                    <a:blip r:embed="rId149"/>
                    <a:stretch>
                      <a:fillRect/>
                    </a:stretch>
                  </pic:blipFill>
                  <pic:spPr>
                    <a:xfrm>
                      <a:off x="0" y="0"/>
                      <a:ext cx="5578475" cy="7731760"/>
                    </a:xfrm>
                    <a:prstGeom prst="rect">
                      <a:avLst/>
                    </a:prstGeom>
                  </pic:spPr>
                </pic:pic>
              </a:graphicData>
            </a:graphic>
          </wp:inline>
        </w:drawing>
      </w:r>
    </w:p>
    <w:p>
      <w:pPr>
        <w:pStyle w:val="2"/>
        <w:rPr>
          <w:rFonts w:hint="default"/>
          <w:color w:val="auto"/>
          <w:lang w:val="en-US" w:eastAsia="zh-CN"/>
        </w:rPr>
      </w:pPr>
    </w:p>
    <w:p>
      <w:pPr>
        <w:rPr>
          <w:rFonts w:hint="default"/>
          <w:color w:val="auto"/>
          <w:lang w:val="en-US" w:eastAsia="zh-CN"/>
        </w:rPr>
      </w:pPr>
    </w:p>
    <w:p>
      <w:pPr>
        <w:pStyle w:val="2"/>
        <w:rPr>
          <w:rFonts w:hint="default"/>
          <w:color w:val="auto"/>
          <w:lang w:val="en-US" w:eastAsia="zh-CN"/>
        </w:rPr>
      </w:pPr>
    </w:p>
    <w:p>
      <w:pPr>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8475" cy="7731760"/>
            <wp:effectExtent l="0" t="0" r="14605" b="10160"/>
            <wp:docPr id="156" name="图片 156" descr="10万吨氨纶项目环评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10万吨氨纶项目环评批复_页面_4"/>
                    <pic:cNvPicPr>
                      <a:picLocks noChangeAspect="1"/>
                    </pic:cNvPicPr>
                  </pic:nvPicPr>
                  <pic:blipFill>
                    <a:blip r:embed="rId150"/>
                    <a:stretch>
                      <a:fillRect/>
                    </a:stretch>
                  </pic:blipFill>
                  <pic:spPr>
                    <a:xfrm>
                      <a:off x="0" y="0"/>
                      <a:ext cx="5578475" cy="7731760"/>
                    </a:xfrm>
                    <a:prstGeom prst="rect">
                      <a:avLst/>
                    </a:prstGeom>
                  </pic:spPr>
                </pic:pic>
              </a:graphicData>
            </a:graphic>
          </wp:inline>
        </w:drawing>
      </w:r>
    </w:p>
    <w:p>
      <w:pPr>
        <w:pStyle w:val="2"/>
        <w:rPr>
          <w:rFonts w:hint="default"/>
          <w:color w:val="auto"/>
          <w:lang w:val="en-US" w:eastAsia="zh-CN"/>
        </w:rPr>
      </w:pPr>
    </w:p>
    <w:p>
      <w:pPr>
        <w:rPr>
          <w:rFonts w:hint="default"/>
          <w:color w:val="auto"/>
          <w:lang w:val="en-US" w:eastAsia="zh-CN"/>
        </w:rPr>
      </w:pPr>
    </w:p>
    <w:p>
      <w:pPr>
        <w:pStyle w:val="2"/>
        <w:rPr>
          <w:rFonts w:hint="default"/>
          <w:color w:val="auto"/>
          <w:lang w:val="en-US" w:eastAsia="zh-CN"/>
        </w:rPr>
      </w:pPr>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8475" cy="7731760"/>
            <wp:effectExtent l="0" t="0" r="14605" b="10160"/>
            <wp:docPr id="157" name="图片 157" descr="10万吨氨纶项目环评批复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10万吨氨纶项目环评批复_页面_5"/>
                    <pic:cNvPicPr>
                      <a:picLocks noChangeAspect="1"/>
                    </pic:cNvPicPr>
                  </pic:nvPicPr>
                  <pic:blipFill>
                    <a:blip r:embed="rId151"/>
                    <a:stretch>
                      <a:fillRect/>
                    </a:stretch>
                  </pic:blipFill>
                  <pic:spPr>
                    <a:xfrm>
                      <a:off x="0" y="0"/>
                      <a:ext cx="5578475" cy="7731760"/>
                    </a:xfrm>
                    <a:prstGeom prst="rect">
                      <a:avLst/>
                    </a:prstGeom>
                  </pic:spPr>
                </pic:pic>
              </a:graphicData>
            </a:graphic>
          </wp:inline>
        </w:drawing>
      </w:r>
    </w:p>
    <w:p>
      <w:pPr>
        <w:pStyle w:val="2"/>
        <w:rPr>
          <w:rFonts w:hint="default"/>
          <w:color w:val="auto"/>
          <w:lang w:val="en-US" w:eastAsia="zh-CN"/>
        </w:rPr>
      </w:pPr>
    </w:p>
    <w:p>
      <w:pPr>
        <w:rPr>
          <w:rFonts w:hint="default"/>
          <w:color w:val="auto"/>
          <w:lang w:val="en-US" w:eastAsia="zh-CN"/>
        </w:rPr>
      </w:pPr>
    </w:p>
    <w:p>
      <w:pPr>
        <w:pStyle w:val="2"/>
        <w:rPr>
          <w:rFonts w:hint="default"/>
          <w:color w:val="auto"/>
          <w:lang w:val="en-US" w:eastAsia="zh-CN"/>
        </w:rPr>
      </w:pPr>
    </w:p>
    <w:p>
      <w:pPr>
        <w:bidi w:val="0"/>
        <w:ind w:left="0" w:leftChars="0" w:firstLine="0" w:firstLineChars="0"/>
        <w:rPr>
          <w:rFonts w:hint="default"/>
          <w:color w:val="auto"/>
          <w:lang w:val="en-US" w:eastAsia="zh-CN"/>
        </w:rPr>
        <w:sectPr>
          <w:pgSz w:w="11906" w:h="16838"/>
          <w:pgMar w:top="1418" w:right="1418" w:bottom="1418" w:left="1701" w:header="851" w:footer="1134" w:gutter="0"/>
          <w:pgNumType w:fmt="decimal"/>
          <w:cols w:space="720" w:num="1"/>
          <w:docGrid w:linePitch="312" w:charSpace="0"/>
        </w:sectPr>
      </w:pPr>
      <w:r>
        <w:rPr>
          <w:rFonts w:hint="default"/>
          <w:color w:val="auto"/>
          <w:lang w:val="en-US" w:eastAsia="zh-CN"/>
        </w:rPr>
        <w:drawing>
          <wp:inline distT="0" distB="0" distL="114300" distR="114300">
            <wp:extent cx="5578475" cy="7731760"/>
            <wp:effectExtent l="0" t="0" r="14605" b="10160"/>
            <wp:docPr id="158" name="图片 158" descr="10万吨氨纶项目环评批复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10万吨氨纶项目环评批复_页面_6"/>
                    <pic:cNvPicPr>
                      <a:picLocks noChangeAspect="1"/>
                    </pic:cNvPicPr>
                  </pic:nvPicPr>
                  <pic:blipFill>
                    <a:blip r:embed="rId152"/>
                    <a:stretch>
                      <a:fillRect/>
                    </a:stretch>
                  </pic:blipFill>
                  <pic:spPr>
                    <a:xfrm>
                      <a:off x="0" y="0"/>
                      <a:ext cx="5578475" cy="7731760"/>
                    </a:xfrm>
                    <a:prstGeom prst="rect">
                      <a:avLst/>
                    </a:prstGeom>
                  </pic:spPr>
                </pic:pic>
              </a:graphicData>
            </a:graphic>
          </wp:inline>
        </w:drawing>
      </w:r>
    </w:p>
    <w:p>
      <w:pPr>
        <w:pStyle w:val="10"/>
        <w:bidi w:val="0"/>
        <w:outlineLvl w:val="0"/>
        <w:rPr>
          <w:rFonts w:hint="eastAsia"/>
          <w:lang w:val="en-US" w:eastAsia="zh-CN"/>
        </w:rPr>
      </w:pPr>
      <w:bookmarkStart w:id="471" w:name="_Toc26433"/>
      <w:bookmarkStart w:id="472" w:name="_Toc23577"/>
      <w:r>
        <w:rPr>
          <w:rFonts w:hint="eastAsia"/>
          <w:lang w:val="en-US" w:eastAsia="zh-CN"/>
        </w:rPr>
        <w:t>批复2</w:t>
      </w:r>
      <w:bookmarkEnd w:id="471"/>
      <w:bookmarkEnd w:id="472"/>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8475" cy="7731760"/>
            <wp:effectExtent l="0" t="0" r="14605" b="10160"/>
            <wp:docPr id="159" name="图片 159" descr="六千吨再生氨纶环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六千吨再生氨纶环评批复_页面_1"/>
                    <pic:cNvPicPr>
                      <a:picLocks noChangeAspect="1"/>
                    </pic:cNvPicPr>
                  </pic:nvPicPr>
                  <pic:blipFill>
                    <a:blip r:embed="rId153"/>
                    <a:stretch>
                      <a:fillRect/>
                    </a:stretch>
                  </pic:blipFill>
                  <pic:spPr>
                    <a:xfrm>
                      <a:off x="0" y="0"/>
                      <a:ext cx="5578475" cy="7731760"/>
                    </a:xfrm>
                    <a:prstGeom prst="rect">
                      <a:avLst/>
                    </a:prstGeom>
                  </pic:spPr>
                </pic:pic>
              </a:graphicData>
            </a:graphic>
          </wp:inline>
        </w:drawing>
      </w:r>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8475" cy="7731760"/>
            <wp:effectExtent l="0" t="0" r="14605" b="10160"/>
            <wp:docPr id="160" name="图片 160" descr="六千吨再生氨纶环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六千吨再生氨纶环评批复_页面_2"/>
                    <pic:cNvPicPr>
                      <a:picLocks noChangeAspect="1"/>
                    </pic:cNvPicPr>
                  </pic:nvPicPr>
                  <pic:blipFill>
                    <a:blip r:embed="rId154"/>
                    <a:stretch>
                      <a:fillRect/>
                    </a:stretch>
                  </pic:blipFill>
                  <pic:spPr>
                    <a:xfrm>
                      <a:off x="0" y="0"/>
                      <a:ext cx="5578475" cy="7731760"/>
                    </a:xfrm>
                    <a:prstGeom prst="rect">
                      <a:avLst/>
                    </a:prstGeom>
                  </pic:spPr>
                </pic:pic>
              </a:graphicData>
            </a:graphic>
          </wp:inline>
        </w:drawing>
      </w:r>
    </w:p>
    <w:p>
      <w:pPr>
        <w:pStyle w:val="2"/>
        <w:ind w:left="0" w:leftChars="0" w:firstLine="0" w:firstLineChars="0"/>
        <w:jc w:val="left"/>
        <w:rPr>
          <w:rFonts w:hint="default"/>
          <w:color w:val="auto"/>
          <w:lang w:val="en-US" w:eastAsia="zh-CN"/>
        </w:rPr>
      </w:pPr>
    </w:p>
    <w:p>
      <w:pPr>
        <w:rPr>
          <w:rFonts w:hint="default"/>
          <w:color w:val="auto"/>
          <w:lang w:val="en-US" w:eastAsia="zh-CN"/>
        </w:rPr>
      </w:pPr>
    </w:p>
    <w:p>
      <w:pPr>
        <w:pStyle w:val="2"/>
        <w:rPr>
          <w:rFonts w:hint="default"/>
          <w:color w:val="auto"/>
          <w:lang w:val="en-US" w:eastAsia="zh-CN"/>
        </w:rPr>
      </w:pPr>
    </w:p>
    <w:p>
      <w:pPr>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8475" cy="7731760"/>
            <wp:effectExtent l="0" t="0" r="14605" b="10160"/>
            <wp:docPr id="161" name="图片 161" descr="六千吨再生氨纶环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六千吨再生氨纶环评批复_页面_3"/>
                    <pic:cNvPicPr>
                      <a:picLocks noChangeAspect="1"/>
                    </pic:cNvPicPr>
                  </pic:nvPicPr>
                  <pic:blipFill>
                    <a:blip r:embed="rId155"/>
                    <a:stretch>
                      <a:fillRect/>
                    </a:stretch>
                  </pic:blipFill>
                  <pic:spPr>
                    <a:xfrm>
                      <a:off x="0" y="0"/>
                      <a:ext cx="5578475" cy="7731760"/>
                    </a:xfrm>
                    <a:prstGeom prst="rect">
                      <a:avLst/>
                    </a:prstGeom>
                  </pic:spPr>
                </pic:pic>
              </a:graphicData>
            </a:graphic>
          </wp:inline>
        </w:drawing>
      </w:r>
    </w:p>
    <w:p>
      <w:pPr>
        <w:pStyle w:val="2"/>
        <w:ind w:left="0" w:leftChars="0" w:firstLine="0" w:firstLineChars="0"/>
        <w:rPr>
          <w:rFonts w:hint="default"/>
          <w:color w:val="auto"/>
          <w:lang w:val="en-US" w:eastAsia="zh-CN"/>
        </w:rPr>
        <w:sectPr>
          <w:pgSz w:w="11906" w:h="16838"/>
          <w:pgMar w:top="1418" w:right="1418" w:bottom="1418" w:left="1701" w:header="851" w:footer="1134" w:gutter="0"/>
          <w:pgNumType w:fmt="decimal"/>
          <w:cols w:space="720" w:num="1"/>
          <w:docGrid w:linePitch="312" w:charSpace="0"/>
        </w:sectPr>
      </w:pPr>
      <w:r>
        <w:rPr>
          <w:rFonts w:hint="default"/>
          <w:color w:val="auto"/>
          <w:lang w:val="en-US" w:eastAsia="zh-CN"/>
        </w:rPr>
        <w:drawing>
          <wp:inline distT="0" distB="0" distL="114300" distR="114300">
            <wp:extent cx="5578475" cy="7731760"/>
            <wp:effectExtent l="0" t="0" r="14605" b="10160"/>
            <wp:docPr id="162" name="图片 162" descr="六千吨再生氨纶环评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六千吨再生氨纶环评批复_页面_4"/>
                    <pic:cNvPicPr>
                      <a:picLocks noChangeAspect="1"/>
                    </pic:cNvPicPr>
                  </pic:nvPicPr>
                  <pic:blipFill>
                    <a:blip r:embed="rId156"/>
                    <a:stretch>
                      <a:fillRect/>
                    </a:stretch>
                  </pic:blipFill>
                  <pic:spPr>
                    <a:xfrm>
                      <a:off x="0" y="0"/>
                      <a:ext cx="5578475" cy="7731760"/>
                    </a:xfrm>
                    <a:prstGeom prst="rect">
                      <a:avLst/>
                    </a:prstGeom>
                  </pic:spPr>
                </pic:pic>
              </a:graphicData>
            </a:graphic>
          </wp:inline>
        </w:drawing>
      </w:r>
      <w:r>
        <w:rPr>
          <w:rFonts w:hint="default"/>
          <w:color w:val="auto"/>
          <w:lang w:val="en-US" w:eastAsia="zh-CN"/>
        </w:rPr>
        <w:drawing>
          <wp:inline distT="0" distB="0" distL="114300" distR="114300">
            <wp:extent cx="5578475" cy="7731760"/>
            <wp:effectExtent l="0" t="0" r="14605" b="10160"/>
            <wp:docPr id="163" name="图片 163" descr="六千吨再生氨纶环评批复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六千吨再生氨纶环评批复_页面_5"/>
                    <pic:cNvPicPr>
                      <a:picLocks noChangeAspect="1"/>
                    </pic:cNvPicPr>
                  </pic:nvPicPr>
                  <pic:blipFill>
                    <a:blip r:embed="rId157"/>
                    <a:stretch>
                      <a:fillRect/>
                    </a:stretch>
                  </pic:blipFill>
                  <pic:spPr>
                    <a:xfrm>
                      <a:off x="0" y="0"/>
                      <a:ext cx="5578475" cy="7731760"/>
                    </a:xfrm>
                    <a:prstGeom prst="rect">
                      <a:avLst/>
                    </a:prstGeom>
                  </pic:spPr>
                </pic:pic>
              </a:graphicData>
            </a:graphic>
          </wp:inline>
        </w:drawing>
      </w:r>
      <w:r>
        <w:rPr>
          <w:rFonts w:hint="default"/>
          <w:color w:val="auto"/>
          <w:lang w:val="en-US" w:eastAsia="zh-CN"/>
        </w:rPr>
        <w:drawing>
          <wp:inline distT="0" distB="0" distL="114300" distR="114300">
            <wp:extent cx="5578475" cy="7731760"/>
            <wp:effectExtent l="0" t="0" r="14605" b="10160"/>
            <wp:docPr id="164" name="图片 164" descr="六千吨再生氨纶环评批复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六千吨再生氨纶环评批复_页面_6"/>
                    <pic:cNvPicPr>
                      <a:picLocks noChangeAspect="1"/>
                    </pic:cNvPicPr>
                  </pic:nvPicPr>
                  <pic:blipFill>
                    <a:blip r:embed="rId158"/>
                    <a:stretch>
                      <a:fillRect/>
                    </a:stretch>
                  </pic:blipFill>
                  <pic:spPr>
                    <a:xfrm>
                      <a:off x="0" y="0"/>
                      <a:ext cx="5578475" cy="7731760"/>
                    </a:xfrm>
                    <a:prstGeom prst="rect">
                      <a:avLst/>
                    </a:prstGeom>
                  </pic:spPr>
                </pic:pic>
              </a:graphicData>
            </a:graphic>
          </wp:inline>
        </w:drawing>
      </w:r>
    </w:p>
    <w:p>
      <w:pPr>
        <w:pStyle w:val="10"/>
        <w:bidi w:val="0"/>
        <w:outlineLvl w:val="0"/>
        <w:rPr>
          <w:rFonts w:hint="eastAsia"/>
          <w:b/>
          <w:lang w:val="en-US" w:eastAsia="zh-CN"/>
        </w:rPr>
      </w:pPr>
      <w:bookmarkStart w:id="473" w:name="_Toc6062"/>
      <w:bookmarkStart w:id="474" w:name="_Toc19014"/>
      <w:r>
        <w:rPr>
          <w:rFonts w:hint="eastAsia"/>
          <w:b/>
          <w:lang w:val="en-US" w:eastAsia="zh-CN"/>
        </w:rPr>
        <w:t>批复3</w:t>
      </w:r>
      <w:bookmarkEnd w:id="473"/>
      <w:bookmarkEnd w:id="474"/>
    </w:p>
    <w:p>
      <w:pPr>
        <w:bidi w:val="0"/>
        <w:ind w:left="0" w:leftChars="0" w:firstLine="0" w:firstLineChars="0"/>
        <w:rPr>
          <w:rFonts w:hint="default"/>
          <w:color w:val="auto"/>
          <w:lang w:val="en-US" w:eastAsia="zh-CN"/>
        </w:rPr>
        <w:sectPr>
          <w:pgSz w:w="11906" w:h="16838"/>
          <w:pgMar w:top="1418" w:right="1418" w:bottom="1418" w:left="1701" w:header="851" w:footer="1134" w:gutter="0"/>
          <w:pgNumType w:fmt="decimal"/>
          <w:cols w:space="720" w:num="1"/>
          <w:docGrid w:linePitch="312" w:charSpace="0"/>
        </w:sectPr>
      </w:pPr>
      <w:r>
        <w:rPr>
          <w:rFonts w:hint="default"/>
          <w:color w:val="auto"/>
          <w:lang w:val="en-US" w:eastAsia="zh-CN"/>
        </w:rPr>
        <w:drawing>
          <wp:inline distT="0" distB="0" distL="114300" distR="114300">
            <wp:extent cx="5572760" cy="7924800"/>
            <wp:effectExtent l="0" t="0" r="5080" b="0"/>
            <wp:docPr id="165" name="图片 165" descr="360t锅炉批复20210518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360t锅炉批复20210518_页面_1"/>
                    <pic:cNvPicPr>
                      <a:picLocks noChangeAspect="1"/>
                    </pic:cNvPicPr>
                  </pic:nvPicPr>
                  <pic:blipFill>
                    <a:blip r:embed="rId159"/>
                    <a:stretch>
                      <a:fillRect/>
                    </a:stretch>
                  </pic:blipFill>
                  <pic:spPr>
                    <a:xfrm>
                      <a:off x="0" y="0"/>
                      <a:ext cx="5572760" cy="7924800"/>
                    </a:xfrm>
                    <a:prstGeom prst="rect">
                      <a:avLst/>
                    </a:prstGeom>
                  </pic:spPr>
                </pic:pic>
              </a:graphicData>
            </a:graphic>
          </wp:inline>
        </w:drawing>
      </w:r>
      <w:r>
        <w:rPr>
          <w:rFonts w:hint="default"/>
          <w:color w:val="auto"/>
          <w:lang w:val="en-US" w:eastAsia="zh-CN"/>
        </w:rPr>
        <w:drawing>
          <wp:inline distT="0" distB="0" distL="114300" distR="114300">
            <wp:extent cx="5572760" cy="7924800"/>
            <wp:effectExtent l="0" t="0" r="5080" b="0"/>
            <wp:docPr id="166" name="图片 166" descr="360t锅炉批复20210518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360t锅炉批复20210518_页面_2"/>
                    <pic:cNvPicPr>
                      <a:picLocks noChangeAspect="1"/>
                    </pic:cNvPicPr>
                  </pic:nvPicPr>
                  <pic:blipFill>
                    <a:blip r:embed="rId160"/>
                    <a:stretch>
                      <a:fillRect/>
                    </a:stretch>
                  </pic:blipFill>
                  <pic:spPr>
                    <a:xfrm>
                      <a:off x="0" y="0"/>
                      <a:ext cx="5572760" cy="7924800"/>
                    </a:xfrm>
                    <a:prstGeom prst="rect">
                      <a:avLst/>
                    </a:prstGeom>
                  </pic:spPr>
                </pic:pic>
              </a:graphicData>
            </a:graphic>
          </wp:inline>
        </w:drawing>
      </w:r>
      <w:r>
        <w:rPr>
          <w:rFonts w:hint="default"/>
          <w:color w:val="auto"/>
          <w:lang w:val="en-US" w:eastAsia="zh-CN"/>
        </w:rPr>
        <w:drawing>
          <wp:inline distT="0" distB="0" distL="114300" distR="114300">
            <wp:extent cx="5572760" cy="7924800"/>
            <wp:effectExtent l="0" t="0" r="5080" b="0"/>
            <wp:docPr id="167" name="图片 167" descr="360t锅炉批复20210518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360t锅炉批复20210518_页面_3"/>
                    <pic:cNvPicPr>
                      <a:picLocks noChangeAspect="1"/>
                    </pic:cNvPicPr>
                  </pic:nvPicPr>
                  <pic:blipFill>
                    <a:blip r:embed="rId161"/>
                    <a:stretch>
                      <a:fillRect/>
                    </a:stretch>
                  </pic:blipFill>
                  <pic:spPr>
                    <a:xfrm>
                      <a:off x="0" y="0"/>
                      <a:ext cx="5572760" cy="7924800"/>
                    </a:xfrm>
                    <a:prstGeom prst="rect">
                      <a:avLst/>
                    </a:prstGeom>
                  </pic:spPr>
                </pic:pic>
              </a:graphicData>
            </a:graphic>
          </wp:inline>
        </w:drawing>
      </w:r>
      <w:r>
        <w:rPr>
          <w:rFonts w:hint="default"/>
          <w:color w:val="auto"/>
          <w:lang w:val="en-US" w:eastAsia="zh-CN"/>
        </w:rPr>
        <w:drawing>
          <wp:inline distT="0" distB="0" distL="114300" distR="114300">
            <wp:extent cx="5572760" cy="7924800"/>
            <wp:effectExtent l="0" t="0" r="5080" b="0"/>
            <wp:docPr id="168" name="图片 168" descr="360t锅炉批复20210518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360t锅炉批复20210518_页面_4"/>
                    <pic:cNvPicPr>
                      <a:picLocks noChangeAspect="1"/>
                    </pic:cNvPicPr>
                  </pic:nvPicPr>
                  <pic:blipFill>
                    <a:blip r:embed="rId162"/>
                    <a:stretch>
                      <a:fillRect/>
                    </a:stretch>
                  </pic:blipFill>
                  <pic:spPr>
                    <a:xfrm>
                      <a:off x="0" y="0"/>
                      <a:ext cx="5572760" cy="7924800"/>
                    </a:xfrm>
                    <a:prstGeom prst="rect">
                      <a:avLst/>
                    </a:prstGeom>
                  </pic:spPr>
                </pic:pic>
              </a:graphicData>
            </a:graphic>
          </wp:inline>
        </w:drawing>
      </w:r>
      <w:r>
        <w:rPr>
          <w:rFonts w:hint="default"/>
          <w:color w:val="auto"/>
          <w:lang w:val="en-US" w:eastAsia="zh-CN"/>
        </w:rPr>
        <w:drawing>
          <wp:inline distT="0" distB="0" distL="114300" distR="114300">
            <wp:extent cx="5572760" cy="7924800"/>
            <wp:effectExtent l="0" t="0" r="5080" b="0"/>
            <wp:docPr id="169" name="图片 169" descr="360t锅炉批复20210518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360t锅炉批复20210518_页面_5"/>
                    <pic:cNvPicPr>
                      <a:picLocks noChangeAspect="1"/>
                    </pic:cNvPicPr>
                  </pic:nvPicPr>
                  <pic:blipFill>
                    <a:blip r:embed="rId163"/>
                    <a:stretch>
                      <a:fillRect/>
                    </a:stretch>
                  </pic:blipFill>
                  <pic:spPr>
                    <a:xfrm>
                      <a:off x="0" y="0"/>
                      <a:ext cx="5572760" cy="7924800"/>
                    </a:xfrm>
                    <a:prstGeom prst="rect">
                      <a:avLst/>
                    </a:prstGeom>
                  </pic:spPr>
                </pic:pic>
              </a:graphicData>
            </a:graphic>
          </wp:inline>
        </w:drawing>
      </w:r>
      <w:r>
        <w:rPr>
          <w:rFonts w:hint="default"/>
          <w:color w:val="auto"/>
          <w:lang w:val="en-US" w:eastAsia="zh-CN"/>
        </w:rPr>
        <w:drawing>
          <wp:inline distT="0" distB="0" distL="114300" distR="114300">
            <wp:extent cx="5572760" cy="7924800"/>
            <wp:effectExtent l="0" t="0" r="5080" b="0"/>
            <wp:docPr id="170" name="图片 170" descr="360t锅炉批复20210518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360t锅炉批复20210518_页面_6"/>
                    <pic:cNvPicPr>
                      <a:picLocks noChangeAspect="1"/>
                    </pic:cNvPicPr>
                  </pic:nvPicPr>
                  <pic:blipFill>
                    <a:blip r:embed="rId164"/>
                    <a:stretch>
                      <a:fillRect/>
                    </a:stretch>
                  </pic:blipFill>
                  <pic:spPr>
                    <a:xfrm>
                      <a:off x="0" y="0"/>
                      <a:ext cx="5572760" cy="7924800"/>
                    </a:xfrm>
                    <a:prstGeom prst="rect">
                      <a:avLst/>
                    </a:prstGeom>
                  </pic:spPr>
                </pic:pic>
              </a:graphicData>
            </a:graphic>
          </wp:inline>
        </w:drawing>
      </w:r>
    </w:p>
    <w:p>
      <w:pPr>
        <w:pStyle w:val="10"/>
        <w:bidi w:val="0"/>
        <w:outlineLvl w:val="0"/>
        <w:rPr>
          <w:rFonts w:hint="default"/>
          <w:b/>
          <w:lang w:val="en-US" w:eastAsia="zh-CN"/>
        </w:rPr>
      </w:pPr>
      <w:bookmarkStart w:id="475" w:name="_Toc1205"/>
      <w:bookmarkStart w:id="476" w:name="_Toc29211"/>
      <w:r>
        <w:rPr>
          <w:rFonts w:hint="eastAsia"/>
          <w:b/>
          <w:lang w:val="en-US" w:eastAsia="zh-CN"/>
        </w:rPr>
        <w:t>批复4</w:t>
      </w:r>
      <w:bookmarkEnd w:id="475"/>
      <w:bookmarkEnd w:id="476"/>
    </w:p>
    <w:p>
      <w:pPr>
        <w:bidi w:val="0"/>
        <w:ind w:left="0" w:leftChars="0" w:firstLine="0" w:firstLineChars="0"/>
        <w:rPr>
          <w:rFonts w:hint="default"/>
          <w:color w:val="auto"/>
          <w:lang w:val="en-US" w:eastAsia="zh-CN"/>
        </w:rPr>
        <w:sectPr>
          <w:pgSz w:w="11906" w:h="16838"/>
          <w:pgMar w:top="1418" w:right="1418" w:bottom="1418" w:left="1701" w:header="851" w:footer="1134" w:gutter="0"/>
          <w:pgNumType w:fmt="decimal"/>
          <w:cols w:space="720" w:num="1"/>
          <w:docGrid w:linePitch="312" w:charSpace="0"/>
        </w:sectPr>
      </w:pPr>
      <w:r>
        <w:rPr>
          <w:rFonts w:hint="default"/>
          <w:color w:val="auto"/>
          <w:lang w:val="en-US" w:eastAsia="zh-CN"/>
        </w:rPr>
        <w:drawing>
          <wp:inline distT="0" distB="0" distL="114300" distR="114300">
            <wp:extent cx="5575935" cy="7974965"/>
            <wp:effectExtent l="0" t="0" r="1905" b="10795"/>
            <wp:docPr id="171" name="图片 17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001"/>
                    <pic:cNvPicPr>
                      <a:picLocks noChangeAspect="1"/>
                    </pic:cNvPicPr>
                  </pic:nvPicPr>
                  <pic:blipFill>
                    <a:blip r:embed="rId165"/>
                    <a:stretch>
                      <a:fillRect/>
                    </a:stretch>
                  </pic:blipFill>
                  <pic:spPr>
                    <a:xfrm>
                      <a:off x="0" y="0"/>
                      <a:ext cx="5575935" cy="7974965"/>
                    </a:xfrm>
                    <a:prstGeom prst="rect">
                      <a:avLst/>
                    </a:prstGeom>
                  </pic:spPr>
                </pic:pic>
              </a:graphicData>
            </a:graphic>
          </wp:inline>
        </w:drawing>
      </w:r>
      <w:r>
        <w:rPr>
          <w:rFonts w:hint="default"/>
          <w:color w:val="auto"/>
          <w:lang w:val="en-US" w:eastAsia="zh-CN"/>
        </w:rPr>
        <w:drawing>
          <wp:inline distT="0" distB="0" distL="114300" distR="114300">
            <wp:extent cx="5572760" cy="7990205"/>
            <wp:effectExtent l="0" t="0" r="5080" b="10795"/>
            <wp:docPr id="172" name="图片 17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002"/>
                    <pic:cNvPicPr>
                      <a:picLocks noChangeAspect="1"/>
                    </pic:cNvPicPr>
                  </pic:nvPicPr>
                  <pic:blipFill>
                    <a:blip r:embed="rId166"/>
                    <a:stretch>
                      <a:fillRect/>
                    </a:stretch>
                  </pic:blipFill>
                  <pic:spPr>
                    <a:xfrm>
                      <a:off x="0" y="0"/>
                      <a:ext cx="5572760" cy="7990205"/>
                    </a:xfrm>
                    <a:prstGeom prst="rect">
                      <a:avLst/>
                    </a:prstGeom>
                  </pic:spPr>
                </pic:pic>
              </a:graphicData>
            </a:graphic>
          </wp:inline>
        </w:drawing>
      </w:r>
      <w:r>
        <w:rPr>
          <w:rFonts w:hint="default"/>
          <w:color w:val="auto"/>
          <w:lang w:val="en-US" w:eastAsia="zh-CN"/>
        </w:rPr>
        <w:drawing>
          <wp:inline distT="0" distB="0" distL="114300" distR="114300">
            <wp:extent cx="5575935" cy="7894320"/>
            <wp:effectExtent l="0" t="0" r="1905" b="0"/>
            <wp:docPr id="173" name="图片 173"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003"/>
                    <pic:cNvPicPr>
                      <a:picLocks noChangeAspect="1"/>
                    </pic:cNvPicPr>
                  </pic:nvPicPr>
                  <pic:blipFill>
                    <a:blip r:embed="rId167"/>
                    <a:stretch>
                      <a:fillRect/>
                    </a:stretch>
                  </pic:blipFill>
                  <pic:spPr>
                    <a:xfrm>
                      <a:off x="0" y="0"/>
                      <a:ext cx="5575935" cy="7894320"/>
                    </a:xfrm>
                    <a:prstGeom prst="rect">
                      <a:avLst/>
                    </a:prstGeom>
                  </pic:spPr>
                </pic:pic>
              </a:graphicData>
            </a:graphic>
          </wp:inline>
        </w:drawing>
      </w:r>
      <w:r>
        <w:rPr>
          <w:rFonts w:hint="default"/>
          <w:color w:val="auto"/>
          <w:lang w:val="en-US" w:eastAsia="zh-CN"/>
        </w:rPr>
        <w:drawing>
          <wp:inline distT="0" distB="0" distL="114300" distR="114300">
            <wp:extent cx="5575935" cy="7894320"/>
            <wp:effectExtent l="0" t="0" r="1905" b="0"/>
            <wp:docPr id="174" name="图片 17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004"/>
                    <pic:cNvPicPr>
                      <a:picLocks noChangeAspect="1"/>
                    </pic:cNvPicPr>
                  </pic:nvPicPr>
                  <pic:blipFill>
                    <a:blip r:embed="rId168"/>
                    <a:stretch>
                      <a:fillRect/>
                    </a:stretch>
                  </pic:blipFill>
                  <pic:spPr>
                    <a:xfrm>
                      <a:off x="0" y="0"/>
                      <a:ext cx="5575935" cy="7894320"/>
                    </a:xfrm>
                    <a:prstGeom prst="rect">
                      <a:avLst/>
                    </a:prstGeom>
                  </pic:spPr>
                </pic:pic>
              </a:graphicData>
            </a:graphic>
          </wp:inline>
        </w:drawing>
      </w:r>
    </w:p>
    <w:p>
      <w:pPr>
        <w:pStyle w:val="10"/>
        <w:bidi w:val="0"/>
        <w:outlineLvl w:val="0"/>
        <w:rPr>
          <w:rFonts w:hint="eastAsia"/>
          <w:b/>
          <w:lang w:val="en-US" w:eastAsia="zh-CN"/>
        </w:rPr>
      </w:pPr>
      <w:bookmarkStart w:id="477" w:name="_Toc10786"/>
      <w:r>
        <w:rPr>
          <w:rFonts w:hint="eastAsia"/>
          <w:b/>
          <w:lang w:val="en-US" w:eastAsia="zh-CN"/>
        </w:rPr>
        <w:t>批复5</w:t>
      </w:r>
      <w:bookmarkEnd w:id="477"/>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5935" cy="7974965"/>
            <wp:effectExtent l="0" t="0" r="1905" b="10795"/>
            <wp:docPr id="175" name="图片 175" descr="新区2×2万吨氨纶环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新区2×2万吨氨纶环评批复_页面_1"/>
                    <pic:cNvPicPr>
                      <a:picLocks noChangeAspect="1"/>
                    </pic:cNvPicPr>
                  </pic:nvPicPr>
                  <pic:blipFill>
                    <a:blip r:embed="rId165"/>
                    <a:stretch>
                      <a:fillRect/>
                    </a:stretch>
                  </pic:blipFill>
                  <pic:spPr>
                    <a:xfrm>
                      <a:off x="0" y="0"/>
                      <a:ext cx="5575935" cy="7974965"/>
                    </a:xfrm>
                    <a:prstGeom prst="rect">
                      <a:avLst/>
                    </a:prstGeom>
                  </pic:spPr>
                </pic:pic>
              </a:graphicData>
            </a:graphic>
          </wp:inline>
        </w:drawing>
      </w:r>
      <w:r>
        <w:rPr>
          <w:rFonts w:hint="default"/>
          <w:color w:val="auto"/>
          <w:lang w:val="en-US" w:eastAsia="zh-CN"/>
        </w:rPr>
        <w:drawing>
          <wp:inline distT="0" distB="0" distL="114300" distR="114300">
            <wp:extent cx="5576570" cy="8022590"/>
            <wp:effectExtent l="0" t="0" r="1270" b="8890"/>
            <wp:docPr id="176" name="图片 176" descr="新区2×2万吨氨纶环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新区2×2万吨氨纶环评批复_页面_2"/>
                    <pic:cNvPicPr>
                      <a:picLocks noChangeAspect="1"/>
                    </pic:cNvPicPr>
                  </pic:nvPicPr>
                  <pic:blipFill>
                    <a:blip r:embed="rId169"/>
                    <a:stretch>
                      <a:fillRect/>
                    </a:stretch>
                  </pic:blipFill>
                  <pic:spPr>
                    <a:xfrm>
                      <a:off x="0" y="0"/>
                      <a:ext cx="5576570" cy="8022590"/>
                    </a:xfrm>
                    <a:prstGeom prst="rect">
                      <a:avLst/>
                    </a:prstGeom>
                  </pic:spPr>
                </pic:pic>
              </a:graphicData>
            </a:graphic>
          </wp:inline>
        </w:drawing>
      </w:r>
      <w:r>
        <w:rPr>
          <w:rFonts w:hint="default"/>
          <w:color w:val="auto"/>
          <w:lang w:val="en-US" w:eastAsia="zh-CN"/>
        </w:rPr>
        <w:drawing>
          <wp:inline distT="0" distB="0" distL="114300" distR="114300">
            <wp:extent cx="5575935" cy="7894320"/>
            <wp:effectExtent l="0" t="0" r="1905" b="0"/>
            <wp:docPr id="177" name="图片 177" descr="新区2×2万吨氨纶环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新区2×2万吨氨纶环评批复_页面_3"/>
                    <pic:cNvPicPr>
                      <a:picLocks noChangeAspect="1"/>
                    </pic:cNvPicPr>
                  </pic:nvPicPr>
                  <pic:blipFill>
                    <a:blip r:embed="rId167"/>
                    <a:stretch>
                      <a:fillRect/>
                    </a:stretch>
                  </pic:blipFill>
                  <pic:spPr>
                    <a:xfrm>
                      <a:off x="0" y="0"/>
                      <a:ext cx="5575935" cy="7894320"/>
                    </a:xfrm>
                    <a:prstGeom prst="rect">
                      <a:avLst/>
                    </a:prstGeom>
                  </pic:spPr>
                </pic:pic>
              </a:graphicData>
            </a:graphic>
          </wp:inline>
        </w:drawing>
      </w:r>
      <w:r>
        <w:rPr>
          <w:rFonts w:hint="default"/>
          <w:color w:val="auto"/>
          <w:lang w:val="en-US" w:eastAsia="zh-CN"/>
        </w:rPr>
        <w:drawing>
          <wp:inline distT="0" distB="0" distL="114300" distR="114300">
            <wp:extent cx="5575935" cy="7894320"/>
            <wp:effectExtent l="0" t="0" r="1905" b="0"/>
            <wp:docPr id="178" name="图片 178" descr="新区2×2万吨氨纶环评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新区2×2万吨氨纶环评批复_页面_4"/>
                    <pic:cNvPicPr>
                      <a:picLocks noChangeAspect="1"/>
                    </pic:cNvPicPr>
                  </pic:nvPicPr>
                  <pic:blipFill>
                    <a:blip r:embed="rId168"/>
                    <a:stretch>
                      <a:fillRect/>
                    </a:stretch>
                  </pic:blipFill>
                  <pic:spPr>
                    <a:xfrm>
                      <a:off x="0" y="0"/>
                      <a:ext cx="5575935" cy="7894320"/>
                    </a:xfrm>
                    <a:prstGeom prst="rect">
                      <a:avLst/>
                    </a:prstGeom>
                  </pic:spPr>
                </pic:pic>
              </a:graphicData>
            </a:graphic>
          </wp:inline>
        </w:drawing>
      </w:r>
    </w:p>
    <w:p>
      <w:pPr>
        <w:pStyle w:val="2"/>
        <w:rPr>
          <w:rFonts w:hint="default"/>
          <w:color w:val="auto"/>
          <w:lang w:val="en-US" w:eastAsia="zh-CN"/>
        </w:rPr>
        <w:sectPr>
          <w:pgSz w:w="11906" w:h="16838"/>
          <w:pgMar w:top="1418" w:right="1418" w:bottom="1418" w:left="1701" w:header="851" w:footer="1134" w:gutter="0"/>
          <w:pgNumType w:fmt="decimal"/>
          <w:cols w:space="720" w:num="1"/>
          <w:docGrid w:linePitch="312" w:charSpace="0"/>
        </w:sectPr>
      </w:pPr>
    </w:p>
    <w:p>
      <w:pPr>
        <w:pStyle w:val="10"/>
        <w:bidi w:val="0"/>
        <w:outlineLvl w:val="0"/>
        <w:rPr>
          <w:rFonts w:hint="eastAsia"/>
          <w:b/>
          <w:lang w:val="en-US" w:eastAsia="zh-CN"/>
        </w:rPr>
      </w:pPr>
      <w:bookmarkStart w:id="478" w:name="_Toc19687"/>
      <w:bookmarkStart w:id="479" w:name="_Toc29180"/>
      <w:r>
        <w:rPr>
          <w:rFonts w:hint="eastAsia"/>
          <w:b/>
          <w:lang w:val="en-US" w:eastAsia="zh-CN"/>
        </w:rPr>
        <w:t>批复6</w:t>
      </w:r>
      <w:bookmarkEnd w:id="478"/>
      <w:bookmarkEnd w:id="479"/>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8475" cy="7731760"/>
            <wp:effectExtent l="0" t="0" r="14605" b="10160"/>
            <wp:docPr id="179" name="图片 1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1"/>
                    <pic:cNvPicPr>
                      <a:picLocks noChangeAspect="1"/>
                    </pic:cNvPicPr>
                  </pic:nvPicPr>
                  <pic:blipFill>
                    <a:blip r:embed="rId170"/>
                    <a:stretch>
                      <a:fillRect/>
                    </a:stretch>
                  </pic:blipFill>
                  <pic:spPr>
                    <a:xfrm>
                      <a:off x="0" y="0"/>
                      <a:ext cx="5578475" cy="7731760"/>
                    </a:xfrm>
                    <a:prstGeom prst="rect">
                      <a:avLst/>
                    </a:prstGeom>
                  </pic:spPr>
                </pic:pic>
              </a:graphicData>
            </a:graphic>
          </wp:inline>
        </w:drawing>
      </w:r>
    </w:p>
    <w:p>
      <w:pPr>
        <w:pStyle w:val="2"/>
        <w:rPr>
          <w:rFonts w:hint="default"/>
          <w:color w:val="auto"/>
          <w:lang w:val="en-US" w:eastAsia="zh-CN"/>
        </w:rPr>
      </w:pPr>
    </w:p>
    <w:p>
      <w:pPr>
        <w:rPr>
          <w:rFonts w:hint="default"/>
          <w:color w:val="auto"/>
          <w:lang w:val="en-US" w:eastAsia="zh-CN"/>
        </w:rPr>
      </w:pPr>
    </w:p>
    <w:p>
      <w:pPr>
        <w:bidi w:val="0"/>
        <w:ind w:left="0" w:leftChars="0" w:firstLine="0" w:firstLineChars="0"/>
        <w:rPr>
          <w:rFonts w:hint="default"/>
          <w:color w:val="auto"/>
          <w:lang w:val="en-US" w:eastAsia="zh-CN"/>
        </w:rPr>
        <w:sectPr>
          <w:pgSz w:w="11906" w:h="16838"/>
          <w:pgMar w:top="1418" w:right="1418" w:bottom="1418" w:left="1701" w:header="851" w:footer="1134" w:gutter="0"/>
          <w:pgNumType w:fmt="decimal"/>
          <w:cols w:space="720" w:num="1"/>
          <w:docGrid w:linePitch="312" w:charSpace="0"/>
        </w:sectPr>
      </w:pPr>
      <w:r>
        <w:rPr>
          <w:rFonts w:hint="default"/>
          <w:color w:val="auto"/>
          <w:lang w:val="en-US" w:eastAsia="zh-CN"/>
        </w:rPr>
        <w:drawing>
          <wp:inline distT="0" distB="0" distL="114300" distR="114300">
            <wp:extent cx="5578475" cy="7731760"/>
            <wp:effectExtent l="0" t="0" r="14605" b="10160"/>
            <wp:docPr id="180" name="图片 1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2"/>
                    <pic:cNvPicPr>
                      <a:picLocks noChangeAspect="1"/>
                    </pic:cNvPicPr>
                  </pic:nvPicPr>
                  <pic:blipFill>
                    <a:blip r:embed="rId171"/>
                    <a:stretch>
                      <a:fillRect/>
                    </a:stretch>
                  </pic:blipFill>
                  <pic:spPr>
                    <a:xfrm>
                      <a:off x="0" y="0"/>
                      <a:ext cx="5578475" cy="7731760"/>
                    </a:xfrm>
                    <a:prstGeom prst="rect">
                      <a:avLst/>
                    </a:prstGeom>
                  </pic:spPr>
                </pic:pic>
              </a:graphicData>
            </a:graphic>
          </wp:inline>
        </w:drawing>
      </w:r>
      <w:r>
        <w:rPr>
          <w:rFonts w:hint="default"/>
          <w:color w:val="auto"/>
          <w:lang w:val="en-US" w:eastAsia="zh-CN"/>
        </w:rPr>
        <w:drawing>
          <wp:inline distT="0" distB="0" distL="114300" distR="114300">
            <wp:extent cx="5578475" cy="7731760"/>
            <wp:effectExtent l="0" t="0" r="14605" b="10160"/>
            <wp:docPr id="181" name="图片 1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3"/>
                    <pic:cNvPicPr>
                      <a:picLocks noChangeAspect="1"/>
                    </pic:cNvPicPr>
                  </pic:nvPicPr>
                  <pic:blipFill>
                    <a:blip r:embed="rId172"/>
                    <a:stretch>
                      <a:fillRect/>
                    </a:stretch>
                  </pic:blipFill>
                  <pic:spPr>
                    <a:xfrm>
                      <a:off x="0" y="0"/>
                      <a:ext cx="5578475" cy="7731760"/>
                    </a:xfrm>
                    <a:prstGeom prst="rect">
                      <a:avLst/>
                    </a:prstGeom>
                  </pic:spPr>
                </pic:pic>
              </a:graphicData>
            </a:graphic>
          </wp:inline>
        </w:drawing>
      </w:r>
      <w:bookmarkStart w:id="492" w:name="_GoBack"/>
      <w:r>
        <w:rPr>
          <w:rFonts w:hint="default"/>
          <w:color w:val="auto"/>
          <w:lang w:val="en-US" w:eastAsia="zh-CN"/>
        </w:rPr>
        <w:drawing>
          <wp:inline distT="0" distB="0" distL="114300" distR="114300">
            <wp:extent cx="5578475" cy="7731760"/>
            <wp:effectExtent l="0" t="0" r="14605" b="10160"/>
            <wp:docPr id="182" name="图片 1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4"/>
                    <pic:cNvPicPr>
                      <a:picLocks noChangeAspect="1"/>
                    </pic:cNvPicPr>
                  </pic:nvPicPr>
                  <pic:blipFill>
                    <a:blip r:embed="rId173"/>
                    <a:stretch>
                      <a:fillRect/>
                    </a:stretch>
                  </pic:blipFill>
                  <pic:spPr>
                    <a:xfrm>
                      <a:off x="0" y="0"/>
                      <a:ext cx="5578475" cy="7731760"/>
                    </a:xfrm>
                    <a:prstGeom prst="rect">
                      <a:avLst/>
                    </a:prstGeom>
                  </pic:spPr>
                </pic:pic>
              </a:graphicData>
            </a:graphic>
          </wp:inline>
        </w:drawing>
      </w:r>
      <w:bookmarkEnd w:id="492"/>
    </w:p>
    <w:p>
      <w:pPr>
        <w:pStyle w:val="10"/>
        <w:bidi w:val="0"/>
        <w:outlineLvl w:val="0"/>
        <w:rPr>
          <w:rFonts w:hint="eastAsia"/>
          <w:b/>
          <w:lang w:val="en-US" w:eastAsia="zh-CN"/>
        </w:rPr>
      </w:pPr>
      <w:bookmarkStart w:id="480" w:name="_Toc14268"/>
      <w:bookmarkStart w:id="481" w:name="_Toc17320"/>
      <w:r>
        <w:rPr>
          <w:rFonts w:hint="eastAsia"/>
          <w:b/>
          <w:lang w:val="en-US" w:eastAsia="zh-CN"/>
        </w:rPr>
        <w:t>批复7</w:t>
      </w:r>
      <w:bookmarkEnd w:id="480"/>
      <w:bookmarkEnd w:id="481"/>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8475" cy="7731760"/>
            <wp:effectExtent l="0" t="0" r="14605" b="10160"/>
            <wp:docPr id="183" name="图片 183" descr="热电联产环评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热电联产环评批复1"/>
                    <pic:cNvPicPr>
                      <a:picLocks noChangeAspect="1"/>
                    </pic:cNvPicPr>
                  </pic:nvPicPr>
                  <pic:blipFill>
                    <a:blip r:embed="rId174"/>
                    <a:stretch>
                      <a:fillRect/>
                    </a:stretch>
                  </pic:blipFill>
                  <pic:spPr>
                    <a:xfrm>
                      <a:off x="0" y="0"/>
                      <a:ext cx="5578475" cy="7731760"/>
                    </a:xfrm>
                    <a:prstGeom prst="rect">
                      <a:avLst/>
                    </a:prstGeom>
                  </pic:spPr>
                </pic:pic>
              </a:graphicData>
            </a:graphic>
          </wp:inline>
        </w:drawing>
      </w:r>
    </w:p>
    <w:p>
      <w:pPr>
        <w:bidi w:val="0"/>
        <w:ind w:left="0" w:leftChars="0" w:firstLine="0" w:firstLineChars="0"/>
        <w:rPr>
          <w:rFonts w:hint="default"/>
          <w:color w:val="auto"/>
          <w:lang w:val="en-US" w:eastAsia="zh-CN"/>
        </w:rPr>
        <w:sectPr>
          <w:pgSz w:w="11906" w:h="16838"/>
          <w:pgMar w:top="1418" w:right="1418" w:bottom="1418" w:left="1701" w:header="851" w:footer="1134" w:gutter="0"/>
          <w:pgNumType w:fmt="decimal"/>
          <w:cols w:space="720" w:num="1"/>
          <w:docGrid w:linePitch="312" w:charSpace="0"/>
        </w:sectPr>
      </w:pPr>
      <w:r>
        <w:rPr>
          <w:rFonts w:hint="default"/>
          <w:color w:val="auto"/>
          <w:lang w:val="en-US" w:eastAsia="zh-CN"/>
        </w:rPr>
        <w:drawing>
          <wp:inline distT="0" distB="0" distL="114300" distR="114300">
            <wp:extent cx="5578475" cy="7731760"/>
            <wp:effectExtent l="0" t="0" r="14605" b="10160"/>
            <wp:docPr id="184" name="图片 184" descr="热电联产环评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热电联产环评批复2"/>
                    <pic:cNvPicPr>
                      <a:picLocks noChangeAspect="1"/>
                    </pic:cNvPicPr>
                  </pic:nvPicPr>
                  <pic:blipFill>
                    <a:blip r:embed="rId175"/>
                    <a:stretch>
                      <a:fillRect/>
                    </a:stretch>
                  </pic:blipFill>
                  <pic:spPr>
                    <a:xfrm>
                      <a:off x="0" y="0"/>
                      <a:ext cx="5578475" cy="7731760"/>
                    </a:xfrm>
                    <a:prstGeom prst="rect">
                      <a:avLst/>
                    </a:prstGeom>
                  </pic:spPr>
                </pic:pic>
              </a:graphicData>
            </a:graphic>
          </wp:inline>
        </w:drawing>
      </w:r>
    </w:p>
    <w:p>
      <w:pPr>
        <w:pStyle w:val="10"/>
        <w:bidi w:val="0"/>
        <w:outlineLvl w:val="0"/>
        <w:rPr>
          <w:rFonts w:hint="eastAsia"/>
          <w:b/>
          <w:lang w:val="en-US" w:eastAsia="zh-CN"/>
        </w:rPr>
      </w:pPr>
      <w:bookmarkStart w:id="482" w:name="_Toc8896"/>
      <w:bookmarkStart w:id="483" w:name="_Toc7705"/>
      <w:r>
        <w:rPr>
          <w:rFonts w:hint="eastAsia"/>
          <w:b/>
          <w:lang w:val="en-US" w:eastAsia="zh-CN"/>
        </w:rPr>
        <w:t>批复8</w:t>
      </w:r>
      <w:bookmarkEnd w:id="482"/>
      <w:bookmarkEnd w:id="483"/>
    </w:p>
    <w:p>
      <w:pPr>
        <w:bidi w:val="0"/>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572125" cy="7954010"/>
            <wp:effectExtent l="0" t="0" r="5715" b="1270"/>
            <wp:docPr id="185" name="图片 185" descr="img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img353"/>
                    <pic:cNvPicPr>
                      <a:picLocks noChangeAspect="1"/>
                    </pic:cNvPicPr>
                  </pic:nvPicPr>
                  <pic:blipFill>
                    <a:blip r:embed="rId176"/>
                    <a:stretch>
                      <a:fillRect/>
                    </a:stretch>
                  </pic:blipFill>
                  <pic:spPr>
                    <a:xfrm>
                      <a:off x="0" y="0"/>
                      <a:ext cx="5572125" cy="7954010"/>
                    </a:xfrm>
                    <a:prstGeom prst="rect">
                      <a:avLst/>
                    </a:prstGeom>
                  </pic:spPr>
                </pic:pic>
              </a:graphicData>
            </a:graphic>
          </wp:inline>
        </w:drawing>
      </w:r>
      <w:r>
        <w:rPr>
          <w:rFonts w:hint="default"/>
          <w:color w:val="auto"/>
          <w:lang w:val="en-US" w:eastAsia="zh-CN"/>
        </w:rPr>
        <w:drawing>
          <wp:inline distT="0" distB="0" distL="114300" distR="114300">
            <wp:extent cx="5572125" cy="7954010"/>
            <wp:effectExtent l="0" t="0" r="5715" b="1270"/>
            <wp:docPr id="186" name="图片 186" descr="img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img354"/>
                    <pic:cNvPicPr>
                      <a:picLocks noChangeAspect="1"/>
                    </pic:cNvPicPr>
                  </pic:nvPicPr>
                  <pic:blipFill>
                    <a:blip r:embed="rId177"/>
                    <a:stretch>
                      <a:fillRect/>
                    </a:stretch>
                  </pic:blipFill>
                  <pic:spPr>
                    <a:xfrm>
                      <a:off x="0" y="0"/>
                      <a:ext cx="5572125" cy="7954010"/>
                    </a:xfrm>
                    <a:prstGeom prst="rect">
                      <a:avLst/>
                    </a:prstGeom>
                  </pic:spPr>
                </pic:pic>
              </a:graphicData>
            </a:graphic>
          </wp:inline>
        </w:drawing>
      </w:r>
      <w:r>
        <w:rPr>
          <w:rFonts w:hint="default"/>
          <w:color w:val="auto"/>
          <w:lang w:val="en-US" w:eastAsia="zh-CN"/>
        </w:rPr>
        <w:drawing>
          <wp:inline distT="0" distB="0" distL="114300" distR="114300">
            <wp:extent cx="5572125" cy="7954010"/>
            <wp:effectExtent l="0" t="0" r="5715" b="1270"/>
            <wp:docPr id="187" name="图片 187" descr="img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img355"/>
                    <pic:cNvPicPr>
                      <a:picLocks noChangeAspect="1"/>
                    </pic:cNvPicPr>
                  </pic:nvPicPr>
                  <pic:blipFill>
                    <a:blip r:embed="rId178"/>
                    <a:stretch>
                      <a:fillRect/>
                    </a:stretch>
                  </pic:blipFill>
                  <pic:spPr>
                    <a:xfrm>
                      <a:off x="0" y="0"/>
                      <a:ext cx="5572125" cy="7954010"/>
                    </a:xfrm>
                    <a:prstGeom prst="rect">
                      <a:avLst/>
                    </a:prstGeom>
                  </pic:spPr>
                </pic:pic>
              </a:graphicData>
            </a:graphic>
          </wp:inline>
        </w:drawing>
      </w:r>
      <w:r>
        <w:rPr>
          <w:rFonts w:hint="default"/>
          <w:color w:val="auto"/>
          <w:lang w:val="en-US" w:eastAsia="zh-CN"/>
        </w:rPr>
        <w:drawing>
          <wp:inline distT="0" distB="0" distL="114300" distR="114300">
            <wp:extent cx="5572125" cy="7954010"/>
            <wp:effectExtent l="0" t="0" r="5715" b="1270"/>
            <wp:docPr id="188" name="图片 188" descr="img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img356"/>
                    <pic:cNvPicPr>
                      <a:picLocks noChangeAspect="1"/>
                    </pic:cNvPicPr>
                  </pic:nvPicPr>
                  <pic:blipFill>
                    <a:blip r:embed="rId179"/>
                    <a:stretch>
                      <a:fillRect/>
                    </a:stretch>
                  </pic:blipFill>
                  <pic:spPr>
                    <a:xfrm>
                      <a:off x="0" y="0"/>
                      <a:ext cx="5572125" cy="7954010"/>
                    </a:xfrm>
                    <a:prstGeom prst="rect">
                      <a:avLst/>
                    </a:prstGeom>
                  </pic:spPr>
                </pic:pic>
              </a:graphicData>
            </a:graphic>
          </wp:inline>
        </w:drawing>
      </w:r>
    </w:p>
    <w:p>
      <w:pPr>
        <w:pStyle w:val="2"/>
        <w:rPr>
          <w:rFonts w:hint="default"/>
          <w:color w:val="auto"/>
          <w:lang w:val="en-US" w:eastAsia="zh-CN"/>
        </w:rPr>
      </w:pPr>
    </w:p>
    <w:p>
      <w:pPr>
        <w:rPr>
          <w:rFonts w:hint="default"/>
          <w:color w:val="auto"/>
          <w:lang w:val="en-US" w:eastAsia="zh-CN"/>
        </w:rPr>
      </w:pPr>
    </w:p>
    <w:p>
      <w:pPr>
        <w:pStyle w:val="2"/>
        <w:rPr>
          <w:rFonts w:hint="default"/>
          <w:color w:val="auto"/>
          <w:lang w:val="en-US" w:eastAsia="zh-CN"/>
        </w:rPr>
      </w:pPr>
    </w:p>
    <w:p>
      <w:pPr>
        <w:rPr>
          <w:rFonts w:hint="default"/>
          <w:color w:val="auto"/>
          <w:lang w:val="en-US" w:eastAsia="zh-CN"/>
        </w:rPr>
      </w:pPr>
    </w:p>
    <w:p>
      <w:pPr>
        <w:pStyle w:val="9"/>
        <w:bidi w:val="0"/>
        <w:outlineLvl w:val="0"/>
        <w:rPr>
          <w:rFonts w:hint="eastAsia"/>
          <w:lang w:val="en-US" w:eastAsia="zh-CN"/>
        </w:rPr>
      </w:pPr>
      <w:bookmarkStart w:id="484" w:name="_Toc12058"/>
      <w:r>
        <w:rPr>
          <w:rFonts w:hint="eastAsia"/>
          <w:lang w:val="en-US" w:eastAsia="zh-CN"/>
        </w:rPr>
        <w:t>附件11 危险废物处理处置协议</w:t>
      </w:r>
      <w:bookmarkEnd w:id="484"/>
    </w:p>
    <w:p>
      <w:pPr>
        <w:pStyle w:val="10"/>
        <w:bidi w:val="0"/>
        <w:outlineLvl w:val="0"/>
        <w:rPr>
          <w:rFonts w:hint="eastAsia"/>
          <w:lang w:val="en-US" w:eastAsia="zh-CN"/>
        </w:rPr>
      </w:pPr>
      <w:bookmarkStart w:id="485" w:name="_Toc12043"/>
      <w:r>
        <w:rPr>
          <w:rFonts w:hint="eastAsia"/>
          <w:lang w:val="en-US" w:eastAsia="zh-CN"/>
        </w:rPr>
        <w:t>危废处置协议1</w:t>
      </w:r>
      <w:bookmarkEnd w:id="485"/>
    </w:p>
    <w:p>
      <w:pPr>
        <w:pStyle w:val="2"/>
        <w:ind w:left="0" w:leftChars="0" w:firstLine="0" w:firstLineChars="0"/>
        <w:rPr>
          <w:rFonts w:hint="default"/>
          <w:lang w:val="en-US" w:eastAsia="zh-CN"/>
        </w:rPr>
      </w:pPr>
      <w:r>
        <w:rPr>
          <w:rFonts w:hint="default"/>
          <w:lang w:val="en-US" w:eastAsia="zh-CN"/>
        </w:rPr>
        <w:drawing>
          <wp:inline distT="0" distB="0" distL="114300" distR="114300">
            <wp:extent cx="5107305" cy="7228205"/>
            <wp:effectExtent l="0" t="0" r="13335" b="10795"/>
            <wp:docPr id="189" name="图片 189" descr="153.新乡化纤股份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153.新乡化纤股份有限公司_00"/>
                    <pic:cNvPicPr>
                      <a:picLocks noChangeAspect="1"/>
                    </pic:cNvPicPr>
                  </pic:nvPicPr>
                  <pic:blipFill>
                    <a:blip r:embed="rId180"/>
                    <a:stretch>
                      <a:fillRect/>
                    </a:stretch>
                  </pic:blipFill>
                  <pic:spPr>
                    <a:xfrm>
                      <a:off x="0" y="0"/>
                      <a:ext cx="5107305" cy="7228205"/>
                    </a:xfrm>
                    <a:prstGeom prst="rect">
                      <a:avLst/>
                    </a:prstGeom>
                  </pic:spPr>
                </pic:pic>
              </a:graphicData>
            </a:graphic>
          </wp:inline>
        </w:drawing>
      </w:r>
    </w:p>
    <w:p>
      <w:pPr>
        <w:bidi w:val="0"/>
        <w:rPr>
          <w:rFonts w:hint="default"/>
          <w:lang w:val="en-US" w:eastAsia="zh-CN"/>
        </w:rPr>
      </w:pPr>
    </w:p>
    <w:p>
      <w:pPr>
        <w:bidi w:val="0"/>
        <w:rPr>
          <w:rFonts w:hint="default"/>
          <w:lang w:val="en-US" w:eastAsia="zh-CN"/>
        </w:rPr>
      </w:pPr>
      <w:r>
        <w:rPr>
          <w:rFonts w:hint="default"/>
          <w:lang w:val="en-US" w:eastAsia="zh-CN"/>
        </w:rPr>
        <w:drawing>
          <wp:inline distT="0" distB="0" distL="114300" distR="114300">
            <wp:extent cx="5575935" cy="7891145"/>
            <wp:effectExtent l="0" t="0" r="1905" b="3175"/>
            <wp:docPr id="190" name="图片 190" descr="153.新乡化纤股份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153.新乡化纤股份有限公司_01"/>
                    <pic:cNvPicPr>
                      <a:picLocks noChangeAspect="1"/>
                    </pic:cNvPicPr>
                  </pic:nvPicPr>
                  <pic:blipFill>
                    <a:blip r:embed="rId181"/>
                    <a:stretch>
                      <a:fillRect/>
                    </a:stretch>
                  </pic:blipFill>
                  <pic:spPr>
                    <a:xfrm>
                      <a:off x="0" y="0"/>
                      <a:ext cx="5575935" cy="7891145"/>
                    </a:xfrm>
                    <a:prstGeom prst="rect">
                      <a:avLst/>
                    </a:prstGeom>
                  </pic:spPr>
                </pic:pic>
              </a:graphicData>
            </a:graphic>
          </wp:inline>
        </w:drawing>
      </w:r>
    </w:p>
    <w:p>
      <w:pPr>
        <w:bidi w:val="0"/>
        <w:rPr>
          <w:rFonts w:hint="default"/>
          <w:lang w:val="en-US" w:eastAsia="zh-CN"/>
        </w:rPr>
      </w:pPr>
    </w:p>
    <w:p>
      <w:pPr>
        <w:bidi w:val="0"/>
        <w:rPr>
          <w:rFonts w:hint="default"/>
          <w:lang w:val="en-US" w:eastAsia="zh-CN"/>
        </w:rPr>
      </w:pPr>
      <w:r>
        <w:rPr>
          <w:rFonts w:hint="default"/>
          <w:lang w:val="en-US" w:eastAsia="zh-CN"/>
        </w:rPr>
        <w:drawing>
          <wp:inline distT="0" distB="0" distL="114300" distR="114300">
            <wp:extent cx="5575935" cy="7891145"/>
            <wp:effectExtent l="0" t="0" r="1905" b="3175"/>
            <wp:docPr id="191" name="图片 191" descr="153.新乡化纤股份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153.新乡化纤股份有限公司_02"/>
                    <pic:cNvPicPr>
                      <a:picLocks noChangeAspect="1"/>
                    </pic:cNvPicPr>
                  </pic:nvPicPr>
                  <pic:blipFill>
                    <a:blip r:embed="rId182"/>
                    <a:stretch>
                      <a:fillRect/>
                    </a:stretch>
                  </pic:blipFill>
                  <pic:spPr>
                    <a:xfrm>
                      <a:off x="0" y="0"/>
                      <a:ext cx="5575935" cy="7891145"/>
                    </a:xfrm>
                    <a:prstGeom prst="rect">
                      <a:avLst/>
                    </a:prstGeom>
                  </pic:spPr>
                </pic:pic>
              </a:graphicData>
            </a:graphic>
          </wp:inline>
        </w:drawing>
      </w:r>
    </w:p>
    <w:p>
      <w:pPr>
        <w:bidi w:val="0"/>
        <w:rPr>
          <w:rFonts w:hint="default"/>
          <w:lang w:val="en-US" w:eastAsia="zh-CN"/>
        </w:rPr>
      </w:pPr>
    </w:p>
    <w:p>
      <w:pPr>
        <w:bidi w:val="0"/>
        <w:rPr>
          <w:rFonts w:hint="default"/>
          <w:lang w:val="en-US" w:eastAsia="zh-CN"/>
        </w:rPr>
      </w:pPr>
      <w:r>
        <w:rPr>
          <w:rFonts w:hint="default"/>
          <w:lang w:val="en-US" w:eastAsia="zh-CN"/>
        </w:rPr>
        <w:drawing>
          <wp:inline distT="0" distB="0" distL="114300" distR="114300">
            <wp:extent cx="5575935" cy="7891145"/>
            <wp:effectExtent l="0" t="0" r="1905" b="3175"/>
            <wp:docPr id="192" name="图片 192" descr="153.新乡化纤股份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153.新乡化纤股份有限公司_03"/>
                    <pic:cNvPicPr>
                      <a:picLocks noChangeAspect="1"/>
                    </pic:cNvPicPr>
                  </pic:nvPicPr>
                  <pic:blipFill>
                    <a:blip r:embed="rId183"/>
                    <a:stretch>
                      <a:fillRect/>
                    </a:stretch>
                  </pic:blipFill>
                  <pic:spPr>
                    <a:xfrm>
                      <a:off x="0" y="0"/>
                      <a:ext cx="5575935" cy="7891145"/>
                    </a:xfrm>
                    <a:prstGeom prst="rect">
                      <a:avLst/>
                    </a:prstGeom>
                  </pic:spPr>
                </pic:pic>
              </a:graphicData>
            </a:graphic>
          </wp:inline>
        </w:drawing>
      </w:r>
    </w:p>
    <w:p>
      <w:pPr>
        <w:bidi w:val="0"/>
        <w:rPr>
          <w:rFonts w:hint="default"/>
          <w:lang w:val="en-US" w:eastAsia="zh-CN"/>
        </w:rPr>
      </w:pPr>
    </w:p>
    <w:p>
      <w:pPr>
        <w:bidi w:val="0"/>
        <w:rPr>
          <w:rFonts w:hint="default"/>
          <w:lang w:val="en-US" w:eastAsia="zh-CN"/>
        </w:rPr>
      </w:pPr>
      <w:r>
        <w:rPr>
          <w:rFonts w:hint="default"/>
          <w:lang w:val="en-US" w:eastAsia="zh-CN"/>
        </w:rPr>
        <w:drawing>
          <wp:inline distT="0" distB="0" distL="114300" distR="114300">
            <wp:extent cx="5575935" cy="7891145"/>
            <wp:effectExtent l="0" t="0" r="1905" b="3175"/>
            <wp:docPr id="193" name="图片 193" descr="153.新乡化纤股份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153.新乡化纤股份有限公司_04"/>
                    <pic:cNvPicPr>
                      <a:picLocks noChangeAspect="1"/>
                    </pic:cNvPicPr>
                  </pic:nvPicPr>
                  <pic:blipFill>
                    <a:blip r:embed="rId184"/>
                    <a:stretch>
                      <a:fillRect/>
                    </a:stretch>
                  </pic:blipFill>
                  <pic:spPr>
                    <a:xfrm>
                      <a:off x="0" y="0"/>
                      <a:ext cx="5575935" cy="7891145"/>
                    </a:xfrm>
                    <a:prstGeom prst="rect">
                      <a:avLst/>
                    </a:prstGeom>
                  </pic:spPr>
                </pic:pic>
              </a:graphicData>
            </a:graphic>
          </wp:inline>
        </w:drawing>
      </w:r>
    </w:p>
    <w:p>
      <w:pPr>
        <w:bidi w:val="0"/>
        <w:rPr>
          <w:rFonts w:hint="default"/>
          <w:lang w:val="en-US" w:eastAsia="zh-CN"/>
        </w:rPr>
      </w:pPr>
    </w:p>
    <w:p>
      <w:pPr>
        <w:bidi w:val="0"/>
        <w:rPr>
          <w:rFonts w:hint="default"/>
          <w:lang w:val="en-US" w:eastAsia="zh-CN"/>
        </w:rPr>
      </w:pPr>
      <w:r>
        <w:rPr>
          <w:rFonts w:hint="default"/>
          <w:lang w:val="en-US" w:eastAsia="zh-CN"/>
        </w:rPr>
        <w:drawing>
          <wp:inline distT="0" distB="0" distL="114300" distR="114300">
            <wp:extent cx="5575935" cy="7891145"/>
            <wp:effectExtent l="0" t="0" r="1905" b="3175"/>
            <wp:docPr id="194" name="图片 194" descr="153.新乡化纤股份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153.新乡化纤股份有限公司_05"/>
                    <pic:cNvPicPr>
                      <a:picLocks noChangeAspect="1"/>
                    </pic:cNvPicPr>
                  </pic:nvPicPr>
                  <pic:blipFill>
                    <a:blip r:embed="rId185"/>
                    <a:stretch>
                      <a:fillRect/>
                    </a:stretch>
                  </pic:blipFill>
                  <pic:spPr>
                    <a:xfrm>
                      <a:off x="0" y="0"/>
                      <a:ext cx="5575935" cy="7891145"/>
                    </a:xfrm>
                    <a:prstGeom prst="rect">
                      <a:avLst/>
                    </a:prstGeom>
                  </pic:spPr>
                </pic:pic>
              </a:graphicData>
            </a:graphic>
          </wp:inline>
        </w:drawing>
      </w:r>
    </w:p>
    <w:p>
      <w:pPr>
        <w:bidi w:val="0"/>
        <w:rPr>
          <w:rFonts w:hint="default"/>
          <w:lang w:val="en-US" w:eastAsia="zh-CN"/>
        </w:rPr>
      </w:pPr>
    </w:p>
    <w:p>
      <w:pPr>
        <w:bidi w:val="0"/>
        <w:rPr>
          <w:rFonts w:hint="default"/>
          <w:lang w:val="en-US" w:eastAsia="zh-CN"/>
        </w:rPr>
      </w:pPr>
      <w:r>
        <w:rPr>
          <w:rFonts w:hint="default"/>
          <w:lang w:val="en-US" w:eastAsia="zh-CN"/>
        </w:rPr>
        <w:drawing>
          <wp:inline distT="0" distB="0" distL="114300" distR="114300">
            <wp:extent cx="5575935" cy="7891145"/>
            <wp:effectExtent l="0" t="0" r="1905" b="3175"/>
            <wp:docPr id="195" name="图片 195" descr="153.新乡化纤股份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153.新乡化纤股份有限公司_06"/>
                    <pic:cNvPicPr>
                      <a:picLocks noChangeAspect="1"/>
                    </pic:cNvPicPr>
                  </pic:nvPicPr>
                  <pic:blipFill>
                    <a:blip r:embed="rId186"/>
                    <a:stretch>
                      <a:fillRect/>
                    </a:stretch>
                  </pic:blipFill>
                  <pic:spPr>
                    <a:xfrm>
                      <a:off x="0" y="0"/>
                      <a:ext cx="5575935" cy="7891145"/>
                    </a:xfrm>
                    <a:prstGeom prst="rect">
                      <a:avLst/>
                    </a:prstGeom>
                  </pic:spPr>
                </pic:pic>
              </a:graphicData>
            </a:graphic>
          </wp:inline>
        </w:drawing>
      </w:r>
    </w:p>
    <w:p>
      <w:pPr>
        <w:bidi w:val="0"/>
        <w:rPr>
          <w:rFonts w:hint="default"/>
          <w:lang w:val="en-US" w:eastAsia="zh-CN"/>
        </w:rPr>
      </w:pPr>
      <w:r>
        <w:rPr>
          <w:rFonts w:hint="default"/>
          <w:lang w:val="en-US" w:eastAsia="zh-CN"/>
        </w:rPr>
        <w:drawing>
          <wp:inline distT="0" distB="0" distL="114300" distR="114300">
            <wp:extent cx="5575935" cy="7891145"/>
            <wp:effectExtent l="0" t="0" r="1905" b="3175"/>
            <wp:docPr id="196" name="图片 196" descr="153.新乡化纤股份有限公司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153.新乡化纤股份有限公司_07"/>
                    <pic:cNvPicPr>
                      <a:picLocks noChangeAspect="1"/>
                    </pic:cNvPicPr>
                  </pic:nvPicPr>
                  <pic:blipFill>
                    <a:blip r:embed="rId187"/>
                    <a:stretch>
                      <a:fillRect/>
                    </a:stretch>
                  </pic:blipFill>
                  <pic:spPr>
                    <a:xfrm>
                      <a:off x="0" y="0"/>
                      <a:ext cx="5575935" cy="7891145"/>
                    </a:xfrm>
                    <a:prstGeom prst="rect">
                      <a:avLst/>
                    </a:prstGeom>
                  </pic:spPr>
                </pic:pic>
              </a:graphicData>
            </a:graphic>
          </wp:inline>
        </w:drawing>
      </w:r>
    </w:p>
    <w:p>
      <w:pPr>
        <w:pStyle w:val="2"/>
        <w:rPr>
          <w:rFonts w:hint="default"/>
          <w:lang w:val="en-US" w:eastAsia="zh-CN"/>
        </w:rPr>
        <w:sectPr>
          <w:pgSz w:w="11906" w:h="16838"/>
          <w:pgMar w:top="1418" w:right="1418" w:bottom="1418" w:left="1701" w:header="851" w:footer="1134" w:gutter="0"/>
          <w:pgNumType w:fmt="decimal"/>
          <w:cols w:space="720" w:num="1"/>
          <w:docGrid w:linePitch="312" w:charSpace="0"/>
        </w:sectPr>
      </w:pPr>
    </w:p>
    <w:p>
      <w:pPr>
        <w:pStyle w:val="10"/>
        <w:bidi w:val="0"/>
        <w:outlineLvl w:val="0"/>
        <w:rPr>
          <w:rFonts w:hint="default"/>
          <w:lang w:val="en-US" w:eastAsia="zh-CN"/>
        </w:rPr>
      </w:pPr>
      <w:bookmarkStart w:id="486" w:name="_Toc6797"/>
      <w:r>
        <w:rPr>
          <w:rFonts w:hint="eastAsia"/>
          <w:lang w:val="en-US" w:eastAsia="zh-CN"/>
        </w:rPr>
        <w:t>危废处置协议2</w:t>
      </w:r>
      <w:bookmarkEnd w:id="486"/>
    </w:p>
    <w:p>
      <w:pPr>
        <w:bidi w:val="0"/>
        <w:rPr>
          <w:rFonts w:hint="default"/>
          <w:lang w:val="en-US" w:eastAsia="zh-CN"/>
        </w:rPr>
      </w:pPr>
    </w:p>
    <w:p>
      <w:pPr>
        <w:rPr>
          <w:rFonts w:hint="default"/>
          <w:lang w:val="en-US" w:eastAsia="zh-CN"/>
        </w:rPr>
        <w:sectPr>
          <w:pgSz w:w="11906" w:h="16838"/>
          <w:pgMar w:top="1418" w:right="1418" w:bottom="1418" w:left="1701" w:header="851" w:footer="1134" w:gutter="0"/>
          <w:pgNumType w:fmt="decimal"/>
          <w:cols w:space="720" w:num="1"/>
          <w:docGrid w:linePitch="312" w:charSpace="0"/>
        </w:sectPr>
      </w:pPr>
      <w:r>
        <w:rPr>
          <w:rFonts w:hint="default"/>
          <w:lang w:val="en-US" w:eastAsia="zh-CN"/>
        </w:rPr>
        <w:drawing>
          <wp:inline distT="0" distB="0" distL="114300" distR="114300">
            <wp:extent cx="5572125" cy="7880350"/>
            <wp:effectExtent l="0" t="0" r="5715" b="13970"/>
            <wp:docPr id="197" name="图片 197" descr="格林沃特催化剂处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格林沃特催化剂处置_00"/>
                    <pic:cNvPicPr>
                      <a:picLocks noChangeAspect="1"/>
                    </pic:cNvPicPr>
                  </pic:nvPicPr>
                  <pic:blipFill>
                    <a:blip r:embed="rId188"/>
                    <a:stretch>
                      <a:fillRect/>
                    </a:stretch>
                  </pic:blipFill>
                  <pic:spPr>
                    <a:xfrm>
                      <a:off x="0" y="0"/>
                      <a:ext cx="5572125" cy="7880350"/>
                    </a:xfrm>
                    <a:prstGeom prst="rect">
                      <a:avLst/>
                    </a:prstGeom>
                  </pic:spPr>
                </pic:pic>
              </a:graphicData>
            </a:graphic>
          </wp:inline>
        </w:drawing>
      </w:r>
      <w:r>
        <w:rPr>
          <w:rFonts w:hint="default"/>
          <w:lang w:val="en-US" w:eastAsia="zh-CN"/>
        </w:rPr>
        <w:drawing>
          <wp:inline distT="0" distB="0" distL="114300" distR="114300">
            <wp:extent cx="5572125" cy="7880350"/>
            <wp:effectExtent l="0" t="0" r="5715" b="13970"/>
            <wp:docPr id="198" name="图片 198" descr="格林沃特催化剂处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格林沃特催化剂处置_01"/>
                    <pic:cNvPicPr>
                      <a:picLocks noChangeAspect="1"/>
                    </pic:cNvPicPr>
                  </pic:nvPicPr>
                  <pic:blipFill>
                    <a:blip r:embed="rId189"/>
                    <a:stretch>
                      <a:fillRect/>
                    </a:stretch>
                  </pic:blipFill>
                  <pic:spPr>
                    <a:xfrm>
                      <a:off x="0" y="0"/>
                      <a:ext cx="5572125" cy="7880350"/>
                    </a:xfrm>
                    <a:prstGeom prst="rect">
                      <a:avLst/>
                    </a:prstGeom>
                  </pic:spPr>
                </pic:pic>
              </a:graphicData>
            </a:graphic>
          </wp:inline>
        </w:drawing>
      </w:r>
      <w:r>
        <w:rPr>
          <w:rFonts w:hint="default"/>
          <w:lang w:val="en-US" w:eastAsia="zh-CN"/>
        </w:rPr>
        <w:drawing>
          <wp:inline distT="0" distB="0" distL="114300" distR="114300">
            <wp:extent cx="5572125" cy="7880350"/>
            <wp:effectExtent l="0" t="0" r="5715" b="13970"/>
            <wp:docPr id="199" name="图片 199" descr="格林沃特催化剂处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格林沃特催化剂处置_02"/>
                    <pic:cNvPicPr>
                      <a:picLocks noChangeAspect="1"/>
                    </pic:cNvPicPr>
                  </pic:nvPicPr>
                  <pic:blipFill>
                    <a:blip r:embed="rId190"/>
                    <a:stretch>
                      <a:fillRect/>
                    </a:stretch>
                  </pic:blipFill>
                  <pic:spPr>
                    <a:xfrm>
                      <a:off x="0" y="0"/>
                      <a:ext cx="5572125" cy="7880350"/>
                    </a:xfrm>
                    <a:prstGeom prst="rect">
                      <a:avLst/>
                    </a:prstGeom>
                  </pic:spPr>
                </pic:pic>
              </a:graphicData>
            </a:graphic>
          </wp:inline>
        </w:drawing>
      </w:r>
    </w:p>
    <w:p>
      <w:pPr>
        <w:pStyle w:val="10"/>
        <w:bidi w:val="0"/>
        <w:outlineLvl w:val="0"/>
        <w:rPr>
          <w:rFonts w:hint="eastAsia"/>
          <w:lang w:val="en-US" w:eastAsia="zh-CN"/>
        </w:rPr>
      </w:pPr>
      <w:bookmarkStart w:id="487" w:name="_Toc18804"/>
      <w:r>
        <w:rPr>
          <w:rFonts w:hint="eastAsia"/>
          <w:lang w:val="en-US" w:eastAsia="zh-CN"/>
        </w:rPr>
        <w:t>危废处置附件3</w:t>
      </w:r>
      <w:bookmarkEnd w:id="487"/>
    </w:p>
    <w:p>
      <w:pPr>
        <w:rPr>
          <w:rFonts w:hint="eastAsia"/>
          <w:lang w:val="en-US" w:eastAsia="zh-CN"/>
        </w:rPr>
      </w:pPr>
      <w:r>
        <w:rPr>
          <w:rFonts w:hint="eastAsia"/>
          <w:lang w:val="en-US" w:eastAsia="zh-CN"/>
        </w:rPr>
        <w:drawing>
          <wp:inline distT="0" distB="0" distL="114300" distR="114300">
            <wp:extent cx="5572125" cy="7880350"/>
            <wp:effectExtent l="0" t="0" r="5715" b="13970"/>
            <wp:docPr id="200" name="图片 200" descr="海中处置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海中处置合同_00"/>
                    <pic:cNvPicPr>
                      <a:picLocks noChangeAspect="1"/>
                    </pic:cNvPicPr>
                  </pic:nvPicPr>
                  <pic:blipFill>
                    <a:blip r:embed="rId191"/>
                    <a:stretch>
                      <a:fillRect/>
                    </a:stretch>
                  </pic:blipFill>
                  <pic:spPr>
                    <a:xfrm>
                      <a:off x="0" y="0"/>
                      <a:ext cx="5572125" cy="7880350"/>
                    </a:xfrm>
                    <a:prstGeom prst="rect">
                      <a:avLst/>
                    </a:prstGeom>
                  </pic:spPr>
                </pic:pic>
              </a:graphicData>
            </a:graphic>
          </wp:inline>
        </w:drawing>
      </w:r>
    </w:p>
    <w:p>
      <w:pPr>
        <w:bidi w:val="0"/>
        <w:rPr>
          <w:rFonts w:hint="default"/>
          <w:lang w:val="en-US" w:eastAsia="zh-CN"/>
        </w:rPr>
        <w:sectPr>
          <w:pgSz w:w="11906" w:h="16838"/>
          <w:pgMar w:top="1418" w:right="1418" w:bottom="1418" w:left="1701" w:header="851" w:footer="1134" w:gutter="0"/>
          <w:pgNumType w:fmt="decimal"/>
          <w:cols w:space="720" w:num="1"/>
          <w:docGrid w:linePitch="312" w:charSpace="0"/>
        </w:sectPr>
      </w:pPr>
      <w:r>
        <w:rPr>
          <w:rFonts w:hint="default"/>
          <w:lang w:val="en-US" w:eastAsia="zh-CN"/>
        </w:rPr>
        <w:drawing>
          <wp:inline distT="0" distB="0" distL="114300" distR="114300">
            <wp:extent cx="5572125" cy="7880350"/>
            <wp:effectExtent l="0" t="0" r="5715" b="13970"/>
            <wp:docPr id="201" name="图片 201" descr="海中处置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海中处置合同_01"/>
                    <pic:cNvPicPr>
                      <a:picLocks noChangeAspect="1"/>
                    </pic:cNvPicPr>
                  </pic:nvPicPr>
                  <pic:blipFill>
                    <a:blip r:embed="rId192"/>
                    <a:stretch>
                      <a:fillRect/>
                    </a:stretch>
                  </pic:blipFill>
                  <pic:spPr>
                    <a:xfrm>
                      <a:off x="0" y="0"/>
                      <a:ext cx="5572125" cy="7880350"/>
                    </a:xfrm>
                    <a:prstGeom prst="rect">
                      <a:avLst/>
                    </a:prstGeom>
                  </pic:spPr>
                </pic:pic>
              </a:graphicData>
            </a:graphic>
          </wp:inline>
        </w:drawing>
      </w:r>
      <w:r>
        <w:rPr>
          <w:rFonts w:hint="default"/>
          <w:lang w:val="en-US" w:eastAsia="zh-CN"/>
        </w:rPr>
        <w:drawing>
          <wp:inline distT="0" distB="0" distL="114300" distR="114300">
            <wp:extent cx="5572125" cy="7880350"/>
            <wp:effectExtent l="0" t="0" r="5715" b="13970"/>
            <wp:docPr id="202" name="图片 202" descr="海中处置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海中处置合同_02"/>
                    <pic:cNvPicPr>
                      <a:picLocks noChangeAspect="1"/>
                    </pic:cNvPicPr>
                  </pic:nvPicPr>
                  <pic:blipFill>
                    <a:blip r:embed="rId193"/>
                    <a:stretch>
                      <a:fillRect/>
                    </a:stretch>
                  </pic:blipFill>
                  <pic:spPr>
                    <a:xfrm>
                      <a:off x="0" y="0"/>
                      <a:ext cx="5572125" cy="7880350"/>
                    </a:xfrm>
                    <a:prstGeom prst="rect">
                      <a:avLst/>
                    </a:prstGeom>
                  </pic:spPr>
                </pic:pic>
              </a:graphicData>
            </a:graphic>
          </wp:inline>
        </w:drawing>
      </w:r>
      <w:r>
        <w:rPr>
          <w:rFonts w:hint="default"/>
          <w:lang w:val="en-US" w:eastAsia="zh-CN"/>
        </w:rPr>
        <w:drawing>
          <wp:inline distT="0" distB="0" distL="114300" distR="114300">
            <wp:extent cx="5572125" cy="7880350"/>
            <wp:effectExtent l="0" t="0" r="5715" b="13970"/>
            <wp:docPr id="203" name="图片 203" descr="海中处置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海中处置合同_03"/>
                    <pic:cNvPicPr>
                      <a:picLocks noChangeAspect="1"/>
                    </pic:cNvPicPr>
                  </pic:nvPicPr>
                  <pic:blipFill>
                    <a:blip r:embed="rId194"/>
                    <a:stretch>
                      <a:fillRect/>
                    </a:stretch>
                  </pic:blipFill>
                  <pic:spPr>
                    <a:xfrm>
                      <a:off x="0" y="0"/>
                      <a:ext cx="5572125" cy="7880350"/>
                    </a:xfrm>
                    <a:prstGeom prst="rect">
                      <a:avLst/>
                    </a:prstGeom>
                  </pic:spPr>
                </pic:pic>
              </a:graphicData>
            </a:graphic>
          </wp:inline>
        </w:drawing>
      </w:r>
      <w:r>
        <w:rPr>
          <w:rFonts w:hint="default"/>
          <w:lang w:val="en-US" w:eastAsia="zh-CN"/>
        </w:rPr>
        <w:drawing>
          <wp:inline distT="0" distB="0" distL="114300" distR="114300">
            <wp:extent cx="5572125" cy="7880350"/>
            <wp:effectExtent l="0" t="0" r="5715" b="13970"/>
            <wp:docPr id="204" name="图片 204" descr="海中处置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海中处置合同_04"/>
                    <pic:cNvPicPr>
                      <a:picLocks noChangeAspect="1"/>
                    </pic:cNvPicPr>
                  </pic:nvPicPr>
                  <pic:blipFill>
                    <a:blip r:embed="rId195"/>
                    <a:stretch>
                      <a:fillRect/>
                    </a:stretch>
                  </pic:blipFill>
                  <pic:spPr>
                    <a:xfrm>
                      <a:off x="0" y="0"/>
                      <a:ext cx="5572125" cy="7880350"/>
                    </a:xfrm>
                    <a:prstGeom prst="rect">
                      <a:avLst/>
                    </a:prstGeom>
                  </pic:spPr>
                </pic:pic>
              </a:graphicData>
            </a:graphic>
          </wp:inline>
        </w:drawing>
      </w:r>
    </w:p>
    <w:p>
      <w:pPr>
        <w:pStyle w:val="10"/>
        <w:bidi w:val="0"/>
        <w:outlineLvl w:val="0"/>
        <w:rPr>
          <w:rFonts w:hint="eastAsia"/>
          <w:lang w:val="en-US" w:eastAsia="zh-CN"/>
        </w:rPr>
      </w:pPr>
      <w:bookmarkStart w:id="488" w:name="_Toc3623"/>
      <w:r>
        <w:rPr>
          <w:rFonts w:hint="eastAsia"/>
          <w:lang w:val="en-US" w:eastAsia="zh-CN"/>
        </w:rPr>
        <w:t>危废处置协议4</w:t>
      </w:r>
      <w:bookmarkEnd w:id="488"/>
    </w:p>
    <w:p>
      <w:pPr>
        <w:bidi w:val="0"/>
        <w:rPr>
          <w:rFonts w:hint="default"/>
          <w:lang w:val="en-US" w:eastAsia="zh-CN"/>
        </w:rPr>
      </w:pPr>
      <w:r>
        <w:rPr>
          <w:rFonts w:hint="default"/>
          <w:lang w:val="en-US" w:eastAsia="zh-CN"/>
        </w:rPr>
        <w:drawing>
          <wp:inline distT="0" distB="0" distL="114300" distR="114300">
            <wp:extent cx="5572125" cy="7880350"/>
            <wp:effectExtent l="0" t="0" r="5715" b="13970"/>
            <wp:docPr id="205" name="图片 205" descr="油漆桶、试剂瓶处置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油漆桶、试剂瓶处置合同_00"/>
                    <pic:cNvPicPr>
                      <a:picLocks noChangeAspect="1"/>
                    </pic:cNvPicPr>
                  </pic:nvPicPr>
                  <pic:blipFill>
                    <a:blip r:embed="rId196"/>
                    <a:stretch>
                      <a:fillRect/>
                    </a:stretch>
                  </pic:blipFill>
                  <pic:spPr>
                    <a:xfrm>
                      <a:off x="0" y="0"/>
                      <a:ext cx="5572125" cy="7880350"/>
                    </a:xfrm>
                    <a:prstGeom prst="rect">
                      <a:avLst/>
                    </a:prstGeom>
                  </pic:spPr>
                </pic:pic>
              </a:graphicData>
            </a:graphic>
          </wp:inline>
        </w:drawing>
      </w:r>
    </w:p>
    <w:p>
      <w:pPr>
        <w:bidi w:val="0"/>
        <w:rPr>
          <w:rFonts w:hint="default"/>
          <w:lang w:val="en-US" w:eastAsia="zh-CN"/>
        </w:rPr>
      </w:pPr>
    </w:p>
    <w:p>
      <w:pPr>
        <w:bidi w:val="0"/>
        <w:rPr>
          <w:rFonts w:hint="default"/>
          <w:lang w:val="en-US" w:eastAsia="zh-CN"/>
        </w:rPr>
      </w:pPr>
      <w:r>
        <w:rPr>
          <w:rFonts w:hint="default"/>
          <w:lang w:val="en-US" w:eastAsia="zh-CN"/>
        </w:rPr>
        <w:drawing>
          <wp:inline distT="0" distB="0" distL="114300" distR="114300">
            <wp:extent cx="5572125" cy="7880350"/>
            <wp:effectExtent l="0" t="0" r="5715" b="13970"/>
            <wp:docPr id="206" name="图片 206" descr="油漆桶、试剂瓶处置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油漆桶、试剂瓶处置合同_01"/>
                    <pic:cNvPicPr>
                      <a:picLocks noChangeAspect="1"/>
                    </pic:cNvPicPr>
                  </pic:nvPicPr>
                  <pic:blipFill>
                    <a:blip r:embed="rId197"/>
                    <a:stretch>
                      <a:fillRect/>
                    </a:stretch>
                  </pic:blipFill>
                  <pic:spPr>
                    <a:xfrm>
                      <a:off x="0" y="0"/>
                      <a:ext cx="5572125" cy="7880350"/>
                    </a:xfrm>
                    <a:prstGeom prst="rect">
                      <a:avLst/>
                    </a:prstGeom>
                  </pic:spPr>
                </pic:pic>
              </a:graphicData>
            </a:graphic>
          </wp:inline>
        </w:drawing>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r>
        <w:rPr>
          <w:rFonts w:hint="default"/>
          <w:lang w:val="en-US" w:eastAsia="zh-CN"/>
        </w:rPr>
        <w:drawing>
          <wp:inline distT="0" distB="0" distL="114300" distR="114300">
            <wp:extent cx="5572125" cy="7880350"/>
            <wp:effectExtent l="0" t="0" r="5715" b="13970"/>
            <wp:docPr id="207" name="图片 207" descr="油漆桶、试剂瓶处置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油漆桶、试剂瓶处置合同_02"/>
                    <pic:cNvPicPr>
                      <a:picLocks noChangeAspect="1"/>
                    </pic:cNvPicPr>
                  </pic:nvPicPr>
                  <pic:blipFill>
                    <a:blip r:embed="rId198"/>
                    <a:stretch>
                      <a:fillRect/>
                    </a:stretch>
                  </pic:blipFill>
                  <pic:spPr>
                    <a:xfrm>
                      <a:off x="0" y="0"/>
                      <a:ext cx="5572125" cy="7880350"/>
                    </a:xfrm>
                    <a:prstGeom prst="rect">
                      <a:avLst/>
                    </a:prstGeom>
                  </pic:spPr>
                </pic:pic>
              </a:graphicData>
            </a:graphic>
          </wp:inline>
        </w:drawing>
      </w:r>
    </w:p>
    <w:p>
      <w:pPr>
        <w:bidi w:val="0"/>
        <w:rPr>
          <w:rFonts w:hint="default"/>
          <w:lang w:val="en-US" w:eastAsia="zh-CN"/>
        </w:rPr>
      </w:pPr>
    </w:p>
    <w:p>
      <w:pPr>
        <w:bidi w:val="0"/>
        <w:rPr>
          <w:rFonts w:hint="default"/>
          <w:lang w:val="en-US" w:eastAsia="zh-CN"/>
        </w:rPr>
      </w:pPr>
    </w:p>
    <w:p>
      <w:pPr>
        <w:bidi w:val="0"/>
        <w:rPr>
          <w:rFonts w:hint="default"/>
          <w:lang w:val="en-US" w:eastAsia="zh-CN"/>
        </w:rPr>
      </w:pPr>
      <w:r>
        <w:rPr>
          <w:rFonts w:hint="default"/>
          <w:lang w:val="en-US" w:eastAsia="zh-CN"/>
        </w:rPr>
        <w:drawing>
          <wp:inline distT="0" distB="0" distL="114300" distR="114300">
            <wp:extent cx="5572125" cy="7880350"/>
            <wp:effectExtent l="0" t="0" r="5715" b="13970"/>
            <wp:docPr id="208" name="图片 208" descr="油漆桶、试剂瓶处置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油漆桶、试剂瓶处置合同_03"/>
                    <pic:cNvPicPr>
                      <a:picLocks noChangeAspect="1"/>
                    </pic:cNvPicPr>
                  </pic:nvPicPr>
                  <pic:blipFill>
                    <a:blip r:embed="rId199"/>
                    <a:stretch>
                      <a:fillRect/>
                    </a:stretch>
                  </pic:blipFill>
                  <pic:spPr>
                    <a:xfrm>
                      <a:off x="0" y="0"/>
                      <a:ext cx="5572125" cy="7880350"/>
                    </a:xfrm>
                    <a:prstGeom prst="rect">
                      <a:avLst/>
                    </a:prstGeom>
                  </pic:spPr>
                </pic:pic>
              </a:graphicData>
            </a:graphic>
          </wp:inline>
        </w:drawing>
      </w:r>
      <w:r>
        <w:rPr>
          <w:rFonts w:hint="default"/>
          <w:lang w:val="en-US" w:eastAsia="zh-CN"/>
        </w:rPr>
        <w:drawing>
          <wp:inline distT="0" distB="0" distL="114300" distR="114300">
            <wp:extent cx="5572125" cy="7880350"/>
            <wp:effectExtent l="0" t="0" r="5715" b="13970"/>
            <wp:docPr id="209" name="图片 209" descr="油漆桶、试剂瓶处置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油漆桶、试剂瓶处置合同_04"/>
                    <pic:cNvPicPr>
                      <a:picLocks noChangeAspect="1"/>
                    </pic:cNvPicPr>
                  </pic:nvPicPr>
                  <pic:blipFill>
                    <a:blip r:embed="rId200"/>
                    <a:stretch>
                      <a:fillRect/>
                    </a:stretch>
                  </pic:blipFill>
                  <pic:spPr>
                    <a:xfrm>
                      <a:off x="0" y="0"/>
                      <a:ext cx="5572125" cy="7880350"/>
                    </a:xfrm>
                    <a:prstGeom prst="rect">
                      <a:avLst/>
                    </a:prstGeom>
                  </pic:spPr>
                </pic:pic>
              </a:graphicData>
            </a:graphic>
          </wp:inline>
        </w:drawing>
      </w:r>
    </w:p>
    <w:p>
      <w:pPr>
        <w:pStyle w:val="2"/>
        <w:rPr>
          <w:rFonts w:hint="default"/>
          <w:lang w:val="en-US" w:eastAsia="zh-CN"/>
        </w:rPr>
      </w:pPr>
    </w:p>
    <w:p>
      <w:pPr>
        <w:rPr>
          <w:rFonts w:hint="default"/>
          <w:lang w:val="en-US" w:eastAsia="zh-CN"/>
        </w:rPr>
        <w:sectPr>
          <w:pgSz w:w="11906" w:h="16838"/>
          <w:pgMar w:top="1418" w:right="1418" w:bottom="1418" w:left="1701" w:header="851" w:footer="1134" w:gutter="0"/>
          <w:pgNumType w:fmt="decimal"/>
          <w:cols w:space="720" w:num="1"/>
          <w:docGrid w:linePitch="312" w:charSpace="0"/>
        </w:sectPr>
      </w:pPr>
    </w:p>
    <w:p>
      <w:pPr>
        <w:pStyle w:val="9"/>
        <w:bidi w:val="0"/>
        <w:outlineLvl w:val="0"/>
        <w:rPr>
          <w:rFonts w:hint="eastAsia"/>
          <w:lang w:val="en-US" w:eastAsia="zh-CN"/>
        </w:rPr>
      </w:pPr>
      <w:bookmarkStart w:id="489" w:name="_Toc6858"/>
      <w:r>
        <w:rPr>
          <w:rFonts w:hint="eastAsia"/>
          <w:lang w:val="en-US" w:eastAsia="zh-CN"/>
        </w:rPr>
        <w:t>附件12 污泥处置协议</w:t>
      </w:r>
      <w:bookmarkEnd w:id="489"/>
    </w:p>
    <w:p>
      <w:pPr>
        <w:bidi w:val="0"/>
        <w:rPr>
          <w:rFonts w:hint="default"/>
          <w:lang w:val="en-US" w:eastAsia="zh-CN"/>
        </w:rPr>
        <w:sectPr>
          <w:pgSz w:w="11906" w:h="16838"/>
          <w:pgMar w:top="1418" w:right="1418" w:bottom="1418" w:left="1701" w:header="851" w:footer="1134" w:gutter="0"/>
          <w:pgNumType w:fmt="decimal"/>
          <w:cols w:space="720" w:num="1"/>
          <w:docGrid w:linePitch="312" w:charSpace="0"/>
        </w:sectPr>
      </w:pPr>
      <w:r>
        <w:rPr>
          <w:rFonts w:hint="default"/>
          <w:lang w:val="en-US" w:eastAsia="zh-CN"/>
        </w:rPr>
        <w:drawing>
          <wp:inline distT="0" distB="0" distL="114300" distR="114300">
            <wp:extent cx="5579110" cy="7435850"/>
            <wp:effectExtent l="0" t="0" r="13970" b="1270"/>
            <wp:docPr id="210" name="图片 210" descr="0375b830bbd8d06685a49ed5bacce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0375b830bbd8d06685a49ed5baccee7"/>
                    <pic:cNvPicPr>
                      <a:picLocks noChangeAspect="1"/>
                    </pic:cNvPicPr>
                  </pic:nvPicPr>
                  <pic:blipFill>
                    <a:blip r:embed="rId201"/>
                    <a:stretch>
                      <a:fillRect/>
                    </a:stretch>
                  </pic:blipFill>
                  <pic:spPr>
                    <a:xfrm>
                      <a:off x="0" y="0"/>
                      <a:ext cx="5579110" cy="7435850"/>
                    </a:xfrm>
                    <a:prstGeom prst="rect">
                      <a:avLst/>
                    </a:prstGeom>
                  </pic:spPr>
                </pic:pic>
              </a:graphicData>
            </a:graphic>
          </wp:inline>
        </w:drawing>
      </w:r>
    </w:p>
    <w:p>
      <w:pPr>
        <w:pStyle w:val="9"/>
        <w:bidi w:val="0"/>
        <w:outlineLvl w:val="0"/>
        <w:rPr>
          <w:rFonts w:hint="eastAsia"/>
          <w:lang w:val="en-US" w:eastAsia="zh-CN"/>
        </w:rPr>
      </w:pPr>
      <w:bookmarkStart w:id="490" w:name="_Toc14302"/>
      <w:r>
        <w:rPr>
          <w:rFonts w:hint="eastAsia"/>
          <w:lang w:val="en-US" w:eastAsia="zh-CN"/>
        </w:rPr>
        <w:t>附件13 发明专利</w:t>
      </w:r>
      <w:bookmarkEnd w:id="490"/>
    </w:p>
    <w:p>
      <w:pPr>
        <w:bidi w:val="0"/>
        <w:rPr>
          <w:rFonts w:hint="default"/>
          <w:lang w:val="en-US" w:eastAsia="zh-CN"/>
        </w:rPr>
        <w:sectPr>
          <w:pgSz w:w="11906" w:h="16838"/>
          <w:pgMar w:top="1418" w:right="1418" w:bottom="1418" w:left="1701" w:header="851" w:footer="1134" w:gutter="0"/>
          <w:pgNumType w:fmt="decimal"/>
          <w:cols w:space="720" w:num="1"/>
          <w:docGrid w:linePitch="312" w:charSpace="0"/>
        </w:sectPr>
      </w:pPr>
      <w:r>
        <w:rPr>
          <w:rFonts w:hint="default"/>
          <w:lang w:val="en-US" w:eastAsia="zh-CN"/>
        </w:rPr>
        <w:drawing>
          <wp:inline distT="0" distB="0" distL="114300" distR="114300">
            <wp:extent cx="5701030" cy="8063865"/>
            <wp:effectExtent l="0" t="0" r="13970" b="13335"/>
            <wp:docPr id="211" name="图片 211" descr="受理通知书：新乡化纤股份有限公司-一种菌草纺丝用浆及其制备方法和应用-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受理通知书：新乡化纤股份有限公司-一种菌草纺丝用浆及其制备方法和应用-8.30"/>
                    <pic:cNvPicPr>
                      <a:picLocks noChangeAspect="1"/>
                    </pic:cNvPicPr>
                  </pic:nvPicPr>
                  <pic:blipFill>
                    <a:blip r:embed="rId202"/>
                    <a:stretch>
                      <a:fillRect/>
                    </a:stretch>
                  </pic:blipFill>
                  <pic:spPr>
                    <a:xfrm>
                      <a:off x="0" y="0"/>
                      <a:ext cx="5701030" cy="8063865"/>
                    </a:xfrm>
                    <a:prstGeom prst="rect">
                      <a:avLst/>
                    </a:prstGeom>
                  </pic:spPr>
                </pic:pic>
              </a:graphicData>
            </a:graphic>
          </wp:inline>
        </w:drawing>
      </w:r>
      <w:r>
        <w:rPr>
          <w:rFonts w:hint="default"/>
          <w:lang w:val="en-US" w:eastAsia="zh-CN"/>
        </w:rPr>
        <w:drawing>
          <wp:inline distT="0" distB="0" distL="114300" distR="114300">
            <wp:extent cx="5701030" cy="8063865"/>
            <wp:effectExtent l="0" t="0" r="13970" b="13335"/>
            <wp:docPr id="212" name="图片 212" descr="受理通知书：新乡化纤股份有限公司-一种纤维素纺丝液的制备方法及其制备的产品与应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受理通知书：新乡化纤股份有限公司-一种纤维素纺丝液的制备方法及其制备的产品与应用"/>
                    <pic:cNvPicPr>
                      <a:picLocks noChangeAspect="1"/>
                    </pic:cNvPicPr>
                  </pic:nvPicPr>
                  <pic:blipFill>
                    <a:blip r:embed="rId203"/>
                    <a:stretch>
                      <a:fillRect/>
                    </a:stretch>
                  </pic:blipFill>
                  <pic:spPr>
                    <a:xfrm>
                      <a:off x="0" y="0"/>
                      <a:ext cx="5701030" cy="8063865"/>
                    </a:xfrm>
                    <a:prstGeom prst="rect">
                      <a:avLst/>
                    </a:prstGeom>
                  </pic:spPr>
                </pic:pic>
              </a:graphicData>
            </a:graphic>
          </wp:inline>
        </w:drawing>
      </w:r>
      <w:r>
        <w:rPr>
          <w:rFonts w:hint="default"/>
          <w:lang w:val="en-US" w:eastAsia="zh-CN"/>
        </w:rPr>
        <w:drawing>
          <wp:inline distT="0" distB="0" distL="114300" distR="114300">
            <wp:extent cx="5701030" cy="8063865"/>
            <wp:effectExtent l="0" t="0" r="13970" b="13335"/>
            <wp:docPr id="213" name="图片 213" descr="受理通知书：一种离子液法菌草再生纤维素纤维及其制备方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受理通知书：一种离子液法菌草再生纤维素纤维及其制备方法(2)"/>
                    <pic:cNvPicPr>
                      <a:picLocks noChangeAspect="1"/>
                    </pic:cNvPicPr>
                  </pic:nvPicPr>
                  <pic:blipFill>
                    <a:blip r:embed="rId204"/>
                    <a:stretch>
                      <a:fillRect/>
                    </a:stretch>
                  </pic:blipFill>
                  <pic:spPr>
                    <a:xfrm>
                      <a:off x="0" y="0"/>
                      <a:ext cx="5701030" cy="8063865"/>
                    </a:xfrm>
                    <a:prstGeom prst="rect">
                      <a:avLst/>
                    </a:prstGeom>
                  </pic:spPr>
                </pic:pic>
              </a:graphicData>
            </a:graphic>
          </wp:inline>
        </w:drawing>
      </w:r>
      <w:r>
        <w:rPr>
          <w:rFonts w:hint="default"/>
          <w:lang w:val="en-US" w:eastAsia="zh-CN"/>
        </w:rPr>
        <w:drawing>
          <wp:inline distT="0" distB="0" distL="114300" distR="114300">
            <wp:extent cx="5701030" cy="8063865"/>
            <wp:effectExtent l="0" t="0" r="13970" b="13335"/>
            <wp:docPr id="214" name="图片 214" descr="受理通知书-新乡化纤-一种生物质菌草再生纤维素纤维及其制备方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受理通知书-新乡化纤-一种生物质菌草再生纤维素纤维及其制备方法(1)"/>
                    <pic:cNvPicPr>
                      <a:picLocks noChangeAspect="1"/>
                    </pic:cNvPicPr>
                  </pic:nvPicPr>
                  <pic:blipFill>
                    <a:blip r:embed="rId205"/>
                    <a:stretch>
                      <a:fillRect/>
                    </a:stretch>
                  </pic:blipFill>
                  <pic:spPr>
                    <a:xfrm>
                      <a:off x="0" y="0"/>
                      <a:ext cx="5701030" cy="8063865"/>
                    </a:xfrm>
                    <a:prstGeom prst="rect">
                      <a:avLst/>
                    </a:prstGeom>
                  </pic:spPr>
                </pic:pic>
              </a:graphicData>
            </a:graphic>
          </wp:inline>
        </w:drawing>
      </w:r>
      <w:r>
        <w:rPr>
          <w:rFonts w:hint="default"/>
          <w:lang w:val="en-US" w:eastAsia="zh-CN"/>
        </w:rPr>
        <w:drawing>
          <wp:inline distT="0" distB="0" distL="114300" distR="114300">
            <wp:extent cx="5701030" cy="8063865"/>
            <wp:effectExtent l="0" t="0" r="13970" b="13335"/>
            <wp:docPr id="215" name="图片 215" descr="受理通知书--一种NMMO溶剂法菌草再生纤维素纤维及其制备方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受理通知书--一种NMMO溶剂法菌草再生纤维素纤维及其制备方法"/>
                    <pic:cNvPicPr>
                      <a:picLocks noChangeAspect="1"/>
                    </pic:cNvPicPr>
                  </pic:nvPicPr>
                  <pic:blipFill>
                    <a:blip r:embed="rId206"/>
                    <a:stretch>
                      <a:fillRect/>
                    </a:stretch>
                  </pic:blipFill>
                  <pic:spPr>
                    <a:xfrm>
                      <a:off x="0" y="0"/>
                      <a:ext cx="5701030" cy="8063865"/>
                    </a:xfrm>
                    <a:prstGeom prst="rect">
                      <a:avLst/>
                    </a:prstGeom>
                  </pic:spPr>
                </pic:pic>
              </a:graphicData>
            </a:graphic>
          </wp:inline>
        </w:drawing>
      </w:r>
    </w:p>
    <w:p>
      <w:pPr>
        <w:pStyle w:val="9"/>
        <w:bidi w:val="0"/>
        <w:outlineLvl w:val="0"/>
        <w:rPr>
          <w:rFonts w:hint="eastAsia"/>
          <w:lang w:val="en-US" w:eastAsia="zh-CN"/>
        </w:rPr>
      </w:pPr>
      <w:bookmarkStart w:id="491" w:name="_Toc24086"/>
      <w:r>
        <w:rPr>
          <w:rFonts w:hint="eastAsia"/>
          <w:lang w:val="en-US" w:eastAsia="zh-CN"/>
        </w:rPr>
        <w:t>附件14 小试产品抗菌性检测报告</w:t>
      </w:r>
      <w:bookmarkEnd w:id="491"/>
    </w:p>
    <w:p>
      <w:pPr>
        <w:bidi w:val="0"/>
        <w:rPr>
          <w:rFonts w:hint="default"/>
          <w:lang w:val="en-US" w:eastAsia="zh-CN"/>
        </w:rPr>
      </w:pPr>
      <w:r>
        <w:rPr>
          <w:rFonts w:hint="default" w:cs="Times New Roman"/>
          <w:b/>
          <w:bCs/>
          <w:color w:val="FF0000"/>
          <w:sz w:val="30"/>
          <w:szCs w:val="30"/>
          <w:lang w:val="en-US" w:eastAsia="zh-CN"/>
        </w:rPr>
        <w:drawing>
          <wp:inline distT="0" distB="0" distL="114300" distR="114300">
            <wp:extent cx="5300345" cy="7496175"/>
            <wp:effectExtent l="0" t="0" r="3175" b="1905"/>
            <wp:docPr id="216" name="图片 216" descr="菌草纤维-中纺标检测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菌草纤维-中纺标检测报告_页面_1"/>
                    <pic:cNvPicPr>
                      <a:picLocks noChangeAspect="1"/>
                    </pic:cNvPicPr>
                  </pic:nvPicPr>
                  <pic:blipFill>
                    <a:blip r:embed="rId207"/>
                    <a:stretch>
                      <a:fillRect/>
                    </a:stretch>
                  </pic:blipFill>
                  <pic:spPr>
                    <a:xfrm>
                      <a:off x="0" y="0"/>
                      <a:ext cx="5300345" cy="7496175"/>
                    </a:xfrm>
                    <a:prstGeom prst="rect">
                      <a:avLst/>
                    </a:prstGeom>
                  </pic:spPr>
                </pic:pic>
              </a:graphicData>
            </a:graphic>
          </wp:inline>
        </w:drawing>
      </w:r>
      <w:r>
        <w:rPr>
          <w:rFonts w:hint="default" w:cs="Times New Roman"/>
          <w:b/>
          <w:bCs/>
          <w:color w:val="FF0000"/>
          <w:sz w:val="30"/>
          <w:szCs w:val="30"/>
          <w:lang w:val="en-US" w:eastAsia="zh-CN"/>
        </w:rPr>
        <w:drawing>
          <wp:inline distT="0" distB="0" distL="114300" distR="114300">
            <wp:extent cx="5727065" cy="8098790"/>
            <wp:effectExtent l="0" t="0" r="3175" b="8890"/>
            <wp:docPr id="217" name="图片 217" descr="菌草纤维-中纺标检测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菌草纤维-中纺标检测报告_页面_2"/>
                    <pic:cNvPicPr>
                      <a:picLocks noChangeAspect="1"/>
                    </pic:cNvPicPr>
                  </pic:nvPicPr>
                  <pic:blipFill>
                    <a:blip r:embed="rId208"/>
                    <a:stretch>
                      <a:fillRect/>
                    </a:stretch>
                  </pic:blipFill>
                  <pic:spPr>
                    <a:xfrm>
                      <a:off x="0" y="0"/>
                      <a:ext cx="5727065" cy="8098790"/>
                    </a:xfrm>
                    <a:prstGeom prst="rect">
                      <a:avLst/>
                    </a:prstGeom>
                  </pic:spPr>
                </pic:pic>
              </a:graphicData>
            </a:graphic>
          </wp:inline>
        </w:drawing>
      </w:r>
    </w:p>
    <w:p>
      <w:pPr>
        <w:pStyle w:val="20"/>
        <w:ind w:left="0" w:leftChars="0" w:firstLine="0" w:firstLineChars="0"/>
        <w:sectPr>
          <w:pgSz w:w="11906" w:h="16838"/>
          <w:pgMar w:top="1418" w:right="1418" w:bottom="1418" w:left="1701" w:header="851" w:footer="1134" w:gutter="0"/>
          <w:pgNumType w:fmt="decimal"/>
          <w:cols w:space="720" w:num="1"/>
          <w:docGrid w:linePitch="312" w:charSpace="0"/>
        </w:sectPr>
      </w:pPr>
    </w:p>
    <w:p>
      <w:pPr>
        <w:bidi w:val="0"/>
        <w:ind w:left="0" w:leftChars="0" w:firstLine="0" w:firstLineChars="0"/>
        <w:rPr>
          <w:rFonts w:hint="eastAsia" w:eastAsia="宋体"/>
          <w:lang w:eastAsia="zh-CN"/>
        </w:rPr>
        <w:sectPr>
          <w:pgSz w:w="11906" w:h="16838"/>
          <w:pgMar w:top="1418" w:right="1418" w:bottom="1418" w:left="1701" w:header="851" w:footer="1134" w:gutter="0"/>
          <w:pgNumType w:fmt="decimal"/>
          <w:cols w:space="720" w:num="1"/>
          <w:docGrid w:linePitch="312" w:charSpace="0"/>
        </w:sectPr>
      </w:pPr>
      <w:r>
        <w:rPr>
          <w:rFonts w:hint="eastAsia" w:eastAsia="宋体"/>
          <w:lang w:eastAsia="zh-CN"/>
        </w:rPr>
        <w:drawing>
          <wp:inline distT="0" distB="0" distL="114300" distR="114300">
            <wp:extent cx="5575935" cy="7891145"/>
            <wp:effectExtent l="0" t="0" r="1905" b="3175"/>
            <wp:docPr id="328" name="图片 328" descr="5000吨菌草环评意见(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5000吨菌草环评意见(1)_00"/>
                    <pic:cNvPicPr>
                      <a:picLocks noChangeAspect="1"/>
                    </pic:cNvPicPr>
                  </pic:nvPicPr>
                  <pic:blipFill>
                    <a:blip r:embed="rId209"/>
                    <a:stretch>
                      <a:fillRect/>
                    </a:stretch>
                  </pic:blipFill>
                  <pic:spPr>
                    <a:xfrm>
                      <a:off x="0" y="0"/>
                      <a:ext cx="5575935" cy="7891145"/>
                    </a:xfrm>
                    <a:prstGeom prst="rect">
                      <a:avLst/>
                    </a:prstGeom>
                  </pic:spPr>
                </pic:pic>
              </a:graphicData>
            </a:graphic>
          </wp:inline>
        </w:drawing>
      </w:r>
      <w:r>
        <w:rPr>
          <w:rFonts w:hint="eastAsia" w:eastAsia="宋体"/>
          <w:lang w:eastAsia="zh-CN"/>
        </w:rPr>
        <w:drawing>
          <wp:inline distT="0" distB="0" distL="114300" distR="114300">
            <wp:extent cx="5575935" cy="7891145"/>
            <wp:effectExtent l="0" t="0" r="1905" b="3175"/>
            <wp:docPr id="330" name="图片 330" descr="5000吨菌草环评意见(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5000吨菌草环评意见(1)_01"/>
                    <pic:cNvPicPr>
                      <a:picLocks noChangeAspect="1"/>
                    </pic:cNvPicPr>
                  </pic:nvPicPr>
                  <pic:blipFill>
                    <a:blip r:embed="rId210"/>
                    <a:stretch>
                      <a:fillRect/>
                    </a:stretch>
                  </pic:blipFill>
                  <pic:spPr>
                    <a:xfrm>
                      <a:off x="0" y="0"/>
                      <a:ext cx="5575935" cy="7891145"/>
                    </a:xfrm>
                    <a:prstGeom prst="rect">
                      <a:avLst/>
                    </a:prstGeom>
                  </pic:spPr>
                </pic:pic>
              </a:graphicData>
            </a:graphic>
          </wp:inline>
        </w:drawing>
      </w:r>
      <w:r>
        <w:rPr>
          <w:rFonts w:hint="eastAsia" w:eastAsia="宋体"/>
          <w:lang w:eastAsia="zh-CN"/>
        </w:rPr>
        <w:drawing>
          <wp:inline distT="0" distB="0" distL="114300" distR="114300">
            <wp:extent cx="5575935" cy="7891145"/>
            <wp:effectExtent l="0" t="0" r="1905" b="3175"/>
            <wp:docPr id="331" name="图片 331" descr="5000吨菌草环评意见(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5000吨菌草环评意见(1)_02"/>
                    <pic:cNvPicPr>
                      <a:picLocks noChangeAspect="1"/>
                    </pic:cNvPicPr>
                  </pic:nvPicPr>
                  <pic:blipFill>
                    <a:blip r:embed="rId211"/>
                    <a:stretch>
                      <a:fillRect/>
                    </a:stretch>
                  </pic:blipFill>
                  <pic:spPr>
                    <a:xfrm>
                      <a:off x="0" y="0"/>
                      <a:ext cx="5575935" cy="7891145"/>
                    </a:xfrm>
                    <a:prstGeom prst="rect">
                      <a:avLst/>
                    </a:prstGeom>
                  </pic:spPr>
                </pic:pic>
              </a:graphicData>
            </a:graphic>
          </wp:inline>
        </w:drawing>
      </w:r>
    </w:p>
    <w:p>
      <w:pPr>
        <w:bidi w:val="0"/>
        <w:ind w:left="0" w:leftChars="0" w:firstLine="0" w:firstLineChars="0"/>
        <w:rPr>
          <w:rFonts w:hint="eastAsia"/>
          <w:lang w:eastAsia="zh-CN"/>
        </w:rPr>
        <w:sectPr>
          <w:pgSz w:w="11906" w:h="16838"/>
          <w:pgMar w:top="1418" w:right="1418" w:bottom="1418" w:left="1701" w:header="851" w:footer="1134" w:gutter="0"/>
          <w:pgNumType w:fmt="decimal"/>
          <w:cols w:space="720" w:num="1"/>
          <w:docGrid w:linePitch="312" w:charSpace="0"/>
        </w:sectPr>
      </w:pPr>
      <w:r>
        <w:rPr>
          <w:rFonts w:hint="eastAsia"/>
          <w:lang w:eastAsia="zh-CN"/>
        </w:rPr>
        <w:drawing>
          <wp:inline distT="0" distB="0" distL="114300" distR="114300">
            <wp:extent cx="5572125" cy="7880350"/>
            <wp:effectExtent l="0" t="0" r="5715" b="13970"/>
            <wp:docPr id="332" name="图片 332" descr="自查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自查表_00"/>
                    <pic:cNvPicPr>
                      <a:picLocks noChangeAspect="1"/>
                    </pic:cNvPicPr>
                  </pic:nvPicPr>
                  <pic:blipFill>
                    <a:blip r:embed="rId212"/>
                    <a:stretch>
                      <a:fillRect/>
                    </a:stretch>
                  </pic:blipFill>
                  <pic:spPr>
                    <a:xfrm>
                      <a:off x="0" y="0"/>
                      <a:ext cx="5572125" cy="7880350"/>
                    </a:xfrm>
                    <a:prstGeom prst="rect">
                      <a:avLst/>
                    </a:prstGeom>
                  </pic:spPr>
                </pic:pic>
              </a:graphicData>
            </a:graphic>
          </wp:inline>
        </w:drawing>
      </w:r>
      <w:r>
        <w:rPr>
          <w:rFonts w:hint="eastAsia"/>
          <w:lang w:eastAsia="zh-CN"/>
        </w:rPr>
        <w:drawing>
          <wp:inline distT="0" distB="0" distL="114300" distR="114300">
            <wp:extent cx="5572125" cy="7880350"/>
            <wp:effectExtent l="0" t="0" r="5715" b="13970"/>
            <wp:docPr id="333" name="图片 333" descr="自查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自查表_01"/>
                    <pic:cNvPicPr>
                      <a:picLocks noChangeAspect="1"/>
                    </pic:cNvPicPr>
                  </pic:nvPicPr>
                  <pic:blipFill>
                    <a:blip r:embed="rId213"/>
                    <a:stretch>
                      <a:fillRect/>
                    </a:stretch>
                  </pic:blipFill>
                  <pic:spPr>
                    <a:xfrm>
                      <a:off x="0" y="0"/>
                      <a:ext cx="5572125" cy="7880350"/>
                    </a:xfrm>
                    <a:prstGeom prst="rect">
                      <a:avLst/>
                    </a:prstGeom>
                  </pic:spPr>
                </pic:pic>
              </a:graphicData>
            </a:graphic>
          </wp:inline>
        </w:drawing>
      </w:r>
      <w:r>
        <w:rPr>
          <w:rFonts w:hint="eastAsia"/>
          <w:lang w:eastAsia="zh-CN"/>
        </w:rPr>
        <w:drawing>
          <wp:inline distT="0" distB="0" distL="114300" distR="114300">
            <wp:extent cx="5572125" cy="7880350"/>
            <wp:effectExtent l="0" t="0" r="5715" b="13970"/>
            <wp:docPr id="334" name="图片 334" descr="自查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自查表_02"/>
                    <pic:cNvPicPr>
                      <a:picLocks noChangeAspect="1"/>
                    </pic:cNvPicPr>
                  </pic:nvPicPr>
                  <pic:blipFill>
                    <a:blip r:embed="rId214"/>
                    <a:stretch>
                      <a:fillRect/>
                    </a:stretch>
                  </pic:blipFill>
                  <pic:spPr>
                    <a:xfrm>
                      <a:off x="0" y="0"/>
                      <a:ext cx="5572125" cy="7880350"/>
                    </a:xfrm>
                    <a:prstGeom prst="rect">
                      <a:avLst/>
                    </a:prstGeom>
                  </pic:spPr>
                </pic:pic>
              </a:graphicData>
            </a:graphic>
          </wp:inline>
        </w:drawing>
      </w:r>
      <w:r>
        <w:rPr>
          <w:rFonts w:hint="eastAsia"/>
          <w:lang w:eastAsia="zh-CN"/>
        </w:rPr>
        <w:drawing>
          <wp:inline distT="0" distB="0" distL="114300" distR="114300">
            <wp:extent cx="5572125" cy="7880350"/>
            <wp:effectExtent l="0" t="0" r="5715" b="13970"/>
            <wp:docPr id="335" name="图片 335" descr="自查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自查表_03"/>
                    <pic:cNvPicPr>
                      <a:picLocks noChangeAspect="1"/>
                    </pic:cNvPicPr>
                  </pic:nvPicPr>
                  <pic:blipFill>
                    <a:blip r:embed="rId215"/>
                    <a:stretch>
                      <a:fillRect/>
                    </a:stretch>
                  </pic:blipFill>
                  <pic:spPr>
                    <a:xfrm>
                      <a:off x="0" y="0"/>
                      <a:ext cx="5572125" cy="7880350"/>
                    </a:xfrm>
                    <a:prstGeom prst="rect">
                      <a:avLst/>
                    </a:prstGeom>
                  </pic:spPr>
                </pic:pic>
              </a:graphicData>
            </a:graphic>
          </wp:inline>
        </w:drawing>
      </w:r>
      <w:r>
        <w:rPr>
          <w:rFonts w:hint="eastAsia"/>
          <w:lang w:eastAsia="zh-CN"/>
        </w:rPr>
        <w:drawing>
          <wp:inline distT="0" distB="0" distL="114300" distR="114300">
            <wp:extent cx="5572125" cy="7880350"/>
            <wp:effectExtent l="0" t="0" r="5715" b="13970"/>
            <wp:docPr id="336" name="图片 336" descr="自查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自查表_04"/>
                    <pic:cNvPicPr>
                      <a:picLocks noChangeAspect="1"/>
                    </pic:cNvPicPr>
                  </pic:nvPicPr>
                  <pic:blipFill>
                    <a:blip r:embed="rId216"/>
                    <a:stretch>
                      <a:fillRect/>
                    </a:stretch>
                  </pic:blipFill>
                  <pic:spPr>
                    <a:xfrm>
                      <a:off x="0" y="0"/>
                      <a:ext cx="5572125" cy="7880350"/>
                    </a:xfrm>
                    <a:prstGeom prst="rect">
                      <a:avLst/>
                    </a:prstGeom>
                  </pic:spPr>
                </pic:pic>
              </a:graphicData>
            </a:graphic>
          </wp:inline>
        </w:drawing>
      </w:r>
      <w:r>
        <w:rPr>
          <w:rFonts w:hint="eastAsia"/>
          <w:lang w:eastAsia="zh-CN"/>
        </w:rPr>
        <w:drawing>
          <wp:inline distT="0" distB="0" distL="114300" distR="114300">
            <wp:extent cx="5572125" cy="7880350"/>
            <wp:effectExtent l="0" t="0" r="5715" b="13970"/>
            <wp:docPr id="337" name="图片 337" descr="自查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自查表_05"/>
                    <pic:cNvPicPr>
                      <a:picLocks noChangeAspect="1"/>
                    </pic:cNvPicPr>
                  </pic:nvPicPr>
                  <pic:blipFill>
                    <a:blip r:embed="rId217"/>
                    <a:stretch>
                      <a:fillRect/>
                    </a:stretch>
                  </pic:blipFill>
                  <pic:spPr>
                    <a:xfrm>
                      <a:off x="0" y="0"/>
                      <a:ext cx="5572125" cy="7880350"/>
                    </a:xfrm>
                    <a:prstGeom prst="rect">
                      <a:avLst/>
                    </a:prstGeom>
                  </pic:spPr>
                </pic:pic>
              </a:graphicData>
            </a:graphic>
          </wp:inline>
        </w:drawing>
      </w:r>
      <w:r>
        <w:rPr>
          <w:rFonts w:hint="eastAsia"/>
          <w:lang w:eastAsia="zh-CN"/>
        </w:rPr>
        <w:drawing>
          <wp:inline distT="0" distB="0" distL="114300" distR="114300">
            <wp:extent cx="5572125" cy="7880350"/>
            <wp:effectExtent l="0" t="0" r="5715" b="13970"/>
            <wp:docPr id="338" name="图片 338" descr="自查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自查表_06"/>
                    <pic:cNvPicPr>
                      <a:picLocks noChangeAspect="1"/>
                    </pic:cNvPicPr>
                  </pic:nvPicPr>
                  <pic:blipFill>
                    <a:blip r:embed="rId218"/>
                    <a:stretch>
                      <a:fillRect/>
                    </a:stretch>
                  </pic:blipFill>
                  <pic:spPr>
                    <a:xfrm>
                      <a:off x="0" y="0"/>
                      <a:ext cx="5572125" cy="7880350"/>
                    </a:xfrm>
                    <a:prstGeom prst="rect">
                      <a:avLst/>
                    </a:prstGeom>
                  </pic:spPr>
                </pic:pic>
              </a:graphicData>
            </a:graphic>
          </wp:inline>
        </w:drawing>
      </w:r>
    </w:p>
    <w:p>
      <w:pPr>
        <w:pStyle w:val="2"/>
        <w:ind w:left="0" w:leftChars="0" w:firstLine="0" w:firstLineChars="0"/>
        <w:jc w:val="center"/>
        <w:rPr>
          <w:rFonts w:hint="eastAsia"/>
          <w:lang w:eastAsia="zh-CN"/>
        </w:rPr>
      </w:pPr>
    </w:p>
    <w:p>
      <w:pPr>
        <w:pStyle w:val="2"/>
        <w:ind w:left="0" w:leftChars="0" w:firstLine="0" w:firstLineChars="0"/>
        <w:jc w:val="center"/>
        <w:rPr>
          <w:rFonts w:hint="eastAsia"/>
          <w:lang w:eastAsia="zh-CN"/>
        </w:rPr>
      </w:pPr>
      <w:r>
        <w:rPr>
          <w:rFonts w:hint="eastAsia"/>
          <w:lang w:eastAsia="zh-CN"/>
        </w:rPr>
        <w:drawing>
          <wp:inline distT="0" distB="0" distL="114300" distR="114300">
            <wp:extent cx="9034780" cy="5130800"/>
            <wp:effectExtent l="0" t="0" r="2540" b="5080"/>
            <wp:docPr id="340" name="图片 340" descr="新乡化纤股份有限公司年产5000吨菌草生物质纤维产业化研发中试项目环境影响报告书审批基础信息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新乡化纤股份有限公司年产5000吨菌草生物质纤维产业化研发中试项目环境影响报告书审批基础信息表_00"/>
                    <pic:cNvPicPr>
                      <a:picLocks noChangeAspect="1"/>
                    </pic:cNvPicPr>
                  </pic:nvPicPr>
                  <pic:blipFill>
                    <a:blip r:embed="rId219"/>
                    <a:srcRect t="12145" b="7551"/>
                    <a:stretch>
                      <a:fillRect/>
                    </a:stretch>
                  </pic:blipFill>
                  <pic:spPr>
                    <a:xfrm>
                      <a:off x="0" y="0"/>
                      <a:ext cx="9034780" cy="5130800"/>
                    </a:xfrm>
                    <a:prstGeom prst="rect">
                      <a:avLst/>
                    </a:prstGeom>
                  </pic:spPr>
                </pic:pic>
              </a:graphicData>
            </a:graphic>
          </wp:inline>
        </w:drawing>
      </w:r>
    </w:p>
    <w:p>
      <w:pPr>
        <w:ind w:left="0" w:leftChars="0" w:firstLine="0" w:firstLineChars="0"/>
        <w:jc w:val="center"/>
        <w:rPr>
          <w:rFonts w:hint="eastAsia"/>
          <w:lang w:eastAsia="zh-CN"/>
        </w:rPr>
      </w:pPr>
      <w:r>
        <w:rPr>
          <w:rFonts w:hint="eastAsia"/>
          <w:lang w:eastAsia="zh-CN"/>
        </w:rPr>
        <w:drawing>
          <wp:inline distT="0" distB="0" distL="114300" distR="114300">
            <wp:extent cx="8785860" cy="4852670"/>
            <wp:effectExtent l="0" t="0" r="7620" b="8890"/>
            <wp:docPr id="341" name="图片 341" descr="新乡化纤股份有限公司年产5000吨菌草生物质纤维产业化研发中试项目环境影响报告书审批基础信息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新乡化纤股份有限公司年产5000吨菌草生物质纤维产业化研发中试项目环境影响报告书审批基础信息表_01"/>
                    <pic:cNvPicPr>
                      <a:picLocks noChangeAspect="1"/>
                    </pic:cNvPicPr>
                  </pic:nvPicPr>
                  <pic:blipFill>
                    <a:blip r:embed="rId220"/>
                    <a:srcRect t="8147" b="13745"/>
                    <a:stretch>
                      <a:fillRect/>
                    </a:stretch>
                  </pic:blipFill>
                  <pic:spPr>
                    <a:xfrm>
                      <a:off x="0" y="0"/>
                      <a:ext cx="8785860" cy="4852670"/>
                    </a:xfrm>
                    <a:prstGeom prst="rect">
                      <a:avLst/>
                    </a:prstGeom>
                  </pic:spPr>
                </pic:pic>
              </a:graphicData>
            </a:graphic>
          </wp:inline>
        </w:drawing>
      </w:r>
    </w:p>
    <w:p>
      <w:pPr>
        <w:pStyle w:val="2"/>
        <w:rPr>
          <w:rFonts w:hint="eastAsia"/>
          <w:lang w:eastAsia="zh-CN"/>
        </w:rPr>
      </w:pPr>
    </w:p>
    <w:p>
      <w:pPr>
        <w:rPr>
          <w:rFonts w:hint="eastAsia"/>
          <w:lang w:eastAsia="zh-CN"/>
        </w:rPr>
      </w:pPr>
    </w:p>
    <w:p>
      <w:pPr>
        <w:bidi w:val="0"/>
        <w:ind w:left="0" w:leftChars="0" w:firstLine="0" w:firstLineChars="0"/>
        <w:rPr>
          <w:rFonts w:hint="eastAsia"/>
          <w:lang w:eastAsia="zh-CN"/>
        </w:rPr>
      </w:pPr>
      <w:r>
        <w:rPr>
          <w:rFonts w:hint="eastAsia"/>
          <w:lang w:eastAsia="zh-CN"/>
        </w:rPr>
        <w:drawing>
          <wp:inline distT="0" distB="0" distL="114300" distR="114300">
            <wp:extent cx="9239250" cy="3209290"/>
            <wp:effectExtent l="0" t="0" r="11430" b="6350"/>
            <wp:docPr id="342" name="图片 342" descr="新乡化纤股份有限公司年产5000吨菌草生物质纤维产业化研发中试项目环境影响报告书审批基础信息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新乡化纤股份有限公司年产5000吨菌草生物质纤维产业化研发中试项目环境影响报告书审批基础信息表_02"/>
                    <pic:cNvPicPr>
                      <a:picLocks noChangeAspect="1"/>
                    </pic:cNvPicPr>
                  </pic:nvPicPr>
                  <pic:blipFill>
                    <a:blip r:embed="rId221"/>
                    <a:srcRect b="50880"/>
                    <a:stretch>
                      <a:fillRect/>
                    </a:stretch>
                  </pic:blipFill>
                  <pic:spPr>
                    <a:xfrm>
                      <a:off x="0" y="0"/>
                      <a:ext cx="9239250" cy="3209290"/>
                    </a:xfrm>
                    <a:prstGeom prst="rect">
                      <a:avLst/>
                    </a:prstGeom>
                  </pic:spPr>
                </pic:pic>
              </a:graphicData>
            </a:graphic>
          </wp:inline>
        </w:drawing>
      </w:r>
    </w:p>
    <w:sectPr>
      <w:pgSz w:w="16838" w:h="11906" w:orient="landscape"/>
      <w:pgMar w:top="1701" w:right="1418" w:bottom="1418" w:left="1418" w:header="851" w:footer="1134" w:gutter="0"/>
      <w:pgNumType w:fmt="decimal"/>
      <w:cols w:space="72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072">
      <wne:acd wne:acdName="acd0"/>
    </wne:keymap>
    <wne:keymap wne:kcmPrimary="0074">
      <wne:acd wne:acdName="acd1"/>
    </wne:keymap>
    <wne:keymap wne:kcmPrimary="0075">
      <wne:acd wne:acdName="acd2"/>
    </wne:keymap>
    <wne:keymap wne:kcmPrimary="0073">
      <wne:acd wne:acdName="acd3"/>
    </wne:keymap>
    <wne:keymap wne:kcmPrimary="0071">
      <wne:acd wne:acdName="acd4"/>
    </wne:keymap>
  </wne:keymaps>
  <wne:acds>
    <wne:acd wne:argValue="AgD+VmiIB2iYmA==" wne:acdName="acd0" wne:fciIndexBasedOn="0065"/>
    <wne:acd wne:argValue="AQAAAAMA" wne:acdName="acd1" wne:fciIndexBasedOn="0065"/>
    <wne:acd wne:argValue="AQAAAAQA" wne:acdName="acd2" wne:fciIndexBasedOn="0065"/>
    <wne:acd wne:argValue="AQAAAAAA" wne:acdName="acd3" wne:fciIndexBasedOn="0065"/>
    <wne:acd wne:argValue="AgBoiFdbU08yAA==" wne:acdName="acd4"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altName w:val="微软雅黑"/>
    <w:panose1 w:val="00000000000000000000"/>
    <w:charset w:val="86"/>
    <w:family w:val="script"/>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华文中宋">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Helvetica">
    <w:altName w:val="Arial"/>
    <w:panose1 w:val="020B0604020202020204"/>
    <w:charset w:val="00"/>
    <w:family w:val="swiss"/>
    <w:pitch w:val="default"/>
    <w:sig w:usb0="00000000" w:usb1="00000000" w:usb2="00000009" w:usb3="00000000" w:csb0="000001FF" w:csb1="00000000"/>
  </w:font>
  <w:font w:name="Arial Unicode MS">
    <w:panose1 w:val="020B0604020202020204"/>
    <w:charset w:val="86"/>
    <w:family w:val="swiss"/>
    <w:pitch w:val="default"/>
    <w:sig w:usb0="FFFFFFFF" w:usb1="E9FFFFFF" w:usb2="0000003F" w:usb3="00000000" w:csb0="603F01FF" w:csb1="FFFF0000"/>
  </w:font>
  <w:font w:name="等线 Light">
    <w:panose1 w:val="02010600030101010101"/>
    <w:charset w:val="86"/>
    <w:family w:val="auto"/>
    <w:pitch w:val="default"/>
    <w:sig w:usb0="A00002BF" w:usb1="38CF7CFA"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rPr>
        <w:sz w:val="18"/>
      </w:rPr>
      <w:pict>
        <v:shape id="_x0000_s3078" o:spid="_x0000_s3078"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pPr>
                  <w:pStyle w:val="23"/>
                </w:pPr>
                <w:r>
                  <w:fldChar w:fldCharType="begin"/>
                </w:r>
                <w:r>
                  <w:instrText xml:space="preserve"> PAGE  \* MERGEFORMAT </w:instrText>
                </w:r>
                <w:r>
                  <w:fldChar w:fldCharType="separate"/>
                </w:r>
                <w:r>
                  <w:t>1</w:t>
                </w:r>
                <w:r>
                  <w:fldChar w:fldCharType="end"/>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rPr>
        <w:rFonts w:ascii="Times New Roman" w:hAnsi="Times New Roman" w:cs="Times New Roman"/>
      </w:rPr>
    </w:pPr>
    <w:r>
      <w:rPr>
        <w:sz w:val="18"/>
      </w:rPr>
      <w:pict>
        <v:shape id="文本框 56" o:spid="_x0000_s3082" o:spt="202" type="#_x0000_t202" style="position:absolute;left:0pt;margin-top:0pt;height:144pt;width:144pt;mso-position-horizontal:center;mso-position-horizontal-relative:margin;mso-wrap-style:none;z-index:25172787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o6FH8oBAACbAwAADgAAAGRycy9lMm9Eb2MueG1srVPNjtMwEL4j8Q6W&#10;79TZSqy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DX17TYnjFid+/vnj/OvP+fd3&#10;gj4UqA9QY959wMw0vPMDrs3sB3Rm3oOKNn+REcE4ynu6yCuHRER+tFquVhWGBMbmC+Kzh+chQnov&#10;vSXZaGjE+RVZ+fEjpDF1TsnVnL/TxpQZGvePAzGzh+Xexx6zlYbdMBHa+faEfHocfUMdbjol5oND&#10;ZfOWzEacjd1sHELU+66sUa4H4faQsInSW64wwk6FcWaF3bRfeSke30vWwz+1+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6o6FH8oBAACbAwAADgAAAAAAAAABACAAAAAeAQAAZHJzL2Uyb0Rv&#10;Yy54bWxQSwUGAAAAAAYABgBZAQAAWgUAAAAA&#10;">
          <v:path/>
          <v:fill on="f" focussize="0,0"/>
          <v:stroke on="f"/>
          <v:imagedata o:title=""/>
          <o:lock v:ext="edit" aspectratio="f"/>
          <v:textbox inset="0mm,0mm,0mm,0mm" style="mso-fit-shape-to-text:t;">
            <w:txbxContent>
              <w:p>
                <w:pPr>
                  <w:pStyle w:val="23"/>
                </w:pPr>
                <w:r>
                  <w:fldChar w:fldCharType="begin"/>
                </w:r>
                <w:r>
                  <w:instrText xml:space="preserve"> PAGE  \* MERGEFORMAT </w:instrText>
                </w:r>
                <w:r>
                  <w:fldChar w:fldCharType="separate"/>
                </w:r>
                <w:r>
                  <w:t>256</w:t>
                </w:r>
                <w:r>
                  <w:fldChar w:fldCharType="end"/>
                </w:r>
              </w:p>
            </w:txbxContent>
          </v:textbox>
        </v:shape>
      </w:pict>
    </w:r>
    <w:sdt>
      <w:sdtPr>
        <w:id w:val="5136087"/>
      </w:sdtPr>
      <w:sdtEndPr>
        <w:rPr>
          <w:rFonts w:ascii="Times New Roman" w:hAnsi="Times New Roman" w:cs="Times New Roman"/>
        </w:rPr>
      </w:sdtEndP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rPr>
        <w:sz w:val="18"/>
      </w:rPr>
      <w:pict>
        <v:shape id="_x0000_s3079" o:spid="_x0000_s3079"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23"/>
                </w:pPr>
                <w:r>
                  <w:fldChar w:fldCharType="begin"/>
                </w:r>
                <w:r>
                  <w:instrText xml:space="preserve"> PAGE  \* MERGEFORMAT </w:instrText>
                </w:r>
                <w:r>
                  <w:fldChar w:fldCharType="separate"/>
                </w:r>
                <w:r>
                  <w:t>1</w:t>
                </w:r>
                <w: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jc w:val="center"/>
    </w:pPr>
    <w:r>
      <w:rPr>
        <w:sz w:val="28"/>
      </w:rPr>
      <w:pict>
        <v:shape id="_x0000_s3080" o:spid="_x0000_s3080"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23"/>
                </w:pPr>
                <w:r>
                  <w:fldChar w:fldCharType="begin"/>
                </w:r>
                <w:r>
                  <w:instrText xml:space="preserve"> PAGE  \* MERGEFORMAT </w:instrText>
                </w:r>
                <w:r>
                  <w:fldChar w:fldCharType="separate"/>
                </w:r>
                <w:r>
                  <w:t>15</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ind w:firstLine="480"/>
    </w:pPr>
    <w:r>
      <w:fldChar w:fldCharType="begin"/>
    </w:r>
    <w:r>
      <w:instrText xml:space="preserve">PAGE  </w:instrText>
    </w:r>
    <w:r>
      <w:fldChar w:fldCharType="end"/>
    </w:r>
  </w:p>
  <w:p>
    <w:pPr>
      <w:ind w:firstLine="48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36"/>
      </w:rPr>
    </w:pPr>
    <w:r>
      <w:fldChar w:fldCharType="begin"/>
    </w:r>
    <w:r>
      <w:rPr>
        <w:rStyle w:val="36"/>
      </w:rPr>
      <w:instrText xml:space="preserve">PAGE  </w:instrText>
    </w:r>
    <w:r>
      <w:fldChar w:fldCharType="end"/>
    </w:r>
  </w:p>
  <w:p>
    <w:pPr>
      <w:pStyle w:val="2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0"/>
      </w:rPr>
    </w:pPr>
    <w:r>
      <w:rPr>
        <w:sz w:val="20"/>
      </w:rPr>
      <w:pict>
        <v:shape id="_x0000_s3081" o:spid="_x0000_s3081"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23"/>
                </w:pPr>
                <w:r>
                  <w:fldChar w:fldCharType="begin"/>
                </w:r>
                <w:r>
                  <w:instrText xml:space="preserve"> PAGE  \* MERGEFORMAT </w:instrText>
                </w:r>
                <w:r>
                  <w:fldChar w:fldCharType="separate"/>
                </w:r>
                <w:r>
                  <w:t>122</w:t>
                </w:r>
                <w: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5"/>
      <w:spacing w:before="0" w:beforeAutospacing="0" w:after="0" w:afterAutospacing="0" w:line="240" w:lineRule="auto"/>
      <w:ind w:firstLine="0"/>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5"/>
      <w:spacing w:before="0" w:beforeAutospacing="0" w:after="0" w:afterAutospacing="0" w:line="240" w:lineRule="auto"/>
      <w:ind w:firstLine="0"/>
      <w:jc w:val="center"/>
    </w:pPr>
    <w:r>
      <w:rPr>
        <w:rFonts w:hint="eastAsia" w:ascii="Calibri" w:hAnsi="Calibri"/>
        <w:spacing w:val="0"/>
        <w:kern w:val="2"/>
        <w:sz w:val="18"/>
        <w:szCs w:val="18"/>
      </w:rPr>
      <w:t>新乡化纤股份有限公司年产5000吨菌草生物质纤维产业化研发中试项目环境影响报告书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5"/>
      <w:pBdr>
        <w:bottom w:val="single" w:color="auto" w:sz="4" w:space="0"/>
      </w:pBdr>
      <w:spacing w:before="0" w:beforeAutospacing="0" w:after="0" w:afterAutospacing="0" w:line="240" w:lineRule="auto"/>
      <w:ind w:firstLine="0"/>
      <w:jc w:val="center"/>
    </w:pPr>
    <w:r>
      <w:rPr>
        <w:rFonts w:hint="eastAsia" w:ascii="Calibri" w:hAnsi="Calibri"/>
        <w:spacing w:val="0"/>
        <w:kern w:val="2"/>
        <w:sz w:val="18"/>
        <w:szCs w:val="18"/>
      </w:rPr>
      <w:t>新乡化纤股份有限公司年产5000吨菌草生物质纤维产业化研发中试项目环境影响报告书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5"/>
      <w:pBdr>
        <w:bottom w:val="single" w:color="auto" w:sz="4" w:space="0"/>
      </w:pBdr>
      <w:spacing w:before="0" w:beforeAutospacing="0" w:after="0" w:afterAutospacing="0" w:line="240" w:lineRule="auto"/>
      <w:ind w:firstLine="0"/>
      <w:jc w:val="center"/>
      <w:rPr>
        <w:rFonts w:hint="eastAsia" w:ascii="Times New Roman" w:hAnsi="Times New Roman" w:eastAsia="宋体"/>
        <w:color w:val="000000"/>
        <w:sz w:val="21"/>
        <w:szCs w:val="21"/>
        <w:lang w:val="en-US" w:eastAsia="zh-CN"/>
      </w:rPr>
    </w:pPr>
    <w:r>
      <w:rPr>
        <w:rFonts w:hint="eastAsia" w:ascii="Calibri" w:hAnsi="Calibri"/>
        <w:spacing w:val="0"/>
        <w:kern w:val="2"/>
        <w:sz w:val="18"/>
        <w:szCs w:val="18"/>
      </w:rPr>
      <w:t>新乡化纤股份有限公司年产5000吨菌草生物质纤维产业化研发中试项目环境影响报告</w:t>
    </w:r>
    <w:r>
      <w:rPr>
        <w:rFonts w:hint="eastAsia" w:ascii="Calibri" w:hAnsi="Calibri"/>
        <w:spacing w:val="0"/>
        <w:kern w:val="2"/>
        <w:sz w:val="18"/>
        <w:szCs w:val="18"/>
        <w:lang w:val="en-US" w:eastAsia="zh-CN"/>
      </w:rPr>
      <w:t>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F96588"/>
    <w:multiLevelType w:val="singleLevel"/>
    <w:tmpl w:val="CDF96588"/>
    <w:lvl w:ilvl="0" w:tentative="0">
      <w:start w:val="2"/>
      <w:numFmt w:val="decimal"/>
      <w:suff w:val="nothing"/>
      <w:lvlText w:val="（%1）"/>
      <w:lvlJc w:val="left"/>
    </w:lvl>
  </w:abstractNum>
  <w:abstractNum w:abstractNumId="1">
    <w:nsid w:val="E48D1DF7"/>
    <w:multiLevelType w:val="singleLevel"/>
    <w:tmpl w:val="E48D1DF7"/>
    <w:lvl w:ilvl="0" w:tentative="0">
      <w:start w:val="2"/>
      <w:numFmt w:val="chineseCounting"/>
      <w:suff w:val="nothing"/>
      <w:lvlText w:val="%1、"/>
      <w:lvlJc w:val="left"/>
      <w:rPr>
        <w:rFonts w:hint="eastAsia"/>
      </w:rPr>
    </w:lvl>
  </w:abstractNum>
  <w:abstractNum w:abstractNumId="2">
    <w:nsid w:val="E81CAD0A"/>
    <w:multiLevelType w:val="singleLevel"/>
    <w:tmpl w:val="E81CAD0A"/>
    <w:lvl w:ilvl="0" w:tentative="0">
      <w:start w:val="1"/>
      <w:numFmt w:val="decimal"/>
      <w:suff w:val="nothing"/>
      <w:lvlText w:val="（%1）"/>
      <w:lvlJc w:val="left"/>
    </w:lvl>
  </w:abstractNum>
  <w:abstractNum w:abstractNumId="3">
    <w:nsid w:val="EACC958D"/>
    <w:multiLevelType w:val="singleLevel"/>
    <w:tmpl w:val="EACC958D"/>
    <w:lvl w:ilvl="0" w:tentative="0">
      <w:start w:val="2"/>
      <w:numFmt w:val="decimal"/>
      <w:suff w:val="nothing"/>
      <w:lvlText w:val="%1、"/>
      <w:lvlJc w:val="left"/>
    </w:lvl>
  </w:abstractNum>
  <w:abstractNum w:abstractNumId="4">
    <w:nsid w:val="F903796D"/>
    <w:multiLevelType w:val="singleLevel"/>
    <w:tmpl w:val="F903796D"/>
    <w:lvl w:ilvl="0" w:tentative="0">
      <w:start w:val="1"/>
      <w:numFmt w:val="decimal"/>
      <w:suff w:val="nothing"/>
      <w:lvlText w:val="（%1）"/>
      <w:lvlJc w:val="left"/>
    </w:lvl>
  </w:abstractNum>
  <w:abstractNum w:abstractNumId="5">
    <w:nsid w:val="018A9A35"/>
    <w:multiLevelType w:val="singleLevel"/>
    <w:tmpl w:val="018A9A35"/>
    <w:lvl w:ilvl="0" w:tentative="0">
      <w:start w:val="5"/>
      <w:numFmt w:val="chineseCounting"/>
      <w:suff w:val="space"/>
      <w:lvlText w:val="第%1章"/>
      <w:lvlJc w:val="left"/>
      <w:rPr>
        <w:rFonts w:hint="eastAsia"/>
      </w:rPr>
    </w:lvl>
  </w:abstractNum>
  <w:abstractNum w:abstractNumId="6">
    <w:nsid w:val="038E1BB1"/>
    <w:multiLevelType w:val="multilevel"/>
    <w:tmpl w:val="038E1BB1"/>
    <w:lvl w:ilvl="0" w:tentative="0">
      <w:start w:val="1"/>
      <w:numFmt w:val="decimal"/>
      <w:pStyle w:val="183"/>
      <w:lvlText w:val="2.11.%1"/>
      <w:lvlJc w:val="left"/>
      <w:pPr>
        <w:ind w:left="620" w:hanging="420"/>
      </w:pPr>
      <w:rPr>
        <w:rFonts w:hint="eastAsia"/>
      </w:rPr>
    </w:lvl>
    <w:lvl w:ilvl="1" w:tentative="0">
      <w:start w:val="1"/>
      <w:numFmt w:val="lowerLetter"/>
      <w:lvlText w:val="%2)"/>
      <w:lvlJc w:val="left"/>
      <w:pPr>
        <w:ind w:left="1040" w:hanging="420"/>
      </w:pPr>
    </w:lvl>
    <w:lvl w:ilvl="2" w:tentative="0">
      <w:start w:val="1"/>
      <w:numFmt w:val="lowerRoman"/>
      <w:lvlText w:val="%3."/>
      <w:lvlJc w:val="right"/>
      <w:pPr>
        <w:ind w:left="1460" w:hanging="420"/>
      </w:pPr>
    </w:lvl>
    <w:lvl w:ilvl="3" w:tentative="0">
      <w:start w:val="1"/>
      <w:numFmt w:val="decimal"/>
      <w:lvlText w:val="%4."/>
      <w:lvlJc w:val="left"/>
      <w:pPr>
        <w:ind w:left="1880" w:hanging="420"/>
      </w:pPr>
    </w:lvl>
    <w:lvl w:ilvl="4" w:tentative="0">
      <w:start w:val="1"/>
      <w:numFmt w:val="lowerLetter"/>
      <w:lvlText w:val="%5)"/>
      <w:lvlJc w:val="left"/>
      <w:pPr>
        <w:ind w:left="2300" w:hanging="420"/>
      </w:pPr>
    </w:lvl>
    <w:lvl w:ilvl="5" w:tentative="0">
      <w:start w:val="1"/>
      <w:numFmt w:val="lowerRoman"/>
      <w:lvlText w:val="%6."/>
      <w:lvlJc w:val="right"/>
      <w:pPr>
        <w:ind w:left="2720" w:hanging="420"/>
      </w:pPr>
    </w:lvl>
    <w:lvl w:ilvl="6" w:tentative="0">
      <w:start w:val="1"/>
      <w:numFmt w:val="decimal"/>
      <w:lvlText w:val="%7."/>
      <w:lvlJc w:val="left"/>
      <w:pPr>
        <w:ind w:left="3140" w:hanging="420"/>
      </w:pPr>
    </w:lvl>
    <w:lvl w:ilvl="7" w:tentative="0">
      <w:start w:val="1"/>
      <w:numFmt w:val="lowerLetter"/>
      <w:lvlText w:val="%8)"/>
      <w:lvlJc w:val="left"/>
      <w:pPr>
        <w:ind w:left="3560" w:hanging="420"/>
      </w:pPr>
    </w:lvl>
    <w:lvl w:ilvl="8" w:tentative="0">
      <w:start w:val="1"/>
      <w:numFmt w:val="lowerRoman"/>
      <w:lvlText w:val="%9."/>
      <w:lvlJc w:val="right"/>
      <w:pPr>
        <w:ind w:left="3980" w:hanging="420"/>
      </w:pPr>
    </w:lvl>
  </w:abstractNum>
  <w:abstractNum w:abstractNumId="7">
    <w:nsid w:val="08AFF931"/>
    <w:multiLevelType w:val="singleLevel"/>
    <w:tmpl w:val="08AFF931"/>
    <w:lvl w:ilvl="0" w:tentative="0">
      <w:start w:val="1"/>
      <w:numFmt w:val="decimal"/>
      <w:suff w:val="nothing"/>
      <w:lvlText w:val="（%1）"/>
      <w:lvlJc w:val="left"/>
    </w:lvl>
  </w:abstractNum>
  <w:abstractNum w:abstractNumId="8">
    <w:nsid w:val="30DB6B48"/>
    <w:multiLevelType w:val="singleLevel"/>
    <w:tmpl w:val="30DB6B48"/>
    <w:lvl w:ilvl="0" w:tentative="0">
      <w:start w:val="2"/>
      <w:numFmt w:val="decimal"/>
      <w:suff w:val="nothing"/>
      <w:lvlText w:val="（%1）"/>
      <w:lvlJc w:val="left"/>
    </w:lvl>
  </w:abstractNum>
  <w:abstractNum w:abstractNumId="9">
    <w:nsid w:val="41DA1E28"/>
    <w:multiLevelType w:val="singleLevel"/>
    <w:tmpl w:val="41DA1E28"/>
    <w:lvl w:ilvl="0" w:tentative="0">
      <w:start w:val="1"/>
      <w:numFmt w:val="decimal"/>
      <w:suff w:val="nothing"/>
      <w:lvlText w:val="（%1）"/>
      <w:lvlJc w:val="left"/>
    </w:lvl>
  </w:abstractNum>
  <w:abstractNum w:abstractNumId="10">
    <w:nsid w:val="540019D0"/>
    <w:multiLevelType w:val="singleLevel"/>
    <w:tmpl w:val="540019D0"/>
    <w:lvl w:ilvl="0" w:tentative="0">
      <w:start w:val="1"/>
      <w:numFmt w:val="decimal"/>
      <w:suff w:val="nothing"/>
      <w:lvlText w:val="（%1）"/>
      <w:lvlJc w:val="left"/>
    </w:lvl>
  </w:abstractNum>
  <w:abstractNum w:abstractNumId="11">
    <w:nsid w:val="6505FFFC"/>
    <w:multiLevelType w:val="singleLevel"/>
    <w:tmpl w:val="6505FFFC"/>
    <w:lvl w:ilvl="0" w:tentative="0">
      <w:start w:val="5"/>
      <w:numFmt w:val="decimal"/>
      <w:suff w:val="nothing"/>
      <w:lvlText w:val="%1）"/>
      <w:lvlJc w:val="left"/>
    </w:lvl>
  </w:abstractNum>
  <w:abstractNum w:abstractNumId="12">
    <w:nsid w:val="65617F5B"/>
    <w:multiLevelType w:val="multilevel"/>
    <w:tmpl w:val="65617F5B"/>
    <w:lvl w:ilvl="0" w:tentative="0">
      <w:start w:val="1"/>
      <w:numFmt w:val="chineseCountingThousand"/>
      <w:pStyle w:val="11"/>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3">
    <w:nsid w:val="671330A5"/>
    <w:multiLevelType w:val="singleLevel"/>
    <w:tmpl w:val="671330A5"/>
    <w:lvl w:ilvl="0" w:tentative="0">
      <w:start w:val="1"/>
      <w:numFmt w:val="decimal"/>
      <w:suff w:val="nothing"/>
      <w:lvlText w:val="（%1）"/>
      <w:lvlJc w:val="left"/>
      <w:pPr>
        <w:ind w:left="-60"/>
      </w:pPr>
    </w:lvl>
  </w:abstractNum>
  <w:abstractNum w:abstractNumId="14">
    <w:nsid w:val="69ED2CDD"/>
    <w:multiLevelType w:val="singleLevel"/>
    <w:tmpl w:val="69ED2CDD"/>
    <w:lvl w:ilvl="0" w:tentative="0">
      <w:start w:val="1"/>
      <w:numFmt w:val="decimal"/>
      <w:suff w:val="nothing"/>
      <w:lvlText w:val="（%1）"/>
      <w:lvlJc w:val="left"/>
      <w:pPr>
        <w:ind w:left="160"/>
      </w:pPr>
    </w:lvl>
  </w:abstractNum>
  <w:abstractNum w:abstractNumId="15">
    <w:nsid w:val="6E294331"/>
    <w:multiLevelType w:val="multilevel"/>
    <w:tmpl w:val="6E294331"/>
    <w:lvl w:ilvl="0" w:tentative="0">
      <w:start w:val="1"/>
      <w:numFmt w:val="decimal"/>
      <w:pStyle w:val="109"/>
      <w:suff w:val="nothing"/>
      <w:lvlText w:val="表%1  "/>
      <w:lvlJc w:val="center"/>
      <w:pPr>
        <w:tabs>
          <w:tab w:val="left" w:pos="0"/>
        </w:tabs>
      </w:pPr>
      <w:rPr>
        <w:rFonts w:hint="default" w:ascii="Times New Roman" w:hAnsi="Times New Roman" w:eastAsia="宋体" w:cs="宋体"/>
        <w:sz w:val="24"/>
        <w:szCs w:val="24"/>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16">
    <w:nsid w:val="78682C10"/>
    <w:multiLevelType w:val="singleLevel"/>
    <w:tmpl w:val="78682C10"/>
    <w:lvl w:ilvl="0" w:tentative="0">
      <w:start w:val="3"/>
      <w:numFmt w:val="decimal"/>
      <w:suff w:val="nothing"/>
      <w:lvlText w:val="（%1）"/>
      <w:lvlJc w:val="left"/>
    </w:lvl>
  </w:abstractNum>
  <w:num w:numId="1">
    <w:abstractNumId w:val="12"/>
  </w:num>
  <w:num w:numId="2">
    <w:abstractNumId w:val="15"/>
  </w:num>
  <w:num w:numId="3">
    <w:abstractNumId w:val="6"/>
  </w:num>
  <w:num w:numId="4">
    <w:abstractNumId w:val="2"/>
  </w:num>
  <w:num w:numId="5">
    <w:abstractNumId w:val="4"/>
  </w:num>
  <w:num w:numId="6">
    <w:abstractNumId w:val="13"/>
  </w:num>
  <w:num w:numId="7">
    <w:abstractNumId w:val="3"/>
  </w:num>
  <w:num w:numId="8">
    <w:abstractNumId w:val="8"/>
  </w:num>
  <w:num w:numId="9">
    <w:abstractNumId w:val="0"/>
  </w:num>
  <w:num w:numId="10">
    <w:abstractNumId w:val="14"/>
  </w:num>
  <w:num w:numId="11">
    <w:abstractNumId w:val="11"/>
  </w:num>
  <w:num w:numId="12">
    <w:abstractNumId w:val="10"/>
  </w:num>
  <w:num w:numId="13">
    <w:abstractNumId w:val="1"/>
  </w:num>
  <w:num w:numId="14">
    <w:abstractNumId w:val="7"/>
  </w:num>
  <w:num w:numId="15">
    <w:abstractNumId w:val="16"/>
  </w:num>
  <w:num w:numId="16">
    <w:abstractNumId w:val="5"/>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displayBackgroundShape w:val="1"/>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zYzZjczYTA2MmM1YTFjYzA3Nzk1ZDY4OWJlMWYxNzQifQ=="/>
  </w:docVars>
  <w:rsids>
    <w:rsidRoot w:val="00B65E70"/>
    <w:rsid w:val="00000730"/>
    <w:rsid w:val="00000B93"/>
    <w:rsid w:val="000011B4"/>
    <w:rsid w:val="00001E30"/>
    <w:rsid w:val="0000243C"/>
    <w:rsid w:val="0000284D"/>
    <w:rsid w:val="00002F56"/>
    <w:rsid w:val="00003A8E"/>
    <w:rsid w:val="00003CCC"/>
    <w:rsid w:val="00003FEA"/>
    <w:rsid w:val="0000419F"/>
    <w:rsid w:val="00004593"/>
    <w:rsid w:val="0000464F"/>
    <w:rsid w:val="000047A1"/>
    <w:rsid w:val="0000482D"/>
    <w:rsid w:val="000048B4"/>
    <w:rsid w:val="00005049"/>
    <w:rsid w:val="00005ED7"/>
    <w:rsid w:val="00007187"/>
    <w:rsid w:val="00007DAC"/>
    <w:rsid w:val="00007DE1"/>
    <w:rsid w:val="00007F4B"/>
    <w:rsid w:val="000104C8"/>
    <w:rsid w:val="000106B2"/>
    <w:rsid w:val="0001088B"/>
    <w:rsid w:val="00010F30"/>
    <w:rsid w:val="00011415"/>
    <w:rsid w:val="00011644"/>
    <w:rsid w:val="000123E4"/>
    <w:rsid w:val="00012493"/>
    <w:rsid w:val="000124F2"/>
    <w:rsid w:val="0001303E"/>
    <w:rsid w:val="000130EE"/>
    <w:rsid w:val="00013255"/>
    <w:rsid w:val="0001343F"/>
    <w:rsid w:val="00014833"/>
    <w:rsid w:val="00014DAA"/>
    <w:rsid w:val="00014DCF"/>
    <w:rsid w:val="00014FA7"/>
    <w:rsid w:val="00015129"/>
    <w:rsid w:val="00015416"/>
    <w:rsid w:val="00015B26"/>
    <w:rsid w:val="0001600F"/>
    <w:rsid w:val="0001606C"/>
    <w:rsid w:val="000166E1"/>
    <w:rsid w:val="000169D8"/>
    <w:rsid w:val="00017261"/>
    <w:rsid w:val="000174F5"/>
    <w:rsid w:val="0001762D"/>
    <w:rsid w:val="00020542"/>
    <w:rsid w:val="00020754"/>
    <w:rsid w:val="00020880"/>
    <w:rsid w:val="00020CDD"/>
    <w:rsid w:val="00021C4B"/>
    <w:rsid w:val="00021E31"/>
    <w:rsid w:val="00021E56"/>
    <w:rsid w:val="00021EE2"/>
    <w:rsid w:val="00021F97"/>
    <w:rsid w:val="00022078"/>
    <w:rsid w:val="000223C2"/>
    <w:rsid w:val="00022CB6"/>
    <w:rsid w:val="000240EC"/>
    <w:rsid w:val="0002469E"/>
    <w:rsid w:val="00024D7A"/>
    <w:rsid w:val="00026031"/>
    <w:rsid w:val="00026072"/>
    <w:rsid w:val="0002662F"/>
    <w:rsid w:val="00026F17"/>
    <w:rsid w:val="00026F31"/>
    <w:rsid w:val="00027225"/>
    <w:rsid w:val="0002735A"/>
    <w:rsid w:val="000274CD"/>
    <w:rsid w:val="000278B5"/>
    <w:rsid w:val="0002796A"/>
    <w:rsid w:val="00027B2A"/>
    <w:rsid w:val="00030167"/>
    <w:rsid w:val="000302FC"/>
    <w:rsid w:val="00030A07"/>
    <w:rsid w:val="00031933"/>
    <w:rsid w:val="000325A8"/>
    <w:rsid w:val="0003289F"/>
    <w:rsid w:val="000329FC"/>
    <w:rsid w:val="00032B66"/>
    <w:rsid w:val="00032E74"/>
    <w:rsid w:val="00032F39"/>
    <w:rsid w:val="0003379A"/>
    <w:rsid w:val="00033C2E"/>
    <w:rsid w:val="0003403B"/>
    <w:rsid w:val="00034117"/>
    <w:rsid w:val="00034E27"/>
    <w:rsid w:val="00035AAD"/>
    <w:rsid w:val="00036D5C"/>
    <w:rsid w:val="00037AE5"/>
    <w:rsid w:val="0004023F"/>
    <w:rsid w:val="00040542"/>
    <w:rsid w:val="00040878"/>
    <w:rsid w:val="000408BD"/>
    <w:rsid w:val="000411E4"/>
    <w:rsid w:val="00041608"/>
    <w:rsid w:val="000421D6"/>
    <w:rsid w:val="0004248E"/>
    <w:rsid w:val="000425C8"/>
    <w:rsid w:val="000429F1"/>
    <w:rsid w:val="00042D9E"/>
    <w:rsid w:val="00042F5A"/>
    <w:rsid w:val="000430F6"/>
    <w:rsid w:val="00043262"/>
    <w:rsid w:val="000433D2"/>
    <w:rsid w:val="00043831"/>
    <w:rsid w:val="00043F37"/>
    <w:rsid w:val="000446A1"/>
    <w:rsid w:val="00044AC6"/>
    <w:rsid w:val="00045404"/>
    <w:rsid w:val="00045639"/>
    <w:rsid w:val="00045772"/>
    <w:rsid w:val="00045996"/>
    <w:rsid w:val="00045C2F"/>
    <w:rsid w:val="00045FC0"/>
    <w:rsid w:val="00046589"/>
    <w:rsid w:val="00046928"/>
    <w:rsid w:val="000469FE"/>
    <w:rsid w:val="00046C98"/>
    <w:rsid w:val="00046F05"/>
    <w:rsid w:val="000475DF"/>
    <w:rsid w:val="00047B16"/>
    <w:rsid w:val="000505E3"/>
    <w:rsid w:val="0005063E"/>
    <w:rsid w:val="000509EE"/>
    <w:rsid w:val="00050F20"/>
    <w:rsid w:val="00051595"/>
    <w:rsid w:val="00051682"/>
    <w:rsid w:val="00051979"/>
    <w:rsid w:val="000527E0"/>
    <w:rsid w:val="0005284B"/>
    <w:rsid w:val="00052E4A"/>
    <w:rsid w:val="000536B3"/>
    <w:rsid w:val="0005399F"/>
    <w:rsid w:val="00053AF8"/>
    <w:rsid w:val="00054804"/>
    <w:rsid w:val="00054A68"/>
    <w:rsid w:val="000551AA"/>
    <w:rsid w:val="0005524F"/>
    <w:rsid w:val="00055339"/>
    <w:rsid w:val="000558B2"/>
    <w:rsid w:val="00055905"/>
    <w:rsid w:val="00055CDC"/>
    <w:rsid w:val="00056611"/>
    <w:rsid w:val="000569AF"/>
    <w:rsid w:val="00056FDD"/>
    <w:rsid w:val="00057C8B"/>
    <w:rsid w:val="000601DB"/>
    <w:rsid w:val="0006022D"/>
    <w:rsid w:val="00060571"/>
    <w:rsid w:val="00060AF0"/>
    <w:rsid w:val="00060C02"/>
    <w:rsid w:val="00061387"/>
    <w:rsid w:val="000616C4"/>
    <w:rsid w:val="0006185E"/>
    <w:rsid w:val="00061A57"/>
    <w:rsid w:val="00062992"/>
    <w:rsid w:val="00063C45"/>
    <w:rsid w:val="00064388"/>
    <w:rsid w:val="00064A31"/>
    <w:rsid w:val="00064F2A"/>
    <w:rsid w:val="000651E7"/>
    <w:rsid w:val="000653CB"/>
    <w:rsid w:val="000656F4"/>
    <w:rsid w:val="00065BBB"/>
    <w:rsid w:val="00065E5E"/>
    <w:rsid w:val="00065FD9"/>
    <w:rsid w:val="00066B7A"/>
    <w:rsid w:val="00066FAA"/>
    <w:rsid w:val="000679B5"/>
    <w:rsid w:val="00067C36"/>
    <w:rsid w:val="00067F0A"/>
    <w:rsid w:val="00070968"/>
    <w:rsid w:val="00070CE7"/>
    <w:rsid w:val="00070D71"/>
    <w:rsid w:val="0007179F"/>
    <w:rsid w:val="000718A3"/>
    <w:rsid w:val="000719E9"/>
    <w:rsid w:val="00071C65"/>
    <w:rsid w:val="00071CD2"/>
    <w:rsid w:val="0007205C"/>
    <w:rsid w:val="00072A49"/>
    <w:rsid w:val="00072F24"/>
    <w:rsid w:val="00073309"/>
    <w:rsid w:val="00073460"/>
    <w:rsid w:val="00073664"/>
    <w:rsid w:val="000739B8"/>
    <w:rsid w:val="0007460D"/>
    <w:rsid w:val="00074CFE"/>
    <w:rsid w:val="00075295"/>
    <w:rsid w:val="000752B9"/>
    <w:rsid w:val="000753EE"/>
    <w:rsid w:val="0007540B"/>
    <w:rsid w:val="00075710"/>
    <w:rsid w:val="00075EC1"/>
    <w:rsid w:val="000760F3"/>
    <w:rsid w:val="000764FC"/>
    <w:rsid w:val="000771E9"/>
    <w:rsid w:val="00077D62"/>
    <w:rsid w:val="0008000C"/>
    <w:rsid w:val="000800E1"/>
    <w:rsid w:val="0008104F"/>
    <w:rsid w:val="00081900"/>
    <w:rsid w:val="00081CC6"/>
    <w:rsid w:val="00081F94"/>
    <w:rsid w:val="000821E0"/>
    <w:rsid w:val="00082E84"/>
    <w:rsid w:val="0008327D"/>
    <w:rsid w:val="00083825"/>
    <w:rsid w:val="00084946"/>
    <w:rsid w:val="00084F0B"/>
    <w:rsid w:val="000854C5"/>
    <w:rsid w:val="00086046"/>
    <w:rsid w:val="00086470"/>
    <w:rsid w:val="000865F2"/>
    <w:rsid w:val="00086873"/>
    <w:rsid w:val="000869E0"/>
    <w:rsid w:val="00086C31"/>
    <w:rsid w:val="00087023"/>
    <w:rsid w:val="0008722D"/>
    <w:rsid w:val="00087D29"/>
    <w:rsid w:val="00087DB5"/>
    <w:rsid w:val="00087DDB"/>
    <w:rsid w:val="00090019"/>
    <w:rsid w:val="000900EE"/>
    <w:rsid w:val="00090432"/>
    <w:rsid w:val="000908A6"/>
    <w:rsid w:val="00090CCE"/>
    <w:rsid w:val="00090EAD"/>
    <w:rsid w:val="000910F7"/>
    <w:rsid w:val="00091276"/>
    <w:rsid w:val="000917B2"/>
    <w:rsid w:val="00091A44"/>
    <w:rsid w:val="00091B89"/>
    <w:rsid w:val="00091CAB"/>
    <w:rsid w:val="00091D1A"/>
    <w:rsid w:val="00092681"/>
    <w:rsid w:val="00092A0D"/>
    <w:rsid w:val="0009310E"/>
    <w:rsid w:val="00093410"/>
    <w:rsid w:val="000935F0"/>
    <w:rsid w:val="00093D36"/>
    <w:rsid w:val="00093F90"/>
    <w:rsid w:val="0009462D"/>
    <w:rsid w:val="00094B79"/>
    <w:rsid w:val="00095D5E"/>
    <w:rsid w:val="00095D87"/>
    <w:rsid w:val="00096ED2"/>
    <w:rsid w:val="00096FDA"/>
    <w:rsid w:val="00097136"/>
    <w:rsid w:val="000974C3"/>
    <w:rsid w:val="00097529"/>
    <w:rsid w:val="00097825"/>
    <w:rsid w:val="0009788D"/>
    <w:rsid w:val="00097986"/>
    <w:rsid w:val="00097A3F"/>
    <w:rsid w:val="00097C2D"/>
    <w:rsid w:val="00097C7A"/>
    <w:rsid w:val="000A0412"/>
    <w:rsid w:val="000A0C2E"/>
    <w:rsid w:val="000A2837"/>
    <w:rsid w:val="000A28CC"/>
    <w:rsid w:val="000A394C"/>
    <w:rsid w:val="000A3B9C"/>
    <w:rsid w:val="000A3F3E"/>
    <w:rsid w:val="000A6D87"/>
    <w:rsid w:val="000A6E25"/>
    <w:rsid w:val="000A6F43"/>
    <w:rsid w:val="000A74C7"/>
    <w:rsid w:val="000A7AAD"/>
    <w:rsid w:val="000B0846"/>
    <w:rsid w:val="000B0FFF"/>
    <w:rsid w:val="000B11B9"/>
    <w:rsid w:val="000B11F8"/>
    <w:rsid w:val="000B1437"/>
    <w:rsid w:val="000B175C"/>
    <w:rsid w:val="000B1F90"/>
    <w:rsid w:val="000B26A3"/>
    <w:rsid w:val="000B26F9"/>
    <w:rsid w:val="000B29F4"/>
    <w:rsid w:val="000B2BF4"/>
    <w:rsid w:val="000B3269"/>
    <w:rsid w:val="000B358E"/>
    <w:rsid w:val="000B3613"/>
    <w:rsid w:val="000B44F1"/>
    <w:rsid w:val="000B46B9"/>
    <w:rsid w:val="000B4D15"/>
    <w:rsid w:val="000B57A4"/>
    <w:rsid w:val="000B58B6"/>
    <w:rsid w:val="000B5929"/>
    <w:rsid w:val="000B6137"/>
    <w:rsid w:val="000B622D"/>
    <w:rsid w:val="000B72B5"/>
    <w:rsid w:val="000B799A"/>
    <w:rsid w:val="000B7C26"/>
    <w:rsid w:val="000C018F"/>
    <w:rsid w:val="000C024B"/>
    <w:rsid w:val="000C04E0"/>
    <w:rsid w:val="000C15BD"/>
    <w:rsid w:val="000C1EC6"/>
    <w:rsid w:val="000C2563"/>
    <w:rsid w:val="000C2978"/>
    <w:rsid w:val="000C2CED"/>
    <w:rsid w:val="000C2E22"/>
    <w:rsid w:val="000C3174"/>
    <w:rsid w:val="000C413D"/>
    <w:rsid w:val="000C4270"/>
    <w:rsid w:val="000C46E3"/>
    <w:rsid w:val="000C51D2"/>
    <w:rsid w:val="000C5791"/>
    <w:rsid w:val="000C5861"/>
    <w:rsid w:val="000C5E2F"/>
    <w:rsid w:val="000C5ED5"/>
    <w:rsid w:val="000C65DC"/>
    <w:rsid w:val="000C70B2"/>
    <w:rsid w:val="000C748C"/>
    <w:rsid w:val="000C7E49"/>
    <w:rsid w:val="000C7ECC"/>
    <w:rsid w:val="000D0138"/>
    <w:rsid w:val="000D05E3"/>
    <w:rsid w:val="000D06F5"/>
    <w:rsid w:val="000D0A27"/>
    <w:rsid w:val="000D0B98"/>
    <w:rsid w:val="000D1322"/>
    <w:rsid w:val="000D140D"/>
    <w:rsid w:val="000D15DB"/>
    <w:rsid w:val="000D1ADB"/>
    <w:rsid w:val="000D1E62"/>
    <w:rsid w:val="000D238A"/>
    <w:rsid w:val="000D2DD0"/>
    <w:rsid w:val="000D2EAC"/>
    <w:rsid w:val="000D2FA1"/>
    <w:rsid w:val="000D4552"/>
    <w:rsid w:val="000D45EB"/>
    <w:rsid w:val="000D51A7"/>
    <w:rsid w:val="000D552F"/>
    <w:rsid w:val="000D55AD"/>
    <w:rsid w:val="000D5E5D"/>
    <w:rsid w:val="000D600E"/>
    <w:rsid w:val="000D67FA"/>
    <w:rsid w:val="000D686A"/>
    <w:rsid w:val="000D6E3E"/>
    <w:rsid w:val="000D7447"/>
    <w:rsid w:val="000D775E"/>
    <w:rsid w:val="000D7A0B"/>
    <w:rsid w:val="000D7C39"/>
    <w:rsid w:val="000E0028"/>
    <w:rsid w:val="000E00C4"/>
    <w:rsid w:val="000E068F"/>
    <w:rsid w:val="000E0C32"/>
    <w:rsid w:val="000E0CC3"/>
    <w:rsid w:val="000E196E"/>
    <w:rsid w:val="000E1CDC"/>
    <w:rsid w:val="000E2521"/>
    <w:rsid w:val="000E2B56"/>
    <w:rsid w:val="000E2FD3"/>
    <w:rsid w:val="000E34A4"/>
    <w:rsid w:val="000E39DD"/>
    <w:rsid w:val="000E3C55"/>
    <w:rsid w:val="000E3DB8"/>
    <w:rsid w:val="000E4053"/>
    <w:rsid w:val="000E4310"/>
    <w:rsid w:val="000E4BFC"/>
    <w:rsid w:val="000E4EE6"/>
    <w:rsid w:val="000E51C3"/>
    <w:rsid w:val="000E58B8"/>
    <w:rsid w:val="000E5A43"/>
    <w:rsid w:val="000E5B78"/>
    <w:rsid w:val="000E5D54"/>
    <w:rsid w:val="000E6069"/>
    <w:rsid w:val="000E6814"/>
    <w:rsid w:val="000E6839"/>
    <w:rsid w:val="000E6968"/>
    <w:rsid w:val="000E6B2F"/>
    <w:rsid w:val="000E6CE4"/>
    <w:rsid w:val="000E7597"/>
    <w:rsid w:val="000E7B72"/>
    <w:rsid w:val="000E7DA7"/>
    <w:rsid w:val="000F08CB"/>
    <w:rsid w:val="000F0928"/>
    <w:rsid w:val="000F0B89"/>
    <w:rsid w:val="000F110D"/>
    <w:rsid w:val="000F1527"/>
    <w:rsid w:val="000F196A"/>
    <w:rsid w:val="000F20A1"/>
    <w:rsid w:val="000F23D6"/>
    <w:rsid w:val="000F240B"/>
    <w:rsid w:val="000F276A"/>
    <w:rsid w:val="000F2D79"/>
    <w:rsid w:val="000F30B1"/>
    <w:rsid w:val="000F30D1"/>
    <w:rsid w:val="000F3184"/>
    <w:rsid w:val="000F3611"/>
    <w:rsid w:val="000F403C"/>
    <w:rsid w:val="000F43A1"/>
    <w:rsid w:val="000F4BA6"/>
    <w:rsid w:val="000F5323"/>
    <w:rsid w:val="000F65BC"/>
    <w:rsid w:val="000F662F"/>
    <w:rsid w:val="000F69F8"/>
    <w:rsid w:val="000F6B9C"/>
    <w:rsid w:val="000F6FC2"/>
    <w:rsid w:val="000F707E"/>
    <w:rsid w:val="000F71C5"/>
    <w:rsid w:val="000F7AFE"/>
    <w:rsid w:val="000F7CC7"/>
    <w:rsid w:val="000F7E3E"/>
    <w:rsid w:val="0010020C"/>
    <w:rsid w:val="001008D4"/>
    <w:rsid w:val="00100928"/>
    <w:rsid w:val="0010097A"/>
    <w:rsid w:val="00100AA1"/>
    <w:rsid w:val="00100AE8"/>
    <w:rsid w:val="00100B8C"/>
    <w:rsid w:val="00100F6D"/>
    <w:rsid w:val="00101246"/>
    <w:rsid w:val="00101A42"/>
    <w:rsid w:val="00101AF5"/>
    <w:rsid w:val="00101C1C"/>
    <w:rsid w:val="00101E32"/>
    <w:rsid w:val="0010292C"/>
    <w:rsid w:val="00103633"/>
    <w:rsid w:val="00103AD8"/>
    <w:rsid w:val="00103D70"/>
    <w:rsid w:val="00103F51"/>
    <w:rsid w:val="00104559"/>
    <w:rsid w:val="00104647"/>
    <w:rsid w:val="0010465E"/>
    <w:rsid w:val="00104ACD"/>
    <w:rsid w:val="0010521E"/>
    <w:rsid w:val="00105339"/>
    <w:rsid w:val="001058ED"/>
    <w:rsid w:val="00105E17"/>
    <w:rsid w:val="0010618A"/>
    <w:rsid w:val="00106273"/>
    <w:rsid w:val="001062E8"/>
    <w:rsid w:val="001064ED"/>
    <w:rsid w:val="00106E98"/>
    <w:rsid w:val="0010742B"/>
    <w:rsid w:val="00110029"/>
    <w:rsid w:val="001106F9"/>
    <w:rsid w:val="001108B2"/>
    <w:rsid w:val="00110EDE"/>
    <w:rsid w:val="001111C6"/>
    <w:rsid w:val="00111DCC"/>
    <w:rsid w:val="00112630"/>
    <w:rsid w:val="00114C96"/>
    <w:rsid w:val="00116513"/>
    <w:rsid w:val="00116655"/>
    <w:rsid w:val="0011692A"/>
    <w:rsid w:val="00117168"/>
    <w:rsid w:val="001173EE"/>
    <w:rsid w:val="00120636"/>
    <w:rsid w:val="00120902"/>
    <w:rsid w:val="0012106C"/>
    <w:rsid w:val="00121B86"/>
    <w:rsid w:val="00121CC0"/>
    <w:rsid w:val="00122033"/>
    <w:rsid w:val="001220DD"/>
    <w:rsid w:val="00122C69"/>
    <w:rsid w:val="00123F56"/>
    <w:rsid w:val="001243D3"/>
    <w:rsid w:val="001244C5"/>
    <w:rsid w:val="00124A58"/>
    <w:rsid w:val="00125903"/>
    <w:rsid w:val="001268DD"/>
    <w:rsid w:val="00126C7D"/>
    <w:rsid w:val="0012709C"/>
    <w:rsid w:val="00127119"/>
    <w:rsid w:val="00127336"/>
    <w:rsid w:val="0012739A"/>
    <w:rsid w:val="0012747E"/>
    <w:rsid w:val="001275A5"/>
    <w:rsid w:val="00127625"/>
    <w:rsid w:val="00127A2D"/>
    <w:rsid w:val="00127D91"/>
    <w:rsid w:val="00127FC6"/>
    <w:rsid w:val="001308DC"/>
    <w:rsid w:val="0013120A"/>
    <w:rsid w:val="0013127F"/>
    <w:rsid w:val="0013141E"/>
    <w:rsid w:val="001314E2"/>
    <w:rsid w:val="00131511"/>
    <w:rsid w:val="00131C39"/>
    <w:rsid w:val="00131DE8"/>
    <w:rsid w:val="00132352"/>
    <w:rsid w:val="00132B73"/>
    <w:rsid w:val="00132D3B"/>
    <w:rsid w:val="001332FF"/>
    <w:rsid w:val="00134017"/>
    <w:rsid w:val="0013498E"/>
    <w:rsid w:val="00134C73"/>
    <w:rsid w:val="0013632B"/>
    <w:rsid w:val="00136B1B"/>
    <w:rsid w:val="00136D79"/>
    <w:rsid w:val="00137101"/>
    <w:rsid w:val="00137603"/>
    <w:rsid w:val="00137FDD"/>
    <w:rsid w:val="00140445"/>
    <w:rsid w:val="00140CA1"/>
    <w:rsid w:val="00140E5F"/>
    <w:rsid w:val="001414F4"/>
    <w:rsid w:val="00141A8F"/>
    <w:rsid w:val="00141C33"/>
    <w:rsid w:val="00142112"/>
    <w:rsid w:val="00142AC1"/>
    <w:rsid w:val="00142B59"/>
    <w:rsid w:val="00142B86"/>
    <w:rsid w:val="00142CAF"/>
    <w:rsid w:val="00143E8C"/>
    <w:rsid w:val="00144278"/>
    <w:rsid w:val="00144EA2"/>
    <w:rsid w:val="001451AE"/>
    <w:rsid w:val="0014521B"/>
    <w:rsid w:val="001454F7"/>
    <w:rsid w:val="001455A5"/>
    <w:rsid w:val="001455AC"/>
    <w:rsid w:val="001459E0"/>
    <w:rsid w:val="00146843"/>
    <w:rsid w:val="00147386"/>
    <w:rsid w:val="00147916"/>
    <w:rsid w:val="00147D98"/>
    <w:rsid w:val="001500DF"/>
    <w:rsid w:val="00150201"/>
    <w:rsid w:val="001506AA"/>
    <w:rsid w:val="00150BF4"/>
    <w:rsid w:val="00150D70"/>
    <w:rsid w:val="0015166A"/>
    <w:rsid w:val="00151838"/>
    <w:rsid w:val="00151AEB"/>
    <w:rsid w:val="0015238D"/>
    <w:rsid w:val="00153229"/>
    <w:rsid w:val="00153680"/>
    <w:rsid w:val="0015368F"/>
    <w:rsid w:val="001536A6"/>
    <w:rsid w:val="0015434A"/>
    <w:rsid w:val="00154492"/>
    <w:rsid w:val="00154B7A"/>
    <w:rsid w:val="00155164"/>
    <w:rsid w:val="001554DE"/>
    <w:rsid w:val="001554F9"/>
    <w:rsid w:val="00155EB6"/>
    <w:rsid w:val="00156206"/>
    <w:rsid w:val="00156294"/>
    <w:rsid w:val="001564F4"/>
    <w:rsid w:val="001568A9"/>
    <w:rsid w:val="00156B9E"/>
    <w:rsid w:val="00157851"/>
    <w:rsid w:val="00157B67"/>
    <w:rsid w:val="00160214"/>
    <w:rsid w:val="00160E2B"/>
    <w:rsid w:val="00160FF0"/>
    <w:rsid w:val="001611E1"/>
    <w:rsid w:val="001612BE"/>
    <w:rsid w:val="00161704"/>
    <w:rsid w:val="0016187A"/>
    <w:rsid w:val="001622EB"/>
    <w:rsid w:val="00162D1F"/>
    <w:rsid w:val="00162F92"/>
    <w:rsid w:val="00163517"/>
    <w:rsid w:val="0016368F"/>
    <w:rsid w:val="001641B0"/>
    <w:rsid w:val="0016459F"/>
    <w:rsid w:val="001647BD"/>
    <w:rsid w:val="001657AB"/>
    <w:rsid w:val="00166006"/>
    <w:rsid w:val="0016600E"/>
    <w:rsid w:val="0016693E"/>
    <w:rsid w:val="0016740E"/>
    <w:rsid w:val="001677BA"/>
    <w:rsid w:val="0016790F"/>
    <w:rsid w:val="00167BDB"/>
    <w:rsid w:val="00167C66"/>
    <w:rsid w:val="00167EDE"/>
    <w:rsid w:val="00167F26"/>
    <w:rsid w:val="001700A6"/>
    <w:rsid w:val="0017014A"/>
    <w:rsid w:val="001706AB"/>
    <w:rsid w:val="00170EB0"/>
    <w:rsid w:val="00171544"/>
    <w:rsid w:val="00171A65"/>
    <w:rsid w:val="001721BF"/>
    <w:rsid w:val="00172439"/>
    <w:rsid w:val="0017293D"/>
    <w:rsid w:val="00172B89"/>
    <w:rsid w:val="0017323C"/>
    <w:rsid w:val="001733F8"/>
    <w:rsid w:val="00173E4D"/>
    <w:rsid w:val="001744D0"/>
    <w:rsid w:val="001746E7"/>
    <w:rsid w:val="0017569E"/>
    <w:rsid w:val="001757B1"/>
    <w:rsid w:val="0017655E"/>
    <w:rsid w:val="001767AF"/>
    <w:rsid w:val="00176D3B"/>
    <w:rsid w:val="00177A45"/>
    <w:rsid w:val="00177DE1"/>
    <w:rsid w:val="00180124"/>
    <w:rsid w:val="001807B9"/>
    <w:rsid w:val="00181661"/>
    <w:rsid w:val="00181733"/>
    <w:rsid w:val="001817BF"/>
    <w:rsid w:val="001818E0"/>
    <w:rsid w:val="00181D2C"/>
    <w:rsid w:val="00181FC4"/>
    <w:rsid w:val="00182CBF"/>
    <w:rsid w:val="001836DC"/>
    <w:rsid w:val="001839F2"/>
    <w:rsid w:val="00184303"/>
    <w:rsid w:val="00184591"/>
    <w:rsid w:val="001849EF"/>
    <w:rsid w:val="00185E08"/>
    <w:rsid w:val="00185E98"/>
    <w:rsid w:val="00186541"/>
    <w:rsid w:val="00186A24"/>
    <w:rsid w:val="00186A7C"/>
    <w:rsid w:val="00186F78"/>
    <w:rsid w:val="0018734C"/>
    <w:rsid w:val="00187433"/>
    <w:rsid w:val="00190157"/>
    <w:rsid w:val="0019091B"/>
    <w:rsid w:val="00190D93"/>
    <w:rsid w:val="0019136D"/>
    <w:rsid w:val="0019160B"/>
    <w:rsid w:val="001918B4"/>
    <w:rsid w:val="00191DDF"/>
    <w:rsid w:val="00191E03"/>
    <w:rsid w:val="00192034"/>
    <w:rsid w:val="001920CC"/>
    <w:rsid w:val="00192162"/>
    <w:rsid w:val="00192465"/>
    <w:rsid w:val="0019295F"/>
    <w:rsid w:val="00192A31"/>
    <w:rsid w:val="00192F4B"/>
    <w:rsid w:val="00192FC6"/>
    <w:rsid w:val="0019311F"/>
    <w:rsid w:val="0019385C"/>
    <w:rsid w:val="0019409E"/>
    <w:rsid w:val="00194DB1"/>
    <w:rsid w:val="0019504C"/>
    <w:rsid w:val="001950B6"/>
    <w:rsid w:val="00195334"/>
    <w:rsid w:val="0019609E"/>
    <w:rsid w:val="0019619B"/>
    <w:rsid w:val="00196237"/>
    <w:rsid w:val="00196330"/>
    <w:rsid w:val="00196344"/>
    <w:rsid w:val="001967CC"/>
    <w:rsid w:val="00196DBF"/>
    <w:rsid w:val="00197057"/>
    <w:rsid w:val="0019754A"/>
    <w:rsid w:val="00197A38"/>
    <w:rsid w:val="00197DD0"/>
    <w:rsid w:val="001A0636"/>
    <w:rsid w:val="001A0685"/>
    <w:rsid w:val="001A0B72"/>
    <w:rsid w:val="001A0DAF"/>
    <w:rsid w:val="001A12C2"/>
    <w:rsid w:val="001A18B0"/>
    <w:rsid w:val="001A1A5E"/>
    <w:rsid w:val="001A1DB1"/>
    <w:rsid w:val="001A1E22"/>
    <w:rsid w:val="001A2041"/>
    <w:rsid w:val="001A2A36"/>
    <w:rsid w:val="001A2DC8"/>
    <w:rsid w:val="001A3D89"/>
    <w:rsid w:val="001A40D8"/>
    <w:rsid w:val="001A414C"/>
    <w:rsid w:val="001A41DC"/>
    <w:rsid w:val="001A4E92"/>
    <w:rsid w:val="001A4ED5"/>
    <w:rsid w:val="001A55BD"/>
    <w:rsid w:val="001A5C32"/>
    <w:rsid w:val="001A5C7D"/>
    <w:rsid w:val="001A5D49"/>
    <w:rsid w:val="001A64C4"/>
    <w:rsid w:val="001A65C9"/>
    <w:rsid w:val="001A6702"/>
    <w:rsid w:val="001A67FF"/>
    <w:rsid w:val="001A6DC5"/>
    <w:rsid w:val="001B03BB"/>
    <w:rsid w:val="001B0625"/>
    <w:rsid w:val="001B0822"/>
    <w:rsid w:val="001B090B"/>
    <w:rsid w:val="001B12D1"/>
    <w:rsid w:val="001B1771"/>
    <w:rsid w:val="001B1802"/>
    <w:rsid w:val="001B22AB"/>
    <w:rsid w:val="001B2585"/>
    <w:rsid w:val="001B260F"/>
    <w:rsid w:val="001B2D78"/>
    <w:rsid w:val="001B2ECC"/>
    <w:rsid w:val="001B31E2"/>
    <w:rsid w:val="001B3A85"/>
    <w:rsid w:val="001B3B61"/>
    <w:rsid w:val="001B5764"/>
    <w:rsid w:val="001B5875"/>
    <w:rsid w:val="001B64A0"/>
    <w:rsid w:val="001B6882"/>
    <w:rsid w:val="001B7117"/>
    <w:rsid w:val="001B7362"/>
    <w:rsid w:val="001B7701"/>
    <w:rsid w:val="001B781D"/>
    <w:rsid w:val="001B796F"/>
    <w:rsid w:val="001B7EBC"/>
    <w:rsid w:val="001C0592"/>
    <w:rsid w:val="001C0836"/>
    <w:rsid w:val="001C1E2B"/>
    <w:rsid w:val="001C1E41"/>
    <w:rsid w:val="001C2309"/>
    <w:rsid w:val="001C255D"/>
    <w:rsid w:val="001C26DB"/>
    <w:rsid w:val="001C278C"/>
    <w:rsid w:val="001C29A4"/>
    <w:rsid w:val="001C29DA"/>
    <w:rsid w:val="001C2C55"/>
    <w:rsid w:val="001C37BE"/>
    <w:rsid w:val="001C3D8F"/>
    <w:rsid w:val="001C5111"/>
    <w:rsid w:val="001C51FD"/>
    <w:rsid w:val="001C5840"/>
    <w:rsid w:val="001C6863"/>
    <w:rsid w:val="001C747D"/>
    <w:rsid w:val="001C7962"/>
    <w:rsid w:val="001C7F24"/>
    <w:rsid w:val="001D1477"/>
    <w:rsid w:val="001D1854"/>
    <w:rsid w:val="001D2757"/>
    <w:rsid w:val="001D29E0"/>
    <w:rsid w:val="001D2DFE"/>
    <w:rsid w:val="001D3523"/>
    <w:rsid w:val="001D3C13"/>
    <w:rsid w:val="001D4812"/>
    <w:rsid w:val="001D4C49"/>
    <w:rsid w:val="001D502F"/>
    <w:rsid w:val="001D5092"/>
    <w:rsid w:val="001D588A"/>
    <w:rsid w:val="001D5EBF"/>
    <w:rsid w:val="001D652A"/>
    <w:rsid w:val="001D6925"/>
    <w:rsid w:val="001D6946"/>
    <w:rsid w:val="001D6A39"/>
    <w:rsid w:val="001D6E22"/>
    <w:rsid w:val="001D725E"/>
    <w:rsid w:val="001D7E30"/>
    <w:rsid w:val="001D7EF9"/>
    <w:rsid w:val="001E007E"/>
    <w:rsid w:val="001E0182"/>
    <w:rsid w:val="001E0676"/>
    <w:rsid w:val="001E0BA4"/>
    <w:rsid w:val="001E10FF"/>
    <w:rsid w:val="001E1554"/>
    <w:rsid w:val="001E1814"/>
    <w:rsid w:val="001E197E"/>
    <w:rsid w:val="001E1B46"/>
    <w:rsid w:val="001E1BBE"/>
    <w:rsid w:val="001E1C3C"/>
    <w:rsid w:val="001E1CA3"/>
    <w:rsid w:val="001E1D78"/>
    <w:rsid w:val="001E1E3A"/>
    <w:rsid w:val="001E1F32"/>
    <w:rsid w:val="001E217C"/>
    <w:rsid w:val="001E257D"/>
    <w:rsid w:val="001E306F"/>
    <w:rsid w:val="001E32E5"/>
    <w:rsid w:val="001E3321"/>
    <w:rsid w:val="001E33D0"/>
    <w:rsid w:val="001E36F7"/>
    <w:rsid w:val="001E3799"/>
    <w:rsid w:val="001E3D85"/>
    <w:rsid w:val="001E3D96"/>
    <w:rsid w:val="001E3F04"/>
    <w:rsid w:val="001E3FC4"/>
    <w:rsid w:val="001E4187"/>
    <w:rsid w:val="001E490B"/>
    <w:rsid w:val="001E4A6F"/>
    <w:rsid w:val="001E5335"/>
    <w:rsid w:val="001E54DE"/>
    <w:rsid w:val="001E575F"/>
    <w:rsid w:val="001E644F"/>
    <w:rsid w:val="001E66A3"/>
    <w:rsid w:val="001E6757"/>
    <w:rsid w:val="001E6B98"/>
    <w:rsid w:val="001E6E1C"/>
    <w:rsid w:val="001E7401"/>
    <w:rsid w:val="001E7567"/>
    <w:rsid w:val="001F0A21"/>
    <w:rsid w:val="001F0E6B"/>
    <w:rsid w:val="001F0F97"/>
    <w:rsid w:val="001F10A8"/>
    <w:rsid w:val="001F1458"/>
    <w:rsid w:val="001F14E2"/>
    <w:rsid w:val="001F1A4A"/>
    <w:rsid w:val="001F27DC"/>
    <w:rsid w:val="001F3ADA"/>
    <w:rsid w:val="001F3B4D"/>
    <w:rsid w:val="001F43AD"/>
    <w:rsid w:val="001F5067"/>
    <w:rsid w:val="001F50F5"/>
    <w:rsid w:val="001F5C38"/>
    <w:rsid w:val="001F5C86"/>
    <w:rsid w:val="001F5CE6"/>
    <w:rsid w:val="001F6C07"/>
    <w:rsid w:val="001F6FE9"/>
    <w:rsid w:val="001F79C9"/>
    <w:rsid w:val="001F7B0B"/>
    <w:rsid w:val="001F7F35"/>
    <w:rsid w:val="001F7F3E"/>
    <w:rsid w:val="00201263"/>
    <w:rsid w:val="00201359"/>
    <w:rsid w:val="00202E0D"/>
    <w:rsid w:val="0020389D"/>
    <w:rsid w:val="00203C4E"/>
    <w:rsid w:val="00203DED"/>
    <w:rsid w:val="00203F86"/>
    <w:rsid w:val="0020411E"/>
    <w:rsid w:val="00204195"/>
    <w:rsid w:val="002042BF"/>
    <w:rsid w:val="00204358"/>
    <w:rsid w:val="002048DC"/>
    <w:rsid w:val="0020513A"/>
    <w:rsid w:val="00205285"/>
    <w:rsid w:val="0020637B"/>
    <w:rsid w:val="0020641E"/>
    <w:rsid w:val="002068EF"/>
    <w:rsid w:val="002069A5"/>
    <w:rsid w:val="002069E8"/>
    <w:rsid w:val="00206E67"/>
    <w:rsid w:val="00207077"/>
    <w:rsid w:val="0020733D"/>
    <w:rsid w:val="00207A24"/>
    <w:rsid w:val="00210101"/>
    <w:rsid w:val="0021026B"/>
    <w:rsid w:val="00210A66"/>
    <w:rsid w:val="00210C1D"/>
    <w:rsid w:val="00210E97"/>
    <w:rsid w:val="002111A6"/>
    <w:rsid w:val="0021184D"/>
    <w:rsid w:val="002119C3"/>
    <w:rsid w:val="002125B9"/>
    <w:rsid w:val="00213134"/>
    <w:rsid w:val="002131F8"/>
    <w:rsid w:val="00213D61"/>
    <w:rsid w:val="00214380"/>
    <w:rsid w:val="00214FFF"/>
    <w:rsid w:val="00215270"/>
    <w:rsid w:val="00215EEA"/>
    <w:rsid w:val="0021616E"/>
    <w:rsid w:val="002175D4"/>
    <w:rsid w:val="002179A9"/>
    <w:rsid w:val="00217A86"/>
    <w:rsid w:val="00217A98"/>
    <w:rsid w:val="002206DD"/>
    <w:rsid w:val="00220795"/>
    <w:rsid w:val="00220E22"/>
    <w:rsid w:val="00220ED1"/>
    <w:rsid w:val="00220FED"/>
    <w:rsid w:val="002210F8"/>
    <w:rsid w:val="002212B8"/>
    <w:rsid w:val="002212C3"/>
    <w:rsid w:val="002224DE"/>
    <w:rsid w:val="002227B0"/>
    <w:rsid w:val="00222B0F"/>
    <w:rsid w:val="00222E4E"/>
    <w:rsid w:val="00222F12"/>
    <w:rsid w:val="00222F7E"/>
    <w:rsid w:val="002235C0"/>
    <w:rsid w:val="00223A27"/>
    <w:rsid w:val="00223EAB"/>
    <w:rsid w:val="00224ED4"/>
    <w:rsid w:val="00225251"/>
    <w:rsid w:val="00225632"/>
    <w:rsid w:val="002258D9"/>
    <w:rsid w:val="00225BDF"/>
    <w:rsid w:val="00225E79"/>
    <w:rsid w:val="002265F2"/>
    <w:rsid w:val="00226DD3"/>
    <w:rsid w:val="0022739E"/>
    <w:rsid w:val="00227D4B"/>
    <w:rsid w:val="00227E08"/>
    <w:rsid w:val="002307FF"/>
    <w:rsid w:val="00230A42"/>
    <w:rsid w:val="00230C38"/>
    <w:rsid w:val="00231065"/>
    <w:rsid w:val="002314F3"/>
    <w:rsid w:val="0023169D"/>
    <w:rsid w:val="00231870"/>
    <w:rsid w:val="00231B7B"/>
    <w:rsid w:val="00232958"/>
    <w:rsid w:val="00232A34"/>
    <w:rsid w:val="00233041"/>
    <w:rsid w:val="00233293"/>
    <w:rsid w:val="002341B6"/>
    <w:rsid w:val="0023448D"/>
    <w:rsid w:val="0023457C"/>
    <w:rsid w:val="00235327"/>
    <w:rsid w:val="00235733"/>
    <w:rsid w:val="00235882"/>
    <w:rsid w:val="0023589A"/>
    <w:rsid w:val="00235A72"/>
    <w:rsid w:val="00236037"/>
    <w:rsid w:val="00236425"/>
    <w:rsid w:val="002367EC"/>
    <w:rsid w:val="00236999"/>
    <w:rsid w:val="00236A6C"/>
    <w:rsid w:val="00237245"/>
    <w:rsid w:val="002376C9"/>
    <w:rsid w:val="00237A62"/>
    <w:rsid w:val="00237B9A"/>
    <w:rsid w:val="00237BC7"/>
    <w:rsid w:val="00237BDC"/>
    <w:rsid w:val="00237C9D"/>
    <w:rsid w:val="00237D76"/>
    <w:rsid w:val="00237EE4"/>
    <w:rsid w:val="002402DE"/>
    <w:rsid w:val="00240489"/>
    <w:rsid w:val="00240681"/>
    <w:rsid w:val="0024075F"/>
    <w:rsid w:val="00241E3F"/>
    <w:rsid w:val="00242152"/>
    <w:rsid w:val="00242297"/>
    <w:rsid w:val="002422F4"/>
    <w:rsid w:val="0024364E"/>
    <w:rsid w:val="00243CC7"/>
    <w:rsid w:val="00244698"/>
    <w:rsid w:val="00244BBD"/>
    <w:rsid w:val="00245BF3"/>
    <w:rsid w:val="00246052"/>
    <w:rsid w:val="0024621E"/>
    <w:rsid w:val="0024680D"/>
    <w:rsid w:val="00246962"/>
    <w:rsid w:val="002469B5"/>
    <w:rsid w:val="00246B55"/>
    <w:rsid w:val="00246C81"/>
    <w:rsid w:val="0024710E"/>
    <w:rsid w:val="00247602"/>
    <w:rsid w:val="00247997"/>
    <w:rsid w:val="00247ACF"/>
    <w:rsid w:val="00251528"/>
    <w:rsid w:val="0025160B"/>
    <w:rsid w:val="002517C2"/>
    <w:rsid w:val="0025187A"/>
    <w:rsid w:val="002528A7"/>
    <w:rsid w:val="002530C4"/>
    <w:rsid w:val="00254468"/>
    <w:rsid w:val="00254764"/>
    <w:rsid w:val="00254C0B"/>
    <w:rsid w:val="00254C64"/>
    <w:rsid w:val="00254E12"/>
    <w:rsid w:val="00255096"/>
    <w:rsid w:val="00255550"/>
    <w:rsid w:val="00255901"/>
    <w:rsid w:val="002565B1"/>
    <w:rsid w:val="002566E3"/>
    <w:rsid w:val="0025677A"/>
    <w:rsid w:val="00256BEE"/>
    <w:rsid w:val="00260301"/>
    <w:rsid w:val="00261402"/>
    <w:rsid w:val="002615E9"/>
    <w:rsid w:val="0026200A"/>
    <w:rsid w:val="00262418"/>
    <w:rsid w:val="00262523"/>
    <w:rsid w:val="00262827"/>
    <w:rsid w:val="00262B9C"/>
    <w:rsid w:val="00263D27"/>
    <w:rsid w:val="0026409C"/>
    <w:rsid w:val="00264202"/>
    <w:rsid w:val="00264EAC"/>
    <w:rsid w:val="0026606B"/>
    <w:rsid w:val="002660E8"/>
    <w:rsid w:val="00266820"/>
    <w:rsid w:val="00266AD2"/>
    <w:rsid w:val="002678D3"/>
    <w:rsid w:val="00267B05"/>
    <w:rsid w:val="00270244"/>
    <w:rsid w:val="0027038B"/>
    <w:rsid w:val="00270623"/>
    <w:rsid w:val="002707B6"/>
    <w:rsid w:val="002715A3"/>
    <w:rsid w:val="00271BB6"/>
    <w:rsid w:val="00271FA6"/>
    <w:rsid w:val="002723E7"/>
    <w:rsid w:val="00272781"/>
    <w:rsid w:val="0027278B"/>
    <w:rsid w:val="00272BC6"/>
    <w:rsid w:val="00272F3A"/>
    <w:rsid w:val="002735E5"/>
    <w:rsid w:val="0027385F"/>
    <w:rsid w:val="00273B45"/>
    <w:rsid w:val="00274186"/>
    <w:rsid w:val="00274FB8"/>
    <w:rsid w:val="002756F0"/>
    <w:rsid w:val="00275AAB"/>
    <w:rsid w:val="00275C94"/>
    <w:rsid w:val="0027692A"/>
    <w:rsid w:val="002773FB"/>
    <w:rsid w:val="00277B92"/>
    <w:rsid w:val="00277D54"/>
    <w:rsid w:val="002800F3"/>
    <w:rsid w:val="00280269"/>
    <w:rsid w:val="0028132F"/>
    <w:rsid w:val="00281A01"/>
    <w:rsid w:val="00281D91"/>
    <w:rsid w:val="002844B5"/>
    <w:rsid w:val="00284A8F"/>
    <w:rsid w:val="00284BC7"/>
    <w:rsid w:val="00284F3E"/>
    <w:rsid w:val="00284F62"/>
    <w:rsid w:val="00286287"/>
    <w:rsid w:val="002874FB"/>
    <w:rsid w:val="002900C7"/>
    <w:rsid w:val="00290264"/>
    <w:rsid w:val="0029054D"/>
    <w:rsid w:val="00290889"/>
    <w:rsid w:val="00290DFC"/>
    <w:rsid w:val="0029105E"/>
    <w:rsid w:val="00291139"/>
    <w:rsid w:val="00291281"/>
    <w:rsid w:val="002913DF"/>
    <w:rsid w:val="00291B9D"/>
    <w:rsid w:val="00291C04"/>
    <w:rsid w:val="00291F91"/>
    <w:rsid w:val="002925F5"/>
    <w:rsid w:val="0029279E"/>
    <w:rsid w:val="00294490"/>
    <w:rsid w:val="00294F71"/>
    <w:rsid w:val="0029517B"/>
    <w:rsid w:val="002951F1"/>
    <w:rsid w:val="0029621A"/>
    <w:rsid w:val="0029661D"/>
    <w:rsid w:val="0029673B"/>
    <w:rsid w:val="0029696A"/>
    <w:rsid w:val="00296A7D"/>
    <w:rsid w:val="0029738A"/>
    <w:rsid w:val="002973D8"/>
    <w:rsid w:val="00297412"/>
    <w:rsid w:val="00297E99"/>
    <w:rsid w:val="002A01E3"/>
    <w:rsid w:val="002A0B46"/>
    <w:rsid w:val="002A1C65"/>
    <w:rsid w:val="002A213B"/>
    <w:rsid w:val="002A2292"/>
    <w:rsid w:val="002A27C1"/>
    <w:rsid w:val="002A2E1D"/>
    <w:rsid w:val="002A3818"/>
    <w:rsid w:val="002A3CB1"/>
    <w:rsid w:val="002A3E83"/>
    <w:rsid w:val="002A404C"/>
    <w:rsid w:val="002A42FA"/>
    <w:rsid w:val="002A43CC"/>
    <w:rsid w:val="002A4643"/>
    <w:rsid w:val="002A65B0"/>
    <w:rsid w:val="002A6DAA"/>
    <w:rsid w:val="002A6E92"/>
    <w:rsid w:val="002A7222"/>
    <w:rsid w:val="002A7F85"/>
    <w:rsid w:val="002A7F96"/>
    <w:rsid w:val="002B00AF"/>
    <w:rsid w:val="002B1327"/>
    <w:rsid w:val="002B16B3"/>
    <w:rsid w:val="002B19F6"/>
    <w:rsid w:val="002B22B4"/>
    <w:rsid w:val="002B241E"/>
    <w:rsid w:val="002B26ED"/>
    <w:rsid w:val="002B2FBF"/>
    <w:rsid w:val="002B308E"/>
    <w:rsid w:val="002B3123"/>
    <w:rsid w:val="002B34E7"/>
    <w:rsid w:val="002B3967"/>
    <w:rsid w:val="002B3A0C"/>
    <w:rsid w:val="002B416A"/>
    <w:rsid w:val="002B4B39"/>
    <w:rsid w:val="002B510F"/>
    <w:rsid w:val="002B5B70"/>
    <w:rsid w:val="002B60D4"/>
    <w:rsid w:val="002B6228"/>
    <w:rsid w:val="002B6882"/>
    <w:rsid w:val="002B7044"/>
    <w:rsid w:val="002B7767"/>
    <w:rsid w:val="002B77F7"/>
    <w:rsid w:val="002B7B9D"/>
    <w:rsid w:val="002B7E1F"/>
    <w:rsid w:val="002B7F76"/>
    <w:rsid w:val="002C0549"/>
    <w:rsid w:val="002C0EA7"/>
    <w:rsid w:val="002C1B65"/>
    <w:rsid w:val="002C1BEF"/>
    <w:rsid w:val="002C1C4E"/>
    <w:rsid w:val="002C272A"/>
    <w:rsid w:val="002C29A8"/>
    <w:rsid w:val="002C2A3B"/>
    <w:rsid w:val="002C2F5D"/>
    <w:rsid w:val="002C310E"/>
    <w:rsid w:val="002C3114"/>
    <w:rsid w:val="002C3314"/>
    <w:rsid w:val="002C3D7F"/>
    <w:rsid w:val="002C402A"/>
    <w:rsid w:val="002C4117"/>
    <w:rsid w:val="002C4A4A"/>
    <w:rsid w:val="002C5E6C"/>
    <w:rsid w:val="002C63BC"/>
    <w:rsid w:val="002C66A5"/>
    <w:rsid w:val="002C68EE"/>
    <w:rsid w:val="002C6C48"/>
    <w:rsid w:val="002C6E4B"/>
    <w:rsid w:val="002C7415"/>
    <w:rsid w:val="002C75B6"/>
    <w:rsid w:val="002D012B"/>
    <w:rsid w:val="002D02F7"/>
    <w:rsid w:val="002D0B82"/>
    <w:rsid w:val="002D0DB8"/>
    <w:rsid w:val="002D168D"/>
    <w:rsid w:val="002D1B2D"/>
    <w:rsid w:val="002D1B38"/>
    <w:rsid w:val="002D1F00"/>
    <w:rsid w:val="002D29D6"/>
    <w:rsid w:val="002D2B7E"/>
    <w:rsid w:val="002D3792"/>
    <w:rsid w:val="002D3793"/>
    <w:rsid w:val="002D3B42"/>
    <w:rsid w:val="002D3C43"/>
    <w:rsid w:val="002D3D69"/>
    <w:rsid w:val="002D4365"/>
    <w:rsid w:val="002D4752"/>
    <w:rsid w:val="002D49E4"/>
    <w:rsid w:val="002D4DFA"/>
    <w:rsid w:val="002D52BD"/>
    <w:rsid w:val="002D5317"/>
    <w:rsid w:val="002D5496"/>
    <w:rsid w:val="002D5935"/>
    <w:rsid w:val="002D69B7"/>
    <w:rsid w:val="002D6A47"/>
    <w:rsid w:val="002D716C"/>
    <w:rsid w:val="002D792E"/>
    <w:rsid w:val="002D7A9F"/>
    <w:rsid w:val="002E0133"/>
    <w:rsid w:val="002E1BDD"/>
    <w:rsid w:val="002E1F6F"/>
    <w:rsid w:val="002E1F8C"/>
    <w:rsid w:val="002E2A62"/>
    <w:rsid w:val="002E2B7C"/>
    <w:rsid w:val="002E2BF0"/>
    <w:rsid w:val="002E2CCD"/>
    <w:rsid w:val="002E3042"/>
    <w:rsid w:val="002E3503"/>
    <w:rsid w:val="002E3C38"/>
    <w:rsid w:val="002E4056"/>
    <w:rsid w:val="002E43D8"/>
    <w:rsid w:val="002E443D"/>
    <w:rsid w:val="002E4BD5"/>
    <w:rsid w:val="002E52A9"/>
    <w:rsid w:val="002E6093"/>
    <w:rsid w:val="002E64FD"/>
    <w:rsid w:val="002E685D"/>
    <w:rsid w:val="002E7445"/>
    <w:rsid w:val="002F1433"/>
    <w:rsid w:val="002F1543"/>
    <w:rsid w:val="002F179F"/>
    <w:rsid w:val="002F1B67"/>
    <w:rsid w:val="002F1BCD"/>
    <w:rsid w:val="002F212C"/>
    <w:rsid w:val="002F246A"/>
    <w:rsid w:val="002F28A0"/>
    <w:rsid w:val="002F3612"/>
    <w:rsid w:val="002F3795"/>
    <w:rsid w:val="002F3B18"/>
    <w:rsid w:val="002F3C2D"/>
    <w:rsid w:val="002F42D7"/>
    <w:rsid w:val="002F531E"/>
    <w:rsid w:val="002F5757"/>
    <w:rsid w:val="002F5BB6"/>
    <w:rsid w:val="002F5D1B"/>
    <w:rsid w:val="002F5D36"/>
    <w:rsid w:val="002F5D74"/>
    <w:rsid w:val="002F5F7B"/>
    <w:rsid w:val="002F6E41"/>
    <w:rsid w:val="002F705D"/>
    <w:rsid w:val="002F70C3"/>
    <w:rsid w:val="00300295"/>
    <w:rsid w:val="00300481"/>
    <w:rsid w:val="00300520"/>
    <w:rsid w:val="00300719"/>
    <w:rsid w:val="00300C54"/>
    <w:rsid w:val="00300D3B"/>
    <w:rsid w:val="00300EF8"/>
    <w:rsid w:val="0030144D"/>
    <w:rsid w:val="00301671"/>
    <w:rsid w:val="00301CC7"/>
    <w:rsid w:val="00301D0B"/>
    <w:rsid w:val="00301F0D"/>
    <w:rsid w:val="003020B3"/>
    <w:rsid w:val="003022CE"/>
    <w:rsid w:val="00302D3D"/>
    <w:rsid w:val="003030FB"/>
    <w:rsid w:val="003035FE"/>
    <w:rsid w:val="00303B00"/>
    <w:rsid w:val="00303CC2"/>
    <w:rsid w:val="003041DC"/>
    <w:rsid w:val="00304339"/>
    <w:rsid w:val="00304463"/>
    <w:rsid w:val="00304498"/>
    <w:rsid w:val="00304CC7"/>
    <w:rsid w:val="00304EB0"/>
    <w:rsid w:val="00305904"/>
    <w:rsid w:val="00305CEF"/>
    <w:rsid w:val="00305F61"/>
    <w:rsid w:val="00305FE9"/>
    <w:rsid w:val="0030603B"/>
    <w:rsid w:val="003060FA"/>
    <w:rsid w:val="0030642E"/>
    <w:rsid w:val="003064FA"/>
    <w:rsid w:val="00306768"/>
    <w:rsid w:val="00306BB7"/>
    <w:rsid w:val="00306FA9"/>
    <w:rsid w:val="0030725F"/>
    <w:rsid w:val="003073B5"/>
    <w:rsid w:val="0030748F"/>
    <w:rsid w:val="00307538"/>
    <w:rsid w:val="00307644"/>
    <w:rsid w:val="00307E40"/>
    <w:rsid w:val="00310B57"/>
    <w:rsid w:val="00310C2D"/>
    <w:rsid w:val="00310CF6"/>
    <w:rsid w:val="00311709"/>
    <w:rsid w:val="00311829"/>
    <w:rsid w:val="00312061"/>
    <w:rsid w:val="0031227C"/>
    <w:rsid w:val="003124A4"/>
    <w:rsid w:val="0031389F"/>
    <w:rsid w:val="00313C72"/>
    <w:rsid w:val="003142C6"/>
    <w:rsid w:val="0031446F"/>
    <w:rsid w:val="003146E9"/>
    <w:rsid w:val="003149B4"/>
    <w:rsid w:val="00314E2D"/>
    <w:rsid w:val="00315B25"/>
    <w:rsid w:val="00315B72"/>
    <w:rsid w:val="00316393"/>
    <w:rsid w:val="003166B8"/>
    <w:rsid w:val="0031677A"/>
    <w:rsid w:val="00316943"/>
    <w:rsid w:val="0031784A"/>
    <w:rsid w:val="00320885"/>
    <w:rsid w:val="00320D6A"/>
    <w:rsid w:val="00321323"/>
    <w:rsid w:val="003214DB"/>
    <w:rsid w:val="00321694"/>
    <w:rsid w:val="0032181D"/>
    <w:rsid w:val="003218A3"/>
    <w:rsid w:val="00321B02"/>
    <w:rsid w:val="00321FDA"/>
    <w:rsid w:val="00322241"/>
    <w:rsid w:val="00322C75"/>
    <w:rsid w:val="00323171"/>
    <w:rsid w:val="0032326F"/>
    <w:rsid w:val="003234D0"/>
    <w:rsid w:val="00323A76"/>
    <w:rsid w:val="00324ECD"/>
    <w:rsid w:val="00325780"/>
    <w:rsid w:val="00325E97"/>
    <w:rsid w:val="0032637A"/>
    <w:rsid w:val="003266DA"/>
    <w:rsid w:val="003268F4"/>
    <w:rsid w:val="00326B5F"/>
    <w:rsid w:val="00326B66"/>
    <w:rsid w:val="00326D8B"/>
    <w:rsid w:val="00327136"/>
    <w:rsid w:val="00327455"/>
    <w:rsid w:val="003274CC"/>
    <w:rsid w:val="0032779A"/>
    <w:rsid w:val="00330E11"/>
    <w:rsid w:val="003310DC"/>
    <w:rsid w:val="00331544"/>
    <w:rsid w:val="00331C94"/>
    <w:rsid w:val="0033226D"/>
    <w:rsid w:val="00332294"/>
    <w:rsid w:val="00332CE7"/>
    <w:rsid w:val="00332FAC"/>
    <w:rsid w:val="00333354"/>
    <w:rsid w:val="00333692"/>
    <w:rsid w:val="003342F9"/>
    <w:rsid w:val="0033511A"/>
    <w:rsid w:val="00335180"/>
    <w:rsid w:val="0033585F"/>
    <w:rsid w:val="00336402"/>
    <w:rsid w:val="003364C7"/>
    <w:rsid w:val="00336962"/>
    <w:rsid w:val="00336BE8"/>
    <w:rsid w:val="00336F6B"/>
    <w:rsid w:val="00337319"/>
    <w:rsid w:val="00337404"/>
    <w:rsid w:val="003376E3"/>
    <w:rsid w:val="00340179"/>
    <w:rsid w:val="003403E0"/>
    <w:rsid w:val="003404CC"/>
    <w:rsid w:val="00340775"/>
    <w:rsid w:val="003410B6"/>
    <w:rsid w:val="00341111"/>
    <w:rsid w:val="00341471"/>
    <w:rsid w:val="00342CA9"/>
    <w:rsid w:val="00343010"/>
    <w:rsid w:val="00343190"/>
    <w:rsid w:val="0034351B"/>
    <w:rsid w:val="00344153"/>
    <w:rsid w:val="00344C0F"/>
    <w:rsid w:val="00345ED7"/>
    <w:rsid w:val="00346964"/>
    <w:rsid w:val="003469B8"/>
    <w:rsid w:val="00346C40"/>
    <w:rsid w:val="00346E6A"/>
    <w:rsid w:val="00347185"/>
    <w:rsid w:val="003471D9"/>
    <w:rsid w:val="00347319"/>
    <w:rsid w:val="0034746D"/>
    <w:rsid w:val="00347A2D"/>
    <w:rsid w:val="00347D58"/>
    <w:rsid w:val="0035156E"/>
    <w:rsid w:val="0035162A"/>
    <w:rsid w:val="003519B3"/>
    <w:rsid w:val="003520FD"/>
    <w:rsid w:val="0035225A"/>
    <w:rsid w:val="003523B3"/>
    <w:rsid w:val="00352A38"/>
    <w:rsid w:val="00352D0B"/>
    <w:rsid w:val="00352F05"/>
    <w:rsid w:val="00353184"/>
    <w:rsid w:val="00353A5F"/>
    <w:rsid w:val="00353BEA"/>
    <w:rsid w:val="00353D51"/>
    <w:rsid w:val="00354EC5"/>
    <w:rsid w:val="003557B2"/>
    <w:rsid w:val="00356337"/>
    <w:rsid w:val="003566BC"/>
    <w:rsid w:val="00356F51"/>
    <w:rsid w:val="0035700D"/>
    <w:rsid w:val="00357E43"/>
    <w:rsid w:val="00360025"/>
    <w:rsid w:val="0036028B"/>
    <w:rsid w:val="00360A83"/>
    <w:rsid w:val="00360ABE"/>
    <w:rsid w:val="00360D2A"/>
    <w:rsid w:val="003616CE"/>
    <w:rsid w:val="00361B26"/>
    <w:rsid w:val="00362139"/>
    <w:rsid w:val="00362A04"/>
    <w:rsid w:val="00362A92"/>
    <w:rsid w:val="00362C62"/>
    <w:rsid w:val="00363363"/>
    <w:rsid w:val="003635E0"/>
    <w:rsid w:val="003636AB"/>
    <w:rsid w:val="00363918"/>
    <w:rsid w:val="00363D67"/>
    <w:rsid w:val="00363FB2"/>
    <w:rsid w:val="00364128"/>
    <w:rsid w:val="00364627"/>
    <w:rsid w:val="00364995"/>
    <w:rsid w:val="0036586C"/>
    <w:rsid w:val="00365C84"/>
    <w:rsid w:val="003662A0"/>
    <w:rsid w:val="003664D4"/>
    <w:rsid w:val="003665B7"/>
    <w:rsid w:val="003669BE"/>
    <w:rsid w:val="00366ECE"/>
    <w:rsid w:val="0036776F"/>
    <w:rsid w:val="003679FF"/>
    <w:rsid w:val="00367BB5"/>
    <w:rsid w:val="00371098"/>
    <w:rsid w:val="003715B2"/>
    <w:rsid w:val="00372093"/>
    <w:rsid w:val="00373E76"/>
    <w:rsid w:val="00374756"/>
    <w:rsid w:val="003748FE"/>
    <w:rsid w:val="00374E24"/>
    <w:rsid w:val="00375063"/>
    <w:rsid w:val="003754CF"/>
    <w:rsid w:val="00375F85"/>
    <w:rsid w:val="00376084"/>
    <w:rsid w:val="003766B3"/>
    <w:rsid w:val="00376783"/>
    <w:rsid w:val="00376C39"/>
    <w:rsid w:val="00377300"/>
    <w:rsid w:val="0037746F"/>
    <w:rsid w:val="00377518"/>
    <w:rsid w:val="00377D80"/>
    <w:rsid w:val="0038010E"/>
    <w:rsid w:val="00380208"/>
    <w:rsid w:val="00380502"/>
    <w:rsid w:val="003805D4"/>
    <w:rsid w:val="00380688"/>
    <w:rsid w:val="00380DF5"/>
    <w:rsid w:val="003816DF"/>
    <w:rsid w:val="003826D2"/>
    <w:rsid w:val="00382A3D"/>
    <w:rsid w:val="00382DEE"/>
    <w:rsid w:val="0038460D"/>
    <w:rsid w:val="00384991"/>
    <w:rsid w:val="003859E3"/>
    <w:rsid w:val="003862A0"/>
    <w:rsid w:val="003864E4"/>
    <w:rsid w:val="0038657E"/>
    <w:rsid w:val="0038676A"/>
    <w:rsid w:val="0038741E"/>
    <w:rsid w:val="00387612"/>
    <w:rsid w:val="00387716"/>
    <w:rsid w:val="00387A9B"/>
    <w:rsid w:val="00387D6A"/>
    <w:rsid w:val="003902C3"/>
    <w:rsid w:val="003908F4"/>
    <w:rsid w:val="003909E7"/>
    <w:rsid w:val="003920AC"/>
    <w:rsid w:val="00392122"/>
    <w:rsid w:val="0039216A"/>
    <w:rsid w:val="00392CB3"/>
    <w:rsid w:val="00393316"/>
    <w:rsid w:val="00393C67"/>
    <w:rsid w:val="00394761"/>
    <w:rsid w:val="00394791"/>
    <w:rsid w:val="0039490F"/>
    <w:rsid w:val="00394987"/>
    <w:rsid w:val="00395365"/>
    <w:rsid w:val="003955D4"/>
    <w:rsid w:val="00395A83"/>
    <w:rsid w:val="00395BCD"/>
    <w:rsid w:val="00395EB5"/>
    <w:rsid w:val="00396233"/>
    <w:rsid w:val="00396CF7"/>
    <w:rsid w:val="00396EE0"/>
    <w:rsid w:val="00397312"/>
    <w:rsid w:val="003979B9"/>
    <w:rsid w:val="00397DF6"/>
    <w:rsid w:val="003A009D"/>
    <w:rsid w:val="003A0316"/>
    <w:rsid w:val="003A050E"/>
    <w:rsid w:val="003A0787"/>
    <w:rsid w:val="003A0C5A"/>
    <w:rsid w:val="003A0ED4"/>
    <w:rsid w:val="003A1713"/>
    <w:rsid w:val="003A173F"/>
    <w:rsid w:val="003A2824"/>
    <w:rsid w:val="003A3484"/>
    <w:rsid w:val="003A349D"/>
    <w:rsid w:val="003A3509"/>
    <w:rsid w:val="003A42D1"/>
    <w:rsid w:val="003A4311"/>
    <w:rsid w:val="003A45F6"/>
    <w:rsid w:val="003A48F7"/>
    <w:rsid w:val="003A4F28"/>
    <w:rsid w:val="003A51B6"/>
    <w:rsid w:val="003A5437"/>
    <w:rsid w:val="003A54BD"/>
    <w:rsid w:val="003A594A"/>
    <w:rsid w:val="003A596E"/>
    <w:rsid w:val="003A601F"/>
    <w:rsid w:val="003A61A3"/>
    <w:rsid w:val="003A61BB"/>
    <w:rsid w:val="003A664A"/>
    <w:rsid w:val="003A67AE"/>
    <w:rsid w:val="003A6CD2"/>
    <w:rsid w:val="003A7D38"/>
    <w:rsid w:val="003A7FEA"/>
    <w:rsid w:val="003B0089"/>
    <w:rsid w:val="003B07AF"/>
    <w:rsid w:val="003B0CED"/>
    <w:rsid w:val="003B100F"/>
    <w:rsid w:val="003B117A"/>
    <w:rsid w:val="003B16D3"/>
    <w:rsid w:val="003B1B2D"/>
    <w:rsid w:val="003B1B6F"/>
    <w:rsid w:val="003B27DE"/>
    <w:rsid w:val="003B298E"/>
    <w:rsid w:val="003B2DB2"/>
    <w:rsid w:val="003B415A"/>
    <w:rsid w:val="003B475F"/>
    <w:rsid w:val="003B488B"/>
    <w:rsid w:val="003B490B"/>
    <w:rsid w:val="003B4BB5"/>
    <w:rsid w:val="003B4C9E"/>
    <w:rsid w:val="003B503B"/>
    <w:rsid w:val="003B54BD"/>
    <w:rsid w:val="003B56D5"/>
    <w:rsid w:val="003B5E30"/>
    <w:rsid w:val="003B6084"/>
    <w:rsid w:val="003B60CF"/>
    <w:rsid w:val="003B6318"/>
    <w:rsid w:val="003B643A"/>
    <w:rsid w:val="003B66E5"/>
    <w:rsid w:val="003B66EE"/>
    <w:rsid w:val="003B6898"/>
    <w:rsid w:val="003B737D"/>
    <w:rsid w:val="003B760A"/>
    <w:rsid w:val="003C053E"/>
    <w:rsid w:val="003C0995"/>
    <w:rsid w:val="003C0B4D"/>
    <w:rsid w:val="003C135F"/>
    <w:rsid w:val="003C1822"/>
    <w:rsid w:val="003C1A23"/>
    <w:rsid w:val="003C1ECF"/>
    <w:rsid w:val="003C249B"/>
    <w:rsid w:val="003C2669"/>
    <w:rsid w:val="003C2910"/>
    <w:rsid w:val="003C299A"/>
    <w:rsid w:val="003C2BDD"/>
    <w:rsid w:val="003C2CA9"/>
    <w:rsid w:val="003C3175"/>
    <w:rsid w:val="003C32A1"/>
    <w:rsid w:val="003C338E"/>
    <w:rsid w:val="003C341D"/>
    <w:rsid w:val="003C34CB"/>
    <w:rsid w:val="003C44E6"/>
    <w:rsid w:val="003C5A69"/>
    <w:rsid w:val="003C5B24"/>
    <w:rsid w:val="003C5CE4"/>
    <w:rsid w:val="003C5ED6"/>
    <w:rsid w:val="003C64D4"/>
    <w:rsid w:val="003C65BA"/>
    <w:rsid w:val="003C6ABE"/>
    <w:rsid w:val="003C7186"/>
    <w:rsid w:val="003C71A3"/>
    <w:rsid w:val="003D0486"/>
    <w:rsid w:val="003D0EBE"/>
    <w:rsid w:val="003D1174"/>
    <w:rsid w:val="003D1388"/>
    <w:rsid w:val="003D1706"/>
    <w:rsid w:val="003D1DE2"/>
    <w:rsid w:val="003D1EB9"/>
    <w:rsid w:val="003D21A5"/>
    <w:rsid w:val="003D3590"/>
    <w:rsid w:val="003D3CCA"/>
    <w:rsid w:val="003D4176"/>
    <w:rsid w:val="003D4306"/>
    <w:rsid w:val="003D47B9"/>
    <w:rsid w:val="003D51F2"/>
    <w:rsid w:val="003D55DD"/>
    <w:rsid w:val="003D56AB"/>
    <w:rsid w:val="003D576A"/>
    <w:rsid w:val="003D58A7"/>
    <w:rsid w:val="003D6656"/>
    <w:rsid w:val="003D6D1D"/>
    <w:rsid w:val="003D7151"/>
    <w:rsid w:val="003D7AA8"/>
    <w:rsid w:val="003D7DFD"/>
    <w:rsid w:val="003E005C"/>
    <w:rsid w:val="003E022E"/>
    <w:rsid w:val="003E046E"/>
    <w:rsid w:val="003E0B9C"/>
    <w:rsid w:val="003E11D2"/>
    <w:rsid w:val="003E12E5"/>
    <w:rsid w:val="003E1A52"/>
    <w:rsid w:val="003E1D7A"/>
    <w:rsid w:val="003E2100"/>
    <w:rsid w:val="003E21B3"/>
    <w:rsid w:val="003E2881"/>
    <w:rsid w:val="003E2CEA"/>
    <w:rsid w:val="003E2DA6"/>
    <w:rsid w:val="003E2E1E"/>
    <w:rsid w:val="003E308D"/>
    <w:rsid w:val="003E30C9"/>
    <w:rsid w:val="003E3504"/>
    <w:rsid w:val="003E3A26"/>
    <w:rsid w:val="003E3BE9"/>
    <w:rsid w:val="003E3ED1"/>
    <w:rsid w:val="003E5570"/>
    <w:rsid w:val="003E5B10"/>
    <w:rsid w:val="003E5C55"/>
    <w:rsid w:val="003E5E65"/>
    <w:rsid w:val="003E6126"/>
    <w:rsid w:val="003E6E2A"/>
    <w:rsid w:val="003E79A4"/>
    <w:rsid w:val="003F04E5"/>
    <w:rsid w:val="003F04ED"/>
    <w:rsid w:val="003F0C81"/>
    <w:rsid w:val="003F0FDE"/>
    <w:rsid w:val="003F166E"/>
    <w:rsid w:val="003F1921"/>
    <w:rsid w:val="003F1A8B"/>
    <w:rsid w:val="003F1B9D"/>
    <w:rsid w:val="003F1C34"/>
    <w:rsid w:val="003F26C8"/>
    <w:rsid w:val="003F2708"/>
    <w:rsid w:val="003F3386"/>
    <w:rsid w:val="003F38C5"/>
    <w:rsid w:val="003F3AB5"/>
    <w:rsid w:val="003F3E62"/>
    <w:rsid w:val="003F40EE"/>
    <w:rsid w:val="003F43C9"/>
    <w:rsid w:val="003F47F6"/>
    <w:rsid w:val="003F5A77"/>
    <w:rsid w:val="003F5CE5"/>
    <w:rsid w:val="003F5F9E"/>
    <w:rsid w:val="003F63DA"/>
    <w:rsid w:val="003F6A3C"/>
    <w:rsid w:val="003F6DC9"/>
    <w:rsid w:val="003F71BC"/>
    <w:rsid w:val="00400299"/>
    <w:rsid w:val="00402B97"/>
    <w:rsid w:val="00402C47"/>
    <w:rsid w:val="0040430D"/>
    <w:rsid w:val="004045A6"/>
    <w:rsid w:val="00404D74"/>
    <w:rsid w:val="00404EB8"/>
    <w:rsid w:val="004064B2"/>
    <w:rsid w:val="004065D7"/>
    <w:rsid w:val="00406862"/>
    <w:rsid w:val="004069FC"/>
    <w:rsid w:val="0040705F"/>
    <w:rsid w:val="004078BF"/>
    <w:rsid w:val="004079C0"/>
    <w:rsid w:val="00407DE9"/>
    <w:rsid w:val="00407F8E"/>
    <w:rsid w:val="004101D5"/>
    <w:rsid w:val="0041035E"/>
    <w:rsid w:val="004103A1"/>
    <w:rsid w:val="0041067F"/>
    <w:rsid w:val="00411289"/>
    <w:rsid w:val="004112AD"/>
    <w:rsid w:val="004112EA"/>
    <w:rsid w:val="0041177D"/>
    <w:rsid w:val="00411ACE"/>
    <w:rsid w:val="00411E33"/>
    <w:rsid w:val="00411F75"/>
    <w:rsid w:val="00412151"/>
    <w:rsid w:val="0041250A"/>
    <w:rsid w:val="0041275A"/>
    <w:rsid w:val="00412BE0"/>
    <w:rsid w:val="004136FB"/>
    <w:rsid w:val="00413C04"/>
    <w:rsid w:val="00413CBC"/>
    <w:rsid w:val="0041425C"/>
    <w:rsid w:val="00414389"/>
    <w:rsid w:val="00414443"/>
    <w:rsid w:val="004149B0"/>
    <w:rsid w:val="00414DFB"/>
    <w:rsid w:val="00415789"/>
    <w:rsid w:val="00415865"/>
    <w:rsid w:val="004162C2"/>
    <w:rsid w:val="00416D73"/>
    <w:rsid w:val="00416FF2"/>
    <w:rsid w:val="004177B1"/>
    <w:rsid w:val="00417A58"/>
    <w:rsid w:val="00417D9A"/>
    <w:rsid w:val="0042021C"/>
    <w:rsid w:val="004202F9"/>
    <w:rsid w:val="00420F10"/>
    <w:rsid w:val="00421164"/>
    <w:rsid w:val="00421A4B"/>
    <w:rsid w:val="00422047"/>
    <w:rsid w:val="00422314"/>
    <w:rsid w:val="004224EF"/>
    <w:rsid w:val="00422E95"/>
    <w:rsid w:val="00423600"/>
    <w:rsid w:val="00423991"/>
    <w:rsid w:val="00424495"/>
    <w:rsid w:val="00424F9C"/>
    <w:rsid w:val="004252CB"/>
    <w:rsid w:val="004254DD"/>
    <w:rsid w:val="00425BF4"/>
    <w:rsid w:val="00426163"/>
    <w:rsid w:val="0042620A"/>
    <w:rsid w:val="0042635F"/>
    <w:rsid w:val="0042734B"/>
    <w:rsid w:val="004274C1"/>
    <w:rsid w:val="004276D3"/>
    <w:rsid w:val="004303FC"/>
    <w:rsid w:val="00430728"/>
    <w:rsid w:val="00430B0B"/>
    <w:rsid w:val="00430E13"/>
    <w:rsid w:val="004311D7"/>
    <w:rsid w:val="004314E6"/>
    <w:rsid w:val="004317BF"/>
    <w:rsid w:val="00431C5D"/>
    <w:rsid w:val="004320FF"/>
    <w:rsid w:val="004325A5"/>
    <w:rsid w:val="00432FB4"/>
    <w:rsid w:val="0043386F"/>
    <w:rsid w:val="00433908"/>
    <w:rsid w:val="00433B34"/>
    <w:rsid w:val="00433C05"/>
    <w:rsid w:val="00434013"/>
    <w:rsid w:val="00434787"/>
    <w:rsid w:val="004347A1"/>
    <w:rsid w:val="00434DD1"/>
    <w:rsid w:val="004357A8"/>
    <w:rsid w:val="00435833"/>
    <w:rsid w:val="004359B3"/>
    <w:rsid w:val="004359C4"/>
    <w:rsid w:val="00435C5B"/>
    <w:rsid w:val="004365BF"/>
    <w:rsid w:val="004367C1"/>
    <w:rsid w:val="00436B25"/>
    <w:rsid w:val="00436C9E"/>
    <w:rsid w:val="00436DB2"/>
    <w:rsid w:val="004371D0"/>
    <w:rsid w:val="00437A23"/>
    <w:rsid w:val="00437FB7"/>
    <w:rsid w:val="00440AB6"/>
    <w:rsid w:val="00440BF0"/>
    <w:rsid w:val="00441235"/>
    <w:rsid w:val="004416C0"/>
    <w:rsid w:val="004418C3"/>
    <w:rsid w:val="00441978"/>
    <w:rsid w:val="004419DB"/>
    <w:rsid w:val="00442100"/>
    <w:rsid w:val="004424C3"/>
    <w:rsid w:val="00442ABD"/>
    <w:rsid w:val="00443694"/>
    <w:rsid w:val="004438E6"/>
    <w:rsid w:val="00443DD5"/>
    <w:rsid w:val="00444114"/>
    <w:rsid w:val="004441EB"/>
    <w:rsid w:val="0044433E"/>
    <w:rsid w:val="004445DE"/>
    <w:rsid w:val="00444629"/>
    <w:rsid w:val="00444769"/>
    <w:rsid w:val="00444830"/>
    <w:rsid w:val="004449DD"/>
    <w:rsid w:val="00444BE1"/>
    <w:rsid w:val="00444FDA"/>
    <w:rsid w:val="00445E36"/>
    <w:rsid w:val="0044618B"/>
    <w:rsid w:val="00446582"/>
    <w:rsid w:val="00446BB9"/>
    <w:rsid w:val="00447149"/>
    <w:rsid w:val="004472D5"/>
    <w:rsid w:val="00447FF0"/>
    <w:rsid w:val="00450143"/>
    <w:rsid w:val="004503F2"/>
    <w:rsid w:val="004508D8"/>
    <w:rsid w:val="00450C76"/>
    <w:rsid w:val="00450CF0"/>
    <w:rsid w:val="00450F0A"/>
    <w:rsid w:val="004511F8"/>
    <w:rsid w:val="00451218"/>
    <w:rsid w:val="004512A4"/>
    <w:rsid w:val="004513B8"/>
    <w:rsid w:val="004519E4"/>
    <w:rsid w:val="00451AF4"/>
    <w:rsid w:val="00451FCC"/>
    <w:rsid w:val="00452017"/>
    <w:rsid w:val="0045231A"/>
    <w:rsid w:val="004523AE"/>
    <w:rsid w:val="00452A90"/>
    <w:rsid w:val="004534B3"/>
    <w:rsid w:val="00453F41"/>
    <w:rsid w:val="0045416E"/>
    <w:rsid w:val="00454601"/>
    <w:rsid w:val="00454631"/>
    <w:rsid w:val="00454E85"/>
    <w:rsid w:val="00455244"/>
    <w:rsid w:val="0045588C"/>
    <w:rsid w:val="00455AA9"/>
    <w:rsid w:val="00456166"/>
    <w:rsid w:val="004575AE"/>
    <w:rsid w:val="004575B5"/>
    <w:rsid w:val="00457898"/>
    <w:rsid w:val="004579A6"/>
    <w:rsid w:val="00457BDA"/>
    <w:rsid w:val="00457F95"/>
    <w:rsid w:val="004603A5"/>
    <w:rsid w:val="0046083B"/>
    <w:rsid w:val="00461284"/>
    <w:rsid w:val="00462320"/>
    <w:rsid w:val="004628EB"/>
    <w:rsid w:val="004629F5"/>
    <w:rsid w:val="004630CC"/>
    <w:rsid w:val="00463399"/>
    <w:rsid w:val="004636D0"/>
    <w:rsid w:val="00463BE1"/>
    <w:rsid w:val="00464AE1"/>
    <w:rsid w:val="00464CBE"/>
    <w:rsid w:val="00464E82"/>
    <w:rsid w:val="00465E06"/>
    <w:rsid w:val="00466870"/>
    <w:rsid w:val="00466FDD"/>
    <w:rsid w:val="004679A7"/>
    <w:rsid w:val="00467AF6"/>
    <w:rsid w:val="00470C56"/>
    <w:rsid w:val="00471452"/>
    <w:rsid w:val="004719D7"/>
    <w:rsid w:val="00471B72"/>
    <w:rsid w:val="00471D71"/>
    <w:rsid w:val="00471F4D"/>
    <w:rsid w:val="00471F66"/>
    <w:rsid w:val="00473151"/>
    <w:rsid w:val="004736BF"/>
    <w:rsid w:val="0047399D"/>
    <w:rsid w:val="004739EE"/>
    <w:rsid w:val="00474343"/>
    <w:rsid w:val="00474404"/>
    <w:rsid w:val="00474D8F"/>
    <w:rsid w:val="00474E00"/>
    <w:rsid w:val="00474FD5"/>
    <w:rsid w:val="00475175"/>
    <w:rsid w:val="0047682F"/>
    <w:rsid w:val="00476A4B"/>
    <w:rsid w:val="004773C7"/>
    <w:rsid w:val="00477BA2"/>
    <w:rsid w:val="00480269"/>
    <w:rsid w:val="00480797"/>
    <w:rsid w:val="004808AE"/>
    <w:rsid w:val="0048141C"/>
    <w:rsid w:val="00481502"/>
    <w:rsid w:val="00481B8C"/>
    <w:rsid w:val="00482069"/>
    <w:rsid w:val="00482219"/>
    <w:rsid w:val="00482A2D"/>
    <w:rsid w:val="00482CEF"/>
    <w:rsid w:val="00482F30"/>
    <w:rsid w:val="0048333C"/>
    <w:rsid w:val="0048376C"/>
    <w:rsid w:val="00483930"/>
    <w:rsid w:val="0048428A"/>
    <w:rsid w:val="00484632"/>
    <w:rsid w:val="00484C11"/>
    <w:rsid w:val="00485215"/>
    <w:rsid w:val="004856E8"/>
    <w:rsid w:val="0048609B"/>
    <w:rsid w:val="0048669C"/>
    <w:rsid w:val="004868B9"/>
    <w:rsid w:val="00486CAF"/>
    <w:rsid w:val="004874D4"/>
    <w:rsid w:val="004875ED"/>
    <w:rsid w:val="0048797A"/>
    <w:rsid w:val="00490191"/>
    <w:rsid w:val="00490796"/>
    <w:rsid w:val="00490FAA"/>
    <w:rsid w:val="0049172B"/>
    <w:rsid w:val="004918CB"/>
    <w:rsid w:val="004919F6"/>
    <w:rsid w:val="0049276C"/>
    <w:rsid w:val="00492BA3"/>
    <w:rsid w:val="00492BEE"/>
    <w:rsid w:val="00493872"/>
    <w:rsid w:val="00494199"/>
    <w:rsid w:val="004941DF"/>
    <w:rsid w:val="004943ED"/>
    <w:rsid w:val="004945CD"/>
    <w:rsid w:val="00494CC9"/>
    <w:rsid w:val="00494FFD"/>
    <w:rsid w:val="0049558D"/>
    <w:rsid w:val="004958EE"/>
    <w:rsid w:val="00495B8A"/>
    <w:rsid w:val="0049623D"/>
    <w:rsid w:val="00496372"/>
    <w:rsid w:val="00496CA6"/>
    <w:rsid w:val="00496DBD"/>
    <w:rsid w:val="00497460"/>
    <w:rsid w:val="004977C4"/>
    <w:rsid w:val="00497D09"/>
    <w:rsid w:val="004A0962"/>
    <w:rsid w:val="004A0C54"/>
    <w:rsid w:val="004A0E7E"/>
    <w:rsid w:val="004A116E"/>
    <w:rsid w:val="004A122A"/>
    <w:rsid w:val="004A1295"/>
    <w:rsid w:val="004A1376"/>
    <w:rsid w:val="004A1628"/>
    <w:rsid w:val="004A1C73"/>
    <w:rsid w:val="004A2DC7"/>
    <w:rsid w:val="004A31BF"/>
    <w:rsid w:val="004A3CD9"/>
    <w:rsid w:val="004A3EF7"/>
    <w:rsid w:val="004A4067"/>
    <w:rsid w:val="004A41C9"/>
    <w:rsid w:val="004A4549"/>
    <w:rsid w:val="004A4C63"/>
    <w:rsid w:val="004A4F70"/>
    <w:rsid w:val="004A54F6"/>
    <w:rsid w:val="004A5C96"/>
    <w:rsid w:val="004A62B3"/>
    <w:rsid w:val="004A65BD"/>
    <w:rsid w:val="004A6667"/>
    <w:rsid w:val="004A6B57"/>
    <w:rsid w:val="004A6D91"/>
    <w:rsid w:val="004A70AC"/>
    <w:rsid w:val="004A724C"/>
    <w:rsid w:val="004A72D3"/>
    <w:rsid w:val="004A761D"/>
    <w:rsid w:val="004A7A04"/>
    <w:rsid w:val="004A7D0D"/>
    <w:rsid w:val="004A7D21"/>
    <w:rsid w:val="004B03BB"/>
    <w:rsid w:val="004B05B1"/>
    <w:rsid w:val="004B07D4"/>
    <w:rsid w:val="004B25E4"/>
    <w:rsid w:val="004B3449"/>
    <w:rsid w:val="004B354A"/>
    <w:rsid w:val="004B41AD"/>
    <w:rsid w:val="004B4243"/>
    <w:rsid w:val="004B5181"/>
    <w:rsid w:val="004B5193"/>
    <w:rsid w:val="004B5E17"/>
    <w:rsid w:val="004B61B3"/>
    <w:rsid w:val="004B632B"/>
    <w:rsid w:val="004B66FA"/>
    <w:rsid w:val="004B6AAD"/>
    <w:rsid w:val="004B6C4E"/>
    <w:rsid w:val="004B6D5F"/>
    <w:rsid w:val="004B6DBA"/>
    <w:rsid w:val="004B722C"/>
    <w:rsid w:val="004B7798"/>
    <w:rsid w:val="004B7AF1"/>
    <w:rsid w:val="004C0647"/>
    <w:rsid w:val="004C0A18"/>
    <w:rsid w:val="004C0AF4"/>
    <w:rsid w:val="004C1112"/>
    <w:rsid w:val="004C18E9"/>
    <w:rsid w:val="004C1940"/>
    <w:rsid w:val="004C2368"/>
    <w:rsid w:val="004C24CB"/>
    <w:rsid w:val="004C26F1"/>
    <w:rsid w:val="004C41B2"/>
    <w:rsid w:val="004C4884"/>
    <w:rsid w:val="004C52E7"/>
    <w:rsid w:val="004C54B2"/>
    <w:rsid w:val="004C5949"/>
    <w:rsid w:val="004C5AC1"/>
    <w:rsid w:val="004C69A7"/>
    <w:rsid w:val="004C69F3"/>
    <w:rsid w:val="004C6A1B"/>
    <w:rsid w:val="004C6A8E"/>
    <w:rsid w:val="004C72D2"/>
    <w:rsid w:val="004C755F"/>
    <w:rsid w:val="004C76C9"/>
    <w:rsid w:val="004C79A6"/>
    <w:rsid w:val="004C7F89"/>
    <w:rsid w:val="004D0072"/>
    <w:rsid w:val="004D027D"/>
    <w:rsid w:val="004D074F"/>
    <w:rsid w:val="004D0BD0"/>
    <w:rsid w:val="004D2567"/>
    <w:rsid w:val="004D3E49"/>
    <w:rsid w:val="004D442F"/>
    <w:rsid w:val="004D457F"/>
    <w:rsid w:val="004D4FE9"/>
    <w:rsid w:val="004D549C"/>
    <w:rsid w:val="004D56AD"/>
    <w:rsid w:val="004D57CF"/>
    <w:rsid w:val="004D5CE7"/>
    <w:rsid w:val="004D5FF7"/>
    <w:rsid w:val="004D605D"/>
    <w:rsid w:val="004D6171"/>
    <w:rsid w:val="004D63AE"/>
    <w:rsid w:val="004D6432"/>
    <w:rsid w:val="004D7874"/>
    <w:rsid w:val="004D7B12"/>
    <w:rsid w:val="004E0312"/>
    <w:rsid w:val="004E0D58"/>
    <w:rsid w:val="004E0F4F"/>
    <w:rsid w:val="004E135B"/>
    <w:rsid w:val="004E1DFA"/>
    <w:rsid w:val="004E1EE8"/>
    <w:rsid w:val="004E24D1"/>
    <w:rsid w:val="004E2A46"/>
    <w:rsid w:val="004E2C22"/>
    <w:rsid w:val="004E31CA"/>
    <w:rsid w:val="004E33FA"/>
    <w:rsid w:val="004E38F6"/>
    <w:rsid w:val="004E39F7"/>
    <w:rsid w:val="004E3D3D"/>
    <w:rsid w:val="004E43BF"/>
    <w:rsid w:val="004E5410"/>
    <w:rsid w:val="004E6081"/>
    <w:rsid w:val="004E62E8"/>
    <w:rsid w:val="004E6EB8"/>
    <w:rsid w:val="004E74C3"/>
    <w:rsid w:val="004E7B1B"/>
    <w:rsid w:val="004E7BBF"/>
    <w:rsid w:val="004E7CDB"/>
    <w:rsid w:val="004F116D"/>
    <w:rsid w:val="004F1256"/>
    <w:rsid w:val="004F132E"/>
    <w:rsid w:val="004F22B8"/>
    <w:rsid w:val="004F3459"/>
    <w:rsid w:val="004F35BC"/>
    <w:rsid w:val="004F3EA9"/>
    <w:rsid w:val="004F3F57"/>
    <w:rsid w:val="004F42B1"/>
    <w:rsid w:val="004F43FE"/>
    <w:rsid w:val="004F4536"/>
    <w:rsid w:val="004F47E6"/>
    <w:rsid w:val="004F4ACE"/>
    <w:rsid w:val="004F4E28"/>
    <w:rsid w:val="004F4E4F"/>
    <w:rsid w:val="004F5170"/>
    <w:rsid w:val="004F557F"/>
    <w:rsid w:val="004F58B3"/>
    <w:rsid w:val="004F58CF"/>
    <w:rsid w:val="004F5D5D"/>
    <w:rsid w:val="004F6365"/>
    <w:rsid w:val="004F67E3"/>
    <w:rsid w:val="004F681C"/>
    <w:rsid w:val="004F697C"/>
    <w:rsid w:val="004F6DBB"/>
    <w:rsid w:val="004F6DC4"/>
    <w:rsid w:val="004F730D"/>
    <w:rsid w:val="004F793E"/>
    <w:rsid w:val="004F7B91"/>
    <w:rsid w:val="005001EB"/>
    <w:rsid w:val="00500201"/>
    <w:rsid w:val="00500A2F"/>
    <w:rsid w:val="00501119"/>
    <w:rsid w:val="005014DA"/>
    <w:rsid w:val="0050160E"/>
    <w:rsid w:val="00501F0C"/>
    <w:rsid w:val="005024F6"/>
    <w:rsid w:val="00502A71"/>
    <w:rsid w:val="00503501"/>
    <w:rsid w:val="00503E18"/>
    <w:rsid w:val="00504570"/>
    <w:rsid w:val="00504A8C"/>
    <w:rsid w:val="005051A7"/>
    <w:rsid w:val="005059BC"/>
    <w:rsid w:val="00505CB8"/>
    <w:rsid w:val="005063A8"/>
    <w:rsid w:val="00506C4D"/>
    <w:rsid w:val="00506D14"/>
    <w:rsid w:val="00506D5C"/>
    <w:rsid w:val="0050786A"/>
    <w:rsid w:val="00507AED"/>
    <w:rsid w:val="00507DC4"/>
    <w:rsid w:val="005106B6"/>
    <w:rsid w:val="0051162B"/>
    <w:rsid w:val="00511966"/>
    <w:rsid w:val="00511D23"/>
    <w:rsid w:val="00512583"/>
    <w:rsid w:val="00512ABF"/>
    <w:rsid w:val="00512D27"/>
    <w:rsid w:val="00512E38"/>
    <w:rsid w:val="0051393E"/>
    <w:rsid w:val="00513974"/>
    <w:rsid w:val="00513EF3"/>
    <w:rsid w:val="00514102"/>
    <w:rsid w:val="0051420B"/>
    <w:rsid w:val="00514597"/>
    <w:rsid w:val="00514A36"/>
    <w:rsid w:val="0051515D"/>
    <w:rsid w:val="00515168"/>
    <w:rsid w:val="005153E7"/>
    <w:rsid w:val="00515928"/>
    <w:rsid w:val="005159DC"/>
    <w:rsid w:val="005159DD"/>
    <w:rsid w:val="00515E55"/>
    <w:rsid w:val="0051603F"/>
    <w:rsid w:val="00517D60"/>
    <w:rsid w:val="00520317"/>
    <w:rsid w:val="0052044B"/>
    <w:rsid w:val="005207E6"/>
    <w:rsid w:val="00520851"/>
    <w:rsid w:val="005208A7"/>
    <w:rsid w:val="0052123B"/>
    <w:rsid w:val="00521B9B"/>
    <w:rsid w:val="0052206B"/>
    <w:rsid w:val="0052256F"/>
    <w:rsid w:val="00522CF5"/>
    <w:rsid w:val="00522FE2"/>
    <w:rsid w:val="005233C4"/>
    <w:rsid w:val="00523801"/>
    <w:rsid w:val="00523B8E"/>
    <w:rsid w:val="00523CE7"/>
    <w:rsid w:val="00524076"/>
    <w:rsid w:val="005244F1"/>
    <w:rsid w:val="005245DC"/>
    <w:rsid w:val="00525314"/>
    <w:rsid w:val="00525E0F"/>
    <w:rsid w:val="005261D9"/>
    <w:rsid w:val="0052623B"/>
    <w:rsid w:val="0052668E"/>
    <w:rsid w:val="00527237"/>
    <w:rsid w:val="005275D7"/>
    <w:rsid w:val="00530080"/>
    <w:rsid w:val="00530536"/>
    <w:rsid w:val="005306BB"/>
    <w:rsid w:val="005306ED"/>
    <w:rsid w:val="00530A72"/>
    <w:rsid w:val="00530F3E"/>
    <w:rsid w:val="00530FF7"/>
    <w:rsid w:val="0053107C"/>
    <w:rsid w:val="00531E77"/>
    <w:rsid w:val="00531FE9"/>
    <w:rsid w:val="00532011"/>
    <w:rsid w:val="0053249F"/>
    <w:rsid w:val="00532816"/>
    <w:rsid w:val="00532852"/>
    <w:rsid w:val="00532A75"/>
    <w:rsid w:val="005331F9"/>
    <w:rsid w:val="00533626"/>
    <w:rsid w:val="00533BA1"/>
    <w:rsid w:val="00533E18"/>
    <w:rsid w:val="00533FD9"/>
    <w:rsid w:val="005359E7"/>
    <w:rsid w:val="00535B15"/>
    <w:rsid w:val="005364A9"/>
    <w:rsid w:val="00536902"/>
    <w:rsid w:val="00536C76"/>
    <w:rsid w:val="00536CEF"/>
    <w:rsid w:val="00536E62"/>
    <w:rsid w:val="00536F10"/>
    <w:rsid w:val="00536FDF"/>
    <w:rsid w:val="00537559"/>
    <w:rsid w:val="00540A3D"/>
    <w:rsid w:val="00541047"/>
    <w:rsid w:val="0054109B"/>
    <w:rsid w:val="00541681"/>
    <w:rsid w:val="0054171C"/>
    <w:rsid w:val="00541C7C"/>
    <w:rsid w:val="005428B3"/>
    <w:rsid w:val="00542DB9"/>
    <w:rsid w:val="00542E16"/>
    <w:rsid w:val="005436C0"/>
    <w:rsid w:val="005439A5"/>
    <w:rsid w:val="00543F2D"/>
    <w:rsid w:val="00543F3E"/>
    <w:rsid w:val="0054407D"/>
    <w:rsid w:val="005441AA"/>
    <w:rsid w:val="005443A7"/>
    <w:rsid w:val="00544F8D"/>
    <w:rsid w:val="00545548"/>
    <w:rsid w:val="00546152"/>
    <w:rsid w:val="005463D4"/>
    <w:rsid w:val="0054654F"/>
    <w:rsid w:val="00546819"/>
    <w:rsid w:val="00546921"/>
    <w:rsid w:val="00546AE0"/>
    <w:rsid w:val="0054701F"/>
    <w:rsid w:val="005476A0"/>
    <w:rsid w:val="0054794B"/>
    <w:rsid w:val="0054797E"/>
    <w:rsid w:val="0055009D"/>
    <w:rsid w:val="00550179"/>
    <w:rsid w:val="00550F95"/>
    <w:rsid w:val="005515C9"/>
    <w:rsid w:val="00551607"/>
    <w:rsid w:val="0055176C"/>
    <w:rsid w:val="0055251E"/>
    <w:rsid w:val="00552765"/>
    <w:rsid w:val="00552B38"/>
    <w:rsid w:val="005531EC"/>
    <w:rsid w:val="00553F0E"/>
    <w:rsid w:val="00554527"/>
    <w:rsid w:val="0055457F"/>
    <w:rsid w:val="005546A0"/>
    <w:rsid w:val="00554A22"/>
    <w:rsid w:val="00554F2B"/>
    <w:rsid w:val="005550E1"/>
    <w:rsid w:val="005566F4"/>
    <w:rsid w:val="00556E86"/>
    <w:rsid w:val="00557189"/>
    <w:rsid w:val="00557D3A"/>
    <w:rsid w:val="00557F6A"/>
    <w:rsid w:val="00560225"/>
    <w:rsid w:val="00560A6C"/>
    <w:rsid w:val="00561DB2"/>
    <w:rsid w:val="0056260F"/>
    <w:rsid w:val="0056280F"/>
    <w:rsid w:val="00562881"/>
    <w:rsid w:val="0056331F"/>
    <w:rsid w:val="0056368A"/>
    <w:rsid w:val="005636FA"/>
    <w:rsid w:val="00564811"/>
    <w:rsid w:val="005648C8"/>
    <w:rsid w:val="005648DB"/>
    <w:rsid w:val="00565565"/>
    <w:rsid w:val="00565C29"/>
    <w:rsid w:val="00565D42"/>
    <w:rsid w:val="00565E85"/>
    <w:rsid w:val="0056604C"/>
    <w:rsid w:val="00566690"/>
    <w:rsid w:val="00567CF0"/>
    <w:rsid w:val="0057049F"/>
    <w:rsid w:val="005708FC"/>
    <w:rsid w:val="00571C14"/>
    <w:rsid w:val="00571C77"/>
    <w:rsid w:val="00571E1C"/>
    <w:rsid w:val="00572D6D"/>
    <w:rsid w:val="00572EF9"/>
    <w:rsid w:val="00573511"/>
    <w:rsid w:val="00573E04"/>
    <w:rsid w:val="00573EFB"/>
    <w:rsid w:val="005740B2"/>
    <w:rsid w:val="005740C8"/>
    <w:rsid w:val="00575AEF"/>
    <w:rsid w:val="00575CC2"/>
    <w:rsid w:val="0057621E"/>
    <w:rsid w:val="0057678B"/>
    <w:rsid w:val="00576915"/>
    <w:rsid w:val="0057694E"/>
    <w:rsid w:val="00576B80"/>
    <w:rsid w:val="00577929"/>
    <w:rsid w:val="00577BDD"/>
    <w:rsid w:val="00580348"/>
    <w:rsid w:val="005805A0"/>
    <w:rsid w:val="00580676"/>
    <w:rsid w:val="00580ABB"/>
    <w:rsid w:val="005815E4"/>
    <w:rsid w:val="005817AA"/>
    <w:rsid w:val="00582118"/>
    <w:rsid w:val="0058276D"/>
    <w:rsid w:val="00582775"/>
    <w:rsid w:val="005829D7"/>
    <w:rsid w:val="00582D00"/>
    <w:rsid w:val="00583B99"/>
    <w:rsid w:val="005847B7"/>
    <w:rsid w:val="00584C9D"/>
    <w:rsid w:val="0058561E"/>
    <w:rsid w:val="00585777"/>
    <w:rsid w:val="005857E2"/>
    <w:rsid w:val="00585E9F"/>
    <w:rsid w:val="00585F14"/>
    <w:rsid w:val="0058644D"/>
    <w:rsid w:val="00586525"/>
    <w:rsid w:val="005869EB"/>
    <w:rsid w:val="00586B9E"/>
    <w:rsid w:val="00586F15"/>
    <w:rsid w:val="00587B13"/>
    <w:rsid w:val="00587DAD"/>
    <w:rsid w:val="00590853"/>
    <w:rsid w:val="00591061"/>
    <w:rsid w:val="00591D24"/>
    <w:rsid w:val="005928BC"/>
    <w:rsid w:val="00592D7C"/>
    <w:rsid w:val="00593379"/>
    <w:rsid w:val="005937A4"/>
    <w:rsid w:val="00593AF5"/>
    <w:rsid w:val="00593CB8"/>
    <w:rsid w:val="00593DD5"/>
    <w:rsid w:val="005945F4"/>
    <w:rsid w:val="00594A18"/>
    <w:rsid w:val="00594DB0"/>
    <w:rsid w:val="00594F8E"/>
    <w:rsid w:val="00596670"/>
    <w:rsid w:val="0059673E"/>
    <w:rsid w:val="00597091"/>
    <w:rsid w:val="0059720E"/>
    <w:rsid w:val="005972D5"/>
    <w:rsid w:val="005977CA"/>
    <w:rsid w:val="00597846"/>
    <w:rsid w:val="005979AD"/>
    <w:rsid w:val="00597F83"/>
    <w:rsid w:val="005A022B"/>
    <w:rsid w:val="005A0232"/>
    <w:rsid w:val="005A0BCF"/>
    <w:rsid w:val="005A0CC3"/>
    <w:rsid w:val="005A10B3"/>
    <w:rsid w:val="005A13E5"/>
    <w:rsid w:val="005A13ED"/>
    <w:rsid w:val="005A1421"/>
    <w:rsid w:val="005A14E4"/>
    <w:rsid w:val="005A1761"/>
    <w:rsid w:val="005A1E22"/>
    <w:rsid w:val="005A2346"/>
    <w:rsid w:val="005A26C8"/>
    <w:rsid w:val="005A33E2"/>
    <w:rsid w:val="005A3798"/>
    <w:rsid w:val="005A37B2"/>
    <w:rsid w:val="005A3A2A"/>
    <w:rsid w:val="005A4338"/>
    <w:rsid w:val="005A4B34"/>
    <w:rsid w:val="005A5155"/>
    <w:rsid w:val="005A548E"/>
    <w:rsid w:val="005A5574"/>
    <w:rsid w:val="005A566A"/>
    <w:rsid w:val="005A5EE1"/>
    <w:rsid w:val="005A6321"/>
    <w:rsid w:val="005A720D"/>
    <w:rsid w:val="005A7633"/>
    <w:rsid w:val="005A7694"/>
    <w:rsid w:val="005A7E67"/>
    <w:rsid w:val="005B0013"/>
    <w:rsid w:val="005B0635"/>
    <w:rsid w:val="005B07A9"/>
    <w:rsid w:val="005B099A"/>
    <w:rsid w:val="005B09B4"/>
    <w:rsid w:val="005B0B6B"/>
    <w:rsid w:val="005B104C"/>
    <w:rsid w:val="005B1BC8"/>
    <w:rsid w:val="005B220C"/>
    <w:rsid w:val="005B264C"/>
    <w:rsid w:val="005B2709"/>
    <w:rsid w:val="005B286D"/>
    <w:rsid w:val="005B42F8"/>
    <w:rsid w:val="005B4349"/>
    <w:rsid w:val="005B493C"/>
    <w:rsid w:val="005B49AE"/>
    <w:rsid w:val="005B4BB9"/>
    <w:rsid w:val="005B4FA1"/>
    <w:rsid w:val="005B52FE"/>
    <w:rsid w:val="005B53CC"/>
    <w:rsid w:val="005B5581"/>
    <w:rsid w:val="005B59AD"/>
    <w:rsid w:val="005B5CD2"/>
    <w:rsid w:val="005B67BA"/>
    <w:rsid w:val="005B6936"/>
    <w:rsid w:val="005B6EBD"/>
    <w:rsid w:val="005B704D"/>
    <w:rsid w:val="005B7993"/>
    <w:rsid w:val="005C07E5"/>
    <w:rsid w:val="005C11DF"/>
    <w:rsid w:val="005C130E"/>
    <w:rsid w:val="005C13BF"/>
    <w:rsid w:val="005C195F"/>
    <w:rsid w:val="005C23E5"/>
    <w:rsid w:val="005C2951"/>
    <w:rsid w:val="005C36FA"/>
    <w:rsid w:val="005C3D0A"/>
    <w:rsid w:val="005C408C"/>
    <w:rsid w:val="005C44F5"/>
    <w:rsid w:val="005C4F4A"/>
    <w:rsid w:val="005C50ED"/>
    <w:rsid w:val="005C5EFF"/>
    <w:rsid w:val="005C632D"/>
    <w:rsid w:val="005C6ACB"/>
    <w:rsid w:val="005D00D9"/>
    <w:rsid w:val="005D04E8"/>
    <w:rsid w:val="005D06D8"/>
    <w:rsid w:val="005D09A0"/>
    <w:rsid w:val="005D0A91"/>
    <w:rsid w:val="005D0C23"/>
    <w:rsid w:val="005D0F87"/>
    <w:rsid w:val="005D1003"/>
    <w:rsid w:val="005D12C0"/>
    <w:rsid w:val="005D1A7F"/>
    <w:rsid w:val="005D2F04"/>
    <w:rsid w:val="005D3222"/>
    <w:rsid w:val="005D328C"/>
    <w:rsid w:val="005D32AE"/>
    <w:rsid w:val="005D34CA"/>
    <w:rsid w:val="005D3E9D"/>
    <w:rsid w:val="005D42AD"/>
    <w:rsid w:val="005D4483"/>
    <w:rsid w:val="005D4995"/>
    <w:rsid w:val="005D53F0"/>
    <w:rsid w:val="005D5A91"/>
    <w:rsid w:val="005D6151"/>
    <w:rsid w:val="005D644C"/>
    <w:rsid w:val="005D690D"/>
    <w:rsid w:val="005D69E5"/>
    <w:rsid w:val="005D6B02"/>
    <w:rsid w:val="005D6EEC"/>
    <w:rsid w:val="005D7516"/>
    <w:rsid w:val="005D753C"/>
    <w:rsid w:val="005E0C2E"/>
    <w:rsid w:val="005E104B"/>
    <w:rsid w:val="005E1D15"/>
    <w:rsid w:val="005E1F5A"/>
    <w:rsid w:val="005E1F63"/>
    <w:rsid w:val="005E2393"/>
    <w:rsid w:val="005E2D94"/>
    <w:rsid w:val="005E3728"/>
    <w:rsid w:val="005E3CFD"/>
    <w:rsid w:val="005E41C7"/>
    <w:rsid w:val="005E45FF"/>
    <w:rsid w:val="005E4BB0"/>
    <w:rsid w:val="005E4C31"/>
    <w:rsid w:val="005E4D95"/>
    <w:rsid w:val="005E5378"/>
    <w:rsid w:val="005E58BA"/>
    <w:rsid w:val="005E739F"/>
    <w:rsid w:val="005E743B"/>
    <w:rsid w:val="005F0B67"/>
    <w:rsid w:val="005F0C31"/>
    <w:rsid w:val="005F2EF2"/>
    <w:rsid w:val="005F33B8"/>
    <w:rsid w:val="005F34AA"/>
    <w:rsid w:val="005F40AC"/>
    <w:rsid w:val="005F42C6"/>
    <w:rsid w:val="005F52A7"/>
    <w:rsid w:val="005F55A5"/>
    <w:rsid w:val="005F5CFA"/>
    <w:rsid w:val="005F5D93"/>
    <w:rsid w:val="005F5DDE"/>
    <w:rsid w:val="005F5E26"/>
    <w:rsid w:val="005F616F"/>
    <w:rsid w:val="005F61EA"/>
    <w:rsid w:val="005F63D9"/>
    <w:rsid w:val="005F6E15"/>
    <w:rsid w:val="005F74DF"/>
    <w:rsid w:val="005F77BA"/>
    <w:rsid w:val="00600894"/>
    <w:rsid w:val="00601253"/>
    <w:rsid w:val="0060199D"/>
    <w:rsid w:val="0060235E"/>
    <w:rsid w:val="0060268B"/>
    <w:rsid w:val="006026B7"/>
    <w:rsid w:val="00602DF7"/>
    <w:rsid w:val="00602FC1"/>
    <w:rsid w:val="00604193"/>
    <w:rsid w:val="0060425C"/>
    <w:rsid w:val="00605614"/>
    <w:rsid w:val="00606668"/>
    <w:rsid w:val="00606D31"/>
    <w:rsid w:val="00606F73"/>
    <w:rsid w:val="006107BF"/>
    <w:rsid w:val="0061095A"/>
    <w:rsid w:val="00611259"/>
    <w:rsid w:val="0061143D"/>
    <w:rsid w:val="00611CFE"/>
    <w:rsid w:val="00611D91"/>
    <w:rsid w:val="00612169"/>
    <w:rsid w:val="00612401"/>
    <w:rsid w:val="00612734"/>
    <w:rsid w:val="00612A7A"/>
    <w:rsid w:val="00612E42"/>
    <w:rsid w:val="00613A52"/>
    <w:rsid w:val="0061422D"/>
    <w:rsid w:val="00614731"/>
    <w:rsid w:val="00614C1D"/>
    <w:rsid w:val="00614FEC"/>
    <w:rsid w:val="006152F8"/>
    <w:rsid w:val="00615341"/>
    <w:rsid w:val="00615583"/>
    <w:rsid w:val="006155FA"/>
    <w:rsid w:val="006157A2"/>
    <w:rsid w:val="00615869"/>
    <w:rsid w:val="0061618A"/>
    <w:rsid w:val="00616237"/>
    <w:rsid w:val="00616246"/>
    <w:rsid w:val="0061627D"/>
    <w:rsid w:val="0061699D"/>
    <w:rsid w:val="00616DC3"/>
    <w:rsid w:val="00617563"/>
    <w:rsid w:val="00617876"/>
    <w:rsid w:val="00617CFC"/>
    <w:rsid w:val="00617F6D"/>
    <w:rsid w:val="006207D4"/>
    <w:rsid w:val="00620B48"/>
    <w:rsid w:val="00620C75"/>
    <w:rsid w:val="00620D6A"/>
    <w:rsid w:val="006213C4"/>
    <w:rsid w:val="006222ED"/>
    <w:rsid w:val="00622592"/>
    <w:rsid w:val="00622871"/>
    <w:rsid w:val="006229DA"/>
    <w:rsid w:val="006229DC"/>
    <w:rsid w:val="00623221"/>
    <w:rsid w:val="006238BB"/>
    <w:rsid w:val="00623EB7"/>
    <w:rsid w:val="0062406D"/>
    <w:rsid w:val="006245A4"/>
    <w:rsid w:val="0062464C"/>
    <w:rsid w:val="00624C0F"/>
    <w:rsid w:val="00624CEB"/>
    <w:rsid w:val="0062514D"/>
    <w:rsid w:val="00625585"/>
    <w:rsid w:val="006259D6"/>
    <w:rsid w:val="00626FE6"/>
    <w:rsid w:val="00627190"/>
    <w:rsid w:val="006273C8"/>
    <w:rsid w:val="00627521"/>
    <w:rsid w:val="00627919"/>
    <w:rsid w:val="00630798"/>
    <w:rsid w:val="006307C5"/>
    <w:rsid w:val="00630B28"/>
    <w:rsid w:val="006314B1"/>
    <w:rsid w:val="006314CB"/>
    <w:rsid w:val="00631A20"/>
    <w:rsid w:val="00632172"/>
    <w:rsid w:val="00632749"/>
    <w:rsid w:val="00632D30"/>
    <w:rsid w:val="006342AB"/>
    <w:rsid w:val="00634BD8"/>
    <w:rsid w:val="00634EE5"/>
    <w:rsid w:val="0063587E"/>
    <w:rsid w:val="00636018"/>
    <w:rsid w:val="00636980"/>
    <w:rsid w:val="00636F89"/>
    <w:rsid w:val="00637A22"/>
    <w:rsid w:val="006403A7"/>
    <w:rsid w:val="00640C04"/>
    <w:rsid w:val="00640F3F"/>
    <w:rsid w:val="00641ABA"/>
    <w:rsid w:val="00641ECC"/>
    <w:rsid w:val="006427BD"/>
    <w:rsid w:val="00642963"/>
    <w:rsid w:val="00642A2A"/>
    <w:rsid w:val="00642C4D"/>
    <w:rsid w:val="006432C1"/>
    <w:rsid w:val="0064338C"/>
    <w:rsid w:val="00643894"/>
    <w:rsid w:val="00643EB0"/>
    <w:rsid w:val="006453C4"/>
    <w:rsid w:val="006453C8"/>
    <w:rsid w:val="00646D2B"/>
    <w:rsid w:val="006474D6"/>
    <w:rsid w:val="00647A90"/>
    <w:rsid w:val="00647C34"/>
    <w:rsid w:val="00647D8F"/>
    <w:rsid w:val="006504C1"/>
    <w:rsid w:val="00650570"/>
    <w:rsid w:val="00650730"/>
    <w:rsid w:val="00650A64"/>
    <w:rsid w:val="00650B5A"/>
    <w:rsid w:val="00650E2B"/>
    <w:rsid w:val="00650F73"/>
    <w:rsid w:val="0065121E"/>
    <w:rsid w:val="0065146A"/>
    <w:rsid w:val="0065171A"/>
    <w:rsid w:val="0065171E"/>
    <w:rsid w:val="00651B32"/>
    <w:rsid w:val="00651C10"/>
    <w:rsid w:val="0065233E"/>
    <w:rsid w:val="006523CD"/>
    <w:rsid w:val="0065395D"/>
    <w:rsid w:val="00653D5B"/>
    <w:rsid w:val="006541D0"/>
    <w:rsid w:val="006544BA"/>
    <w:rsid w:val="006549B0"/>
    <w:rsid w:val="00654A5B"/>
    <w:rsid w:val="00654BB6"/>
    <w:rsid w:val="00654D83"/>
    <w:rsid w:val="00654FDF"/>
    <w:rsid w:val="00655C35"/>
    <w:rsid w:val="00655CCA"/>
    <w:rsid w:val="00655F0E"/>
    <w:rsid w:val="006565AD"/>
    <w:rsid w:val="00656EC6"/>
    <w:rsid w:val="00656FE2"/>
    <w:rsid w:val="00657313"/>
    <w:rsid w:val="00657670"/>
    <w:rsid w:val="006579F5"/>
    <w:rsid w:val="00657DE3"/>
    <w:rsid w:val="00660147"/>
    <w:rsid w:val="00660C00"/>
    <w:rsid w:val="00660C7B"/>
    <w:rsid w:val="00661CB3"/>
    <w:rsid w:val="00661F67"/>
    <w:rsid w:val="00662A8D"/>
    <w:rsid w:val="00662D44"/>
    <w:rsid w:val="00662E6E"/>
    <w:rsid w:val="00663126"/>
    <w:rsid w:val="006636CE"/>
    <w:rsid w:val="00663D90"/>
    <w:rsid w:val="00663F85"/>
    <w:rsid w:val="00664252"/>
    <w:rsid w:val="006642E0"/>
    <w:rsid w:val="00665404"/>
    <w:rsid w:val="00665A34"/>
    <w:rsid w:val="00665EA9"/>
    <w:rsid w:val="00665EE4"/>
    <w:rsid w:val="006661EF"/>
    <w:rsid w:val="00666B44"/>
    <w:rsid w:val="00666FA7"/>
    <w:rsid w:val="006671ED"/>
    <w:rsid w:val="00667269"/>
    <w:rsid w:val="00667DFA"/>
    <w:rsid w:val="00667EB7"/>
    <w:rsid w:val="006707CE"/>
    <w:rsid w:val="006707EB"/>
    <w:rsid w:val="006708D4"/>
    <w:rsid w:val="00670E80"/>
    <w:rsid w:val="006710CB"/>
    <w:rsid w:val="00671540"/>
    <w:rsid w:val="00671887"/>
    <w:rsid w:val="00671B03"/>
    <w:rsid w:val="00671CF5"/>
    <w:rsid w:val="00672195"/>
    <w:rsid w:val="006726BA"/>
    <w:rsid w:val="006727E1"/>
    <w:rsid w:val="006733AF"/>
    <w:rsid w:val="00673903"/>
    <w:rsid w:val="00674EF5"/>
    <w:rsid w:val="00675424"/>
    <w:rsid w:val="0067597D"/>
    <w:rsid w:val="0067617A"/>
    <w:rsid w:val="006768C8"/>
    <w:rsid w:val="00676A44"/>
    <w:rsid w:val="00677D75"/>
    <w:rsid w:val="00677DC8"/>
    <w:rsid w:val="0068106A"/>
    <w:rsid w:val="00681C74"/>
    <w:rsid w:val="00682019"/>
    <w:rsid w:val="00682DA7"/>
    <w:rsid w:val="0068326F"/>
    <w:rsid w:val="006834F0"/>
    <w:rsid w:val="006837B7"/>
    <w:rsid w:val="006841BD"/>
    <w:rsid w:val="00684978"/>
    <w:rsid w:val="00684B20"/>
    <w:rsid w:val="00685414"/>
    <w:rsid w:val="00685989"/>
    <w:rsid w:val="00685D5D"/>
    <w:rsid w:val="00685E73"/>
    <w:rsid w:val="0068671C"/>
    <w:rsid w:val="0068684C"/>
    <w:rsid w:val="00686889"/>
    <w:rsid w:val="00686B14"/>
    <w:rsid w:val="00686F63"/>
    <w:rsid w:val="006900C0"/>
    <w:rsid w:val="00690256"/>
    <w:rsid w:val="00690436"/>
    <w:rsid w:val="006908D8"/>
    <w:rsid w:val="00691ACF"/>
    <w:rsid w:val="00692238"/>
    <w:rsid w:val="0069360C"/>
    <w:rsid w:val="006943D8"/>
    <w:rsid w:val="006947D9"/>
    <w:rsid w:val="00694801"/>
    <w:rsid w:val="00694875"/>
    <w:rsid w:val="006948AE"/>
    <w:rsid w:val="006948C4"/>
    <w:rsid w:val="006949C9"/>
    <w:rsid w:val="00694D18"/>
    <w:rsid w:val="00694E7D"/>
    <w:rsid w:val="00695228"/>
    <w:rsid w:val="00695BBE"/>
    <w:rsid w:val="0069649F"/>
    <w:rsid w:val="006969F4"/>
    <w:rsid w:val="00696C56"/>
    <w:rsid w:val="00696EC4"/>
    <w:rsid w:val="00696F11"/>
    <w:rsid w:val="0069727D"/>
    <w:rsid w:val="0069737F"/>
    <w:rsid w:val="00697B93"/>
    <w:rsid w:val="006A044C"/>
    <w:rsid w:val="006A0F75"/>
    <w:rsid w:val="006A1505"/>
    <w:rsid w:val="006A1804"/>
    <w:rsid w:val="006A2286"/>
    <w:rsid w:val="006A2347"/>
    <w:rsid w:val="006A24BC"/>
    <w:rsid w:val="006A2B30"/>
    <w:rsid w:val="006A3C3F"/>
    <w:rsid w:val="006A3FB7"/>
    <w:rsid w:val="006A3FE5"/>
    <w:rsid w:val="006A433F"/>
    <w:rsid w:val="006A47A2"/>
    <w:rsid w:val="006A5061"/>
    <w:rsid w:val="006A5533"/>
    <w:rsid w:val="006A59C5"/>
    <w:rsid w:val="006A66FD"/>
    <w:rsid w:val="006A6B27"/>
    <w:rsid w:val="006A6F82"/>
    <w:rsid w:val="006A6F8F"/>
    <w:rsid w:val="006A733E"/>
    <w:rsid w:val="006A749B"/>
    <w:rsid w:val="006A7716"/>
    <w:rsid w:val="006A7B21"/>
    <w:rsid w:val="006A7C32"/>
    <w:rsid w:val="006A7F44"/>
    <w:rsid w:val="006B0003"/>
    <w:rsid w:val="006B03AE"/>
    <w:rsid w:val="006B0674"/>
    <w:rsid w:val="006B1133"/>
    <w:rsid w:val="006B15E2"/>
    <w:rsid w:val="006B1D9B"/>
    <w:rsid w:val="006B1F89"/>
    <w:rsid w:val="006B3258"/>
    <w:rsid w:val="006B3433"/>
    <w:rsid w:val="006B36D3"/>
    <w:rsid w:val="006B388D"/>
    <w:rsid w:val="006B3B7F"/>
    <w:rsid w:val="006B3B86"/>
    <w:rsid w:val="006B3E48"/>
    <w:rsid w:val="006B42FC"/>
    <w:rsid w:val="006B476F"/>
    <w:rsid w:val="006B4940"/>
    <w:rsid w:val="006B49F9"/>
    <w:rsid w:val="006B50B2"/>
    <w:rsid w:val="006B60EC"/>
    <w:rsid w:val="006B6131"/>
    <w:rsid w:val="006B64A1"/>
    <w:rsid w:val="006B69C4"/>
    <w:rsid w:val="006B6DA7"/>
    <w:rsid w:val="006B7620"/>
    <w:rsid w:val="006B767E"/>
    <w:rsid w:val="006B76D9"/>
    <w:rsid w:val="006B7D07"/>
    <w:rsid w:val="006C0365"/>
    <w:rsid w:val="006C03B1"/>
    <w:rsid w:val="006C061E"/>
    <w:rsid w:val="006C0EC4"/>
    <w:rsid w:val="006C1331"/>
    <w:rsid w:val="006C26C0"/>
    <w:rsid w:val="006C271E"/>
    <w:rsid w:val="006C277A"/>
    <w:rsid w:val="006C2809"/>
    <w:rsid w:val="006C2913"/>
    <w:rsid w:val="006C3214"/>
    <w:rsid w:val="006C32C0"/>
    <w:rsid w:val="006C3C56"/>
    <w:rsid w:val="006C409F"/>
    <w:rsid w:val="006C40D0"/>
    <w:rsid w:val="006C40DD"/>
    <w:rsid w:val="006C4441"/>
    <w:rsid w:val="006C4960"/>
    <w:rsid w:val="006C4D6E"/>
    <w:rsid w:val="006C4EBC"/>
    <w:rsid w:val="006C59D4"/>
    <w:rsid w:val="006C5ADE"/>
    <w:rsid w:val="006C6391"/>
    <w:rsid w:val="006C6747"/>
    <w:rsid w:val="006C7678"/>
    <w:rsid w:val="006D0497"/>
    <w:rsid w:val="006D0A39"/>
    <w:rsid w:val="006D0EA7"/>
    <w:rsid w:val="006D14F7"/>
    <w:rsid w:val="006D17BA"/>
    <w:rsid w:val="006D1C28"/>
    <w:rsid w:val="006D1C55"/>
    <w:rsid w:val="006D2A09"/>
    <w:rsid w:val="006D2ACE"/>
    <w:rsid w:val="006D3E41"/>
    <w:rsid w:val="006D4D7C"/>
    <w:rsid w:val="006D4D8C"/>
    <w:rsid w:val="006D5040"/>
    <w:rsid w:val="006D5101"/>
    <w:rsid w:val="006D5182"/>
    <w:rsid w:val="006D519A"/>
    <w:rsid w:val="006D5669"/>
    <w:rsid w:val="006D5737"/>
    <w:rsid w:val="006D62B1"/>
    <w:rsid w:val="006D666D"/>
    <w:rsid w:val="006D683A"/>
    <w:rsid w:val="006D6A72"/>
    <w:rsid w:val="006D6CD8"/>
    <w:rsid w:val="006D7140"/>
    <w:rsid w:val="006D719E"/>
    <w:rsid w:val="006D7240"/>
    <w:rsid w:val="006D7747"/>
    <w:rsid w:val="006D77CF"/>
    <w:rsid w:val="006D7C95"/>
    <w:rsid w:val="006D7E95"/>
    <w:rsid w:val="006E00C8"/>
    <w:rsid w:val="006E04DA"/>
    <w:rsid w:val="006E07A9"/>
    <w:rsid w:val="006E0942"/>
    <w:rsid w:val="006E0E64"/>
    <w:rsid w:val="006E1284"/>
    <w:rsid w:val="006E1DF2"/>
    <w:rsid w:val="006E24D5"/>
    <w:rsid w:val="006E2CA3"/>
    <w:rsid w:val="006E3F5C"/>
    <w:rsid w:val="006E479E"/>
    <w:rsid w:val="006E4AFF"/>
    <w:rsid w:val="006E4C63"/>
    <w:rsid w:val="006E5739"/>
    <w:rsid w:val="006E5A5E"/>
    <w:rsid w:val="006E64E6"/>
    <w:rsid w:val="006E6F12"/>
    <w:rsid w:val="006E73D2"/>
    <w:rsid w:val="006E7B25"/>
    <w:rsid w:val="006F0063"/>
    <w:rsid w:val="006F0A27"/>
    <w:rsid w:val="006F0AA7"/>
    <w:rsid w:val="006F0ED0"/>
    <w:rsid w:val="006F125D"/>
    <w:rsid w:val="006F143A"/>
    <w:rsid w:val="006F1742"/>
    <w:rsid w:val="006F1860"/>
    <w:rsid w:val="006F24C9"/>
    <w:rsid w:val="006F289B"/>
    <w:rsid w:val="006F3018"/>
    <w:rsid w:val="006F34E5"/>
    <w:rsid w:val="006F3D18"/>
    <w:rsid w:val="006F483E"/>
    <w:rsid w:val="006F4B2D"/>
    <w:rsid w:val="006F4B2F"/>
    <w:rsid w:val="006F5186"/>
    <w:rsid w:val="006F56C7"/>
    <w:rsid w:val="006F56E7"/>
    <w:rsid w:val="006F5BD6"/>
    <w:rsid w:val="006F6490"/>
    <w:rsid w:val="006F68B8"/>
    <w:rsid w:val="006F6DE0"/>
    <w:rsid w:val="006F784A"/>
    <w:rsid w:val="00700164"/>
    <w:rsid w:val="007001A1"/>
    <w:rsid w:val="007004FA"/>
    <w:rsid w:val="00701432"/>
    <w:rsid w:val="00701DDC"/>
    <w:rsid w:val="0070232E"/>
    <w:rsid w:val="0070256F"/>
    <w:rsid w:val="0070289F"/>
    <w:rsid w:val="007036FA"/>
    <w:rsid w:val="0070481A"/>
    <w:rsid w:val="00704C92"/>
    <w:rsid w:val="00704D85"/>
    <w:rsid w:val="00705860"/>
    <w:rsid w:val="0070591A"/>
    <w:rsid w:val="00705C64"/>
    <w:rsid w:val="00705C76"/>
    <w:rsid w:val="00705F49"/>
    <w:rsid w:val="00705FD9"/>
    <w:rsid w:val="007068B2"/>
    <w:rsid w:val="00706C66"/>
    <w:rsid w:val="00706E0F"/>
    <w:rsid w:val="00707338"/>
    <w:rsid w:val="00707406"/>
    <w:rsid w:val="007077BD"/>
    <w:rsid w:val="00707C27"/>
    <w:rsid w:val="00707C7F"/>
    <w:rsid w:val="00707D46"/>
    <w:rsid w:val="0071020B"/>
    <w:rsid w:val="0071027C"/>
    <w:rsid w:val="0071082C"/>
    <w:rsid w:val="007113EA"/>
    <w:rsid w:val="00711792"/>
    <w:rsid w:val="00711F27"/>
    <w:rsid w:val="00711F28"/>
    <w:rsid w:val="0071268B"/>
    <w:rsid w:val="00712B7F"/>
    <w:rsid w:val="00712D62"/>
    <w:rsid w:val="00713371"/>
    <w:rsid w:val="0071352E"/>
    <w:rsid w:val="00713A6B"/>
    <w:rsid w:val="00713DF5"/>
    <w:rsid w:val="007158D8"/>
    <w:rsid w:val="00716329"/>
    <w:rsid w:val="007165D4"/>
    <w:rsid w:val="00716EC2"/>
    <w:rsid w:val="00717952"/>
    <w:rsid w:val="00717DFC"/>
    <w:rsid w:val="00717F99"/>
    <w:rsid w:val="00720728"/>
    <w:rsid w:val="00720788"/>
    <w:rsid w:val="007209E1"/>
    <w:rsid w:val="00720B9B"/>
    <w:rsid w:val="00720D76"/>
    <w:rsid w:val="00721003"/>
    <w:rsid w:val="00721C3C"/>
    <w:rsid w:val="00721F1C"/>
    <w:rsid w:val="00721F69"/>
    <w:rsid w:val="00722970"/>
    <w:rsid w:val="00722EAC"/>
    <w:rsid w:val="0072371D"/>
    <w:rsid w:val="00724543"/>
    <w:rsid w:val="00724912"/>
    <w:rsid w:val="00724D36"/>
    <w:rsid w:val="00725675"/>
    <w:rsid w:val="007257F0"/>
    <w:rsid w:val="00726300"/>
    <w:rsid w:val="0072630D"/>
    <w:rsid w:val="0072639E"/>
    <w:rsid w:val="007263F8"/>
    <w:rsid w:val="007265C6"/>
    <w:rsid w:val="00726985"/>
    <w:rsid w:val="00726DC6"/>
    <w:rsid w:val="00727812"/>
    <w:rsid w:val="007301C0"/>
    <w:rsid w:val="00730B47"/>
    <w:rsid w:val="00731DC2"/>
    <w:rsid w:val="00732474"/>
    <w:rsid w:val="0073282A"/>
    <w:rsid w:val="0073314E"/>
    <w:rsid w:val="007333C4"/>
    <w:rsid w:val="00733997"/>
    <w:rsid w:val="00734851"/>
    <w:rsid w:val="007351EA"/>
    <w:rsid w:val="007361D0"/>
    <w:rsid w:val="00736F1D"/>
    <w:rsid w:val="00737AAA"/>
    <w:rsid w:val="00737B9F"/>
    <w:rsid w:val="00737C49"/>
    <w:rsid w:val="007400F4"/>
    <w:rsid w:val="007405F2"/>
    <w:rsid w:val="00742075"/>
    <w:rsid w:val="0074208E"/>
    <w:rsid w:val="00742146"/>
    <w:rsid w:val="007426F6"/>
    <w:rsid w:val="007427B6"/>
    <w:rsid w:val="007438A6"/>
    <w:rsid w:val="00743967"/>
    <w:rsid w:val="00744151"/>
    <w:rsid w:val="00744BCC"/>
    <w:rsid w:val="00744C80"/>
    <w:rsid w:val="007456D4"/>
    <w:rsid w:val="00746531"/>
    <w:rsid w:val="007470C3"/>
    <w:rsid w:val="00747B3D"/>
    <w:rsid w:val="00747C07"/>
    <w:rsid w:val="0075048C"/>
    <w:rsid w:val="00750B55"/>
    <w:rsid w:val="00750DDF"/>
    <w:rsid w:val="007514AA"/>
    <w:rsid w:val="00751938"/>
    <w:rsid w:val="00751E5F"/>
    <w:rsid w:val="00751F2A"/>
    <w:rsid w:val="007523CB"/>
    <w:rsid w:val="00752861"/>
    <w:rsid w:val="00752CAE"/>
    <w:rsid w:val="00754E33"/>
    <w:rsid w:val="00754E89"/>
    <w:rsid w:val="007552F4"/>
    <w:rsid w:val="0075567E"/>
    <w:rsid w:val="00755887"/>
    <w:rsid w:val="00755EE6"/>
    <w:rsid w:val="00756159"/>
    <w:rsid w:val="007562AA"/>
    <w:rsid w:val="00756600"/>
    <w:rsid w:val="00756E7D"/>
    <w:rsid w:val="00756E88"/>
    <w:rsid w:val="00756F2A"/>
    <w:rsid w:val="00757045"/>
    <w:rsid w:val="00757BB3"/>
    <w:rsid w:val="0076039A"/>
    <w:rsid w:val="0076053D"/>
    <w:rsid w:val="00760BC4"/>
    <w:rsid w:val="0076135C"/>
    <w:rsid w:val="0076191E"/>
    <w:rsid w:val="00761FD1"/>
    <w:rsid w:val="007621C1"/>
    <w:rsid w:val="007621D1"/>
    <w:rsid w:val="00763077"/>
    <w:rsid w:val="007632DA"/>
    <w:rsid w:val="00763890"/>
    <w:rsid w:val="00763A98"/>
    <w:rsid w:val="00763DE5"/>
    <w:rsid w:val="007643BE"/>
    <w:rsid w:val="0076535A"/>
    <w:rsid w:val="00765EB6"/>
    <w:rsid w:val="00765F26"/>
    <w:rsid w:val="0076606A"/>
    <w:rsid w:val="0076623B"/>
    <w:rsid w:val="007664C2"/>
    <w:rsid w:val="00766DCB"/>
    <w:rsid w:val="00767E49"/>
    <w:rsid w:val="0077031B"/>
    <w:rsid w:val="007703E9"/>
    <w:rsid w:val="00770EB0"/>
    <w:rsid w:val="00771446"/>
    <w:rsid w:val="00771935"/>
    <w:rsid w:val="0077260C"/>
    <w:rsid w:val="00772649"/>
    <w:rsid w:val="007731D7"/>
    <w:rsid w:val="007732DA"/>
    <w:rsid w:val="007733A3"/>
    <w:rsid w:val="007733C5"/>
    <w:rsid w:val="0077389E"/>
    <w:rsid w:val="00773C7B"/>
    <w:rsid w:val="00773D02"/>
    <w:rsid w:val="00773D15"/>
    <w:rsid w:val="007741AC"/>
    <w:rsid w:val="0077450F"/>
    <w:rsid w:val="00774948"/>
    <w:rsid w:val="007752D6"/>
    <w:rsid w:val="00776674"/>
    <w:rsid w:val="007769E8"/>
    <w:rsid w:val="00776A47"/>
    <w:rsid w:val="00776B0D"/>
    <w:rsid w:val="00776B22"/>
    <w:rsid w:val="00777565"/>
    <w:rsid w:val="007776AD"/>
    <w:rsid w:val="00781FBB"/>
    <w:rsid w:val="0078230E"/>
    <w:rsid w:val="007836CC"/>
    <w:rsid w:val="00783754"/>
    <w:rsid w:val="00783E0E"/>
    <w:rsid w:val="007843E7"/>
    <w:rsid w:val="00784430"/>
    <w:rsid w:val="00784CC3"/>
    <w:rsid w:val="007855FC"/>
    <w:rsid w:val="00785B31"/>
    <w:rsid w:val="0078605E"/>
    <w:rsid w:val="00786184"/>
    <w:rsid w:val="0078631B"/>
    <w:rsid w:val="0078643E"/>
    <w:rsid w:val="00787F7F"/>
    <w:rsid w:val="00790BC6"/>
    <w:rsid w:val="00790F3B"/>
    <w:rsid w:val="007913BF"/>
    <w:rsid w:val="0079175D"/>
    <w:rsid w:val="0079260E"/>
    <w:rsid w:val="00792780"/>
    <w:rsid w:val="007928BB"/>
    <w:rsid w:val="00792A37"/>
    <w:rsid w:val="007930A6"/>
    <w:rsid w:val="00793832"/>
    <w:rsid w:val="007940B0"/>
    <w:rsid w:val="00794366"/>
    <w:rsid w:val="0079437B"/>
    <w:rsid w:val="00794524"/>
    <w:rsid w:val="00794A97"/>
    <w:rsid w:val="00794E53"/>
    <w:rsid w:val="00794F27"/>
    <w:rsid w:val="007953B4"/>
    <w:rsid w:val="007954E2"/>
    <w:rsid w:val="00795705"/>
    <w:rsid w:val="00795743"/>
    <w:rsid w:val="00795C32"/>
    <w:rsid w:val="00795DD2"/>
    <w:rsid w:val="00796021"/>
    <w:rsid w:val="007960B6"/>
    <w:rsid w:val="00796114"/>
    <w:rsid w:val="0079778C"/>
    <w:rsid w:val="007A0007"/>
    <w:rsid w:val="007A042A"/>
    <w:rsid w:val="007A098D"/>
    <w:rsid w:val="007A1339"/>
    <w:rsid w:val="007A14B9"/>
    <w:rsid w:val="007A1643"/>
    <w:rsid w:val="007A2484"/>
    <w:rsid w:val="007A2557"/>
    <w:rsid w:val="007A273A"/>
    <w:rsid w:val="007A3F1E"/>
    <w:rsid w:val="007A3F36"/>
    <w:rsid w:val="007A40DC"/>
    <w:rsid w:val="007A43F5"/>
    <w:rsid w:val="007A5679"/>
    <w:rsid w:val="007A5A0D"/>
    <w:rsid w:val="007A6450"/>
    <w:rsid w:val="007A64F1"/>
    <w:rsid w:val="007A7045"/>
    <w:rsid w:val="007A7D0E"/>
    <w:rsid w:val="007B0A02"/>
    <w:rsid w:val="007B130C"/>
    <w:rsid w:val="007B18DA"/>
    <w:rsid w:val="007B2414"/>
    <w:rsid w:val="007B2744"/>
    <w:rsid w:val="007B2894"/>
    <w:rsid w:val="007B2CE2"/>
    <w:rsid w:val="007B48A5"/>
    <w:rsid w:val="007B4AFC"/>
    <w:rsid w:val="007B514E"/>
    <w:rsid w:val="007B5489"/>
    <w:rsid w:val="007B559F"/>
    <w:rsid w:val="007B574C"/>
    <w:rsid w:val="007B58AE"/>
    <w:rsid w:val="007B58E1"/>
    <w:rsid w:val="007B624F"/>
    <w:rsid w:val="007B675D"/>
    <w:rsid w:val="007B72BA"/>
    <w:rsid w:val="007B7344"/>
    <w:rsid w:val="007B76C7"/>
    <w:rsid w:val="007B7720"/>
    <w:rsid w:val="007B789F"/>
    <w:rsid w:val="007C03CF"/>
    <w:rsid w:val="007C0C7F"/>
    <w:rsid w:val="007C0D5A"/>
    <w:rsid w:val="007C1746"/>
    <w:rsid w:val="007C1A88"/>
    <w:rsid w:val="007C1B78"/>
    <w:rsid w:val="007C1D28"/>
    <w:rsid w:val="007C1F73"/>
    <w:rsid w:val="007C26D7"/>
    <w:rsid w:val="007C2A5A"/>
    <w:rsid w:val="007C30BE"/>
    <w:rsid w:val="007C3562"/>
    <w:rsid w:val="007C3573"/>
    <w:rsid w:val="007C3A51"/>
    <w:rsid w:val="007C3B7C"/>
    <w:rsid w:val="007C3DDF"/>
    <w:rsid w:val="007C40A1"/>
    <w:rsid w:val="007C46AC"/>
    <w:rsid w:val="007C4E1C"/>
    <w:rsid w:val="007C5154"/>
    <w:rsid w:val="007C5463"/>
    <w:rsid w:val="007C54A9"/>
    <w:rsid w:val="007C6062"/>
    <w:rsid w:val="007C6565"/>
    <w:rsid w:val="007C6682"/>
    <w:rsid w:val="007C6928"/>
    <w:rsid w:val="007C693E"/>
    <w:rsid w:val="007D0B4A"/>
    <w:rsid w:val="007D119F"/>
    <w:rsid w:val="007D199A"/>
    <w:rsid w:val="007D1A2D"/>
    <w:rsid w:val="007D1ADD"/>
    <w:rsid w:val="007D2570"/>
    <w:rsid w:val="007D2E5B"/>
    <w:rsid w:val="007D330C"/>
    <w:rsid w:val="007D3885"/>
    <w:rsid w:val="007D42BB"/>
    <w:rsid w:val="007D4CC7"/>
    <w:rsid w:val="007D4F10"/>
    <w:rsid w:val="007D4FB7"/>
    <w:rsid w:val="007D5689"/>
    <w:rsid w:val="007D5860"/>
    <w:rsid w:val="007D5979"/>
    <w:rsid w:val="007D5C78"/>
    <w:rsid w:val="007D6781"/>
    <w:rsid w:val="007D6DD0"/>
    <w:rsid w:val="007D725B"/>
    <w:rsid w:val="007D75D6"/>
    <w:rsid w:val="007D7F65"/>
    <w:rsid w:val="007E00E7"/>
    <w:rsid w:val="007E0198"/>
    <w:rsid w:val="007E023C"/>
    <w:rsid w:val="007E0AF7"/>
    <w:rsid w:val="007E156A"/>
    <w:rsid w:val="007E17D4"/>
    <w:rsid w:val="007E1CBC"/>
    <w:rsid w:val="007E2086"/>
    <w:rsid w:val="007E2409"/>
    <w:rsid w:val="007E2816"/>
    <w:rsid w:val="007E281D"/>
    <w:rsid w:val="007E33D2"/>
    <w:rsid w:val="007E3714"/>
    <w:rsid w:val="007E3755"/>
    <w:rsid w:val="007E37B5"/>
    <w:rsid w:val="007E3C4A"/>
    <w:rsid w:val="007E42A6"/>
    <w:rsid w:val="007E4A3A"/>
    <w:rsid w:val="007E545E"/>
    <w:rsid w:val="007E5593"/>
    <w:rsid w:val="007E5640"/>
    <w:rsid w:val="007E58E5"/>
    <w:rsid w:val="007E5B2C"/>
    <w:rsid w:val="007E5B30"/>
    <w:rsid w:val="007E5BE5"/>
    <w:rsid w:val="007E66A4"/>
    <w:rsid w:val="007E7475"/>
    <w:rsid w:val="007E75B5"/>
    <w:rsid w:val="007E7895"/>
    <w:rsid w:val="007E7C6A"/>
    <w:rsid w:val="007E7D02"/>
    <w:rsid w:val="007F0D75"/>
    <w:rsid w:val="007F13D1"/>
    <w:rsid w:val="007F211C"/>
    <w:rsid w:val="007F2657"/>
    <w:rsid w:val="007F32BB"/>
    <w:rsid w:val="007F4020"/>
    <w:rsid w:val="007F4109"/>
    <w:rsid w:val="007F51CE"/>
    <w:rsid w:val="007F51F5"/>
    <w:rsid w:val="007F5B11"/>
    <w:rsid w:val="007F5E94"/>
    <w:rsid w:val="007F641C"/>
    <w:rsid w:val="007F68BC"/>
    <w:rsid w:val="007F694A"/>
    <w:rsid w:val="007F6CD4"/>
    <w:rsid w:val="007F6F4C"/>
    <w:rsid w:val="007F7013"/>
    <w:rsid w:val="007F75D3"/>
    <w:rsid w:val="007F7645"/>
    <w:rsid w:val="007F76CA"/>
    <w:rsid w:val="00800225"/>
    <w:rsid w:val="008002C9"/>
    <w:rsid w:val="00800F7E"/>
    <w:rsid w:val="00801A7F"/>
    <w:rsid w:val="0080248B"/>
    <w:rsid w:val="00803E4E"/>
    <w:rsid w:val="00804246"/>
    <w:rsid w:val="00804524"/>
    <w:rsid w:val="00804644"/>
    <w:rsid w:val="008048A7"/>
    <w:rsid w:val="00804B80"/>
    <w:rsid w:val="00804E0A"/>
    <w:rsid w:val="008051B6"/>
    <w:rsid w:val="00805301"/>
    <w:rsid w:val="00805FD9"/>
    <w:rsid w:val="008064AE"/>
    <w:rsid w:val="00806A9A"/>
    <w:rsid w:val="00806AAF"/>
    <w:rsid w:val="00806EB8"/>
    <w:rsid w:val="00806F5F"/>
    <w:rsid w:val="0080702F"/>
    <w:rsid w:val="008077D0"/>
    <w:rsid w:val="00807D02"/>
    <w:rsid w:val="00807F8D"/>
    <w:rsid w:val="008107ED"/>
    <w:rsid w:val="00811051"/>
    <w:rsid w:val="008110CC"/>
    <w:rsid w:val="008112C0"/>
    <w:rsid w:val="0081204F"/>
    <w:rsid w:val="0081228B"/>
    <w:rsid w:val="008122B1"/>
    <w:rsid w:val="008130F0"/>
    <w:rsid w:val="00813C0D"/>
    <w:rsid w:val="0081466A"/>
    <w:rsid w:val="008146DB"/>
    <w:rsid w:val="00814D5A"/>
    <w:rsid w:val="008163FD"/>
    <w:rsid w:val="0081641F"/>
    <w:rsid w:val="008169F4"/>
    <w:rsid w:val="00817F4A"/>
    <w:rsid w:val="008203DC"/>
    <w:rsid w:val="00820940"/>
    <w:rsid w:val="0082121D"/>
    <w:rsid w:val="008214A6"/>
    <w:rsid w:val="008215B4"/>
    <w:rsid w:val="008217C6"/>
    <w:rsid w:val="00821D2D"/>
    <w:rsid w:val="00822318"/>
    <w:rsid w:val="00822F64"/>
    <w:rsid w:val="00823226"/>
    <w:rsid w:val="008237A0"/>
    <w:rsid w:val="008239EA"/>
    <w:rsid w:val="00823BA1"/>
    <w:rsid w:val="00823D98"/>
    <w:rsid w:val="00824DD0"/>
    <w:rsid w:val="008255AB"/>
    <w:rsid w:val="00825958"/>
    <w:rsid w:val="00825A73"/>
    <w:rsid w:val="00826578"/>
    <w:rsid w:val="008268AF"/>
    <w:rsid w:val="008275D0"/>
    <w:rsid w:val="00827851"/>
    <w:rsid w:val="00827B65"/>
    <w:rsid w:val="008300DD"/>
    <w:rsid w:val="008304A2"/>
    <w:rsid w:val="00830953"/>
    <w:rsid w:val="00830ACC"/>
    <w:rsid w:val="00830E73"/>
    <w:rsid w:val="00830E8D"/>
    <w:rsid w:val="008311BA"/>
    <w:rsid w:val="008315B9"/>
    <w:rsid w:val="00831713"/>
    <w:rsid w:val="00831B0F"/>
    <w:rsid w:val="00831FB8"/>
    <w:rsid w:val="00832261"/>
    <w:rsid w:val="00832486"/>
    <w:rsid w:val="00832BEE"/>
    <w:rsid w:val="00832C85"/>
    <w:rsid w:val="00833049"/>
    <w:rsid w:val="008331D9"/>
    <w:rsid w:val="0083326D"/>
    <w:rsid w:val="008332CE"/>
    <w:rsid w:val="008334DD"/>
    <w:rsid w:val="00833965"/>
    <w:rsid w:val="0083442D"/>
    <w:rsid w:val="00834443"/>
    <w:rsid w:val="008344AE"/>
    <w:rsid w:val="008349CF"/>
    <w:rsid w:val="00835197"/>
    <w:rsid w:val="008361E9"/>
    <w:rsid w:val="008362D6"/>
    <w:rsid w:val="008365B3"/>
    <w:rsid w:val="00836722"/>
    <w:rsid w:val="0083675D"/>
    <w:rsid w:val="00836CEE"/>
    <w:rsid w:val="0083712B"/>
    <w:rsid w:val="00837648"/>
    <w:rsid w:val="00837793"/>
    <w:rsid w:val="00837820"/>
    <w:rsid w:val="00840D45"/>
    <w:rsid w:val="00841131"/>
    <w:rsid w:val="00841FDA"/>
    <w:rsid w:val="008421A4"/>
    <w:rsid w:val="0084227E"/>
    <w:rsid w:val="008422DB"/>
    <w:rsid w:val="008423A2"/>
    <w:rsid w:val="008428C6"/>
    <w:rsid w:val="008434C7"/>
    <w:rsid w:val="008437F2"/>
    <w:rsid w:val="00844313"/>
    <w:rsid w:val="008445C9"/>
    <w:rsid w:val="00844E26"/>
    <w:rsid w:val="008451C7"/>
    <w:rsid w:val="00845625"/>
    <w:rsid w:val="00845C6E"/>
    <w:rsid w:val="00846360"/>
    <w:rsid w:val="00846534"/>
    <w:rsid w:val="00846A23"/>
    <w:rsid w:val="0084731E"/>
    <w:rsid w:val="00847B2E"/>
    <w:rsid w:val="008522FA"/>
    <w:rsid w:val="00852CC3"/>
    <w:rsid w:val="00852CE8"/>
    <w:rsid w:val="008532E6"/>
    <w:rsid w:val="0085372E"/>
    <w:rsid w:val="0085386B"/>
    <w:rsid w:val="008539C8"/>
    <w:rsid w:val="00853D75"/>
    <w:rsid w:val="00853EF1"/>
    <w:rsid w:val="00854065"/>
    <w:rsid w:val="008545B3"/>
    <w:rsid w:val="008549D5"/>
    <w:rsid w:val="00855143"/>
    <w:rsid w:val="00855CEC"/>
    <w:rsid w:val="008564E7"/>
    <w:rsid w:val="008569B9"/>
    <w:rsid w:val="0085770A"/>
    <w:rsid w:val="00860B77"/>
    <w:rsid w:val="00860DE0"/>
    <w:rsid w:val="008612A8"/>
    <w:rsid w:val="00861416"/>
    <w:rsid w:val="00861592"/>
    <w:rsid w:val="0086179E"/>
    <w:rsid w:val="00861849"/>
    <w:rsid w:val="008618E8"/>
    <w:rsid w:val="00861EAE"/>
    <w:rsid w:val="00862BB9"/>
    <w:rsid w:val="00862D77"/>
    <w:rsid w:val="00862EFD"/>
    <w:rsid w:val="0086330F"/>
    <w:rsid w:val="0086370A"/>
    <w:rsid w:val="00863BAA"/>
    <w:rsid w:val="00863C36"/>
    <w:rsid w:val="0086426C"/>
    <w:rsid w:val="0086465F"/>
    <w:rsid w:val="00865018"/>
    <w:rsid w:val="00866552"/>
    <w:rsid w:val="00866753"/>
    <w:rsid w:val="00867204"/>
    <w:rsid w:val="00867DD9"/>
    <w:rsid w:val="0087039B"/>
    <w:rsid w:val="0087041F"/>
    <w:rsid w:val="008705B4"/>
    <w:rsid w:val="00870907"/>
    <w:rsid w:val="00870CEE"/>
    <w:rsid w:val="008710BC"/>
    <w:rsid w:val="00871185"/>
    <w:rsid w:val="00871687"/>
    <w:rsid w:val="0087175D"/>
    <w:rsid w:val="008718B4"/>
    <w:rsid w:val="00871B8F"/>
    <w:rsid w:val="00871E9D"/>
    <w:rsid w:val="008721F3"/>
    <w:rsid w:val="008723E2"/>
    <w:rsid w:val="00872C4F"/>
    <w:rsid w:val="00873014"/>
    <w:rsid w:val="00873317"/>
    <w:rsid w:val="00873347"/>
    <w:rsid w:val="008733C0"/>
    <w:rsid w:val="00873B69"/>
    <w:rsid w:val="00873F21"/>
    <w:rsid w:val="008753F0"/>
    <w:rsid w:val="008755D4"/>
    <w:rsid w:val="008758E8"/>
    <w:rsid w:val="00875B0D"/>
    <w:rsid w:val="00875DF8"/>
    <w:rsid w:val="00875FAB"/>
    <w:rsid w:val="008765D7"/>
    <w:rsid w:val="00876B18"/>
    <w:rsid w:val="00877160"/>
    <w:rsid w:val="008774CF"/>
    <w:rsid w:val="008775D0"/>
    <w:rsid w:val="008776C3"/>
    <w:rsid w:val="00877C02"/>
    <w:rsid w:val="00877E38"/>
    <w:rsid w:val="0088022B"/>
    <w:rsid w:val="008816EE"/>
    <w:rsid w:val="008820EF"/>
    <w:rsid w:val="008821D5"/>
    <w:rsid w:val="008822BA"/>
    <w:rsid w:val="00882680"/>
    <w:rsid w:val="008827F2"/>
    <w:rsid w:val="00882BA7"/>
    <w:rsid w:val="0088377C"/>
    <w:rsid w:val="008838A3"/>
    <w:rsid w:val="00883DE6"/>
    <w:rsid w:val="00883F4B"/>
    <w:rsid w:val="0088430E"/>
    <w:rsid w:val="00884460"/>
    <w:rsid w:val="0088481F"/>
    <w:rsid w:val="008850D7"/>
    <w:rsid w:val="00885BF9"/>
    <w:rsid w:val="008866C1"/>
    <w:rsid w:val="00886B9E"/>
    <w:rsid w:val="00886D95"/>
    <w:rsid w:val="00887032"/>
    <w:rsid w:val="00887229"/>
    <w:rsid w:val="0088727C"/>
    <w:rsid w:val="00887613"/>
    <w:rsid w:val="008902A5"/>
    <w:rsid w:val="0089068F"/>
    <w:rsid w:val="00890AD1"/>
    <w:rsid w:val="00891909"/>
    <w:rsid w:val="00891997"/>
    <w:rsid w:val="00891B01"/>
    <w:rsid w:val="00891CF6"/>
    <w:rsid w:val="008922F2"/>
    <w:rsid w:val="00892346"/>
    <w:rsid w:val="0089237D"/>
    <w:rsid w:val="008923C4"/>
    <w:rsid w:val="00892669"/>
    <w:rsid w:val="008928D3"/>
    <w:rsid w:val="00892F8E"/>
    <w:rsid w:val="00893A4D"/>
    <w:rsid w:val="00893DF7"/>
    <w:rsid w:val="00893F76"/>
    <w:rsid w:val="00894121"/>
    <w:rsid w:val="00894551"/>
    <w:rsid w:val="008945E5"/>
    <w:rsid w:val="00894602"/>
    <w:rsid w:val="00894959"/>
    <w:rsid w:val="00894C69"/>
    <w:rsid w:val="008952B5"/>
    <w:rsid w:val="00895A78"/>
    <w:rsid w:val="008965EF"/>
    <w:rsid w:val="0089679A"/>
    <w:rsid w:val="0089696E"/>
    <w:rsid w:val="00896B17"/>
    <w:rsid w:val="0089782D"/>
    <w:rsid w:val="00897D52"/>
    <w:rsid w:val="008A000C"/>
    <w:rsid w:val="008A05E7"/>
    <w:rsid w:val="008A09E4"/>
    <w:rsid w:val="008A115E"/>
    <w:rsid w:val="008A169D"/>
    <w:rsid w:val="008A2246"/>
    <w:rsid w:val="008A2731"/>
    <w:rsid w:val="008A3C01"/>
    <w:rsid w:val="008A3D54"/>
    <w:rsid w:val="008A3D95"/>
    <w:rsid w:val="008A3E2B"/>
    <w:rsid w:val="008A4D53"/>
    <w:rsid w:val="008A5107"/>
    <w:rsid w:val="008A52A9"/>
    <w:rsid w:val="008A53E0"/>
    <w:rsid w:val="008A547E"/>
    <w:rsid w:val="008A55B7"/>
    <w:rsid w:val="008A57AE"/>
    <w:rsid w:val="008A599A"/>
    <w:rsid w:val="008A59F4"/>
    <w:rsid w:val="008A5B70"/>
    <w:rsid w:val="008A6195"/>
    <w:rsid w:val="008A61B6"/>
    <w:rsid w:val="008A6C31"/>
    <w:rsid w:val="008A7096"/>
    <w:rsid w:val="008B06AB"/>
    <w:rsid w:val="008B079A"/>
    <w:rsid w:val="008B0BC6"/>
    <w:rsid w:val="008B122C"/>
    <w:rsid w:val="008B1759"/>
    <w:rsid w:val="008B1AA9"/>
    <w:rsid w:val="008B28FC"/>
    <w:rsid w:val="008B2A6B"/>
    <w:rsid w:val="008B2B81"/>
    <w:rsid w:val="008B3C94"/>
    <w:rsid w:val="008B3DE6"/>
    <w:rsid w:val="008B4BA2"/>
    <w:rsid w:val="008B4C2D"/>
    <w:rsid w:val="008B4D8B"/>
    <w:rsid w:val="008B5877"/>
    <w:rsid w:val="008B58E7"/>
    <w:rsid w:val="008B7041"/>
    <w:rsid w:val="008B76E6"/>
    <w:rsid w:val="008B77C1"/>
    <w:rsid w:val="008B7BBA"/>
    <w:rsid w:val="008B7D76"/>
    <w:rsid w:val="008B7E18"/>
    <w:rsid w:val="008C1DEA"/>
    <w:rsid w:val="008C2254"/>
    <w:rsid w:val="008C262F"/>
    <w:rsid w:val="008C269B"/>
    <w:rsid w:val="008C2EC4"/>
    <w:rsid w:val="008C353B"/>
    <w:rsid w:val="008C3968"/>
    <w:rsid w:val="008C399D"/>
    <w:rsid w:val="008C3A27"/>
    <w:rsid w:val="008C4009"/>
    <w:rsid w:val="008C4106"/>
    <w:rsid w:val="008C41AA"/>
    <w:rsid w:val="008C4243"/>
    <w:rsid w:val="008C4486"/>
    <w:rsid w:val="008C4C06"/>
    <w:rsid w:val="008C5282"/>
    <w:rsid w:val="008C5AAE"/>
    <w:rsid w:val="008C5CF9"/>
    <w:rsid w:val="008C5D44"/>
    <w:rsid w:val="008C6224"/>
    <w:rsid w:val="008C698B"/>
    <w:rsid w:val="008C6A66"/>
    <w:rsid w:val="008C6A86"/>
    <w:rsid w:val="008C6D38"/>
    <w:rsid w:val="008C6F84"/>
    <w:rsid w:val="008C7BA4"/>
    <w:rsid w:val="008C7DD8"/>
    <w:rsid w:val="008D261F"/>
    <w:rsid w:val="008D26C6"/>
    <w:rsid w:val="008D2B1B"/>
    <w:rsid w:val="008D3392"/>
    <w:rsid w:val="008D37F9"/>
    <w:rsid w:val="008D3FD2"/>
    <w:rsid w:val="008D40CC"/>
    <w:rsid w:val="008D43A9"/>
    <w:rsid w:val="008D5057"/>
    <w:rsid w:val="008D53FE"/>
    <w:rsid w:val="008D56CB"/>
    <w:rsid w:val="008D57D7"/>
    <w:rsid w:val="008D590E"/>
    <w:rsid w:val="008D67B2"/>
    <w:rsid w:val="008D67C5"/>
    <w:rsid w:val="008D6880"/>
    <w:rsid w:val="008D6938"/>
    <w:rsid w:val="008D6D55"/>
    <w:rsid w:val="008D6E6C"/>
    <w:rsid w:val="008D70F7"/>
    <w:rsid w:val="008D7406"/>
    <w:rsid w:val="008D76BD"/>
    <w:rsid w:val="008D799B"/>
    <w:rsid w:val="008D7F07"/>
    <w:rsid w:val="008E013E"/>
    <w:rsid w:val="008E015C"/>
    <w:rsid w:val="008E01C4"/>
    <w:rsid w:val="008E061F"/>
    <w:rsid w:val="008E07DF"/>
    <w:rsid w:val="008E094C"/>
    <w:rsid w:val="008E0A77"/>
    <w:rsid w:val="008E0AA5"/>
    <w:rsid w:val="008E18D4"/>
    <w:rsid w:val="008E1913"/>
    <w:rsid w:val="008E1F41"/>
    <w:rsid w:val="008E2BAF"/>
    <w:rsid w:val="008E2C38"/>
    <w:rsid w:val="008E2C9F"/>
    <w:rsid w:val="008E2CFD"/>
    <w:rsid w:val="008E2FEA"/>
    <w:rsid w:val="008E3183"/>
    <w:rsid w:val="008E3243"/>
    <w:rsid w:val="008E3ACA"/>
    <w:rsid w:val="008E40C9"/>
    <w:rsid w:val="008E4D8C"/>
    <w:rsid w:val="008E4DEE"/>
    <w:rsid w:val="008E4EBE"/>
    <w:rsid w:val="008E513E"/>
    <w:rsid w:val="008E5178"/>
    <w:rsid w:val="008E5583"/>
    <w:rsid w:val="008E5681"/>
    <w:rsid w:val="008E5C60"/>
    <w:rsid w:val="008E6274"/>
    <w:rsid w:val="008E6359"/>
    <w:rsid w:val="008E64BE"/>
    <w:rsid w:val="008E665E"/>
    <w:rsid w:val="008E69F7"/>
    <w:rsid w:val="008E6CA6"/>
    <w:rsid w:val="008E7035"/>
    <w:rsid w:val="008E7808"/>
    <w:rsid w:val="008E7D41"/>
    <w:rsid w:val="008E7E25"/>
    <w:rsid w:val="008E7E7A"/>
    <w:rsid w:val="008F0263"/>
    <w:rsid w:val="008F0CA6"/>
    <w:rsid w:val="008F0D94"/>
    <w:rsid w:val="008F0F25"/>
    <w:rsid w:val="008F118E"/>
    <w:rsid w:val="008F1396"/>
    <w:rsid w:val="008F14A2"/>
    <w:rsid w:val="008F1508"/>
    <w:rsid w:val="008F1735"/>
    <w:rsid w:val="008F1779"/>
    <w:rsid w:val="008F190E"/>
    <w:rsid w:val="008F1D81"/>
    <w:rsid w:val="008F25DB"/>
    <w:rsid w:val="008F26FF"/>
    <w:rsid w:val="008F2C07"/>
    <w:rsid w:val="008F301A"/>
    <w:rsid w:val="008F3704"/>
    <w:rsid w:val="008F3D79"/>
    <w:rsid w:val="008F412E"/>
    <w:rsid w:val="008F43B2"/>
    <w:rsid w:val="008F4866"/>
    <w:rsid w:val="008F4980"/>
    <w:rsid w:val="008F4F49"/>
    <w:rsid w:val="008F5D31"/>
    <w:rsid w:val="008F5D73"/>
    <w:rsid w:val="008F6332"/>
    <w:rsid w:val="008F678F"/>
    <w:rsid w:val="008F6E30"/>
    <w:rsid w:val="008F7AE4"/>
    <w:rsid w:val="008F7D42"/>
    <w:rsid w:val="00900852"/>
    <w:rsid w:val="00900C47"/>
    <w:rsid w:val="00900CA6"/>
    <w:rsid w:val="00900CA9"/>
    <w:rsid w:val="00901230"/>
    <w:rsid w:val="0090129C"/>
    <w:rsid w:val="00901480"/>
    <w:rsid w:val="00901FD0"/>
    <w:rsid w:val="00902EDF"/>
    <w:rsid w:val="00903348"/>
    <w:rsid w:val="0090339E"/>
    <w:rsid w:val="0090388D"/>
    <w:rsid w:val="00903961"/>
    <w:rsid w:val="009044A2"/>
    <w:rsid w:val="00904981"/>
    <w:rsid w:val="009049EC"/>
    <w:rsid w:val="00905697"/>
    <w:rsid w:val="0090578E"/>
    <w:rsid w:val="00905BB8"/>
    <w:rsid w:val="00905C97"/>
    <w:rsid w:val="00905CB1"/>
    <w:rsid w:val="00905CC0"/>
    <w:rsid w:val="00905D81"/>
    <w:rsid w:val="009063C2"/>
    <w:rsid w:val="00906B94"/>
    <w:rsid w:val="00906C89"/>
    <w:rsid w:val="009072F1"/>
    <w:rsid w:val="00907387"/>
    <w:rsid w:val="00907A15"/>
    <w:rsid w:val="00907D88"/>
    <w:rsid w:val="0091013F"/>
    <w:rsid w:val="009101C1"/>
    <w:rsid w:val="0091023D"/>
    <w:rsid w:val="009102A6"/>
    <w:rsid w:val="00910A44"/>
    <w:rsid w:val="00910E43"/>
    <w:rsid w:val="00910F1D"/>
    <w:rsid w:val="009115DE"/>
    <w:rsid w:val="00911BC3"/>
    <w:rsid w:val="00911CF0"/>
    <w:rsid w:val="00911FC7"/>
    <w:rsid w:val="00912BAC"/>
    <w:rsid w:val="00913D20"/>
    <w:rsid w:val="00913ED7"/>
    <w:rsid w:val="00914100"/>
    <w:rsid w:val="00914881"/>
    <w:rsid w:val="00914A53"/>
    <w:rsid w:val="00914AB1"/>
    <w:rsid w:val="0091505E"/>
    <w:rsid w:val="00916DA2"/>
    <w:rsid w:val="00917EAF"/>
    <w:rsid w:val="00920182"/>
    <w:rsid w:val="009206DC"/>
    <w:rsid w:val="00921994"/>
    <w:rsid w:val="00921D98"/>
    <w:rsid w:val="00922240"/>
    <w:rsid w:val="009227EE"/>
    <w:rsid w:val="00922D7C"/>
    <w:rsid w:val="0092369C"/>
    <w:rsid w:val="009239D3"/>
    <w:rsid w:val="009246EE"/>
    <w:rsid w:val="00924E09"/>
    <w:rsid w:val="009252FE"/>
    <w:rsid w:val="00925567"/>
    <w:rsid w:val="00925D3C"/>
    <w:rsid w:val="00925EF3"/>
    <w:rsid w:val="0092617E"/>
    <w:rsid w:val="00926CA2"/>
    <w:rsid w:val="009271D6"/>
    <w:rsid w:val="00927317"/>
    <w:rsid w:val="00927404"/>
    <w:rsid w:val="00927D1E"/>
    <w:rsid w:val="009302D3"/>
    <w:rsid w:val="009308E9"/>
    <w:rsid w:val="009308F5"/>
    <w:rsid w:val="00930C56"/>
    <w:rsid w:val="009318B2"/>
    <w:rsid w:val="009318EF"/>
    <w:rsid w:val="00931C65"/>
    <w:rsid w:val="00931CD8"/>
    <w:rsid w:val="00932F23"/>
    <w:rsid w:val="00933419"/>
    <w:rsid w:val="0093386E"/>
    <w:rsid w:val="00933BB7"/>
    <w:rsid w:val="00934407"/>
    <w:rsid w:val="009352B1"/>
    <w:rsid w:val="0093557A"/>
    <w:rsid w:val="009357ED"/>
    <w:rsid w:val="009359E7"/>
    <w:rsid w:val="00935A76"/>
    <w:rsid w:val="00935D15"/>
    <w:rsid w:val="0093604A"/>
    <w:rsid w:val="0093613E"/>
    <w:rsid w:val="00936556"/>
    <w:rsid w:val="0093699B"/>
    <w:rsid w:val="009369D5"/>
    <w:rsid w:val="00936F4C"/>
    <w:rsid w:val="00937392"/>
    <w:rsid w:val="00937CA8"/>
    <w:rsid w:val="00940D5C"/>
    <w:rsid w:val="009411C0"/>
    <w:rsid w:val="00941B9C"/>
    <w:rsid w:val="009428C3"/>
    <w:rsid w:val="009429A2"/>
    <w:rsid w:val="00942C8D"/>
    <w:rsid w:val="00943B1A"/>
    <w:rsid w:val="00943BAA"/>
    <w:rsid w:val="00944187"/>
    <w:rsid w:val="009442D4"/>
    <w:rsid w:val="00944669"/>
    <w:rsid w:val="00944935"/>
    <w:rsid w:val="00944D71"/>
    <w:rsid w:val="00945106"/>
    <w:rsid w:val="00945310"/>
    <w:rsid w:val="0094586E"/>
    <w:rsid w:val="00945B08"/>
    <w:rsid w:val="00946324"/>
    <w:rsid w:val="00946377"/>
    <w:rsid w:val="0094637D"/>
    <w:rsid w:val="00946450"/>
    <w:rsid w:val="0094646D"/>
    <w:rsid w:val="00946F0A"/>
    <w:rsid w:val="00946FCD"/>
    <w:rsid w:val="00947861"/>
    <w:rsid w:val="00947A05"/>
    <w:rsid w:val="00950793"/>
    <w:rsid w:val="00950EF6"/>
    <w:rsid w:val="00951957"/>
    <w:rsid w:val="00951B36"/>
    <w:rsid w:val="00952421"/>
    <w:rsid w:val="00952543"/>
    <w:rsid w:val="00952B8F"/>
    <w:rsid w:val="009538FF"/>
    <w:rsid w:val="00954292"/>
    <w:rsid w:val="00954AB5"/>
    <w:rsid w:val="00954AD7"/>
    <w:rsid w:val="00954F82"/>
    <w:rsid w:val="00955F97"/>
    <w:rsid w:val="0095624D"/>
    <w:rsid w:val="00956DF2"/>
    <w:rsid w:val="00957335"/>
    <w:rsid w:val="00957590"/>
    <w:rsid w:val="0096067E"/>
    <w:rsid w:val="00960723"/>
    <w:rsid w:val="0096093A"/>
    <w:rsid w:val="009612BF"/>
    <w:rsid w:val="00961761"/>
    <w:rsid w:val="00961CDA"/>
    <w:rsid w:val="00961E8C"/>
    <w:rsid w:val="009628F0"/>
    <w:rsid w:val="00962BC1"/>
    <w:rsid w:val="00963090"/>
    <w:rsid w:val="009630B1"/>
    <w:rsid w:val="00963137"/>
    <w:rsid w:val="0096365D"/>
    <w:rsid w:val="009636D7"/>
    <w:rsid w:val="00963C83"/>
    <w:rsid w:val="00963CA0"/>
    <w:rsid w:val="00963CA8"/>
    <w:rsid w:val="00963D47"/>
    <w:rsid w:val="009640CE"/>
    <w:rsid w:val="00964D76"/>
    <w:rsid w:val="00965736"/>
    <w:rsid w:val="00965FDC"/>
    <w:rsid w:val="00966079"/>
    <w:rsid w:val="009667B8"/>
    <w:rsid w:val="009667D5"/>
    <w:rsid w:val="00966C74"/>
    <w:rsid w:val="00966EC6"/>
    <w:rsid w:val="00967F33"/>
    <w:rsid w:val="00970BE7"/>
    <w:rsid w:val="00970BF5"/>
    <w:rsid w:val="00970E54"/>
    <w:rsid w:val="00971BD4"/>
    <w:rsid w:val="009724C9"/>
    <w:rsid w:val="0097288E"/>
    <w:rsid w:val="009729CB"/>
    <w:rsid w:val="00972B97"/>
    <w:rsid w:val="00972DCC"/>
    <w:rsid w:val="00972FAB"/>
    <w:rsid w:val="009737AE"/>
    <w:rsid w:val="0097385E"/>
    <w:rsid w:val="00973E31"/>
    <w:rsid w:val="0097479E"/>
    <w:rsid w:val="0097480F"/>
    <w:rsid w:val="009748F1"/>
    <w:rsid w:val="00975D6A"/>
    <w:rsid w:val="00976047"/>
    <w:rsid w:val="009765F1"/>
    <w:rsid w:val="00977A31"/>
    <w:rsid w:val="00977C15"/>
    <w:rsid w:val="00977CA5"/>
    <w:rsid w:val="009810C5"/>
    <w:rsid w:val="00981426"/>
    <w:rsid w:val="00981490"/>
    <w:rsid w:val="0098195D"/>
    <w:rsid w:val="00981F35"/>
    <w:rsid w:val="0098241B"/>
    <w:rsid w:val="00982E89"/>
    <w:rsid w:val="0098388D"/>
    <w:rsid w:val="009849F9"/>
    <w:rsid w:val="00984CEE"/>
    <w:rsid w:val="00984F43"/>
    <w:rsid w:val="0098507A"/>
    <w:rsid w:val="00985724"/>
    <w:rsid w:val="00985958"/>
    <w:rsid w:val="00985B28"/>
    <w:rsid w:val="00985B31"/>
    <w:rsid w:val="00985BD4"/>
    <w:rsid w:val="00985E8C"/>
    <w:rsid w:val="00986EE0"/>
    <w:rsid w:val="00987314"/>
    <w:rsid w:val="00990714"/>
    <w:rsid w:val="00990797"/>
    <w:rsid w:val="00990C22"/>
    <w:rsid w:val="00990D1D"/>
    <w:rsid w:val="009913C2"/>
    <w:rsid w:val="00991692"/>
    <w:rsid w:val="009916D1"/>
    <w:rsid w:val="00991990"/>
    <w:rsid w:val="00991E59"/>
    <w:rsid w:val="00991EB2"/>
    <w:rsid w:val="009924CE"/>
    <w:rsid w:val="0099289D"/>
    <w:rsid w:val="00992A0B"/>
    <w:rsid w:val="00992E81"/>
    <w:rsid w:val="00993175"/>
    <w:rsid w:val="009933CC"/>
    <w:rsid w:val="0099346A"/>
    <w:rsid w:val="0099572B"/>
    <w:rsid w:val="009957AE"/>
    <w:rsid w:val="00995A49"/>
    <w:rsid w:val="00995EDE"/>
    <w:rsid w:val="00996B3A"/>
    <w:rsid w:val="0099734E"/>
    <w:rsid w:val="00997375"/>
    <w:rsid w:val="00997C4B"/>
    <w:rsid w:val="00997DC6"/>
    <w:rsid w:val="00997E7D"/>
    <w:rsid w:val="009A07BA"/>
    <w:rsid w:val="009A090B"/>
    <w:rsid w:val="009A0AFA"/>
    <w:rsid w:val="009A0B77"/>
    <w:rsid w:val="009A0C17"/>
    <w:rsid w:val="009A0F8F"/>
    <w:rsid w:val="009A1398"/>
    <w:rsid w:val="009A14E1"/>
    <w:rsid w:val="009A183E"/>
    <w:rsid w:val="009A1FE0"/>
    <w:rsid w:val="009A216C"/>
    <w:rsid w:val="009A268E"/>
    <w:rsid w:val="009A3067"/>
    <w:rsid w:val="009A37BD"/>
    <w:rsid w:val="009A3D0D"/>
    <w:rsid w:val="009A41E5"/>
    <w:rsid w:val="009A42DE"/>
    <w:rsid w:val="009A447B"/>
    <w:rsid w:val="009A48FA"/>
    <w:rsid w:val="009A4C15"/>
    <w:rsid w:val="009A4D4B"/>
    <w:rsid w:val="009A50B3"/>
    <w:rsid w:val="009A5533"/>
    <w:rsid w:val="009A559A"/>
    <w:rsid w:val="009A55A4"/>
    <w:rsid w:val="009A5C74"/>
    <w:rsid w:val="009A5DB5"/>
    <w:rsid w:val="009A654D"/>
    <w:rsid w:val="009A6D22"/>
    <w:rsid w:val="009A764A"/>
    <w:rsid w:val="009A772E"/>
    <w:rsid w:val="009A7E9F"/>
    <w:rsid w:val="009B086F"/>
    <w:rsid w:val="009B0919"/>
    <w:rsid w:val="009B09C0"/>
    <w:rsid w:val="009B0A82"/>
    <w:rsid w:val="009B0CAC"/>
    <w:rsid w:val="009B11ED"/>
    <w:rsid w:val="009B12D3"/>
    <w:rsid w:val="009B14D5"/>
    <w:rsid w:val="009B1929"/>
    <w:rsid w:val="009B250D"/>
    <w:rsid w:val="009B31D5"/>
    <w:rsid w:val="009B414A"/>
    <w:rsid w:val="009B44E2"/>
    <w:rsid w:val="009B4CBD"/>
    <w:rsid w:val="009B4FC6"/>
    <w:rsid w:val="009B5C18"/>
    <w:rsid w:val="009B632B"/>
    <w:rsid w:val="009B64EA"/>
    <w:rsid w:val="009B6582"/>
    <w:rsid w:val="009B67EB"/>
    <w:rsid w:val="009B715A"/>
    <w:rsid w:val="009C025A"/>
    <w:rsid w:val="009C08AA"/>
    <w:rsid w:val="009C0E9C"/>
    <w:rsid w:val="009C109A"/>
    <w:rsid w:val="009C1398"/>
    <w:rsid w:val="009C162B"/>
    <w:rsid w:val="009C17F6"/>
    <w:rsid w:val="009C1EDA"/>
    <w:rsid w:val="009C375D"/>
    <w:rsid w:val="009C4286"/>
    <w:rsid w:val="009C4B83"/>
    <w:rsid w:val="009C4DB5"/>
    <w:rsid w:val="009C4EE7"/>
    <w:rsid w:val="009C50CA"/>
    <w:rsid w:val="009C52AB"/>
    <w:rsid w:val="009C52AD"/>
    <w:rsid w:val="009C5638"/>
    <w:rsid w:val="009C585E"/>
    <w:rsid w:val="009C58A3"/>
    <w:rsid w:val="009C59D8"/>
    <w:rsid w:val="009C5B67"/>
    <w:rsid w:val="009C5BF7"/>
    <w:rsid w:val="009C654A"/>
    <w:rsid w:val="009C6E51"/>
    <w:rsid w:val="009C6E94"/>
    <w:rsid w:val="009C6FB0"/>
    <w:rsid w:val="009C7174"/>
    <w:rsid w:val="009C785E"/>
    <w:rsid w:val="009C791F"/>
    <w:rsid w:val="009D0296"/>
    <w:rsid w:val="009D0DEF"/>
    <w:rsid w:val="009D0EB8"/>
    <w:rsid w:val="009D0F03"/>
    <w:rsid w:val="009D15F1"/>
    <w:rsid w:val="009D191A"/>
    <w:rsid w:val="009D1BCA"/>
    <w:rsid w:val="009D1EA6"/>
    <w:rsid w:val="009D21F8"/>
    <w:rsid w:val="009D2888"/>
    <w:rsid w:val="009D2F26"/>
    <w:rsid w:val="009D3264"/>
    <w:rsid w:val="009D33BB"/>
    <w:rsid w:val="009D343C"/>
    <w:rsid w:val="009D4515"/>
    <w:rsid w:val="009D4616"/>
    <w:rsid w:val="009D48C2"/>
    <w:rsid w:val="009D4B9E"/>
    <w:rsid w:val="009D63C9"/>
    <w:rsid w:val="009D6891"/>
    <w:rsid w:val="009D7CA7"/>
    <w:rsid w:val="009E0100"/>
    <w:rsid w:val="009E0600"/>
    <w:rsid w:val="009E065E"/>
    <w:rsid w:val="009E0A16"/>
    <w:rsid w:val="009E0B5B"/>
    <w:rsid w:val="009E0D05"/>
    <w:rsid w:val="009E10DC"/>
    <w:rsid w:val="009E1509"/>
    <w:rsid w:val="009E293B"/>
    <w:rsid w:val="009E3553"/>
    <w:rsid w:val="009E395C"/>
    <w:rsid w:val="009E3985"/>
    <w:rsid w:val="009E3CEE"/>
    <w:rsid w:val="009E4043"/>
    <w:rsid w:val="009E409D"/>
    <w:rsid w:val="009E413F"/>
    <w:rsid w:val="009E4197"/>
    <w:rsid w:val="009E41B8"/>
    <w:rsid w:val="009E4392"/>
    <w:rsid w:val="009E4401"/>
    <w:rsid w:val="009E4874"/>
    <w:rsid w:val="009E4C75"/>
    <w:rsid w:val="009E4E13"/>
    <w:rsid w:val="009E6A92"/>
    <w:rsid w:val="009E6D7A"/>
    <w:rsid w:val="009E6DF8"/>
    <w:rsid w:val="009E718C"/>
    <w:rsid w:val="009E7C21"/>
    <w:rsid w:val="009F0176"/>
    <w:rsid w:val="009F0419"/>
    <w:rsid w:val="009F06A3"/>
    <w:rsid w:val="009F08DD"/>
    <w:rsid w:val="009F0BC7"/>
    <w:rsid w:val="009F15E4"/>
    <w:rsid w:val="009F1891"/>
    <w:rsid w:val="009F1A93"/>
    <w:rsid w:val="009F1DBD"/>
    <w:rsid w:val="009F222E"/>
    <w:rsid w:val="009F2855"/>
    <w:rsid w:val="009F2CA7"/>
    <w:rsid w:val="009F314C"/>
    <w:rsid w:val="009F355D"/>
    <w:rsid w:val="009F3611"/>
    <w:rsid w:val="009F3F2C"/>
    <w:rsid w:val="009F400A"/>
    <w:rsid w:val="009F44E3"/>
    <w:rsid w:val="009F4993"/>
    <w:rsid w:val="009F53C8"/>
    <w:rsid w:val="009F5BA2"/>
    <w:rsid w:val="009F5C1D"/>
    <w:rsid w:val="009F6268"/>
    <w:rsid w:val="009F6E76"/>
    <w:rsid w:val="009F6FBB"/>
    <w:rsid w:val="009F7084"/>
    <w:rsid w:val="009F7330"/>
    <w:rsid w:val="009F7A44"/>
    <w:rsid w:val="009F7C46"/>
    <w:rsid w:val="009F7D96"/>
    <w:rsid w:val="00A0087B"/>
    <w:rsid w:val="00A00B15"/>
    <w:rsid w:val="00A00DEE"/>
    <w:rsid w:val="00A00E1C"/>
    <w:rsid w:val="00A014CA"/>
    <w:rsid w:val="00A01580"/>
    <w:rsid w:val="00A0179F"/>
    <w:rsid w:val="00A020E9"/>
    <w:rsid w:val="00A021B8"/>
    <w:rsid w:val="00A02A54"/>
    <w:rsid w:val="00A02CFF"/>
    <w:rsid w:val="00A02EA2"/>
    <w:rsid w:val="00A02EB3"/>
    <w:rsid w:val="00A03021"/>
    <w:rsid w:val="00A0315B"/>
    <w:rsid w:val="00A03305"/>
    <w:rsid w:val="00A036DD"/>
    <w:rsid w:val="00A03BA2"/>
    <w:rsid w:val="00A0431A"/>
    <w:rsid w:val="00A0481C"/>
    <w:rsid w:val="00A050E0"/>
    <w:rsid w:val="00A0548D"/>
    <w:rsid w:val="00A05C77"/>
    <w:rsid w:val="00A063DB"/>
    <w:rsid w:val="00A0683B"/>
    <w:rsid w:val="00A06947"/>
    <w:rsid w:val="00A069ED"/>
    <w:rsid w:val="00A06E00"/>
    <w:rsid w:val="00A06F32"/>
    <w:rsid w:val="00A07E6B"/>
    <w:rsid w:val="00A10347"/>
    <w:rsid w:val="00A10F3D"/>
    <w:rsid w:val="00A11742"/>
    <w:rsid w:val="00A1187A"/>
    <w:rsid w:val="00A1251E"/>
    <w:rsid w:val="00A1318B"/>
    <w:rsid w:val="00A13341"/>
    <w:rsid w:val="00A13766"/>
    <w:rsid w:val="00A13D5E"/>
    <w:rsid w:val="00A1437B"/>
    <w:rsid w:val="00A15084"/>
    <w:rsid w:val="00A156D5"/>
    <w:rsid w:val="00A15C8A"/>
    <w:rsid w:val="00A16309"/>
    <w:rsid w:val="00A16621"/>
    <w:rsid w:val="00A16F34"/>
    <w:rsid w:val="00A20635"/>
    <w:rsid w:val="00A20D95"/>
    <w:rsid w:val="00A21085"/>
    <w:rsid w:val="00A21B35"/>
    <w:rsid w:val="00A2214E"/>
    <w:rsid w:val="00A229F8"/>
    <w:rsid w:val="00A22E57"/>
    <w:rsid w:val="00A235E7"/>
    <w:rsid w:val="00A23A40"/>
    <w:rsid w:val="00A23D52"/>
    <w:rsid w:val="00A23E2F"/>
    <w:rsid w:val="00A244D2"/>
    <w:rsid w:val="00A25180"/>
    <w:rsid w:val="00A267D2"/>
    <w:rsid w:val="00A26F1B"/>
    <w:rsid w:val="00A27235"/>
    <w:rsid w:val="00A27C29"/>
    <w:rsid w:val="00A3000F"/>
    <w:rsid w:val="00A30BAE"/>
    <w:rsid w:val="00A31601"/>
    <w:rsid w:val="00A31639"/>
    <w:rsid w:val="00A320DA"/>
    <w:rsid w:val="00A327BA"/>
    <w:rsid w:val="00A329C7"/>
    <w:rsid w:val="00A32FDF"/>
    <w:rsid w:val="00A33B77"/>
    <w:rsid w:val="00A34008"/>
    <w:rsid w:val="00A348A4"/>
    <w:rsid w:val="00A34CA0"/>
    <w:rsid w:val="00A34E01"/>
    <w:rsid w:val="00A3647F"/>
    <w:rsid w:val="00A3648E"/>
    <w:rsid w:val="00A364B5"/>
    <w:rsid w:val="00A368A4"/>
    <w:rsid w:val="00A36EA3"/>
    <w:rsid w:val="00A375A7"/>
    <w:rsid w:val="00A37FCC"/>
    <w:rsid w:val="00A40470"/>
    <w:rsid w:val="00A415A6"/>
    <w:rsid w:val="00A42405"/>
    <w:rsid w:val="00A4268D"/>
    <w:rsid w:val="00A42BA6"/>
    <w:rsid w:val="00A42F2C"/>
    <w:rsid w:val="00A4338A"/>
    <w:rsid w:val="00A4378A"/>
    <w:rsid w:val="00A43CC2"/>
    <w:rsid w:val="00A440AB"/>
    <w:rsid w:val="00A44F3C"/>
    <w:rsid w:val="00A45BC5"/>
    <w:rsid w:val="00A461B7"/>
    <w:rsid w:val="00A47431"/>
    <w:rsid w:val="00A47A96"/>
    <w:rsid w:val="00A47E8B"/>
    <w:rsid w:val="00A47F3C"/>
    <w:rsid w:val="00A507D9"/>
    <w:rsid w:val="00A50BE2"/>
    <w:rsid w:val="00A51F41"/>
    <w:rsid w:val="00A5213C"/>
    <w:rsid w:val="00A5240D"/>
    <w:rsid w:val="00A52EAE"/>
    <w:rsid w:val="00A532BE"/>
    <w:rsid w:val="00A535FF"/>
    <w:rsid w:val="00A53EA4"/>
    <w:rsid w:val="00A5435D"/>
    <w:rsid w:val="00A54819"/>
    <w:rsid w:val="00A55253"/>
    <w:rsid w:val="00A55C70"/>
    <w:rsid w:val="00A55D99"/>
    <w:rsid w:val="00A565E9"/>
    <w:rsid w:val="00A571DA"/>
    <w:rsid w:val="00A57517"/>
    <w:rsid w:val="00A57A19"/>
    <w:rsid w:val="00A6037D"/>
    <w:rsid w:val="00A60B5F"/>
    <w:rsid w:val="00A6147B"/>
    <w:rsid w:val="00A619E3"/>
    <w:rsid w:val="00A61A86"/>
    <w:rsid w:val="00A61DCD"/>
    <w:rsid w:val="00A62272"/>
    <w:rsid w:val="00A62971"/>
    <w:rsid w:val="00A62A0E"/>
    <w:rsid w:val="00A62B32"/>
    <w:rsid w:val="00A63673"/>
    <w:rsid w:val="00A63FC6"/>
    <w:rsid w:val="00A643B6"/>
    <w:rsid w:val="00A64A39"/>
    <w:rsid w:val="00A6514C"/>
    <w:rsid w:val="00A65361"/>
    <w:rsid w:val="00A657EC"/>
    <w:rsid w:val="00A65F9D"/>
    <w:rsid w:val="00A660DA"/>
    <w:rsid w:val="00A660DE"/>
    <w:rsid w:val="00A66245"/>
    <w:rsid w:val="00A66A2E"/>
    <w:rsid w:val="00A66A32"/>
    <w:rsid w:val="00A66A71"/>
    <w:rsid w:val="00A66D36"/>
    <w:rsid w:val="00A67113"/>
    <w:rsid w:val="00A6715D"/>
    <w:rsid w:val="00A67D2C"/>
    <w:rsid w:val="00A67EAB"/>
    <w:rsid w:val="00A700AB"/>
    <w:rsid w:val="00A70133"/>
    <w:rsid w:val="00A7033A"/>
    <w:rsid w:val="00A70A00"/>
    <w:rsid w:val="00A710A9"/>
    <w:rsid w:val="00A720B7"/>
    <w:rsid w:val="00A722F8"/>
    <w:rsid w:val="00A7273C"/>
    <w:rsid w:val="00A72A38"/>
    <w:rsid w:val="00A72E5F"/>
    <w:rsid w:val="00A7337B"/>
    <w:rsid w:val="00A73C51"/>
    <w:rsid w:val="00A742D0"/>
    <w:rsid w:val="00A74CC4"/>
    <w:rsid w:val="00A75DFA"/>
    <w:rsid w:val="00A76376"/>
    <w:rsid w:val="00A7706C"/>
    <w:rsid w:val="00A7760C"/>
    <w:rsid w:val="00A80017"/>
    <w:rsid w:val="00A80672"/>
    <w:rsid w:val="00A80F1A"/>
    <w:rsid w:val="00A80FF1"/>
    <w:rsid w:val="00A8136A"/>
    <w:rsid w:val="00A813CB"/>
    <w:rsid w:val="00A81A99"/>
    <w:rsid w:val="00A82565"/>
    <w:rsid w:val="00A829F3"/>
    <w:rsid w:val="00A834B9"/>
    <w:rsid w:val="00A83F7E"/>
    <w:rsid w:val="00A84A1C"/>
    <w:rsid w:val="00A84BED"/>
    <w:rsid w:val="00A85978"/>
    <w:rsid w:val="00A85BC1"/>
    <w:rsid w:val="00A8648F"/>
    <w:rsid w:val="00A86BA8"/>
    <w:rsid w:val="00A86F8F"/>
    <w:rsid w:val="00A87204"/>
    <w:rsid w:val="00A90066"/>
    <w:rsid w:val="00A90445"/>
    <w:rsid w:val="00A90AAF"/>
    <w:rsid w:val="00A90C28"/>
    <w:rsid w:val="00A914F8"/>
    <w:rsid w:val="00A91851"/>
    <w:rsid w:val="00A9195B"/>
    <w:rsid w:val="00A91C58"/>
    <w:rsid w:val="00A91D8B"/>
    <w:rsid w:val="00A9252D"/>
    <w:rsid w:val="00A92789"/>
    <w:rsid w:val="00A92EF7"/>
    <w:rsid w:val="00A92F01"/>
    <w:rsid w:val="00A93712"/>
    <w:rsid w:val="00A93841"/>
    <w:rsid w:val="00A939A0"/>
    <w:rsid w:val="00A93E42"/>
    <w:rsid w:val="00A9436F"/>
    <w:rsid w:val="00A9489C"/>
    <w:rsid w:val="00A94CA9"/>
    <w:rsid w:val="00A94CBD"/>
    <w:rsid w:val="00A94DDE"/>
    <w:rsid w:val="00A95BBF"/>
    <w:rsid w:val="00A960B5"/>
    <w:rsid w:val="00A96427"/>
    <w:rsid w:val="00A975E9"/>
    <w:rsid w:val="00A97D8B"/>
    <w:rsid w:val="00A97E7A"/>
    <w:rsid w:val="00AA011F"/>
    <w:rsid w:val="00AA0914"/>
    <w:rsid w:val="00AA0E33"/>
    <w:rsid w:val="00AA1209"/>
    <w:rsid w:val="00AA1628"/>
    <w:rsid w:val="00AA1C3A"/>
    <w:rsid w:val="00AA2039"/>
    <w:rsid w:val="00AA240E"/>
    <w:rsid w:val="00AA25E8"/>
    <w:rsid w:val="00AA264D"/>
    <w:rsid w:val="00AA285C"/>
    <w:rsid w:val="00AA35E6"/>
    <w:rsid w:val="00AA3A50"/>
    <w:rsid w:val="00AA3CEC"/>
    <w:rsid w:val="00AA4725"/>
    <w:rsid w:val="00AA4A65"/>
    <w:rsid w:val="00AA4EDB"/>
    <w:rsid w:val="00AA5295"/>
    <w:rsid w:val="00AA535F"/>
    <w:rsid w:val="00AA61E9"/>
    <w:rsid w:val="00AA6BC4"/>
    <w:rsid w:val="00AA6D57"/>
    <w:rsid w:val="00AA6F03"/>
    <w:rsid w:val="00AA70DB"/>
    <w:rsid w:val="00AA73C4"/>
    <w:rsid w:val="00AA748C"/>
    <w:rsid w:val="00AA7586"/>
    <w:rsid w:val="00AA7DEF"/>
    <w:rsid w:val="00AA7E81"/>
    <w:rsid w:val="00AB0061"/>
    <w:rsid w:val="00AB02D9"/>
    <w:rsid w:val="00AB038D"/>
    <w:rsid w:val="00AB1A41"/>
    <w:rsid w:val="00AB1FC1"/>
    <w:rsid w:val="00AB22DD"/>
    <w:rsid w:val="00AB2315"/>
    <w:rsid w:val="00AB23CF"/>
    <w:rsid w:val="00AB347F"/>
    <w:rsid w:val="00AB3EAF"/>
    <w:rsid w:val="00AB4173"/>
    <w:rsid w:val="00AB4350"/>
    <w:rsid w:val="00AB469B"/>
    <w:rsid w:val="00AB47D0"/>
    <w:rsid w:val="00AB4D3F"/>
    <w:rsid w:val="00AB50B0"/>
    <w:rsid w:val="00AB51F0"/>
    <w:rsid w:val="00AB55B7"/>
    <w:rsid w:val="00AB5D89"/>
    <w:rsid w:val="00AB66D0"/>
    <w:rsid w:val="00AB6E00"/>
    <w:rsid w:val="00AB6E26"/>
    <w:rsid w:val="00AB75E8"/>
    <w:rsid w:val="00AB7DA0"/>
    <w:rsid w:val="00AC0672"/>
    <w:rsid w:val="00AC0684"/>
    <w:rsid w:val="00AC0B1D"/>
    <w:rsid w:val="00AC16C7"/>
    <w:rsid w:val="00AC20DC"/>
    <w:rsid w:val="00AC2279"/>
    <w:rsid w:val="00AC291A"/>
    <w:rsid w:val="00AC3240"/>
    <w:rsid w:val="00AC3693"/>
    <w:rsid w:val="00AC37B9"/>
    <w:rsid w:val="00AC3F9A"/>
    <w:rsid w:val="00AC4061"/>
    <w:rsid w:val="00AC429B"/>
    <w:rsid w:val="00AC4504"/>
    <w:rsid w:val="00AC4AA9"/>
    <w:rsid w:val="00AC4F06"/>
    <w:rsid w:val="00AC545C"/>
    <w:rsid w:val="00AC5466"/>
    <w:rsid w:val="00AC5718"/>
    <w:rsid w:val="00AC5739"/>
    <w:rsid w:val="00AC589A"/>
    <w:rsid w:val="00AC5BFC"/>
    <w:rsid w:val="00AC5DBD"/>
    <w:rsid w:val="00AC5E31"/>
    <w:rsid w:val="00AC5F56"/>
    <w:rsid w:val="00AC5F65"/>
    <w:rsid w:val="00AC61C1"/>
    <w:rsid w:val="00AC624E"/>
    <w:rsid w:val="00AC6388"/>
    <w:rsid w:val="00AC6659"/>
    <w:rsid w:val="00AC724C"/>
    <w:rsid w:val="00AD1588"/>
    <w:rsid w:val="00AD158B"/>
    <w:rsid w:val="00AD1627"/>
    <w:rsid w:val="00AD1749"/>
    <w:rsid w:val="00AD1FBE"/>
    <w:rsid w:val="00AD2569"/>
    <w:rsid w:val="00AD28C9"/>
    <w:rsid w:val="00AD32F2"/>
    <w:rsid w:val="00AD36BC"/>
    <w:rsid w:val="00AD3975"/>
    <w:rsid w:val="00AD3EE6"/>
    <w:rsid w:val="00AD4954"/>
    <w:rsid w:val="00AD4AE3"/>
    <w:rsid w:val="00AD4BCC"/>
    <w:rsid w:val="00AD4CEE"/>
    <w:rsid w:val="00AD4E02"/>
    <w:rsid w:val="00AD4FC9"/>
    <w:rsid w:val="00AD5470"/>
    <w:rsid w:val="00AD5A50"/>
    <w:rsid w:val="00AD5BE5"/>
    <w:rsid w:val="00AD6DC1"/>
    <w:rsid w:val="00AD739D"/>
    <w:rsid w:val="00AE07CF"/>
    <w:rsid w:val="00AE13EA"/>
    <w:rsid w:val="00AE1763"/>
    <w:rsid w:val="00AE177F"/>
    <w:rsid w:val="00AE1970"/>
    <w:rsid w:val="00AE1C76"/>
    <w:rsid w:val="00AE2C30"/>
    <w:rsid w:val="00AE32A7"/>
    <w:rsid w:val="00AE3C86"/>
    <w:rsid w:val="00AE3DF3"/>
    <w:rsid w:val="00AE3F2B"/>
    <w:rsid w:val="00AE48E3"/>
    <w:rsid w:val="00AE4F4D"/>
    <w:rsid w:val="00AE51D8"/>
    <w:rsid w:val="00AE544E"/>
    <w:rsid w:val="00AE5D29"/>
    <w:rsid w:val="00AE5D36"/>
    <w:rsid w:val="00AE5DF0"/>
    <w:rsid w:val="00AE6A83"/>
    <w:rsid w:val="00AE7014"/>
    <w:rsid w:val="00AE7180"/>
    <w:rsid w:val="00AE7225"/>
    <w:rsid w:val="00AE7E7F"/>
    <w:rsid w:val="00AF003C"/>
    <w:rsid w:val="00AF00C8"/>
    <w:rsid w:val="00AF0145"/>
    <w:rsid w:val="00AF04F6"/>
    <w:rsid w:val="00AF0B70"/>
    <w:rsid w:val="00AF1024"/>
    <w:rsid w:val="00AF148D"/>
    <w:rsid w:val="00AF17D0"/>
    <w:rsid w:val="00AF185D"/>
    <w:rsid w:val="00AF1C9C"/>
    <w:rsid w:val="00AF1DD0"/>
    <w:rsid w:val="00AF223F"/>
    <w:rsid w:val="00AF2FB6"/>
    <w:rsid w:val="00AF3F17"/>
    <w:rsid w:val="00AF4489"/>
    <w:rsid w:val="00AF45E2"/>
    <w:rsid w:val="00AF4ABF"/>
    <w:rsid w:val="00AF569C"/>
    <w:rsid w:val="00AF57ED"/>
    <w:rsid w:val="00AF5E49"/>
    <w:rsid w:val="00AF6E98"/>
    <w:rsid w:val="00AF6F89"/>
    <w:rsid w:val="00AF79FC"/>
    <w:rsid w:val="00AF7DBA"/>
    <w:rsid w:val="00AF7FB6"/>
    <w:rsid w:val="00B00038"/>
    <w:rsid w:val="00B0044A"/>
    <w:rsid w:val="00B00BFD"/>
    <w:rsid w:val="00B00C97"/>
    <w:rsid w:val="00B01F39"/>
    <w:rsid w:val="00B02CE6"/>
    <w:rsid w:val="00B02D3B"/>
    <w:rsid w:val="00B02D54"/>
    <w:rsid w:val="00B03747"/>
    <w:rsid w:val="00B05306"/>
    <w:rsid w:val="00B0550C"/>
    <w:rsid w:val="00B05B02"/>
    <w:rsid w:val="00B05E55"/>
    <w:rsid w:val="00B05FD8"/>
    <w:rsid w:val="00B0777B"/>
    <w:rsid w:val="00B07A26"/>
    <w:rsid w:val="00B07AD0"/>
    <w:rsid w:val="00B1036D"/>
    <w:rsid w:val="00B106EB"/>
    <w:rsid w:val="00B1090E"/>
    <w:rsid w:val="00B10A40"/>
    <w:rsid w:val="00B11037"/>
    <w:rsid w:val="00B111FF"/>
    <w:rsid w:val="00B119AC"/>
    <w:rsid w:val="00B119DC"/>
    <w:rsid w:val="00B1236A"/>
    <w:rsid w:val="00B12AA4"/>
    <w:rsid w:val="00B12B38"/>
    <w:rsid w:val="00B12C0D"/>
    <w:rsid w:val="00B148E2"/>
    <w:rsid w:val="00B14D49"/>
    <w:rsid w:val="00B15A7F"/>
    <w:rsid w:val="00B166ED"/>
    <w:rsid w:val="00B16A48"/>
    <w:rsid w:val="00B16A9E"/>
    <w:rsid w:val="00B16B29"/>
    <w:rsid w:val="00B16BEE"/>
    <w:rsid w:val="00B178FD"/>
    <w:rsid w:val="00B17979"/>
    <w:rsid w:val="00B2040F"/>
    <w:rsid w:val="00B209D7"/>
    <w:rsid w:val="00B20E5A"/>
    <w:rsid w:val="00B20EC5"/>
    <w:rsid w:val="00B20F4E"/>
    <w:rsid w:val="00B21595"/>
    <w:rsid w:val="00B216F6"/>
    <w:rsid w:val="00B21C0E"/>
    <w:rsid w:val="00B21D43"/>
    <w:rsid w:val="00B21EF5"/>
    <w:rsid w:val="00B228CC"/>
    <w:rsid w:val="00B2325D"/>
    <w:rsid w:val="00B23386"/>
    <w:rsid w:val="00B2386D"/>
    <w:rsid w:val="00B23B2E"/>
    <w:rsid w:val="00B23B56"/>
    <w:rsid w:val="00B23F17"/>
    <w:rsid w:val="00B25720"/>
    <w:rsid w:val="00B257B3"/>
    <w:rsid w:val="00B25C03"/>
    <w:rsid w:val="00B25C65"/>
    <w:rsid w:val="00B25D87"/>
    <w:rsid w:val="00B25DB2"/>
    <w:rsid w:val="00B267A0"/>
    <w:rsid w:val="00B2735B"/>
    <w:rsid w:val="00B278D0"/>
    <w:rsid w:val="00B3020A"/>
    <w:rsid w:val="00B30638"/>
    <w:rsid w:val="00B30A7A"/>
    <w:rsid w:val="00B30CBF"/>
    <w:rsid w:val="00B30D7B"/>
    <w:rsid w:val="00B30E4F"/>
    <w:rsid w:val="00B31321"/>
    <w:rsid w:val="00B31952"/>
    <w:rsid w:val="00B31A92"/>
    <w:rsid w:val="00B31BF2"/>
    <w:rsid w:val="00B324C3"/>
    <w:rsid w:val="00B32569"/>
    <w:rsid w:val="00B328CC"/>
    <w:rsid w:val="00B32B3D"/>
    <w:rsid w:val="00B32FD0"/>
    <w:rsid w:val="00B33278"/>
    <w:rsid w:val="00B332A0"/>
    <w:rsid w:val="00B33453"/>
    <w:rsid w:val="00B33500"/>
    <w:rsid w:val="00B3382A"/>
    <w:rsid w:val="00B33C20"/>
    <w:rsid w:val="00B33E4E"/>
    <w:rsid w:val="00B345AD"/>
    <w:rsid w:val="00B347ED"/>
    <w:rsid w:val="00B34972"/>
    <w:rsid w:val="00B34EE9"/>
    <w:rsid w:val="00B35BE0"/>
    <w:rsid w:val="00B35E3C"/>
    <w:rsid w:val="00B36224"/>
    <w:rsid w:val="00B3640B"/>
    <w:rsid w:val="00B3699A"/>
    <w:rsid w:val="00B36F73"/>
    <w:rsid w:val="00B37141"/>
    <w:rsid w:val="00B37144"/>
    <w:rsid w:val="00B37577"/>
    <w:rsid w:val="00B37E54"/>
    <w:rsid w:val="00B402C6"/>
    <w:rsid w:val="00B4109D"/>
    <w:rsid w:val="00B419DF"/>
    <w:rsid w:val="00B41C28"/>
    <w:rsid w:val="00B437B1"/>
    <w:rsid w:val="00B437DB"/>
    <w:rsid w:val="00B437F5"/>
    <w:rsid w:val="00B43C47"/>
    <w:rsid w:val="00B44422"/>
    <w:rsid w:val="00B44ECF"/>
    <w:rsid w:val="00B44FAE"/>
    <w:rsid w:val="00B45261"/>
    <w:rsid w:val="00B45345"/>
    <w:rsid w:val="00B453D8"/>
    <w:rsid w:val="00B45D5D"/>
    <w:rsid w:val="00B45E1B"/>
    <w:rsid w:val="00B4638B"/>
    <w:rsid w:val="00B463D7"/>
    <w:rsid w:val="00B46604"/>
    <w:rsid w:val="00B4668D"/>
    <w:rsid w:val="00B46923"/>
    <w:rsid w:val="00B46F33"/>
    <w:rsid w:val="00B46FBA"/>
    <w:rsid w:val="00B474DE"/>
    <w:rsid w:val="00B474FC"/>
    <w:rsid w:val="00B5039D"/>
    <w:rsid w:val="00B50546"/>
    <w:rsid w:val="00B505F7"/>
    <w:rsid w:val="00B50C17"/>
    <w:rsid w:val="00B50ED3"/>
    <w:rsid w:val="00B5137E"/>
    <w:rsid w:val="00B5143B"/>
    <w:rsid w:val="00B51504"/>
    <w:rsid w:val="00B520A1"/>
    <w:rsid w:val="00B52F85"/>
    <w:rsid w:val="00B531BE"/>
    <w:rsid w:val="00B538A2"/>
    <w:rsid w:val="00B53EF5"/>
    <w:rsid w:val="00B5412A"/>
    <w:rsid w:val="00B54EB1"/>
    <w:rsid w:val="00B55347"/>
    <w:rsid w:val="00B554D8"/>
    <w:rsid w:val="00B55A01"/>
    <w:rsid w:val="00B55BA8"/>
    <w:rsid w:val="00B55BAC"/>
    <w:rsid w:val="00B561E7"/>
    <w:rsid w:val="00B56D8D"/>
    <w:rsid w:val="00B56E29"/>
    <w:rsid w:val="00B572B2"/>
    <w:rsid w:val="00B575B6"/>
    <w:rsid w:val="00B6052B"/>
    <w:rsid w:val="00B60641"/>
    <w:rsid w:val="00B60D95"/>
    <w:rsid w:val="00B61C19"/>
    <w:rsid w:val="00B61D48"/>
    <w:rsid w:val="00B61E19"/>
    <w:rsid w:val="00B62E74"/>
    <w:rsid w:val="00B634EF"/>
    <w:rsid w:val="00B637AE"/>
    <w:rsid w:val="00B63A23"/>
    <w:rsid w:val="00B63CF3"/>
    <w:rsid w:val="00B64015"/>
    <w:rsid w:val="00B64050"/>
    <w:rsid w:val="00B6443A"/>
    <w:rsid w:val="00B64522"/>
    <w:rsid w:val="00B64997"/>
    <w:rsid w:val="00B64EB7"/>
    <w:rsid w:val="00B65192"/>
    <w:rsid w:val="00B65B7A"/>
    <w:rsid w:val="00B65C18"/>
    <w:rsid w:val="00B65D53"/>
    <w:rsid w:val="00B65E70"/>
    <w:rsid w:val="00B65EAC"/>
    <w:rsid w:val="00B66A62"/>
    <w:rsid w:val="00B66AFC"/>
    <w:rsid w:val="00B67377"/>
    <w:rsid w:val="00B67465"/>
    <w:rsid w:val="00B6764D"/>
    <w:rsid w:val="00B678F2"/>
    <w:rsid w:val="00B67A4A"/>
    <w:rsid w:val="00B702EF"/>
    <w:rsid w:val="00B7050C"/>
    <w:rsid w:val="00B714F0"/>
    <w:rsid w:val="00B71A73"/>
    <w:rsid w:val="00B71FEB"/>
    <w:rsid w:val="00B72164"/>
    <w:rsid w:val="00B72305"/>
    <w:rsid w:val="00B72527"/>
    <w:rsid w:val="00B72738"/>
    <w:rsid w:val="00B7370E"/>
    <w:rsid w:val="00B73B32"/>
    <w:rsid w:val="00B74309"/>
    <w:rsid w:val="00B75E55"/>
    <w:rsid w:val="00B7644F"/>
    <w:rsid w:val="00B76609"/>
    <w:rsid w:val="00B76D14"/>
    <w:rsid w:val="00B77188"/>
    <w:rsid w:val="00B7738A"/>
    <w:rsid w:val="00B77401"/>
    <w:rsid w:val="00B77609"/>
    <w:rsid w:val="00B77C60"/>
    <w:rsid w:val="00B80A4B"/>
    <w:rsid w:val="00B8136D"/>
    <w:rsid w:val="00B81440"/>
    <w:rsid w:val="00B818DB"/>
    <w:rsid w:val="00B8297B"/>
    <w:rsid w:val="00B82BB9"/>
    <w:rsid w:val="00B82FB8"/>
    <w:rsid w:val="00B8390F"/>
    <w:rsid w:val="00B839E0"/>
    <w:rsid w:val="00B83E79"/>
    <w:rsid w:val="00B840DF"/>
    <w:rsid w:val="00B84439"/>
    <w:rsid w:val="00B85482"/>
    <w:rsid w:val="00B85614"/>
    <w:rsid w:val="00B860C7"/>
    <w:rsid w:val="00B86284"/>
    <w:rsid w:val="00B862CA"/>
    <w:rsid w:val="00B868E8"/>
    <w:rsid w:val="00B869AA"/>
    <w:rsid w:val="00B86FEA"/>
    <w:rsid w:val="00B871D9"/>
    <w:rsid w:val="00B877B7"/>
    <w:rsid w:val="00B90121"/>
    <w:rsid w:val="00B9096F"/>
    <w:rsid w:val="00B909A4"/>
    <w:rsid w:val="00B90CC3"/>
    <w:rsid w:val="00B90DE0"/>
    <w:rsid w:val="00B9158F"/>
    <w:rsid w:val="00B91E45"/>
    <w:rsid w:val="00B92181"/>
    <w:rsid w:val="00B922E4"/>
    <w:rsid w:val="00B92856"/>
    <w:rsid w:val="00B929CF"/>
    <w:rsid w:val="00B93185"/>
    <w:rsid w:val="00B931A4"/>
    <w:rsid w:val="00B94460"/>
    <w:rsid w:val="00B9519C"/>
    <w:rsid w:val="00B9550F"/>
    <w:rsid w:val="00B95864"/>
    <w:rsid w:val="00B958CA"/>
    <w:rsid w:val="00B9601D"/>
    <w:rsid w:val="00B96103"/>
    <w:rsid w:val="00B9672A"/>
    <w:rsid w:val="00B97163"/>
    <w:rsid w:val="00B97F0C"/>
    <w:rsid w:val="00BA0C66"/>
    <w:rsid w:val="00BA0C6C"/>
    <w:rsid w:val="00BA0CED"/>
    <w:rsid w:val="00BA0F1F"/>
    <w:rsid w:val="00BA105B"/>
    <w:rsid w:val="00BA15E8"/>
    <w:rsid w:val="00BA1D75"/>
    <w:rsid w:val="00BA1DF5"/>
    <w:rsid w:val="00BA2CF1"/>
    <w:rsid w:val="00BA2D9C"/>
    <w:rsid w:val="00BA2E4E"/>
    <w:rsid w:val="00BA2F20"/>
    <w:rsid w:val="00BA38C2"/>
    <w:rsid w:val="00BA3B1C"/>
    <w:rsid w:val="00BA446E"/>
    <w:rsid w:val="00BA4D77"/>
    <w:rsid w:val="00BA505A"/>
    <w:rsid w:val="00BA506F"/>
    <w:rsid w:val="00BA50B2"/>
    <w:rsid w:val="00BA5314"/>
    <w:rsid w:val="00BA56D0"/>
    <w:rsid w:val="00BA577C"/>
    <w:rsid w:val="00BA6B33"/>
    <w:rsid w:val="00BB0107"/>
    <w:rsid w:val="00BB0325"/>
    <w:rsid w:val="00BB153A"/>
    <w:rsid w:val="00BB1D64"/>
    <w:rsid w:val="00BB2389"/>
    <w:rsid w:val="00BB261B"/>
    <w:rsid w:val="00BB2EDA"/>
    <w:rsid w:val="00BB3FE1"/>
    <w:rsid w:val="00BB4B70"/>
    <w:rsid w:val="00BB4D0A"/>
    <w:rsid w:val="00BB50FE"/>
    <w:rsid w:val="00BB56A4"/>
    <w:rsid w:val="00BB7DD5"/>
    <w:rsid w:val="00BB7EEA"/>
    <w:rsid w:val="00BC056D"/>
    <w:rsid w:val="00BC0B51"/>
    <w:rsid w:val="00BC1835"/>
    <w:rsid w:val="00BC1E53"/>
    <w:rsid w:val="00BC2E57"/>
    <w:rsid w:val="00BC31A8"/>
    <w:rsid w:val="00BC3990"/>
    <w:rsid w:val="00BC3CCC"/>
    <w:rsid w:val="00BC3FFE"/>
    <w:rsid w:val="00BC4D08"/>
    <w:rsid w:val="00BC5103"/>
    <w:rsid w:val="00BC5A65"/>
    <w:rsid w:val="00BC6191"/>
    <w:rsid w:val="00BC6639"/>
    <w:rsid w:val="00BC6A58"/>
    <w:rsid w:val="00BC6CDE"/>
    <w:rsid w:val="00BC7019"/>
    <w:rsid w:val="00BC7A78"/>
    <w:rsid w:val="00BC7AA6"/>
    <w:rsid w:val="00BC7BA6"/>
    <w:rsid w:val="00BD0427"/>
    <w:rsid w:val="00BD1320"/>
    <w:rsid w:val="00BD176B"/>
    <w:rsid w:val="00BD1B3A"/>
    <w:rsid w:val="00BD2CA0"/>
    <w:rsid w:val="00BD3967"/>
    <w:rsid w:val="00BD39FD"/>
    <w:rsid w:val="00BD3E8C"/>
    <w:rsid w:val="00BD4FB7"/>
    <w:rsid w:val="00BD50F8"/>
    <w:rsid w:val="00BD51F9"/>
    <w:rsid w:val="00BD54CE"/>
    <w:rsid w:val="00BD555D"/>
    <w:rsid w:val="00BD561F"/>
    <w:rsid w:val="00BD5C62"/>
    <w:rsid w:val="00BD6B52"/>
    <w:rsid w:val="00BD70AA"/>
    <w:rsid w:val="00BD743C"/>
    <w:rsid w:val="00BD74DB"/>
    <w:rsid w:val="00BD758A"/>
    <w:rsid w:val="00BD77D3"/>
    <w:rsid w:val="00BD79C9"/>
    <w:rsid w:val="00BD7B6E"/>
    <w:rsid w:val="00BE00B6"/>
    <w:rsid w:val="00BE07E8"/>
    <w:rsid w:val="00BE082C"/>
    <w:rsid w:val="00BE0C5D"/>
    <w:rsid w:val="00BE0DA3"/>
    <w:rsid w:val="00BE1075"/>
    <w:rsid w:val="00BE16B1"/>
    <w:rsid w:val="00BE1D05"/>
    <w:rsid w:val="00BE2E74"/>
    <w:rsid w:val="00BE2FF9"/>
    <w:rsid w:val="00BE37F0"/>
    <w:rsid w:val="00BE4622"/>
    <w:rsid w:val="00BE4835"/>
    <w:rsid w:val="00BE4B79"/>
    <w:rsid w:val="00BE556F"/>
    <w:rsid w:val="00BE5705"/>
    <w:rsid w:val="00BE59A3"/>
    <w:rsid w:val="00BE5D45"/>
    <w:rsid w:val="00BE5EF9"/>
    <w:rsid w:val="00BE63CB"/>
    <w:rsid w:val="00BE65C8"/>
    <w:rsid w:val="00BE6BB3"/>
    <w:rsid w:val="00BE6DB6"/>
    <w:rsid w:val="00BE732F"/>
    <w:rsid w:val="00BE73DC"/>
    <w:rsid w:val="00BE7FDC"/>
    <w:rsid w:val="00BF0188"/>
    <w:rsid w:val="00BF0C49"/>
    <w:rsid w:val="00BF0D1B"/>
    <w:rsid w:val="00BF0F20"/>
    <w:rsid w:val="00BF11C1"/>
    <w:rsid w:val="00BF15E4"/>
    <w:rsid w:val="00BF1AB3"/>
    <w:rsid w:val="00BF1BE8"/>
    <w:rsid w:val="00BF1DDC"/>
    <w:rsid w:val="00BF207A"/>
    <w:rsid w:val="00BF212B"/>
    <w:rsid w:val="00BF2230"/>
    <w:rsid w:val="00BF2894"/>
    <w:rsid w:val="00BF31A4"/>
    <w:rsid w:val="00BF3473"/>
    <w:rsid w:val="00BF3595"/>
    <w:rsid w:val="00BF37A5"/>
    <w:rsid w:val="00BF3A03"/>
    <w:rsid w:val="00BF3D1E"/>
    <w:rsid w:val="00BF3D9E"/>
    <w:rsid w:val="00BF4336"/>
    <w:rsid w:val="00BF43B3"/>
    <w:rsid w:val="00BF43BE"/>
    <w:rsid w:val="00BF43D7"/>
    <w:rsid w:val="00BF4A13"/>
    <w:rsid w:val="00BF4F1E"/>
    <w:rsid w:val="00BF53F6"/>
    <w:rsid w:val="00BF656B"/>
    <w:rsid w:val="00BF6938"/>
    <w:rsid w:val="00BF6A5E"/>
    <w:rsid w:val="00BF6F07"/>
    <w:rsid w:val="00BF72A3"/>
    <w:rsid w:val="00BF74B3"/>
    <w:rsid w:val="00BF74CE"/>
    <w:rsid w:val="00C003B5"/>
    <w:rsid w:val="00C005E5"/>
    <w:rsid w:val="00C0078F"/>
    <w:rsid w:val="00C00F7B"/>
    <w:rsid w:val="00C0135B"/>
    <w:rsid w:val="00C014EB"/>
    <w:rsid w:val="00C01B4E"/>
    <w:rsid w:val="00C01D2D"/>
    <w:rsid w:val="00C01D36"/>
    <w:rsid w:val="00C01FC3"/>
    <w:rsid w:val="00C0204F"/>
    <w:rsid w:val="00C02772"/>
    <w:rsid w:val="00C03237"/>
    <w:rsid w:val="00C03D1B"/>
    <w:rsid w:val="00C04186"/>
    <w:rsid w:val="00C04378"/>
    <w:rsid w:val="00C045C0"/>
    <w:rsid w:val="00C04C7B"/>
    <w:rsid w:val="00C055F8"/>
    <w:rsid w:val="00C0582F"/>
    <w:rsid w:val="00C059E2"/>
    <w:rsid w:val="00C05EB7"/>
    <w:rsid w:val="00C060B5"/>
    <w:rsid w:val="00C0616E"/>
    <w:rsid w:val="00C0619C"/>
    <w:rsid w:val="00C06638"/>
    <w:rsid w:val="00C066F6"/>
    <w:rsid w:val="00C067BC"/>
    <w:rsid w:val="00C06909"/>
    <w:rsid w:val="00C06FEB"/>
    <w:rsid w:val="00C0742F"/>
    <w:rsid w:val="00C07B1E"/>
    <w:rsid w:val="00C10173"/>
    <w:rsid w:val="00C10204"/>
    <w:rsid w:val="00C103E7"/>
    <w:rsid w:val="00C10474"/>
    <w:rsid w:val="00C10E35"/>
    <w:rsid w:val="00C10E9A"/>
    <w:rsid w:val="00C118FA"/>
    <w:rsid w:val="00C11A66"/>
    <w:rsid w:val="00C11D61"/>
    <w:rsid w:val="00C11E63"/>
    <w:rsid w:val="00C120F5"/>
    <w:rsid w:val="00C12D6D"/>
    <w:rsid w:val="00C12ED6"/>
    <w:rsid w:val="00C13DC3"/>
    <w:rsid w:val="00C14D53"/>
    <w:rsid w:val="00C151DC"/>
    <w:rsid w:val="00C16338"/>
    <w:rsid w:val="00C16857"/>
    <w:rsid w:val="00C16F75"/>
    <w:rsid w:val="00C17621"/>
    <w:rsid w:val="00C1762C"/>
    <w:rsid w:val="00C17F8A"/>
    <w:rsid w:val="00C200AF"/>
    <w:rsid w:val="00C205BB"/>
    <w:rsid w:val="00C21455"/>
    <w:rsid w:val="00C2187D"/>
    <w:rsid w:val="00C21AA9"/>
    <w:rsid w:val="00C21CC7"/>
    <w:rsid w:val="00C21E35"/>
    <w:rsid w:val="00C2225F"/>
    <w:rsid w:val="00C222E8"/>
    <w:rsid w:val="00C22684"/>
    <w:rsid w:val="00C227E4"/>
    <w:rsid w:val="00C22EBC"/>
    <w:rsid w:val="00C23610"/>
    <w:rsid w:val="00C24220"/>
    <w:rsid w:val="00C244F2"/>
    <w:rsid w:val="00C245E5"/>
    <w:rsid w:val="00C24B33"/>
    <w:rsid w:val="00C24D22"/>
    <w:rsid w:val="00C25884"/>
    <w:rsid w:val="00C258A3"/>
    <w:rsid w:val="00C26576"/>
    <w:rsid w:val="00C2680E"/>
    <w:rsid w:val="00C26D3A"/>
    <w:rsid w:val="00C2702B"/>
    <w:rsid w:val="00C27421"/>
    <w:rsid w:val="00C27D6A"/>
    <w:rsid w:val="00C27EB6"/>
    <w:rsid w:val="00C301D6"/>
    <w:rsid w:val="00C304A8"/>
    <w:rsid w:val="00C30840"/>
    <w:rsid w:val="00C30909"/>
    <w:rsid w:val="00C3102D"/>
    <w:rsid w:val="00C31590"/>
    <w:rsid w:val="00C3195E"/>
    <w:rsid w:val="00C31D1C"/>
    <w:rsid w:val="00C32A0A"/>
    <w:rsid w:val="00C32ABE"/>
    <w:rsid w:val="00C33246"/>
    <w:rsid w:val="00C33314"/>
    <w:rsid w:val="00C33E2C"/>
    <w:rsid w:val="00C34342"/>
    <w:rsid w:val="00C3439C"/>
    <w:rsid w:val="00C345B1"/>
    <w:rsid w:val="00C34A38"/>
    <w:rsid w:val="00C34FE9"/>
    <w:rsid w:val="00C35232"/>
    <w:rsid w:val="00C3540A"/>
    <w:rsid w:val="00C36192"/>
    <w:rsid w:val="00C368EC"/>
    <w:rsid w:val="00C36F8E"/>
    <w:rsid w:val="00C3750E"/>
    <w:rsid w:val="00C37A4F"/>
    <w:rsid w:val="00C37AED"/>
    <w:rsid w:val="00C37F6B"/>
    <w:rsid w:val="00C40454"/>
    <w:rsid w:val="00C40B79"/>
    <w:rsid w:val="00C412AC"/>
    <w:rsid w:val="00C41BA1"/>
    <w:rsid w:val="00C42746"/>
    <w:rsid w:val="00C4376F"/>
    <w:rsid w:val="00C43961"/>
    <w:rsid w:val="00C43BDB"/>
    <w:rsid w:val="00C44281"/>
    <w:rsid w:val="00C44AB6"/>
    <w:rsid w:val="00C44C3D"/>
    <w:rsid w:val="00C45313"/>
    <w:rsid w:val="00C45C1D"/>
    <w:rsid w:val="00C45C3B"/>
    <w:rsid w:val="00C45D65"/>
    <w:rsid w:val="00C46B4B"/>
    <w:rsid w:val="00C46DC7"/>
    <w:rsid w:val="00C47028"/>
    <w:rsid w:val="00C47135"/>
    <w:rsid w:val="00C50F33"/>
    <w:rsid w:val="00C50FC4"/>
    <w:rsid w:val="00C5132F"/>
    <w:rsid w:val="00C5137E"/>
    <w:rsid w:val="00C5141C"/>
    <w:rsid w:val="00C51488"/>
    <w:rsid w:val="00C51C0C"/>
    <w:rsid w:val="00C529B3"/>
    <w:rsid w:val="00C53507"/>
    <w:rsid w:val="00C53A36"/>
    <w:rsid w:val="00C545AD"/>
    <w:rsid w:val="00C54A01"/>
    <w:rsid w:val="00C550CB"/>
    <w:rsid w:val="00C55DD8"/>
    <w:rsid w:val="00C5636C"/>
    <w:rsid w:val="00C56671"/>
    <w:rsid w:val="00C56A0B"/>
    <w:rsid w:val="00C56ABD"/>
    <w:rsid w:val="00C56CCF"/>
    <w:rsid w:val="00C57626"/>
    <w:rsid w:val="00C57D2A"/>
    <w:rsid w:val="00C57D5F"/>
    <w:rsid w:val="00C57DCA"/>
    <w:rsid w:val="00C57F27"/>
    <w:rsid w:val="00C6018F"/>
    <w:rsid w:val="00C60361"/>
    <w:rsid w:val="00C606F7"/>
    <w:rsid w:val="00C609CA"/>
    <w:rsid w:val="00C60E42"/>
    <w:rsid w:val="00C60FA7"/>
    <w:rsid w:val="00C61358"/>
    <w:rsid w:val="00C6158A"/>
    <w:rsid w:val="00C62321"/>
    <w:rsid w:val="00C623F2"/>
    <w:rsid w:val="00C627DB"/>
    <w:rsid w:val="00C62828"/>
    <w:rsid w:val="00C62A98"/>
    <w:rsid w:val="00C637D6"/>
    <w:rsid w:val="00C63DE6"/>
    <w:rsid w:val="00C6432B"/>
    <w:rsid w:val="00C65DD8"/>
    <w:rsid w:val="00C6618F"/>
    <w:rsid w:val="00C662EC"/>
    <w:rsid w:val="00C6630D"/>
    <w:rsid w:val="00C66362"/>
    <w:rsid w:val="00C666F6"/>
    <w:rsid w:val="00C66CBC"/>
    <w:rsid w:val="00C66EB4"/>
    <w:rsid w:val="00C706E3"/>
    <w:rsid w:val="00C70B40"/>
    <w:rsid w:val="00C70E5F"/>
    <w:rsid w:val="00C70F44"/>
    <w:rsid w:val="00C712EC"/>
    <w:rsid w:val="00C71A7E"/>
    <w:rsid w:val="00C71E47"/>
    <w:rsid w:val="00C71E82"/>
    <w:rsid w:val="00C72A8F"/>
    <w:rsid w:val="00C72E07"/>
    <w:rsid w:val="00C7311B"/>
    <w:rsid w:val="00C736C4"/>
    <w:rsid w:val="00C740B9"/>
    <w:rsid w:val="00C74621"/>
    <w:rsid w:val="00C74962"/>
    <w:rsid w:val="00C753F7"/>
    <w:rsid w:val="00C754AF"/>
    <w:rsid w:val="00C758BC"/>
    <w:rsid w:val="00C75B63"/>
    <w:rsid w:val="00C76F02"/>
    <w:rsid w:val="00C8120C"/>
    <w:rsid w:val="00C81492"/>
    <w:rsid w:val="00C81605"/>
    <w:rsid w:val="00C823A2"/>
    <w:rsid w:val="00C8249E"/>
    <w:rsid w:val="00C82534"/>
    <w:rsid w:val="00C82BFD"/>
    <w:rsid w:val="00C8322A"/>
    <w:rsid w:val="00C8329E"/>
    <w:rsid w:val="00C8442D"/>
    <w:rsid w:val="00C84868"/>
    <w:rsid w:val="00C859D0"/>
    <w:rsid w:val="00C86138"/>
    <w:rsid w:val="00C864F1"/>
    <w:rsid w:val="00C86D9B"/>
    <w:rsid w:val="00C87303"/>
    <w:rsid w:val="00C87EEE"/>
    <w:rsid w:val="00C90229"/>
    <w:rsid w:val="00C90424"/>
    <w:rsid w:val="00C9074B"/>
    <w:rsid w:val="00C90F0F"/>
    <w:rsid w:val="00C91098"/>
    <w:rsid w:val="00C911A5"/>
    <w:rsid w:val="00C91CA6"/>
    <w:rsid w:val="00C91DDE"/>
    <w:rsid w:val="00C91FD6"/>
    <w:rsid w:val="00C931BF"/>
    <w:rsid w:val="00C9337F"/>
    <w:rsid w:val="00C936BF"/>
    <w:rsid w:val="00C94548"/>
    <w:rsid w:val="00C947EE"/>
    <w:rsid w:val="00C94904"/>
    <w:rsid w:val="00C9549D"/>
    <w:rsid w:val="00C954AB"/>
    <w:rsid w:val="00C954C2"/>
    <w:rsid w:val="00C955AB"/>
    <w:rsid w:val="00C95A88"/>
    <w:rsid w:val="00C960A5"/>
    <w:rsid w:val="00C967BA"/>
    <w:rsid w:val="00C96874"/>
    <w:rsid w:val="00C96B75"/>
    <w:rsid w:val="00C96DBA"/>
    <w:rsid w:val="00C96E58"/>
    <w:rsid w:val="00C9746E"/>
    <w:rsid w:val="00C97B28"/>
    <w:rsid w:val="00C97E7D"/>
    <w:rsid w:val="00CA03BD"/>
    <w:rsid w:val="00CA05CD"/>
    <w:rsid w:val="00CA0AC3"/>
    <w:rsid w:val="00CA0D9E"/>
    <w:rsid w:val="00CA0EC8"/>
    <w:rsid w:val="00CA0F67"/>
    <w:rsid w:val="00CA13B4"/>
    <w:rsid w:val="00CA17E1"/>
    <w:rsid w:val="00CA20C0"/>
    <w:rsid w:val="00CA2345"/>
    <w:rsid w:val="00CA26FD"/>
    <w:rsid w:val="00CA2F7E"/>
    <w:rsid w:val="00CA355C"/>
    <w:rsid w:val="00CA3C3A"/>
    <w:rsid w:val="00CA3F93"/>
    <w:rsid w:val="00CA44CE"/>
    <w:rsid w:val="00CA4843"/>
    <w:rsid w:val="00CA4BDB"/>
    <w:rsid w:val="00CA4C1E"/>
    <w:rsid w:val="00CA5861"/>
    <w:rsid w:val="00CA5B0B"/>
    <w:rsid w:val="00CA6506"/>
    <w:rsid w:val="00CB0051"/>
    <w:rsid w:val="00CB00B0"/>
    <w:rsid w:val="00CB0530"/>
    <w:rsid w:val="00CB0A20"/>
    <w:rsid w:val="00CB0A9C"/>
    <w:rsid w:val="00CB0E1E"/>
    <w:rsid w:val="00CB15B5"/>
    <w:rsid w:val="00CB15C1"/>
    <w:rsid w:val="00CB2759"/>
    <w:rsid w:val="00CB291A"/>
    <w:rsid w:val="00CB2FB7"/>
    <w:rsid w:val="00CB2FE1"/>
    <w:rsid w:val="00CB31A7"/>
    <w:rsid w:val="00CB35AD"/>
    <w:rsid w:val="00CB3686"/>
    <w:rsid w:val="00CB39AA"/>
    <w:rsid w:val="00CB5794"/>
    <w:rsid w:val="00CB5A50"/>
    <w:rsid w:val="00CB5B17"/>
    <w:rsid w:val="00CB6342"/>
    <w:rsid w:val="00CB6C9E"/>
    <w:rsid w:val="00CB72EF"/>
    <w:rsid w:val="00CB744C"/>
    <w:rsid w:val="00CB78F5"/>
    <w:rsid w:val="00CB7C26"/>
    <w:rsid w:val="00CC02CE"/>
    <w:rsid w:val="00CC08E8"/>
    <w:rsid w:val="00CC0A0F"/>
    <w:rsid w:val="00CC0C97"/>
    <w:rsid w:val="00CC0E0E"/>
    <w:rsid w:val="00CC0F11"/>
    <w:rsid w:val="00CC2417"/>
    <w:rsid w:val="00CC3DB3"/>
    <w:rsid w:val="00CC3F74"/>
    <w:rsid w:val="00CC401A"/>
    <w:rsid w:val="00CC42C6"/>
    <w:rsid w:val="00CC439D"/>
    <w:rsid w:val="00CC43BF"/>
    <w:rsid w:val="00CC4C5D"/>
    <w:rsid w:val="00CC551B"/>
    <w:rsid w:val="00CC5593"/>
    <w:rsid w:val="00CC638E"/>
    <w:rsid w:val="00CC6E28"/>
    <w:rsid w:val="00CC6F45"/>
    <w:rsid w:val="00CC7699"/>
    <w:rsid w:val="00CC7716"/>
    <w:rsid w:val="00CC783C"/>
    <w:rsid w:val="00CC7CD4"/>
    <w:rsid w:val="00CC7D7C"/>
    <w:rsid w:val="00CD00BE"/>
    <w:rsid w:val="00CD0B67"/>
    <w:rsid w:val="00CD0B96"/>
    <w:rsid w:val="00CD0BC5"/>
    <w:rsid w:val="00CD1282"/>
    <w:rsid w:val="00CD1C92"/>
    <w:rsid w:val="00CD1F1F"/>
    <w:rsid w:val="00CD263D"/>
    <w:rsid w:val="00CD2709"/>
    <w:rsid w:val="00CD2750"/>
    <w:rsid w:val="00CD2E2D"/>
    <w:rsid w:val="00CD447E"/>
    <w:rsid w:val="00CD4E40"/>
    <w:rsid w:val="00CD4EC4"/>
    <w:rsid w:val="00CD5309"/>
    <w:rsid w:val="00CD5506"/>
    <w:rsid w:val="00CD57AC"/>
    <w:rsid w:val="00CD5A1A"/>
    <w:rsid w:val="00CD5C17"/>
    <w:rsid w:val="00CD5D41"/>
    <w:rsid w:val="00CD609E"/>
    <w:rsid w:val="00CD69D6"/>
    <w:rsid w:val="00CD6AB7"/>
    <w:rsid w:val="00CD74F7"/>
    <w:rsid w:val="00CD7521"/>
    <w:rsid w:val="00CE0210"/>
    <w:rsid w:val="00CE0734"/>
    <w:rsid w:val="00CE075C"/>
    <w:rsid w:val="00CE0DE3"/>
    <w:rsid w:val="00CE11F6"/>
    <w:rsid w:val="00CE143A"/>
    <w:rsid w:val="00CE1D05"/>
    <w:rsid w:val="00CE20ED"/>
    <w:rsid w:val="00CE2135"/>
    <w:rsid w:val="00CE247A"/>
    <w:rsid w:val="00CE2803"/>
    <w:rsid w:val="00CE28BF"/>
    <w:rsid w:val="00CE346A"/>
    <w:rsid w:val="00CE3773"/>
    <w:rsid w:val="00CE37C1"/>
    <w:rsid w:val="00CE38E0"/>
    <w:rsid w:val="00CE406A"/>
    <w:rsid w:val="00CE4946"/>
    <w:rsid w:val="00CE5E1E"/>
    <w:rsid w:val="00CE5F61"/>
    <w:rsid w:val="00CE6831"/>
    <w:rsid w:val="00CE6A3D"/>
    <w:rsid w:val="00CE6D49"/>
    <w:rsid w:val="00CE6E9A"/>
    <w:rsid w:val="00CE76A2"/>
    <w:rsid w:val="00CE7FC6"/>
    <w:rsid w:val="00CF021D"/>
    <w:rsid w:val="00CF0AD7"/>
    <w:rsid w:val="00CF11C6"/>
    <w:rsid w:val="00CF126F"/>
    <w:rsid w:val="00CF17D2"/>
    <w:rsid w:val="00CF186A"/>
    <w:rsid w:val="00CF2BCA"/>
    <w:rsid w:val="00CF2D62"/>
    <w:rsid w:val="00CF2F56"/>
    <w:rsid w:val="00CF3112"/>
    <w:rsid w:val="00CF4178"/>
    <w:rsid w:val="00CF4695"/>
    <w:rsid w:val="00CF47CC"/>
    <w:rsid w:val="00CF4E5D"/>
    <w:rsid w:val="00CF4FA7"/>
    <w:rsid w:val="00CF54A5"/>
    <w:rsid w:val="00CF55A2"/>
    <w:rsid w:val="00CF5BB3"/>
    <w:rsid w:val="00CF5EA7"/>
    <w:rsid w:val="00CF6880"/>
    <w:rsid w:val="00CF6AB6"/>
    <w:rsid w:val="00CF7010"/>
    <w:rsid w:val="00CF70A8"/>
    <w:rsid w:val="00CF738F"/>
    <w:rsid w:val="00CF7991"/>
    <w:rsid w:val="00CF7B7E"/>
    <w:rsid w:val="00CF7EC2"/>
    <w:rsid w:val="00CF7F2D"/>
    <w:rsid w:val="00CF7F33"/>
    <w:rsid w:val="00D0023C"/>
    <w:rsid w:val="00D00602"/>
    <w:rsid w:val="00D00978"/>
    <w:rsid w:val="00D0141D"/>
    <w:rsid w:val="00D015E4"/>
    <w:rsid w:val="00D01792"/>
    <w:rsid w:val="00D01D0E"/>
    <w:rsid w:val="00D02154"/>
    <w:rsid w:val="00D021E3"/>
    <w:rsid w:val="00D02B60"/>
    <w:rsid w:val="00D02CA5"/>
    <w:rsid w:val="00D02CD0"/>
    <w:rsid w:val="00D0300F"/>
    <w:rsid w:val="00D0317C"/>
    <w:rsid w:val="00D03DBA"/>
    <w:rsid w:val="00D04119"/>
    <w:rsid w:val="00D044DB"/>
    <w:rsid w:val="00D04504"/>
    <w:rsid w:val="00D0483C"/>
    <w:rsid w:val="00D04857"/>
    <w:rsid w:val="00D04DE0"/>
    <w:rsid w:val="00D0558F"/>
    <w:rsid w:val="00D05786"/>
    <w:rsid w:val="00D0621D"/>
    <w:rsid w:val="00D063CE"/>
    <w:rsid w:val="00D06832"/>
    <w:rsid w:val="00D069DB"/>
    <w:rsid w:val="00D06AC3"/>
    <w:rsid w:val="00D06CA1"/>
    <w:rsid w:val="00D07092"/>
    <w:rsid w:val="00D071CF"/>
    <w:rsid w:val="00D077ED"/>
    <w:rsid w:val="00D078CA"/>
    <w:rsid w:val="00D07C2E"/>
    <w:rsid w:val="00D1069A"/>
    <w:rsid w:val="00D107CB"/>
    <w:rsid w:val="00D10BA2"/>
    <w:rsid w:val="00D11419"/>
    <w:rsid w:val="00D12574"/>
    <w:rsid w:val="00D12579"/>
    <w:rsid w:val="00D12E69"/>
    <w:rsid w:val="00D13215"/>
    <w:rsid w:val="00D13294"/>
    <w:rsid w:val="00D13AB5"/>
    <w:rsid w:val="00D13AEA"/>
    <w:rsid w:val="00D1525E"/>
    <w:rsid w:val="00D15847"/>
    <w:rsid w:val="00D15CF2"/>
    <w:rsid w:val="00D161E1"/>
    <w:rsid w:val="00D17DCA"/>
    <w:rsid w:val="00D202A8"/>
    <w:rsid w:val="00D20B4D"/>
    <w:rsid w:val="00D20CA4"/>
    <w:rsid w:val="00D2138C"/>
    <w:rsid w:val="00D21B3B"/>
    <w:rsid w:val="00D21D08"/>
    <w:rsid w:val="00D21EDA"/>
    <w:rsid w:val="00D21FA5"/>
    <w:rsid w:val="00D22C98"/>
    <w:rsid w:val="00D23A0B"/>
    <w:rsid w:val="00D23B88"/>
    <w:rsid w:val="00D23E05"/>
    <w:rsid w:val="00D241F0"/>
    <w:rsid w:val="00D24723"/>
    <w:rsid w:val="00D24E78"/>
    <w:rsid w:val="00D266A5"/>
    <w:rsid w:val="00D26BEA"/>
    <w:rsid w:val="00D27259"/>
    <w:rsid w:val="00D27682"/>
    <w:rsid w:val="00D2777C"/>
    <w:rsid w:val="00D277AD"/>
    <w:rsid w:val="00D27860"/>
    <w:rsid w:val="00D27915"/>
    <w:rsid w:val="00D27B4E"/>
    <w:rsid w:val="00D27B75"/>
    <w:rsid w:val="00D27E57"/>
    <w:rsid w:val="00D3042B"/>
    <w:rsid w:val="00D30538"/>
    <w:rsid w:val="00D3071B"/>
    <w:rsid w:val="00D31445"/>
    <w:rsid w:val="00D3167B"/>
    <w:rsid w:val="00D32536"/>
    <w:rsid w:val="00D328D1"/>
    <w:rsid w:val="00D32B7F"/>
    <w:rsid w:val="00D32E9E"/>
    <w:rsid w:val="00D32F32"/>
    <w:rsid w:val="00D32FD0"/>
    <w:rsid w:val="00D33B07"/>
    <w:rsid w:val="00D33CC3"/>
    <w:rsid w:val="00D33ED0"/>
    <w:rsid w:val="00D3413D"/>
    <w:rsid w:val="00D344C6"/>
    <w:rsid w:val="00D345B7"/>
    <w:rsid w:val="00D35396"/>
    <w:rsid w:val="00D353D6"/>
    <w:rsid w:val="00D35ADA"/>
    <w:rsid w:val="00D3715B"/>
    <w:rsid w:val="00D37A7E"/>
    <w:rsid w:val="00D37CB2"/>
    <w:rsid w:val="00D40877"/>
    <w:rsid w:val="00D40BCD"/>
    <w:rsid w:val="00D411F6"/>
    <w:rsid w:val="00D412A2"/>
    <w:rsid w:val="00D415F9"/>
    <w:rsid w:val="00D42931"/>
    <w:rsid w:val="00D432C2"/>
    <w:rsid w:val="00D437A3"/>
    <w:rsid w:val="00D43DC3"/>
    <w:rsid w:val="00D440DF"/>
    <w:rsid w:val="00D4413B"/>
    <w:rsid w:val="00D4433D"/>
    <w:rsid w:val="00D44AFD"/>
    <w:rsid w:val="00D44BA8"/>
    <w:rsid w:val="00D44F71"/>
    <w:rsid w:val="00D44F9C"/>
    <w:rsid w:val="00D455A6"/>
    <w:rsid w:val="00D455DE"/>
    <w:rsid w:val="00D459A5"/>
    <w:rsid w:val="00D465F1"/>
    <w:rsid w:val="00D46B53"/>
    <w:rsid w:val="00D47103"/>
    <w:rsid w:val="00D4750A"/>
    <w:rsid w:val="00D500B7"/>
    <w:rsid w:val="00D506C9"/>
    <w:rsid w:val="00D519F7"/>
    <w:rsid w:val="00D51EAC"/>
    <w:rsid w:val="00D5266F"/>
    <w:rsid w:val="00D540F6"/>
    <w:rsid w:val="00D544C7"/>
    <w:rsid w:val="00D54E1D"/>
    <w:rsid w:val="00D560AF"/>
    <w:rsid w:val="00D56434"/>
    <w:rsid w:val="00D565C3"/>
    <w:rsid w:val="00D565D1"/>
    <w:rsid w:val="00D56B0A"/>
    <w:rsid w:val="00D56C00"/>
    <w:rsid w:val="00D56DD6"/>
    <w:rsid w:val="00D5758B"/>
    <w:rsid w:val="00D5771C"/>
    <w:rsid w:val="00D57752"/>
    <w:rsid w:val="00D5791C"/>
    <w:rsid w:val="00D57F33"/>
    <w:rsid w:val="00D600CA"/>
    <w:rsid w:val="00D60191"/>
    <w:rsid w:val="00D60767"/>
    <w:rsid w:val="00D60A64"/>
    <w:rsid w:val="00D60C47"/>
    <w:rsid w:val="00D60D5B"/>
    <w:rsid w:val="00D610F8"/>
    <w:rsid w:val="00D61404"/>
    <w:rsid w:val="00D61562"/>
    <w:rsid w:val="00D61602"/>
    <w:rsid w:val="00D61655"/>
    <w:rsid w:val="00D6197E"/>
    <w:rsid w:val="00D61999"/>
    <w:rsid w:val="00D61BB6"/>
    <w:rsid w:val="00D61FD6"/>
    <w:rsid w:val="00D6218E"/>
    <w:rsid w:val="00D6223D"/>
    <w:rsid w:val="00D62A6C"/>
    <w:rsid w:val="00D62B8B"/>
    <w:rsid w:val="00D631DE"/>
    <w:rsid w:val="00D63240"/>
    <w:rsid w:val="00D633C1"/>
    <w:rsid w:val="00D656FD"/>
    <w:rsid w:val="00D65F39"/>
    <w:rsid w:val="00D66531"/>
    <w:rsid w:val="00D665B3"/>
    <w:rsid w:val="00D665FD"/>
    <w:rsid w:val="00D6682B"/>
    <w:rsid w:val="00D668F4"/>
    <w:rsid w:val="00D67B23"/>
    <w:rsid w:val="00D67C87"/>
    <w:rsid w:val="00D70081"/>
    <w:rsid w:val="00D7161B"/>
    <w:rsid w:val="00D71BFA"/>
    <w:rsid w:val="00D7218B"/>
    <w:rsid w:val="00D7288E"/>
    <w:rsid w:val="00D72D59"/>
    <w:rsid w:val="00D73D70"/>
    <w:rsid w:val="00D74281"/>
    <w:rsid w:val="00D744B9"/>
    <w:rsid w:val="00D7473A"/>
    <w:rsid w:val="00D74A4D"/>
    <w:rsid w:val="00D75124"/>
    <w:rsid w:val="00D76411"/>
    <w:rsid w:val="00D765FC"/>
    <w:rsid w:val="00D76765"/>
    <w:rsid w:val="00D76A7B"/>
    <w:rsid w:val="00D775AC"/>
    <w:rsid w:val="00D8048C"/>
    <w:rsid w:val="00D80518"/>
    <w:rsid w:val="00D80571"/>
    <w:rsid w:val="00D80755"/>
    <w:rsid w:val="00D808ED"/>
    <w:rsid w:val="00D80AEA"/>
    <w:rsid w:val="00D80BEF"/>
    <w:rsid w:val="00D812BC"/>
    <w:rsid w:val="00D819C0"/>
    <w:rsid w:val="00D81A94"/>
    <w:rsid w:val="00D81E26"/>
    <w:rsid w:val="00D82049"/>
    <w:rsid w:val="00D82F9A"/>
    <w:rsid w:val="00D83957"/>
    <w:rsid w:val="00D8515E"/>
    <w:rsid w:val="00D85AF3"/>
    <w:rsid w:val="00D85EAE"/>
    <w:rsid w:val="00D863C5"/>
    <w:rsid w:val="00D86804"/>
    <w:rsid w:val="00D869B9"/>
    <w:rsid w:val="00D86BC7"/>
    <w:rsid w:val="00D86C6B"/>
    <w:rsid w:val="00D870D7"/>
    <w:rsid w:val="00D87371"/>
    <w:rsid w:val="00D87452"/>
    <w:rsid w:val="00D87500"/>
    <w:rsid w:val="00D87801"/>
    <w:rsid w:val="00D87B29"/>
    <w:rsid w:val="00D9039B"/>
    <w:rsid w:val="00D90EFF"/>
    <w:rsid w:val="00D90F91"/>
    <w:rsid w:val="00D9186F"/>
    <w:rsid w:val="00D91D9E"/>
    <w:rsid w:val="00D91F3E"/>
    <w:rsid w:val="00D9244A"/>
    <w:rsid w:val="00D9245E"/>
    <w:rsid w:val="00D9274E"/>
    <w:rsid w:val="00D93FEA"/>
    <w:rsid w:val="00D94193"/>
    <w:rsid w:val="00D946D8"/>
    <w:rsid w:val="00D94FE2"/>
    <w:rsid w:val="00D95B95"/>
    <w:rsid w:val="00D95BFB"/>
    <w:rsid w:val="00D9602D"/>
    <w:rsid w:val="00D96124"/>
    <w:rsid w:val="00D9613B"/>
    <w:rsid w:val="00D9628D"/>
    <w:rsid w:val="00D96480"/>
    <w:rsid w:val="00D969E8"/>
    <w:rsid w:val="00D96B04"/>
    <w:rsid w:val="00D96BB3"/>
    <w:rsid w:val="00D976E2"/>
    <w:rsid w:val="00D97B6B"/>
    <w:rsid w:val="00DA018F"/>
    <w:rsid w:val="00DA04BB"/>
    <w:rsid w:val="00DA0648"/>
    <w:rsid w:val="00DA0866"/>
    <w:rsid w:val="00DA09CF"/>
    <w:rsid w:val="00DA1004"/>
    <w:rsid w:val="00DA1385"/>
    <w:rsid w:val="00DA18D2"/>
    <w:rsid w:val="00DA1A70"/>
    <w:rsid w:val="00DA244F"/>
    <w:rsid w:val="00DA398B"/>
    <w:rsid w:val="00DA39FE"/>
    <w:rsid w:val="00DA3B41"/>
    <w:rsid w:val="00DA4676"/>
    <w:rsid w:val="00DA48E6"/>
    <w:rsid w:val="00DA49D9"/>
    <w:rsid w:val="00DA4D97"/>
    <w:rsid w:val="00DA57EA"/>
    <w:rsid w:val="00DA5EF2"/>
    <w:rsid w:val="00DA602A"/>
    <w:rsid w:val="00DA60F7"/>
    <w:rsid w:val="00DA6475"/>
    <w:rsid w:val="00DA66FC"/>
    <w:rsid w:val="00DA6972"/>
    <w:rsid w:val="00DA6F1F"/>
    <w:rsid w:val="00DA76EE"/>
    <w:rsid w:val="00DA7B02"/>
    <w:rsid w:val="00DA7CAF"/>
    <w:rsid w:val="00DB073D"/>
    <w:rsid w:val="00DB0745"/>
    <w:rsid w:val="00DB086F"/>
    <w:rsid w:val="00DB10A9"/>
    <w:rsid w:val="00DB11BA"/>
    <w:rsid w:val="00DB1B6C"/>
    <w:rsid w:val="00DB1E6D"/>
    <w:rsid w:val="00DB2688"/>
    <w:rsid w:val="00DB29CB"/>
    <w:rsid w:val="00DB3978"/>
    <w:rsid w:val="00DB3B13"/>
    <w:rsid w:val="00DB4092"/>
    <w:rsid w:val="00DB43DB"/>
    <w:rsid w:val="00DB44F6"/>
    <w:rsid w:val="00DB4604"/>
    <w:rsid w:val="00DB4B0B"/>
    <w:rsid w:val="00DB4B2B"/>
    <w:rsid w:val="00DB4C45"/>
    <w:rsid w:val="00DB4D75"/>
    <w:rsid w:val="00DB50A7"/>
    <w:rsid w:val="00DB57B7"/>
    <w:rsid w:val="00DB586E"/>
    <w:rsid w:val="00DB67A9"/>
    <w:rsid w:val="00DB690E"/>
    <w:rsid w:val="00DB6F0F"/>
    <w:rsid w:val="00DB74CC"/>
    <w:rsid w:val="00DC033B"/>
    <w:rsid w:val="00DC1612"/>
    <w:rsid w:val="00DC1C56"/>
    <w:rsid w:val="00DC2B1D"/>
    <w:rsid w:val="00DC2FB0"/>
    <w:rsid w:val="00DC3092"/>
    <w:rsid w:val="00DC37EF"/>
    <w:rsid w:val="00DC38CA"/>
    <w:rsid w:val="00DC4AAB"/>
    <w:rsid w:val="00DC4DAD"/>
    <w:rsid w:val="00DC57E8"/>
    <w:rsid w:val="00DC5F15"/>
    <w:rsid w:val="00DC6F1A"/>
    <w:rsid w:val="00DC72B4"/>
    <w:rsid w:val="00DC7802"/>
    <w:rsid w:val="00DD028E"/>
    <w:rsid w:val="00DD136D"/>
    <w:rsid w:val="00DD1493"/>
    <w:rsid w:val="00DD1572"/>
    <w:rsid w:val="00DD15A6"/>
    <w:rsid w:val="00DD19C3"/>
    <w:rsid w:val="00DD1CC7"/>
    <w:rsid w:val="00DD1CD2"/>
    <w:rsid w:val="00DD1D5A"/>
    <w:rsid w:val="00DD249E"/>
    <w:rsid w:val="00DD26B3"/>
    <w:rsid w:val="00DD2FE0"/>
    <w:rsid w:val="00DD317D"/>
    <w:rsid w:val="00DD31C3"/>
    <w:rsid w:val="00DD3652"/>
    <w:rsid w:val="00DD3773"/>
    <w:rsid w:val="00DD3B3D"/>
    <w:rsid w:val="00DD43B0"/>
    <w:rsid w:val="00DD54B0"/>
    <w:rsid w:val="00DD56DA"/>
    <w:rsid w:val="00DD57BE"/>
    <w:rsid w:val="00DD60A8"/>
    <w:rsid w:val="00DD6A1F"/>
    <w:rsid w:val="00DD749F"/>
    <w:rsid w:val="00DD757B"/>
    <w:rsid w:val="00DD7D18"/>
    <w:rsid w:val="00DE0546"/>
    <w:rsid w:val="00DE05AD"/>
    <w:rsid w:val="00DE0F2C"/>
    <w:rsid w:val="00DE155B"/>
    <w:rsid w:val="00DE1FC6"/>
    <w:rsid w:val="00DE227B"/>
    <w:rsid w:val="00DE228A"/>
    <w:rsid w:val="00DE27E3"/>
    <w:rsid w:val="00DE3218"/>
    <w:rsid w:val="00DE344C"/>
    <w:rsid w:val="00DE3593"/>
    <w:rsid w:val="00DE3C39"/>
    <w:rsid w:val="00DE3D24"/>
    <w:rsid w:val="00DE4069"/>
    <w:rsid w:val="00DE4D74"/>
    <w:rsid w:val="00DE4E17"/>
    <w:rsid w:val="00DE50D6"/>
    <w:rsid w:val="00DE602D"/>
    <w:rsid w:val="00DE6467"/>
    <w:rsid w:val="00DE6CC3"/>
    <w:rsid w:val="00DE7645"/>
    <w:rsid w:val="00DE7706"/>
    <w:rsid w:val="00DE79BE"/>
    <w:rsid w:val="00DE7D9F"/>
    <w:rsid w:val="00DF031E"/>
    <w:rsid w:val="00DF03EA"/>
    <w:rsid w:val="00DF091E"/>
    <w:rsid w:val="00DF0954"/>
    <w:rsid w:val="00DF09F3"/>
    <w:rsid w:val="00DF1387"/>
    <w:rsid w:val="00DF1BD7"/>
    <w:rsid w:val="00DF2255"/>
    <w:rsid w:val="00DF25F2"/>
    <w:rsid w:val="00DF2D63"/>
    <w:rsid w:val="00DF2E60"/>
    <w:rsid w:val="00DF3566"/>
    <w:rsid w:val="00DF35A7"/>
    <w:rsid w:val="00DF3996"/>
    <w:rsid w:val="00DF455A"/>
    <w:rsid w:val="00DF4BA8"/>
    <w:rsid w:val="00DF5828"/>
    <w:rsid w:val="00DF5938"/>
    <w:rsid w:val="00DF6DAB"/>
    <w:rsid w:val="00DF6E01"/>
    <w:rsid w:val="00DF7359"/>
    <w:rsid w:val="00DF738D"/>
    <w:rsid w:val="00DF7608"/>
    <w:rsid w:val="00DF76DF"/>
    <w:rsid w:val="00DF7A4B"/>
    <w:rsid w:val="00DF7F0E"/>
    <w:rsid w:val="00E016A3"/>
    <w:rsid w:val="00E01A8E"/>
    <w:rsid w:val="00E024BC"/>
    <w:rsid w:val="00E026E2"/>
    <w:rsid w:val="00E040A6"/>
    <w:rsid w:val="00E04BE7"/>
    <w:rsid w:val="00E04F8B"/>
    <w:rsid w:val="00E05112"/>
    <w:rsid w:val="00E05187"/>
    <w:rsid w:val="00E055D4"/>
    <w:rsid w:val="00E058DC"/>
    <w:rsid w:val="00E06AD7"/>
    <w:rsid w:val="00E071CB"/>
    <w:rsid w:val="00E078FB"/>
    <w:rsid w:val="00E079C6"/>
    <w:rsid w:val="00E079DC"/>
    <w:rsid w:val="00E1023A"/>
    <w:rsid w:val="00E1044D"/>
    <w:rsid w:val="00E1045E"/>
    <w:rsid w:val="00E11AED"/>
    <w:rsid w:val="00E11B06"/>
    <w:rsid w:val="00E11D6A"/>
    <w:rsid w:val="00E13044"/>
    <w:rsid w:val="00E132F9"/>
    <w:rsid w:val="00E13A40"/>
    <w:rsid w:val="00E13DDE"/>
    <w:rsid w:val="00E13F36"/>
    <w:rsid w:val="00E1461A"/>
    <w:rsid w:val="00E14BD0"/>
    <w:rsid w:val="00E14E17"/>
    <w:rsid w:val="00E14FC2"/>
    <w:rsid w:val="00E1540D"/>
    <w:rsid w:val="00E15549"/>
    <w:rsid w:val="00E15F44"/>
    <w:rsid w:val="00E16066"/>
    <w:rsid w:val="00E161FF"/>
    <w:rsid w:val="00E170AF"/>
    <w:rsid w:val="00E17206"/>
    <w:rsid w:val="00E17395"/>
    <w:rsid w:val="00E175E1"/>
    <w:rsid w:val="00E20140"/>
    <w:rsid w:val="00E20C6D"/>
    <w:rsid w:val="00E21570"/>
    <w:rsid w:val="00E21CDE"/>
    <w:rsid w:val="00E21CF9"/>
    <w:rsid w:val="00E2202B"/>
    <w:rsid w:val="00E2203F"/>
    <w:rsid w:val="00E22446"/>
    <w:rsid w:val="00E2265F"/>
    <w:rsid w:val="00E2397A"/>
    <w:rsid w:val="00E243F9"/>
    <w:rsid w:val="00E24AAA"/>
    <w:rsid w:val="00E24BC9"/>
    <w:rsid w:val="00E250CE"/>
    <w:rsid w:val="00E2538C"/>
    <w:rsid w:val="00E2552A"/>
    <w:rsid w:val="00E257B3"/>
    <w:rsid w:val="00E25907"/>
    <w:rsid w:val="00E25BFD"/>
    <w:rsid w:val="00E25F90"/>
    <w:rsid w:val="00E2613B"/>
    <w:rsid w:val="00E2691A"/>
    <w:rsid w:val="00E26FB4"/>
    <w:rsid w:val="00E273BF"/>
    <w:rsid w:val="00E27F66"/>
    <w:rsid w:val="00E302BA"/>
    <w:rsid w:val="00E30852"/>
    <w:rsid w:val="00E30C76"/>
    <w:rsid w:val="00E317B8"/>
    <w:rsid w:val="00E3214C"/>
    <w:rsid w:val="00E32430"/>
    <w:rsid w:val="00E32C0F"/>
    <w:rsid w:val="00E32C23"/>
    <w:rsid w:val="00E32F71"/>
    <w:rsid w:val="00E330DA"/>
    <w:rsid w:val="00E33DA2"/>
    <w:rsid w:val="00E34176"/>
    <w:rsid w:val="00E345BF"/>
    <w:rsid w:val="00E34C03"/>
    <w:rsid w:val="00E34D5F"/>
    <w:rsid w:val="00E34D68"/>
    <w:rsid w:val="00E36926"/>
    <w:rsid w:val="00E3695E"/>
    <w:rsid w:val="00E36AA9"/>
    <w:rsid w:val="00E37061"/>
    <w:rsid w:val="00E37091"/>
    <w:rsid w:val="00E3793C"/>
    <w:rsid w:val="00E4024D"/>
    <w:rsid w:val="00E4090B"/>
    <w:rsid w:val="00E40929"/>
    <w:rsid w:val="00E40D15"/>
    <w:rsid w:val="00E40F83"/>
    <w:rsid w:val="00E41044"/>
    <w:rsid w:val="00E42377"/>
    <w:rsid w:val="00E42493"/>
    <w:rsid w:val="00E4291B"/>
    <w:rsid w:val="00E435A9"/>
    <w:rsid w:val="00E43DA9"/>
    <w:rsid w:val="00E444CD"/>
    <w:rsid w:val="00E4478C"/>
    <w:rsid w:val="00E448BC"/>
    <w:rsid w:val="00E44917"/>
    <w:rsid w:val="00E4499B"/>
    <w:rsid w:val="00E44F2C"/>
    <w:rsid w:val="00E454F1"/>
    <w:rsid w:val="00E45516"/>
    <w:rsid w:val="00E45B0B"/>
    <w:rsid w:val="00E468D0"/>
    <w:rsid w:val="00E46AD2"/>
    <w:rsid w:val="00E46D72"/>
    <w:rsid w:val="00E47335"/>
    <w:rsid w:val="00E50381"/>
    <w:rsid w:val="00E50812"/>
    <w:rsid w:val="00E50AE6"/>
    <w:rsid w:val="00E50CDF"/>
    <w:rsid w:val="00E5115C"/>
    <w:rsid w:val="00E5295A"/>
    <w:rsid w:val="00E53BF3"/>
    <w:rsid w:val="00E54E5C"/>
    <w:rsid w:val="00E54F28"/>
    <w:rsid w:val="00E55122"/>
    <w:rsid w:val="00E5595A"/>
    <w:rsid w:val="00E55C70"/>
    <w:rsid w:val="00E55D25"/>
    <w:rsid w:val="00E567BA"/>
    <w:rsid w:val="00E5697B"/>
    <w:rsid w:val="00E56A2D"/>
    <w:rsid w:val="00E571A3"/>
    <w:rsid w:val="00E57272"/>
    <w:rsid w:val="00E57B8D"/>
    <w:rsid w:val="00E57CF5"/>
    <w:rsid w:val="00E57EF0"/>
    <w:rsid w:val="00E601F6"/>
    <w:rsid w:val="00E60912"/>
    <w:rsid w:val="00E609B7"/>
    <w:rsid w:val="00E60BEC"/>
    <w:rsid w:val="00E60FF1"/>
    <w:rsid w:val="00E616F2"/>
    <w:rsid w:val="00E627C5"/>
    <w:rsid w:val="00E634A5"/>
    <w:rsid w:val="00E63DDE"/>
    <w:rsid w:val="00E64137"/>
    <w:rsid w:val="00E647F8"/>
    <w:rsid w:val="00E64AF9"/>
    <w:rsid w:val="00E64CB1"/>
    <w:rsid w:val="00E6582C"/>
    <w:rsid w:val="00E65CE3"/>
    <w:rsid w:val="00E65D64"/>
    <w:rsid w:val="00E66BEB"/>
    <w:rsid w:val="00E66EE8"/>
    <w:rsid w:val="00E6701B"/>
    <w:rsid w:val="00E673F9"/>
    <w:rsid w:val="00E67718"/>
    <w:rsid w:val="00E67885"/>
    <w:rsid w:val="00E67A6A"/>
    <w:rsid w:val="00E67AD3"/>
    <w:rsid w:val="00E70016"/>
    <w:rsid w:val="00E702C2"/>
    <w:rsid w:val="00E70354"/>
    <w:rsid w:val="00E70B0E"/>
    <w:rsid w:val="00E71CF1"/>
    <w:rsid w:val="00E71F4A"/>
    <w:rsid w:val="00E73002"/>
    <w:rsid w:val="00E73032"/>
    <w:rsid w:val="00E735B8"/>
    <w:rsid w:val="00E7434F"/>
    <w:rsid w:val="00E743CD"/>
    <w:rsid w:val="00E7460A"/>
    <w:rsid w:val="00E74629"/>
    <w:rsid w:val="00E74D80"/>
    <w:rsid w:val="00E74DC5"/>
    <w:rsid w:val="00E753D7"/>
    <w:rsid w:val="00E7545B"/>
    <w:rsid w:val="00E7566F"/>
    <w:rsid w:val="00E75BB4"/>
    <w:rsid w:val="00E75E24"/>
    <w:rsid w:val="00E7693B"/>
    <w:rsid w:val="00E769B0"/>
    <w:rsid w:val="00E76DD5"/>
    <w:rsid w:val="00E77136"/>
    <w:rsid w:val="00E775EC"/>
    <w:rsid w:val="00E779DC"/>
    <w:rsid w:val="00E77D74"/>
    <w:rsid w:val="00E77D79"/>
    <w:rsid w:val="00E8042C"/>
    <w:rsid w:val="00E80777"/>
    <w:rsid w:val="00E80790"/>
    <w:rsid w:val="00E808C2"/>
    <w:rsid w:val="00E8099C"/>
    <w:rsid w:val="00E80EFB"/>
    <w:rsid w:val="00E818C7"/>
    <w:rsid w:val="00E819D5"/>
    <w:rsid w:val="00E81D62"/>
    <w:rsid w:val="00E8233A"/>
    <w:rsid w:val="00E8237F"/>
    <w:rsid w:val="00E82D19"/>
    <w:rsid w:val="00E831A5"/>
    <w:rsid w:val="00E831ED"/>
    <w:rsid w:val="00E8339E"/>
    <w:rsid w:val="00E8365D"/>
    <w:rsid w:val="00E836CD"/>
    <w:rsid w:val="00E8376F"/>
    <w:rsid w:val="00E83F94"/>
    <w:rsid w:val="00E842B1"/>
    <w:rsid w:val="00E84CC4"/>
    <w:rsid w:val="00E85013"/>
    <w:rsid w:val="00E8509E"/>
    <w:rsid w:val="00E852DC"/>
    <w:rsid w:val="00E86151"/>
    <w:rsid w:val="00E87273"/>
    <w:rsid w:val="00E879B1"/>
    <w:rsid w:val="00E87AF4"/>
    <w:rsid w:val="00E91221"/>
    <w:rsid w:val="00E91586"/>
    <w:rsid w:val="00E91648"/>
    <w:rsid w:val="00E91780"/>
    <w:rsid w:val="00E91823"/>
    <w:rsid w:val="00E9205E"/>
    <w:rsid w:val="00E92B28"/>
    <w:rsid w:val="00E92CBD"/>
    <w:rsid w:val="00E92D14"/>
    <w:rsid w:val="00E92FB4"/>
    <w:rsid w:val="00E93A44"/>
    <w:rsid w:val="00E946D3"/>
    <w:rsid w:val="00E94A09"/>
    <w:rsid w:val="00E94CFF"/>
    <w:rsid w:val="00E9528B"/>
    <w:rsid w:val="00E952B4"/>
    <w:rsid w:val="00E95CB2"/>
    <w:rsid w:val="00E95D5A"/>
    <w:rsid w:val="00E96914"/>
    <w:rsid w:val="00E96B7C"/>
    <w:rsid w:val="00E96D9C"/>
    <w:rsid w:val="00E96DE5"/>
    <w:rsid w:val="00E972E1"/>
    <w:rsid w:val="00E979A0"/>
    <w:rsid w:val="00E97E05"/>
    <w:rsid w:val="00E97EE8"/>
    <w:rsid w:val="00E97FC2"/>
    <w:rsid w:val="00E97FDF"/>
    <w:rsid w:val="00EA010D"/>
    <w:rsid w:val="00EA01A6"/>
    <w:rsid w:val="00EA0210"/>
    <w:rsid w:val="00EA0983"/>
    <w:rsid w:val="00EA0A69"/>
    <w:rsid w:val="00EA0CCF"/>
    <w:rsid w:val="00EA0ED6"/>
    <w:rsid w:val="00EA0FC6"/>
    <w:rsid w:val="00EA1F6B"/>
    <w:rsid w:val="00EA2017"/>
    <w:rsid w:val="00EA23A3"/>
    <w:rsid w:val="00EA24FC"/>
    <w:rsid w:val="00EA2547"/>
    <w:rsid w:val="00EA398C"/>
    <w:rsid w:val="00EA3C76"/>
    <w:rsid w:val="00EA4753"/>
    <w:rsid w:val="00EA4BDE"/>
    <w:rsid w:val="00EA5143"/>
    <w:rsid w:val="00EA57D6"/>
    <w:rsid w:val="00EA5802"/>
    <w:rsid w:val="00EA584D"/>
    <w:rsid w:val="00EA6180"/>
    <w:rsid w:val="00EA6587"/>
    <w:rsid w:val="00EA69CB"/>
    <w:rsid w:val="00EA7511"/>
    <w:rsid w:val="00EA7969"/>
    <w:rsid w:val="00EA7C50"/>
    <w:rsid w:val="00EA7F35"/>
    <w:rsid w:val="00EB0400"/>
    <w:rsid w:val="00EB081E"/>
    <w:rsid w:val="00EB0961"/>
    <w:rsid w:val="00EB0BC0"/>
    <w:rsid w:val="00EB0EDA"/>
    <w:rsid w:val="00EB0F92"/>
    <w:rsid w:val="00EB1201"/>
    <w:rsid w:val="00EB18F6"/>
    <w:rsid w:val="00EB1C0E"/>
    <w:rsid w:val="00EB2556"/>
    <w:rsid w:val="00EB2BBA"/>
    <w:rsid w:val="00EB2D7E"/>
    <w:rsid w:val="00EB2F21"/>
    <w:rsid w:val="00EB2F23"/>
    <w:rsid w:val="00EB2F35"/>
    <w:rsid w:val="00EB2FF9"/>
    <w:rsid w:val="00EB307D"/>
    <w:rsid w:val="00EB3131"/>
    <w:rsid w:val="00EB3E05"/>
    <w:rsid w:val="00EB42EF"/>
    <w:rsid w:val="00EB4BCB"/>
    <w:rsid w:val="00EB4FB6"/>
    <w:rsid w:val="00EB506F"/>
    <w:rsid w:val="00EB51B2"/>
    <w:rsid w:val="00EB531A"/>
    <w:rsid w:val="00EB5347"/>
    <w:rsid w:val="00EB55D0"/>
    <w:rsid w:val="00EB5A99"/>
    <w:rsid w:val="00EB5B51"/>
    <w:rsid w:val="00EB6246"/>
    <w:rsid w:val="00EB6761"/>
    <w:rsid w:val="00EB6773"/>
    <w:rsid w:val="00EB6C30"/>
    <w:rsid w:val="00EB6C69"/>
    <w:rsid w:val="00EB6D30"/>
    <w:rsid w:val="00EB7512"/>
    <w:rsid w:val="00EB7969"/>
    <w:rsid w:val="00EB7F44"/>
    <w:rsid w:val="00EC03E0"/>
    <w:rsid w:val="00EC0BD5"/>
    <w:rsid w:val="00EC0EA6"/>
    <w:rsid w:val="00EC101C"/>
    <w:rsid w:val="00EC172A"/>
    <w:rsid w:val="00EC1872"/>
    <w:rsid w:val="00EC1EBA"/>
    <w:rsid w:val="00EC1F7D"/>
    <w:rsid w:val="00EC2A14"/>
    <w:rsid w:val="00EC2CFF"/>
    <w:rsid w:val="00EC30E6"/>
    <w:rsid w:val="00EC311F"/>
    <w:rsid w:val="00EC3158"/>
    <w:rsid w:val="00EC3744"/>
    <w:rsid w:val="00EC3A36"/>
    <w:rsid w:val="00EC4769"/>
    <w:rsid w:val="00EC4A72"/>
    <w:rsid w:val="00EC4BC9"/>
    <w:rsid w:val="00EC4ED7"/>
    <w:rsid w:val="00EC62B4"/>
    <w:rsid w:val="00EC6914"/>
    <w:rsid w:val="00EC6A03"/>
    <w:rsid w:val="00EC6B8E"/>
    <w:rsid w:val="00EC6BE6"/>
    <w:rsid w:val="00EC7AC1"/>
    <w:rsid w:val="00ED02CE"/>
    <w:rsid w:val="00ED0A3B"/>
    <w:rsid w:val="00ED0B4B"/>
    <w:rsid w:val="00ED0C16"/>
    <w:rsid w:val="00ED0E48"/>
    <w:rsid w:val="00ED0E6E"/>
    <w:rsid w:val="00ED1549"/>
    <w:rsid w:val="00ED1AD6"/>
    <w:rsid w:val="00ED2A12"/>
    <w:rsid w:val="00ED328F"/>
    <w:rsid w:val="00ED351B"/>
    <w:rsid w:val="00ED38E9"/>
    <w:rsid w:val="00ED4CE4"/>
    <w:rsid w:val="00ED506D"/>
    <w:rsid w:val="00ED51E3"/>
    <w:rsid w:val="00ED58E5"/>
    <w:rsid w:val="00ED5F0E"/>
    <w:rsid w:val="00ED6605"/>
    <w:rsid w:val="00ED6697"/>
    <w:rsid w:val="00ED68B9"/>
    <w:rsid w:val="00ED6AFB"/>
    <w:rsid w:val="00ED6CF5"/>
    <w:rsid w:val="00ED77EA"/>
    <w:rsid w:val="00ED7C2A"/>
    <w:rsid w:val="00ED7DD1"/>
    <w:rsid w:val="00ED7E2D"/>
    <w:rsid w:val="00EE2316"/>
    <w:rsid w:val="00EE23C6"/>
    <w:rsid w:val="00EE240D"/>
    <w:rsid w:val="00EE34AB"/>
    <w:rsid w:val="00EE38AD"/>
    <w:rsid w:val="00EE400E"/>
    <w:rsid w:val="00EE45CE"/>
    <w:rsid w:val="00EE4657"/>
    <w:rsid w:val="00EE4DF8"/>
    <w:rsid w:val="00EE4EC9"/>
    <w:rsid w:val="00EE5571"/>
    <w:rsid w:val="00EE5727"/>
    <w:rsid w:val="00EE60C2"/>
    <w:rsid w:val="00EE63E9"/>
    <w:rsid w:val="00EE6B20"/>
    <w:rsid w:val="00EE780A"/>
    <w:rsid w:val="00EF0885"/>
    <w:rsid w:val="00EF0C2B"/>
    <w:rsid w:val="00EF0E32"/>
    <w:rsid w:val="00EF138F"/>
    <w:rsid w:val="00EF1C9D"/>
    <w:rsid w:val="00EF1D53"/>
    <w:rsid w:val="00EF3192"/>
    <w:rsid w:val="00EF31B9"/>
    <w:rsid w:val="00EF34D8"/>
    <w:rsid w:val="00EF3590"/>
    <w:rsid w:val="00EF3860"/>
    <w:rsid w:val="00EF3FDA"/>
    <w:rsid w:val="00EF4540"/>
    <w:rsid w:val="00EF4F59"/>
    <w:rsid w:val="00EF504F"/>
    <w:rsid w:val="00EF5123"/>
    <w:rsid w:val="00EF522A"/>
    <w:rsid w:val="00EF529D"/>
    <w:rsid w:val="00EF5670"/>
    <w:rsid w:val="00EF5D89"/>
    <w:rsid w:val="00EF645C"/>
    <w:rsid w:val="00EF674B"/>
    <w:rsid w:val="00EF68E4"/>
    <w:rsid w:val="00EF6A1E"/>
    <w:rsid w:val="00EF6B9B"/>
    <w:rsid w:val="00EF6D28"/>
    <w:rsid w:val="00EF75DF"/>
    <w:rsid w:val="00EF7BD2"/>
    <w:rsid w:val="00F00211"/>
    <w:rsid w:val="00F00A8A"/>
    <w:rsid w:val="00F00B57"/>
    <w:rsid w:val="00F00CBE"/>
    <w:rsid w:val="00F012B7"/>
    <w:rsid w:val="00F01327"/>
    <w:rsid w:val="00F01501"/>
    <w:rsid w:val="00F01F7F"/>
    <w:rsid w:val="00F02104"/>
    <w:rsid w:val="00F0279C"/>
    <w:rsid w:val="00F02A44"/>
    <w:rsid w:val="00F02F93"/>
    <w:rsid w:val="00F02FC3"/>
    <w:rsid w:val="00F03423"/>
    <w:rsid w:val="00F03609"/>
    <w:rsid w:val="00F03860"/>
    <w:rsid w:val="00F03911"/>
    <w:rsid w:val="00F03A5D"/>
    <w:rsid w:val="00F042CF"/>
    <w:rsid w:val="00F049C6"/>
    <w:rsid w:val="00F04D5E"/>
    <w:rsid w:val="00F04D82"/>
    <w:rsid w:val="00F04DF7"/>
    <w:rsid w:val="00F050D2"/>
    <w:rsid w:val="00F05751"/>
    <w:rsid w:val="00F057BB"/>
    <w:rsid w:val="00F05C0B"/>
    <w:rsid w:val="00F06351"/>
    <w:rsid w:val="00F06801"/>
    <w:rsid w:val="00F07376"/>
    <w:rsid w:val="00F073B4"/>
    <w:rsid w:val="00F10013"/>
    <w:rsid w:val="00F10450"/>
    <w:rsid w:val="00F1070E"/>
    <w:rsid w:val="00F110B4"/>
    <w:rsid w:val="00F11493"/>
    <w:rsid w:val="00F114B0"/>
    <w:rsid w:val="00F11789"/>
    <w:rsid w:val="00F11C77"/>
    <w:rsid w:val="00F11E81"/>
    <w:rsid w:val="00F1246B"/>
    <w:rsid w:val="00F1290F"/>
    <w:rsid w:val="00F12C1D"/>
    <w:rsid w:val="00F12D62"/>
    <w:rsid w:val="00F12D75"/>
    <w:rsid w:val="00F130AA"/>
    <w:rsid w:val="00F133EE"/>
    <w:rsid w:val="00F13893"/>
    <w:rsid w:val="00F13C4B"/>
    <w:rsid w:val="00F13D0C"/>
    <w:rsid w:val="00F13D0F"/>
    <w:rsid w:val="00F13F1B"/>
    <w:rsid w:val="00F140DF"/>
    <w:rsid w:val="00F1447E"/>
    <w:rsid w:val="00F1507E"/>
    <w:rsid w:val="00F151CB"/>
    <w:rsid w:val="00F15A42"/>
    <w:rsid w:val="00F168F7"/>
    <w:rsid w:val="00F16F70"/>
    <w:rsid w:val="00F17279"/>
    <w:rsid w:val="00F176B5"/>
    <w:rsid w:val="00F2060E"/>
    <w:rsid w:val="00F20810"/>
    <w:rsid w:val="00F20BD9"/>
    <w:rsid w:val="00F20DC3"/>
    <w:rsid w:val="00F21E75"/>
    <w:rsid w:val="00F2214A"/>
    <w:rsid w:val="00F22644"/>
    <w:rsid w:val="00F22BC9"/>
    <w:rsid w:val="00F22D05"/>
    <w:rsid w:val="00F22DF5"/>
    <w:rsid w:val="00F230A8"/>
    <w:rsid w:val="00F23121"/>
    <w:rsid w:val="00F234F2"/>
    <w:rsid w:val="00F23799"/>
    <w:rsid w:val="00F2446F"/>
    <w:rsid w:val="00F2456D"/>
    <w:rsid w:val="00F24879"/>
    <w:rsid w:val="00F25293"/>
    <w:rsid w:val="00F252A2"/>
    <w:rsid w:val="00F258ED"/>
    <w:rsid w:val="00F26C1F"/>
    <w:rsid w:val="00F27180"/>
    <w:rsid w:val="00F271DA"/>
    <w:rsid w:val="00F27546"/>
    <w:rsid w:val="00F27847"/>
    <w:rsid w:val="00F27F04"/>
    <w:rsid w:val="00F302F0"/>
    <w:rsid w:val="00F302F2"/>
    <w:rsid w:val="00F308E7"/>
    <w:rsid w:val="00F312AF"/>
    <w:rsid w:val="00F32646"/>
    <w:rsid w:val="00F32D2C"/>
    <w:rsid w:val="00F32F8C"/>
    <w:rsid w:val="00F330FC"/>
    <w:rsid w:val="00F333A4"/>
    <w:rsid w:val="00F3346F"/>
    <w:rsid w:val="00F33CCC"/>
    <w:rsid w:val="00F33E33"/>
    <w:rsid w:val="00F3414E"/>
    <w:rsid w:val="00F344DF"/>
    <w:rsid w:val="00F3524B"/>
    <w:rsid w:val="00F3604A"/>
    <w:rsid w:val="00F369FA"/>
    <w:rsid w:val="00F36D13"/>
    <w:rsid w:val="00F37D4D"/>
    <w:rsid w:val="00F37EE3"/>
    <w:rsid w:val="00F4023B"/>
    <w:rsid w:val="00F4061D"/>
    <w:rsid w:val="00F41742"/>
    <w:rsid w:val="00F41879"/>
    <w:rsid w:val="00F426FE"/>
    <w:rsid w:val="00F4288D"/>
    <w:rsid w:val="00F42C4E"/>
    <w:rsid w:val="00F43295"/>
    <w:rsid w:val="00F43DFA"/>
    <w:rsid w:val="00F43DFD"/>
    <w:rsid w:val="00F43F5A"/>
    <w:rsid w:val="00F43F62"/>
    <w:rsid w:val="00F44042"/>
    <w:rsid w:val="00F45D05"/>
    <w:rsid w:val="00F45D35"/>
    <w:rsid w:val="00F464ED"/>
    <w:rsid w:val="00F46BE2"/>
    <w:rsid w:val="00F46D7C"/>
    <w:rsid w:val="00F474BB"/>
    <w:rsid w:val="00F47CAD"/>
    <w:rsid w:val="00F47E5B"/>
    <w:rsid w:val="00F504D1"/>
    <w:rsid w:val="00F5063D"/>
    <w:rsid w:val="00F50C21"/>
    <w:rsid w:val="00F50FD8"/>
    <w:rsid w:val="00F513E3"/>
    <w:rsid w:val="00F513E5"/>
    <w:rsid w:val="00F5176D"/>
    <w:rsid w:val="00F51EB3"/>
    <w:rsid w:val="00F52121"/>
    <w:rsid w:val="00F52967"/>
    <w:rsid w:val="00F52FD4"/>
    <w:rsid w:val="00F534DC"/>
    <w:rsid w:val="00F53561"/>
    <w:rsid w:val="00F5399D"/>
    <w:rsid w:val="00F53DC8"/>
    <w:rsid w:val="00F5421C"/>
    <w:rsid w:val="00F54311"/>
    <w:rsid w:val="00F54B39"/>
    <w:rsid w:val="00F54D11"/>
    <w:rsid w:val="00F54E9F"/>
    <w:rsid w:val="00F55CA8"/>
    <w:rsid w:val="00F55E37"/>
    <w:rsid w:val="00F564C7"/>
    <w:rsid w:val="00F569C3"/>
    <w:rsid w:val="00F56AC4"/>
    <w:rsid w:val="00F56B42"/>
    <w:rsid w:val="00F56B8C"/>
    <w:rsid w:val="00F56F2B"/>
    <w:rsid w:val="00F5741C"/>
    <w:rsid w:val="00F57629"/>
    <w:rsid w:val="00F57926"/>
    <w:rsid w:val="00F579B3"/>
    <w:rsid w:val="00F57B3F"/>
    <w:rsid w:val="00F57D39"/>
    <w:rsid w:val="00F60865"/>
    <w:rsid w:val="00F611BA"/>
    <w:rsid w:val="00F6153F"/>
    <w:rsid w:val="00F615F5"/>
    <w:rsid w:val="00F618AC"/>
    <w:rsid w:val="00F618C5"/>
    <w:rsid w:val="00F61C80"/>
    <w:rsid w:val="00F62D5A"/>
    <w:rsid w:val="00F63535"/>
    <w:rsid w:val="00F63DF6"/>
    <w:rsid w:val="00F64202"/>
    <w:rsid w:val="00F642B8"/>
    <w:rsid w:val="00F64664"/>
    <w:rsid w:val="00F6488B"/>
    <w:rsid w:val="00F64CA1"/>
    <w:rsid w:val="00F6513C"/>
    <w:rsid w:val="00F657CD"/>
    <w:rsid w:val="00F6604E"/>
    <w:rsid w:val="00F667DA"/>
    <w:rsid w:val="00F668DD"/>
    <w:rsid w:val="00F66A23"/>
    <w:rsid w:val="00F677B6"/>
    <w:rsid w:val="00F67D96"/>
    <w:rsid w:val="00F70767"/>
    <w:rsid w:val="00F70823"/>
    <w:rsid w:val="00F70961"/>
    <w:rsid w:val="00F70AD5"/>
    <w:rsid w:val="00F718B8"/>
    <w:rsid w:val="00F719A3"/>
    <w:rsid w:val="00F726D3"/>
    <w:rsid w:val="00F72C27"/>
    <w:rsid w:val="00F738DF"/>
    <w:rsid w:val="00F73B35"/>
    <w:rsid w:val="00F73DBB"/>
    <w:rsid w:val="00F73E2B"/>
    <w:rsid w:val="00F73F1E"/>
    <w:rsid w:val="00F745EE"/>
    <w:rsid w:val="00F75BD0"/>
    <w:rsid w:val="00F75C5F"/>
    <w:rsid w:val="00F76301"/>
    <w:rsid w:val="00F766AC"/>
    <w:rsid w:val="00F767E5"/>
    <w:rsid w:val="00F76D97"/>
    <w:rsid w:val="00F76FB6"/>
    <w:rsid w:val="00F77371"/>
    <w:rsid w:val="00F773D6"/>
    <w:rsid w:val="00F775BD"/>
    <w:rsid w:val="00F77CB3"/>
    <w:rsid w:val="00F77F9E"/>
    <w:rsid w:val="00F8038F"/>
    <w:rsid w:val="00F808F9"/>
    <w:rsid w:val="00F80D83"/>
    <w:rsid w:val="00F814D9"/>
    <w:rsid w:val="00F829BC"/>
    <w:rsid w:val="00F82E22"/>
    <w:rsid w:val="00F82FCB"/>
    <w:rsid w:val="00F839F5"/>
    <w:rsid w:val="00F83B46"/>
    <w:rsid w:val="00F843BD"/>
    <w:rsid w:val="00F8483B"/>
    <w:rsid w:val="00F86285"/>
    <w:rsid w:val="00F86509"/>
    <w:rsid w:val="00F865D2"/>
    <w:rsid w:val="00F868B6"/>
    <w:rsid w:val="00F86F7B"/>
    <w:rsid w:val="00F87657"/>
    <w:rsid w:val="00F90596"/>
    <w:rsid w:val="00F9159B"/>
    <w:rsid w:val="00F91B85"/>
    <w:rsid w:val="00F92066"/>
    <w:rsid w:val="00F924AB"/>
    <w:rsid w:val="00F92586"/>
    <w:rsid w:val="00F932F3"/>
    <w:rsid w:val="00F9341D"/>
    <w:rsid w:val="00F93A45"/>
    <w:rsid w:val="00F93D39"/>
    <w:rsid w:val="00F93F12"/>
    <w:rsid w:val="00F94361"/>
    <w:rsid w:val="00F949F8"/>
    <w:rsid w:val="00F95288"/>
    <w:rsid w:val="00F95528"/>
    <w:rsid w:val="00F96335"/>
    <w:rsid w:val="00F96719"/>
    <w:rsid w:val="00FA0EAF"/>
    <w:rsid w:val="00FA2C40"/>
    <w:rsid w:val="00FA337E"/>
    <w:rsid w:val="00FA3633"/>
    <w:rsid w:val="00FA3889"/>
    <w:rsid w:val="00FA396F"/>
    <w:rsid w:val="00FA3AAC"/>
    <w:rsid w:val="00FA4FBE"/>
    <w:rsid w:val="00FA50A2"/>
    <w:rsid w:val="00FA60C6"/>
    <w:rsid w:val="00FA6F01"/>
    <w:rsid w:val="00FA6FE2"/>
    <w:rsid w:val="00FA7619"/>
    <w:rsid w:val="00FA79F2"/>
    <w:rsid w:val="00FA7C9F"/>
    <w:rsid w:val="00FA7CC5"/>
    <w:rsid w:val="00FB0134"/>
    <w:rsid w:val="00FB028E"/>
    <w:rsid w:val="00FB0654"/>
    <w:rsid w:val="00FB0681"/>
    <w:rsid w:val="00FB082D"/>
    <w:rsid w:val="00FB099C"/>
    <w:rsid w:val="00FB16AF"/>
    <w:rsid w:val="00FB1729"/>
    <w:rsid w:val="00FB1AF1"/>
    <w:rsid w:val="00FB1F23"/>
    <w:rsid w:val="00FB2363"/>
    <w:rsid w:val="00FB2664"/>
    <w:rsid w:val="00FB2B8C"/>
    <w:rsid w:val="00FB2BDA"/>
    <w:rsid w:val="00FB2E3F"/>
    <w:rsid w:val="00FB373D"/>
    <w:rsid w:val="00FB38E0"/>
    <w:rsid w:val="00FB4415"/>
    <w:rsid w:val="00FB460C"/>
    <w:rsid w:val="00FB49EE"/>
    <w:rsid w:val="00FB732E"/>
    <w:rsid w:val="00FC0306"/>
    <w:rsid w:val="00FC0B3D"/>
    <w:rsid w:val="00FC0C54"/>
    <w:rsid w:val="00FC0F57"/>
    <w:rsid w:val="00FC1097"/>
    <w:rsid w:val="00FC127F"/>
    <w:rsid w:val="00FC2823"/>
    <w:rsid w:val="00FC29FB"/>
    <w:rsid w:val="00FC2D86"/>
    <w:rsid w:val="00FC2E6B"/>
    <w:rsid w:val="00FC3009"/>
    <w:rsid w:val="00FC303D"/>
    <w:rsid w:val="00FC33D4"/>
    <w:rsid w:val="00FC357C"/>
    <w:rsid w:val="00FC3B1A"/>
    <w:rsid w:val="00FC3B65"/>
    <w:rsid w:val="00FC3D42"/>
    <w:rsid w:val="00FC42E9"/>
    <w:rsid w:val="00FC42F6"/>
    <w:rsid w:val="00FC5376"/>
    <w:rsid w:val="00FC53E6"/>
    <w:rsid w:val="00FC542E"/>
    <w:rsid w:val="00FC58BE"/>
    <w:rsid w:val="00FC58C4"/>
    <w:rsid w:val="00FC5D9A"/>
    <w:rsid w:val="00FC6EEC"/>
    <w:rsid w:val="00FC77ED"/>
    <w:rsid w:val="00FC79B0"/>
    <w:rsid w:val="00FC7D26"/>
    <w:rsid w:val="00FC7D5D"/>
    <w:rsid w:val="00FC7F5B"/>
    <w:rsid w:val="00FD0094"/>
    <w:rsid w:val="00FD0A3A"/>
    <w:rsid w:val="00FD123C"/>
    <w:rsid w:val="00FD1254"/>
    <w:rsid w:val="00FD259C"/>
    <w:rsid w:val="00FD31A4"/>
    <w:rsid w:val="00FD321D"/>
    <w:rsid w:val="00FD3237"/>
    <w:rsid w:val="00FD378C"/>
    <w:rsid w:val="00FD3BFF"/>
    <w:rsid w:val="00FD3C36"/>
    <w:rsid w:val="00FD44CC"/>
    <w:rsid w:val="00FD44D9"/>
    <w:rsid w:val="00FD44DD"/>
    <w:rsid w:val="00FD4774"/>
    <w:rsid w:val="00FD67EC"/>
    <w:rsid w:val="00FD6B1E"/>
    <w:rsid w:val="00FD773B"/>
    <w:rsid w:val="00FD7CAF"/>
    <w:rsid w:val="00FE02AA"/>
    <w:rsid w:val="00FE03F5"/>
    <w:rsid w:val="00FE0DB3"/>
    <w:rsid w:val="00FE0F9D"/>
    <w:rsid w:val="00FE1423"/>
    <w:rsid w:val="00FE1A57"/>
    <w:rsid w:val="00FE21CF"/>
    <w:rsid w:val="00FE2890"/>
    <w:rsid w:val="00FE29D7"/>
    <w:rsid w:val="00FE2DB4"/>
    <w:rsid w:val="00FE3025"/>
    <w:rsid w:val="00FE35AC"/>
    <w:rsid w:val="00FE3C3F"/>
    <w:rsid w:val="00FE3E5E"/>
    <w:rsid w:val="00FE43B6"/>
    <w:rsid w:val="00FE5932"/>
    <w:rsid w:val="00FE5CF0"/>
    <w:rsid w:val="00FE6424"/>
    <w:rsid w:val="00FE64C3"/>
    <w:rsid w:val="00FE671F"/>
    <w:rsid w:val="00FE6A70"/>
    <w:rsid w:val="00FE6DAF"/>
    <w:rsid w:val="00FE6F15"/>
    <w:rsid w:val="00FE73DD"/>
    <w:rsid w:val="00FF0636"/>
    <w:rsid w:val="00FF10B7"/>
    <w:rsid w:val="00FF1179"/>
    <w:rsid w:val="00FF14D2"/>
    <w:rsid w:val="00FF1BC5"/>
    <w:rsid w:val="00FF1BF0"/>
    <w:rsid w:val="00FF1E79"/>
    <w:rsid w:val="00FF24E7"/>
    <w:rsid w:val="00FF2A69"/>
    <w:rsid w:val="00FF2A76"/>
    <w:rsid w:val="00FF2BB4"/>
    <w:rsid w:val="00FF2E5F"/>
    <w:rsid w:val="00FF3441"/>
    <w:rsid w:val="00FF36BC"/>
    <w:rsid w:val="00FF3876"/>
    <w:rsid w:val="00FF45AA"/>
    <w:rsid w:val="00FF47DF"/>
    <w:rsid w:val="00FF498B"/>
    <w:rsid w:val="00FF4ADC"/>
    <w:rsid w:val="00FF4AF8"/>
    <w:rsid w:val="00FF51BF"/>
    <w:rsid w:val="00FF5853"/>
    <w:rsid w:val="00FF61A0"/>
    <w:rsid w:val="00FF63F3"/>
    <w:rsid w:val="00FF69B3"/>
    <w:rsid w:val="00FF7007"/>
    <w:rsid w:val="00FF721E"/>
    <w:rsid w:val="00FF7521"/>
    <w:rsid w:val="00FF76D9"/>
    <w:rsid w:val="00FF79E0"/>
    <w:rsid w:val="010030EE"/>
    <w:rsid w:val="0103206C"/>
    <w:rsid w:val="01076789"/>
    <w:rsid w:val="010A3C11"/>
    <w:rsid w:val="010F1DA1"/>
    <w:rsid w:val="011A2D2F"/>
    <w:rsid w:val="011B0745"/>
    <w:rsid w:val="011B3024"/>
    <w:rsid w:val="0127533C"/>
    <w:rsid w:val="01283762"/>
    <w:rsid w:val="012A4E2C"/>
    <w:rsid w:val="013250EA"/>
    <w:rsid w:val="01384210"/>
    <w:rsid w:val="01426D32"/>
    <w:rsid w:val="014C786A"/>
    <w:rsid w:val="014D0B1B"/>
    <w:rsid w:val="014D4997"/>
    <w:rsid w:val="014E39A0"/>
    <w:rsid w:val="0152585C"/>
    <w:rsid w:val="01551138"/>
    <w:rsid w:val="01553D50"/>
    <w:rsid w:val="0159126E"/>
    <w:rsid w:val="01665651"/>
    <w:rsid w:val="016C2D4F"/>
    <w:rsid w:val="01757986"/>
    <w:rsid w:val="017C6D0A"/>
    <w:rsid w:val="017C797A"/>
    <w:rsid w:val="018A579C"/>
    <w:rsid w:val="018F4B8D"/>
    <w:rsid w:val="019A598F"/>
    <w:rsid w:val="019E6960"/>
    <w:rsid w:val="01A717A7"/>
    <w:rsid w:val="01A80D67"/>
    <w:rsid w:val="01C56903"/>
    <w:rsid w:val="01CA3508"/>
    <w:rsid w:val="01CE1804"/>
    <w:rsid w:val="01CE61B8"/>
    <w:rsid w:val="01D628BE"/>
    <w:rsid w:val="01D66FBD"/>
    <w:rsid w:val="01D8534B"/>
    <w:rsid w:val="01EA0118"/>
    <w:rsid w:val="01EB57F0"/>
    <w:rsid w:val="01F50B09"/>
    <w:rsid w:val="01FE395B"/>
    <w:rsid w:val="02075B56"/>
    <w:rsid w:val="02091139"/>
    <w:rsid w:val="021138F7"/>
    <w:rsid w:val="02176EB7"/>
    <w:rsid w:val="021D559B"/>
    <w:rsid w:val="021E5DC1"/>
    <w:rsid w:val="022100C5"/>
    <w:rsid w:val="02213174"/>
    <w:rsid w:val="02251150"/>
    <w:rsid w:val="02290C40"/>
    <w:rsid w:val="022B0E5C"/>
    <w:rsid w:val="02302A3D"/>
    <w:rsid w:val="02366E4A"/>
    <w:rsid w:val="023B097E"/>
    <w:rsid w:val="02405F8A"/>
    <w:rsid w:val="024A62FC"/>
    <w:rsid w:val="024E1777"/>
    <w:rsid w:val="024F09B8"/>
    <w:rsid w:val="02561936"/>
    <w:rsid w:val="02641C78"/>
    <w:rsid w:val="02757B62"/>
    <w:rsid w:val="027D77B1"/>
    <w:rsid w:val="02857D4C"/>
    <w:rsid w:val="028B18FB"/>
    <w:rsid w:val="029201B3"/>
    <w:rsid w:val="0293255D"/>
    <w:rsid w:val="029D33DC"/>
    <w:rsid w:val="02A912FA"/>
    <w:rsid w:val="02AD4DC3"/>
    <w:rsid w:val="02B04EBD"/>
    <w:rsid w:val="02B3536B"/>
    <w:rsid w:val="02B81FC4"/>
    <w:rsid w:val="02BF4ADB"/>
    <w:rsid w:val="02C73530"/>
    <w:rsid w:val="02C96284"/>
    <w:rsid w:val="02D23086"/>
    <w:rsid w:val="030C116D"/>
    <w:rsid w:val="03107BB9"/>
    <w:rsid w:val="031D2C21"/>
    <w:rsid w:val="032C3675"/>
    <w:rsid w:val="032D650E"/>
    <w:rsid w:val="0330066D"/>
    <w:rsid w:val="03321D76"/>
    <w:rsid w:val="033768E1"/>
    <w:rsid w:val="034451FB"/>
    <w:rsid w:val="034C6B09"/>
    <w:rsid w:val="034C72DC"/>
    <w:rsid w:val="034E38C1"/>
    <w:rsid w:val="034E766E"/>
    <w:rsid w:val="035D624E"/>
    <w:rsid w:val="036554BC"/>
    <w:rsid w:val="03675921"/>
    <w:rsid w:val="03675C51"/>
    <w:rsid w:val="036810E5"/>
    <w:rsid w:val="03683787"/>
    <w:rsid w:val="03685174"/>
    <w:rsid w:val="036A1510"/>
    <w:rsid w:val="036C5AA6"/>
    <w:rsid w:val="036D6935"/>
    <w:rsid w:val="036F262B"/>
    <w:rsid w:val="03745EE4"/>
    <w:rsid w:val="03765182"/>
    <w:rsid w:val="037B012A"/>
    <w:rsid w:val="03826698"/>
    <w:rsid w:val="0388753D"/>
    <w:rsid w:val="038B088A"/>
    <w:rsid w:val="038F7110"/>
    <w:rsid w:val="03922815"/>
    <w:rsid w:val="039368D6"/>
    <w:rsid w:val="039D0B32"/>
    <w:rsid w:val="03A2514E"/>
    <w:rsid w:val="03A53297"/>
    <w:rsid w:val="03AB7542"/>
    <w:rsid w:val="03B25314"/>
    <w:rsid w:val="03B35CEE"/>
    <w:rsid w:val="03B51295"/>
    <w:rsid w:val="03BE360A"/>
    <w:rsid w:val="03DB240E"/>
    <w:rsid w:val="03DD51A7"/>
    <w:rsid w:val="03E20DA6"/>
    <w:rsid w:val="03E44558"/>
    <w:rsid w:val="03E4753A"/>
    <w:rsid w:val="03F51B64"/>
    <w:rsid w:val="03FD3A86"/>
    <w:rsid w:val="04053282"/>
    <w:rsid w:val="0414737D"/>
    <w:rsid w:val="04180F6C"/>
    <w:rsid w:val="041E1242"/>
    <w:rsid w:val="041F506B"/>
    <w:rsid w:val="042B4028"/>
    <w:rsid w:val="043408CC"/>
    <w:rsid w:val="0438006D"/>
    <w:rsid w:val="043A471F"/>
    <w:rsid w:val="043D4E77"/>
    <w:rsid w:val="04432C29"/>
    <w:rsid w:val="044B42AB"/>
    <w:rsid w:val="045F6A18"/>
    <w:rsid w:val="046046C1"/>
    <w:rsid w:val="0460507D"/>
    <w:rsid w:val="046329AD"/>
    <w:rsid w:val="04781ECF"/>
    <w:rsid w:val="048B788F"/>
    <w:rsid w:val="048C49B6"/>
    <w:rsid w:val="049A7BD3"/>
    <w:rsid w:val="049F6DA4"/>
    <w:rsid w:val="04AF5229"/>
    <w:rsid w:val="04B365B3"/>
    <w:rsid w:val="04B42A35"/>
    <w:rsid w:val="04B52C5F"/>
    <w:rsid w:val="04B769D7"/>
    <w:rsid w:val="04C04191"/>
    <w:rsid w:val="04CA4DDF"/>
    <w:rsid w:val="04D33FCD"/>
    <w:rsid w:val="04D77D62"/>
    <w:rsid w:val="04E43544"/>
    <w:rsid w:val="04E71D9A"/>
    <w:rsid w:val="04EB2B3A"/>
    <w:rsid w:val="04F03C97"/>
    <w:rsid w:val="04F9735D"/>
    <w:rsid w:val="04FE63B4"/>
    <w:rsid w:val="051739CD"/>
    <w:rsid w:val="051A5F58"/>
    <w:rsid w:val="051F6A14"/>
    <w:rsid w:val="052D478E"/>
    <w:rsid w:val="05334912"/>
    <w:rsid w:val="05411A52"/>
    <w:rsid w:val="05457438"/>
    <w:rsid w:val="0547229F"/>
    <w:rsid w:val="05485881"/>
    <w:rsid w:val="055E0C00"/>
    <w:rsid w:val="05604D68"/>
    <w:rsid w:val="05644CFB"/>
    <w:rsid w:val="056E70BA"/>
    <w:rsid w:val="056F56B4"/>
    <w:rsid w:val="056F5E78"/>
    <w:rsid w:val="057311F3"/>
    <w:rsid w:val="05784549"/>
    <w:rsid w:val="057A3A88"/>
    <w:rsid w:val="057B7A05"/>
    <w:rsid w:val="057E5747"/>
    <w:rsid w:val="059B1E57"/>
    <w:rsid w:val="059C780D"/>
    <w:rsid w:val="05A84572"/>
    <w:rsid w:val="05B47457"/>
    <w:rsid w:val="05D435B9"/>
    <w:rsid w:val="05D562A4"/>
    <w:rsid w:val="05D84E57"/>
    <w:rsid w:val="05DF2DFA"/>
    <w:rsid w:val="05E9465F"/>
    <w:rsid w:val="0607573C"/>
    <w:rsid w:val="060D4974"/>
    <w:rsid w:val="06196F31"/>
    <w:rsid w:val="062F6A41"/>
    <w:rsid w:val="06313E5F"/>
    <w:rsid w:val="06347737"/>
    <w:rsid w:val="063A3F53"/>
    <w:rsid w:val="063D115E"/>
    <w:rsid w:val="06406740"/>
    <w:rsid w:val="064D6005"/>
    <w:rsid w:val="064E5491"/>
    <w:rsid w:val="065A294B"/>
    <w:rsid w:val="065D35AE"/>
    <w:rsid w:val="06691C66"/>
    <w:rsid w:val="066E1317"/>
    <w:rsid w:val="06771069"/>
    <w:rsid w:val="068E51C8"/>
    <w:rsid w:val="069038D3"/>
    <w:rsid w:val="06982F33"/>
    <w:rsid w:val="069E3769"/>
    <w:rsid w:val="069E449E"/>
    <w:rsid w:val="06A44E77"/>
    <w:rsid w:val="06B94631"/>
    <w:rsid w:val="06C40E80"/>
    <w:rsid w:val="06C42140"/>
    <w:rsid w:val="06C617F3"/>
    <w:rsid w:val="06CD24E2"/>
    <w:rsid w:val="06D04EC5"/>
    <w:rsid w:val="06D25D4A"/>
    <w:rsid w:val="06D628F8"/>
    <w:rsid w:val="06D91980"/>
    <w:rsid w:val="06DA4BFF"/>
    <w:rsid w:val="06DC3451"/>
    <w:rsid w:val="06E05B7E"/>
    <w:rsid w:val="06E415DA"/>
    <w:rsid w:val="06ED485C"/>
    <w:rsid w:val="06EE4206"/>
    <w:rsid w:val="06F25AAD"/>
    <w:rsid w:val="06F639D6"/>
    <w:rsid w:val="06F6660F"/>
    <w:rsid w:val="06F8456C"/>
    <w:rsid w:val="070A2FBC"/>
    <w:rsid w:val="070E2FCF"/>
    <w:rsid w:val="071B2ADF"/>
    <w:rsid w:val="071C0D73"/>
    <w:rsid w:val="071F5006"/>
    <w:rsid w:val="07230354"/>
    <w:rsid w:val="073D2A45"/>
    <w:rsid w:val="073F0F06"/>
    <w:rsid w:val="07496D45"/>
    <w:rsid w:val="074B61B0"/>
    <w:rsid w:val="074E2EF7"/>
    <w:rsid w:val="075B35E4"/>
    <w:rsid w:val="07600FAA"/>
    <w:rsid w:val="07691ADF"/>
    <w:rsid w:val="076D15CF"/>
    <w:rsid w:val="07722822"/>
    <w:rsid w:val="07723089"/>
    <w:rsid w:val="07726214"/>
    <w:rsid w:val="0774357C"/>
    <w:rsid w:val="077D2EC5"/>
    <w:rsid w:val="07830DF3"/>
    <w:rsid w:val="078723D7"/>
    <w:rsid w:val="07937AA3"/>
    <w:rsid w:val="07941CA3"/>
    <w:rsid w:val="07A321A6"/>
    <w:rsid w:val="07A773E8"/>
    <w:rsid w:val="07B425D9"/>
    <w:rsid w:val="07B436A2"/>
    <w:rsid w:val="07B729E3"/>
    <w:rsid w:val="07BD650B"/>
    <w:rsid w:val="07C5140B"/>
    <w:rsid w:val="07D073E0"/>
    <w:rsid w:val="07D23B28"/>
    <w:rsid w:val="07D35DC5"/>
    <w:rsid w:val="07D41864"/>
    <w:rsid w:val="07D63618"/>
    <w:rsid w:val="07D84C85"/>
    <w:rsid w:val="07DA2751"/>
    <w:rsid w:val="07DA39BA"/>
    <w:rsid w:val="07DA5D7D"/>
    <w:rsid w:val="07DB01C0"/>
    <w:rsid w:val="07DB1CA6"/>
    <w:rsid w:val="07DC326E"/>
    <w:rsid w:val="07DD74F2"/>
    <w:rsid w:val="07E123E5"/>
    <w:rsid w:val="07E27A1E"/>
    <w:rsid w:val="07E850FA"/>
    <w:rsid w:val="07E946A9"/>
    <w:rsid w:val="07F21AFC"/>
    <w:rsid w:val="07F46A58"/>
    <w:rsid w:val="07F87FCF"/>
    <w:rsid w:val="07FF744E"/>
    <w:rsid w:val="0805171E"/>
    <w:rsid w:val="080B05FE"/>
    <w:rsid w:val="080F053D"/>
    <w:rsid w:val="081128A2"/>
    <w:rsid w:val="0813031E"/>
    <w:rsid w:val="081606E6"/>
    <w:rsid w:val="081C4DA3"/>
    <w:rsid w:val="08214F6E"/>
    <w:rsid w:val="08234900"/>
    <w:rsid w:val="082F2D28"/>
    <w:rsid w:val="08417CB6"/>
    <w:rsid w:val="084C7436"/>
    <w:rsid w:val="08515363"/>
    <w:rsid w:val="08550670"/>
    <w:rsid w:val="0858227F"/>
    <w:rsid w:val="085E53BC"/>
    <w:rsid w:val="086E2436"/>
    <w:rsid w:val="086F58ED"/>
    <w:rsid w:val="086F7601"/>
    <w:rsid w:val="088100A0"/>
    <w:rsid w:val="088415B7"/>
    <w:rsid w:val="088C017B"/>
    <w:rsid w:val="08907C6B"/>
    <w:rsid w:val="08921C9F"/>
    <w:rsid w:val="0895702F"/>
    <w:rsid w:val="08987DAC"/>
    <w:rsid w:val="089957BA"/>
    <w:rsid w:val="08A04763"/>
    <w:rsid w:val="08A2404F"/>
    <w:rsid w:val="08B12AF8"/>
    <w:rsid w:val="08B1373D"/>
    <w:rsid w:val="08B35D25"/>
    <w:rsid w:val="08B80B44"/>
    <w:rsid w:val="08BD4D1C"/>
    <w:rsid w:val="08C3423C"/>
    <w:rsid w:val="08C4785C"/>
    <w:rsid w:val="08CA47FF"/>
    <w:rsid w:val="08CE2F0C"/>
    <w:rsid w:val="08D65AD6"/>
    <w:rsid w:val="08DF02AB"/>
    <w:rsid w:val="08DF7467"/>
    <w:rsid w:val="08F04266"/>
    <w:rsid w:val="08F13AA4"/>
    <w:rsid w:val="08FE007E"/>
    <w:rsid w:val="08FF26FB"/>
    <w:rsid w:val="090C33A6"/>
    <w:rsid w:val="09125D05"/>
    <w:rsid w:val="09306D58"/>
    <w:rsid w:val="09314CF8"/>
    <w:rsid w:val="0935494F"/>
    <w:rsid w:val="0939501E"/>
    <w:rsid w:val="093D0507"/>
    <w:rsid w:val="0959519B"/>
    <w:rsid w:val="095A7EE3"/>
    <w:rsid w:val="09656065"/>
    <w:rsid w:val="096E162E"/>
    <w:rsid w:val="09727371"/>
    <w:rsid w:val="09750C0F"/>
    <w:rsid w:val="0975309C"/>
    <w:rsid w:val="09772BD9"/>
    <w:rsid w:val="097E5D48"/>
    <w:rsid w:val="09812CD0"/>
    <w:rsid w:val="098175B4"/>
    <w:rsid w:val="099077F7"/>
    <w:rsid w:val="09941EA0"/>
    <w:rsid w:val="099E0166"/>
    <w:rsid w:val="099E3631"/>
    <w:rsid w:val="09A721FE"/>
    <w:rsid w:val="09B41737"/>
    <w:rsid w:val="09B73FF5"/>
    <w:rsid w:val="09BB5DFF"/>
    <w:rsid w:val="09BE2A6D"/>
    <w:rsid w:val="09C00264"/>
    <w:rsid w:val="09C75A8B"/>
    <w:rsid w:val="09D11E42"/>
    <w:rsid w:val="09D26061"/>
    <w:rsid w:val="09D771D4"/>
    <w:rsid w:val="09DE55EB"/>
    <w:rsid w:val="09DF4DC4"/>
    <w:rsid w:val="09E30D43"/>
    <w:rsid w:val="09E435A4"/>
    <w:rsid w:val="09E81A36"/>
    <w:rsid w:val="09EB6A51"/>
    <w:rsid w:val="09F00565"/>
    <w:rsid w:val="09F435BB"/>
    <w:rsid w:val="09FA6932"/>
    <w:rsid w:val="09FE0636"/>
    <w:rsid w:val="0A0E2DBA"/>
    <w:rsid w:val="0A177570"/>
    <w:rsid w:val="0A2040E7"/>
    <w:rsid w:val="0A285C81"/>
    <w:rsid w:val="0A290637"/>
    <w:rsid w:val="0A2E281F"/>
    <w:rsid w:val="0A2F1F5A"/>
    <w:rsid w:val="0A300C8C"/>
    <w:rsid w:val="0A3B1BC2"/>
    <w:rsid w:val="0A4A0BCF"/>
    <w:rsid w:val="0A553598"/>
    <w:rsid w:val="0A57785D"/>
    <w:rsid w:val="0A590BFE"/>
    <w:rsid w:val="0A5A1C12"/>
    <w:rsid w:val="0A5C00B8"/>
    <w:rsid w:val="0A677995"/>
    <w:rsid w:val="0A6B1747"/>
    <w:rsid w:val="0A6B4F1D"/>
    <w:rsid w:val="0A7809B7"/>
    <w:rsid w:val="0A7B5355"/>
    <w:rsid w:val="0A7D421F"/>
    <w:rsid w:val="0A7E5DA1"/>
    <w:rsid w:val="0A876C58"/>
    <w:rsid w:val="0A877179"/>
    <w:rsid w:val="0A8D401F"/>
    <w:rsid w:val="0A930F4C"/>
    <w:rsid w:val="0A943C3B"/>
    <w:rsid w:val="0A973977"/>
    <w:rsid w:val="0AA22011"/>
    <w:rsid w:val="0AA62B26"/>
    <w:rsid w:val="0AA63F8D"/>
    <w:rsid w:val="0AAB60DB"/>
    <w:rsid w:val="0AAB6FCE"/>
    <w:rsid w:val="0AAF5D0F"/>
    <w:rsid w:val="0AB843C4"/>
    <w:rsid w:val="0AC624FA"/>
    <w:rsid w:val="0AC7549A"/>
    <w:rsid w:val="0AD43E4B"/>
    <w:rsid w:val="0AE27F4B"/>
    <w:rsid w:val="0AE61E19"/>
    <w:rsid w:val="0AE64E8C"/>
    <w:rsid w:val="0AEC06CF"/>
    <w:rsid w:val="0B04224A"/>
    <w:rsid w:val="0B0E60E0"/>
    <w:rsid w:val="0B0F5706"/>
    <w:rsid w:val="0B0F6CF9"/>
    <w:rsid w:val="0B195FA1"/>
    <w:rsid w:val="0B1C3A38"/>
    <w:rsid w:val="0B1C6481"/>
    <w:rsid w:val="0B205F6D"/>
    <w:rsid w:val="0B224DC6"/>
    <w:rsid w:val="0B26152B"/>
    <w:rsid w:val="0B2A752B"/>
    <w:rsid w:val="0B2F382E"/>
    <w:rsid w:val="0B330167"/>
    <w:rsid w:val="0B36617C"/>
    <w:rsid w:val="0B3D750A"/>
    <w:rsid w:val="0B4B60CB"/>
    <w:rsid w:val="0B4D2818"/>
    <w:rsid w:val="0B4E5BBB"/>
    <w:rsid w:val="0B50723E"/>
    <w:rsid w:val="0B5923C1"/>
    <w:rsid w:val="0B5B4BB7"/>
    <w:rsid w:val="0B6158EF"/>
    <w:rsid w:val="0B674587"/>
    <w:rsid w:val="0B6E5FE8"/>
    <w:rsid w:val="0B7116D6"/>
    <w:rsid w:val="0B7D7A18"/>
    <w:rsid w:val="0B7F7647"/>
    <w:rsid w:val="0B812103"/>
    <w:rsid w:val="0B826024"/>
    <w:rsid w:val="0B852B57"/>
    <w:rsid w:val="0B876061"/>
    <w:rsid w:val="0B8A135C"/>
    <w:rsid w:val="0B951D50"/>
    <w:rsid w:val="0B963273"/>
    <w:rsid w:val="0B9A481D"/>
    <w:rsid w:val="0B9D2135"/>
    <w:rsid w:val="0BAE7D83"/>
    <w:rsid w:val="0BAF2CD0"/>
    <w:rsid w:val="0BAF2EA0"/>
    <w:rsid w:val="0BB21078"/>
    <w:rsid w:val="0BB47351"/>
    <w:rsid w:val="0BB85945"/>
    <w:rsid w:val="0BB91287"/>
    <w:rsid w:val="0BBF4C07"/>
    <w:rsid w:val="0BC119E2"/>
    <w:rsid w:val="0BCA379A"/>
    <w:rsid w:val="0BD44FC6"/>
    <w:rsid w:val="0BD54EC1"/>
    <w:rsid w:val="0BD87E42"/>
    <w:rsid w:val="0BD9023A"/>
    <w:rsid w:val="0BDC3643"/>
    <w:rsid w:val="0BE164C2"/>
    <w:rsid w:val="0BE37589"/>
    <w:rsid w:val="0BE56668"/>
    <w:rsid w:val="0BF54A8A"/>
    <w:rsid w:val="0BF945B1"/>
    <w:rsid w:val="0BF94BCA"/>
    <w:rsid w:val="0BFC1173"/>
    <w:rsid w:val="0BFD0191"/>
    <w:rsid w:val="0C0D1EBA"/>
    <w:rsid w:val="0C1741FF"/>
    <w:rsid w:val="0C243E28"/>
    <w:rsid w:val="0C253E80"/>
    <w:rsid w:val="0C347EEB"/>
    <w:rsid w:val="0C3923C8"/>
    <w:rsid w:val="0C3A64F9"/>
    <w:rsid w:val="0C3E79DE"/>
    <w:rsid w:val="0C400550"/>
    <w:rsid w:val="0C476362"/>
    <w:rsid w:val="0C582C3E"/>
    <w:rsid w:val="0C59258D"/>
    <w:rsid w:val="0C5B5CD0"/>
    <w:rsid w:val="0C6127B1"/>
    <w:rsid w:val="0C681529"/>
    <w:rsid w:val="0C692CAD"/>
    <w:rsid w:val="0C6A07D3"/>
    <w:rsid w:val="0C6C00A7"/>
    <w:rsid w:val="0C741D07"/>
    <w:rsid w:val="0C7565A8"/>
    <w:rsid w:val="0C7A575D"/>
    <w:rsid w:val="0C7E602C"/>
    <w:rsid w:val="0C833643"/>
    <w:rsid w:val="0C873F5B"/>
    <w:rsid w:val="0C87442F"/>
    <w:rsid w:val="0C8C0BBC"/>
    <w:rsid w:val="0C981D44"/>
    <w:rsid w:val="0C9D2913"/>
    <w:rsid w:val="0CA21D1B"/>
    <w:rsid w:val="0CAE147F"/>
    <w:rsid w:val="0CBD6695"/>
    <w:rsid w:val="0CC56FFE"/>
    <w:rsid w:val="0CC779D3"/>
    <w:rsid w:val="0CCB4C1C"/>
    <w:rsid w:val="0CCD25CD"/>
    <w:rsid w:val="0CD25BE7"/>
    <w:rsid w:val="0CD41267"/>
    <w:rsid w:val="0CD42BCC"/>
    <w:rsid w:val="0CD46767"/>
    <w:rsid w:val="0CD5615D"/>
    <w:rsid w:val="0CE579A0"/>
    <w:rsid w:val="0CF26C99"/>
    <w:rsid w:val="0CF566EF"/>
    <w:rsid w:val="0CF61640"/>
    <w:rsid w:val="0CF80284"/>
    <w:rsid w:val="0CFD4AD5"/>
    <w:rsid w:val="0CFE36D8"/>
    <w:rsid w:val="0D0E6C73"/>
    <w:rsid w:val="0D1D5845"/>
    <w:rsid w:val="0D2210AE"/>
    <w:rsid w:val="0D222E5C"/>
    <w:rsid w:val="0D2766C4"/>
    <w:rsid w:val="0D2A1D10"/>
    <w:rsid w:val="0D3253F4"/>
    <w:rsid w:val="0D3D49E9"/>
    <w:rsid w:val="0D414D6A"/>
    <w:rsid w:val="0D463014"/>
    <w:rsid w:val="0D470B14"/>
    <w:rsid w:val="0D48006B"/>
    <w:rsid w:val="0D4B4A31"/>
    <w:rsid w:val="0D4B5C63"/>
    <w:rsid w:val="0D4F4B44"/>
    <w:rsid w:val="0D501C2D"/>
    <w:rsid w:val="0D587964"/>
    <w:rsid w:val="0D5A2CC7"/>
    <w:rsid w:val="0D5E3E13"/>
    <w:rsid w:val="0D5F471D"/>
    <w:rsid w:val="0D5F5E5E"/>
    <w:rsid w:val="0D680DEE"/>
    <w:rsid w:val="0D6C2329"/>
    <w:rsid w:val="0D6C3A74"/>
    <w:rsid w:val="0D8B3D0A"/>
    <w:rsid w:val="0D8C4BF5"/>
    <w:rsid w:val="0D8E6743"/>
    <w:rsid w:val="0D937852"/>
    <w:rsid w:val="0D9A5E46"/>
    <w:rsid w:val="0D9A740D"/>
    <w:rsid w:val="0D9C5E1D"/>
    <w:rsid w:val="0D9E3246"/>
    <w:rsid w:val="0DA17531"/>
    <w:rsid w:val="0DA86366"/>
    <w:rsid w:val="0DB02216"/>
    <w:rsid w:val="0DB042E6"/>
    <w:rsid w:val="0DB5782C"/>
    <w:rsid w:val="0DBE2D7D"/>
    <w:rsid w:val="0DC83B75"/>
    <w:rsid w:val="0DCB696E"/>
    <w:rsid w:val="0DD16F1A"/>
    <w:rsid w:val="0DDA74B1"/>
    <w:rsid w:val="0DDC74AE"/>
    <w:rsid w:val="0DDE1223"/>
    <w:rsid w:val="0DE325EB"/>
    <w:rsid w:val="0DEE3B69"/>
    <w:rsid w:val="0DF27316"/>
    <w:rsid w:val="0DF52928"/>
    <w:rsid w:val="0E0428BA"/>
    <w:rsid w:val="0E0510D5"/>
    <w:rsid w:val="0E0C044D"/>
    <w:rsid w:val="0E0D77EC"/>
    <w:rsid w:val="0E113D91"/>
    <w:rsid w:val="0E1319C9"/>
    <w:rsid w:val="0E143BF1"/>
    <w:rsid w:val="0E167A9B"/>
    <w:rsid w:val="0E176739"/>
    <w:rsid w:val="0E1B17A7"/>
    <w:rsid w:val="0E1F739B"/>
    <w:rsid w:val="0E255315"/>
    <w:rsid w:val="0E2E5ECF"/>
    <w:rsid w:val="0E347BC6"/>
    <w:rsid w:val="0E3746E5"/>
    <w:rsid w:val="0E377CE6"/>
    <w:rsid w:val="0E3D7000"/>
    <w:rsid w:val="0E4136CA"/>
    <w:rsid w:val="0E433DCE"/>
    <w:rsid w:val="0E44797C"/>
    <w:rsid w:val="0E4A4418"/>
    <w:rsid w:val="0E4B6F70"/>
    <w:rsid w:val="0E527729"/>
    <w:rsid w:val="0E5A6CFB"/>
    <w:rsid w:val="0E63197E"/>
    <w:rsid w:val="0E691A4E"/>
    <w:rsid w:val="0E691E54"/>
    <w:rsid w:val="0E6B745F"/>
    <w:rsid w:val="0E6F0323"/>
    <w:rsid w:val="0E6F5318"/>
    <w:rsid w:val="0E756E9A"/>
    <w:rsid w:val="0E7657F6"/>
    <w:rsid w:val="0E816D64"/>
    <w:rsid w:val="0E86759F"/>
    <w:rsid w:val="0E8C4A31"/>
    <w:rsid w:val="0E902114"/>
    <w:rsid w:val="0E950B6B"/>
    <w:rsid w:val="0E9D794C"/>
    <w:rsid w:val="0EA454BC"/>
    <w:rsid w:val="0EA50AA5"/>
    <w:rsid w:val="0EB366B9"/>
    <w:rsid w:val="0EBA75D0"/>
    <w:rsid w:val="0EDE1004"/>
    <w:rsid w:val="0EE009A1"/>
    <w:rsid w:val="0EE71CB8"/>
    <w:rsid w:val="0EED67BE"/>
    <w:rsid w:val="0EF56723"/>
    <w:rsid w:val="0EFF4768"/>
    <w:rsid w:val="0F0E3EE4"/>
    <w:rsid w:val="0F184516"/>
    <w:rsid w:val="0F187259"/>
    <w:rsid w:val="0F1913A7"/>
    <w:rsid w:val="0F1A64E0"/>
    <w:rsid w:val="0F1B4ADD"/>
    <w:rsid w:val="0F1C4052"/>
    <w:rsid w:val="0F1D773D"/>
    <w:rsid w:val="0F1E7C71"/>
    <w:rsid w:val="0F1F5BAF"/>
    <w:rsid w:val="0F36092B"/>
    <w:rsid w:val="0F3A518E"/>
    <w:rsid w:val="0F4C0664"/>
    <w:rsid w:val="0F4C2412"/>
    <w:rsid w:val="0F5F658C"/>
    <w:rsid w:val="0F600C7D"/>
    <w:rsid w:val="0F783207"/>
    <w:rsid w:val="0F7E29D8"/>
    <w:rsid w:val="0F881FEE"/>
    <w:rsid w:val="0F883DF6"/>
    <w:rsid w:val="0F885D24"/>
    <w:rsid w:val="0F8E2CC9"/>
    <w:rsid w:val="0F9F69E6"/>
    <w:rsid w:val="0FA2262B"/>
    <w:rsid w:val="0FB17288"/>
    <w:rsid w:val="0FB71F81"/>
    <w:rsid w:val="0FBC0C4F"/>
    <w:rsid w:val="0FBE1202"/>
    <w:rsid w:val="0FC05753"/>
    <w:rsid w:val="0FC36F86"/>
    <w:rsid w:val="0FC95811"/>
    <w:rsid w:val="0FD35853"/>
    <w:rsid w:val="0FE33D0C"/>
    <w:rsid w:val="0FE63FC0"/>
    <w:rsid w:val="0FE95EB3"/>
    <w:rsid w:val="0FEA3E6F"/>
    <w:rsid w:val="0FED14FF"/>
    <w:rsid w:val="0FF07241"/>
    <w:rsid w:val="0FF220FA"/>
    <w:rsid w:val="0FF60A86"/>
    <w:rsid w:val="0FFA197C"/>
    <w:rsid w:val="0FFF7484"/>
    <w:rsid w:val="1002151F"/>
    <w:rsid w:val="10101909"/>
    <w:rsid w:val="101051ED"/>
    <w:rsid w:val="10125409"/>
    <w:rsid w:val="10141182"/>
    <w:rsid w:val="10165BBC"/>
    <w:rsid w:val="10201C71"/>
    <w:rsid w:val="103276E4"/>
    <w:rsid w:val="10390BE8"/>
    <w:rsid w:val="1041134A"/>
    <w:rsid w:val="104135F9"/>
    <w:rsid w:val="10445CF9"/>
    <w:rsid w:val="10476675"/>
    <w:rsid w:val="10520C0A"/>
    <w:rsid w:val="105243C6"/>
    <w:rsid w:val="1053423A"/>
    <w:rsid w:val="10534754"/>
    <w:rsid w:val="10563DEE"/>
    <w:rsid w:val="105B24BD"/>
    <w:rsid w:val="105C6FA6"/>
    <w:rsid w:val="10633399"/>
    <w:rsid w:val="106A0DA2"/>
    <w:rsid w:val="106D36EE"/>
    <w:rsid w:val="107633F6"/>
    <w:rsid w:val="107F3AEE"/>
    <w:rsid w:val="10863702"/>
    <w:rsid w:val="10874831"/>
    <w:rsid w:val="108D2E04"/>
    <w:rsid w:val="109D248C"/>
    <w:rsid w:val="109E6C9D"/>
    <w:rsid w:val="10AB3168"/>
    <w:rsid w:val="10B169F6"/>
    <w:rsid w:val="10B62239"/>
    <w:rsid w:val="10B8745E"/>
    <w:rsid w:val="10C2298C"/>
    <w:rsid w:val="10CF6E57"/>
    <w:rsid w:val="10D4256B"/>
    <w:rsid w:val="10E01064"/>
    <w:rsid w:val="10E169ED"/>
    <w:rsid w:val="10F62ECD"/>
    <w:rsid w:val="10F77FA0"/>
    <w:rsid w:val="10FA421F"/>
    <w:rsid w:val="10FD7E68"/>
    <w:rsid w:val="11017AD2"/>
    <w:rsid w:val="11040E01"/>
    <w:rsid w:val="110757AF"/>
    <w:rsid w:val="110A4333"/>
    <w:rsid w:val="11145517"/>
    <w:rsid w:val="1119244E"/>
    <w:rsid w:val="111F6715"/>
    <w:rsid w:val="112843A2"/>
    <w:rsid w:val="11292A0B"/>
    <w:rsid w:val="11372CE6"/>
    <w:rsid w:val="113B4D24"/>
    <w:rsid w:val="11407D54"/>
    <w:rsid w:val="114A2AA9"/>
    <w:rsid w:val="115770D7"/>
    <w:rsid w:val="11595212"/>
    <w:rsid w:val="115B4B8E"/>
    <w:rsid w:val="11633415"/>
    <w:rsid w:val="11641C95"/>
    <w:rsid w:val="11677D5A"/>
    <w:rsid w:val="11762017"/>
    <w:rsid w:val="117E32AB"/>
    <w:rsid w:val="11800151"/>
    <w:rsid w:val="1182211B"/>
    <w:rsid w:val="11850759"/>
    <w:rsid w:val="118714DF"/>
    <w:rsid w:val="11893D9A"/>
    <w:rsid w:val="118D4594"/>
    <w:rsid w:val="11A07CB3"/>
    <w:rsid w:val="11A52BB0"/>
    <w:rsid w:val="11AA275E"/>
    <w:rsid w:val="11AB1672"/>
    <w:rsid w:val="11AF0585"/>
    <w:rsid w:val="11B036FF"/>
    <w:rsid w:val="11BA02F0"/>
    <w:rsid w:val="11C24C0D"/>
    <w:rsid w:val="11C31E31"/>
    <w:rsid w:val="11C6025A"/>
    <w:rsid w:val="11C90D66"/>
    <w:rsid w:val="11CB2733"/>
    <w:rsid w:val="11CF10A8"/>
    <w:rsid w:val="11D3765D"/>
    <w:rsid w:val="11DB132C"/>
    <w:rsid w:val="11DE5594"/>
    <w:rsid w:val="11E25F82"/>
    <w:rsid w:val="11EA651F"/>
    <w:rsid w:val="11F12DFD"/>
    <w:rsid w:val="11F74214"/>
    <w:rsid w:val="11FD5C45"/>
    <w:rsid w:val="1202500A"/>
    <w:rsid w:val="120321D4"/>
    <w:rsid w:val="1205147B"/>
    <w:rsid w:val="12076DA9"/>
    <w:rsid w:val="120F71F7"/>
    <w:rsid w:val="1215457F"/>
    <w:rsid w:val="12174F59"/>
    <w:rsid w:val="121B7196"/>
    <w:rsid w:val="1228109D"/>
    <w:rsid w:val="12283A71"/>
    <w:rsid w:val="123347EF"/>
    <w:rsid w:val="12343F4F"/>
    <w:rsid w:val="12353631"/>
    <w:rsid w:val="123E5C8E"/>
    <w:rsid w:val="12457565"/>
    <w:rsid w:val="124811CB"/>
    <w:rsid w:val="1249417A"/>
    <w:rsid w:val="124B091E"/>
    <w:rsid w:val="12510688"/>
    <w:rsid w:val="12517C9B"/>
    <w:rsid w:val="125A6BF4"/>
    <w:rsid w:val="12614426"/>
    <w:rsid w:val="1262528B"/>
    <w:rsid w:val="126805E3"/>
    <w:rsid w:val="12694681"/>
    <w:rsid w:val="127203E1"/>
    <w:rsid w:val="12771554"/>
    <w:rsid w:val="127A5193"/>
    <w:rsid w:val="12802AFE"/>
    <w:rsid w:val="12856CDD"/>
    <w:rsid w:val="128819B3"/>
    <w:rsid w:val="12935F23"/>
    <w:rsid w:val="12965AF6"/>
    <w:rsid w:val="129C09A3"/>
    <w:rsid w:val="129F0AAB"/>
    <w:rsid w:val="129F3684"/>
    <w:rsid w:val="12A37596"/>
    <w:rsid w:val="12AA2B99"/>
    <w:rsid w:val="12B01DAB"/>
    <w:rsid w:val="12B85A3D"/>
    <w:rsid w:val="12BE53D5"/>
    <w:rsid w:val="12C0322B"/>
    <w:rsid w:val="12C97B2F"/>
    <w:rsid w:val="12CA2B76"/>
    <w:rsid w:val="12E54456"/>
    <w:rsid w:val="12F31522"/>
    <w:rsid w:val="12F9211D"/>
    <w:rsid w:val="12F9259F"/>
    <w:rsid w:val="12FB49F3"/>
    <w:rsid w:val="12FD248B"/>
    <w:rsid w:val="12FE62B8"/>
    <w:rsid w:val="130424FF"/>
    <w:rsid w:val="13054900"/>
    <w:rsid w:val="13080E90"/>
    <w:rsid w:val="13162E16"/>
    <w:rsid w:val="13197966"/>
    <w:rsid w:val="131B45D5"/>
    <w:rsid w:val="131D67A1"/>
    <w:rsid w:val="13223BB5"/>
    <w:rsid w:val="13320AEB"/>
    <w:rsid w:val="1340403C"/>
    <w:rsid w:val="134061D4"/>
    <w:rsid w:val="134578A4"/>
    <w:rsid w:val="13466D47"/>
    <w:rsid w:val="134C11D0"/>
    <w:rsid w:val="13500A1D"/>
    <w:rsid w:val="13605BDE"/>
    <w:rsid w:val="1363203D"/>
    <w:rsid w:val="1363441C"/>
    <w:rsid w:val="13675039"/>
    <w:rsid w:val="136D0135"/>
    <w:rsid w:val="136E75A3"/>
    <w:rsid w:val="136F4921"/>
    <w:rsid w:val="13714B6C"/>
    <w:rsid w:val="13750622"/>
    <w:rsid w:val="137515F2"/>
    <w:rsid w:val="13775332"/>
    <w:rsid w:val="137805AB"/>
    <w:rsid w:val="138959E3"/>
    <w:rsid w:val="139033AF"/>
    <w:rsid w:val="13916002"/>
    <w:rsid w:val="13936535"/>
    <w:rsid w:val="13973DDF"/>
    <w:rsid w:val="139C60A2"/>
    <w:rsid w:val="13A46201"/>
    <w:rsid w:val="13BA06E0"/>
    <w:rsid w:val="13BB15A1"/>
    <w:rsid w:val="13BB1F14"/>
    <w:rsid w:val="13BF582E"/>
    <w:rsid w:val="13C4589A"/>
    <w:rsid w:val="13C66CAA"/>
    <w:rsid w:val="13D35168"/>
    <w:rsid w:val="13D65BBB"/>
    <w:rsid w:val="13D83708"/>
    <w:rsid w:val="13DF5603"/>
    <w:rsid w:val="13E01138"/>
    <w:rsid w:val="13E34020"/>
    <w:rsid w:val="13E64BE3"/>
    <w:rsid w:val="13EF5F57"/>
    <w:rsid w:val="13F01048"/>
    <w:rsid w:val="13F11C23"/>
    <w:rsid w:val="13F33EA7"/>
    <w:rsid w:val="13FE3D97"/>
    <w:rsid w:val="13FF6B06"/>
    <w:rsid w:val="14031308"/>
    <w:rsid w:val="140B3319"/>
    <w:rsid w:val="141E5931"/>
    <w:rsid w:val="141F085C"/>
    <w:rsid w:val="1421095F"/>
    <w:rsid w:val="14213E6D"/>
    <w:rsid w:val="1429707F"/>
    <w:rsid w:val="142B4C30"/>
    <w:rsid w:val="1431037A"/>
    <w:rsid w:val="143C2C5E"/>
    <w:rsid w:val="1447093C"/>
    <w:rsid w:val="144D5B3D"/>
    <w:rsid w:val="145A1CE5"/>
    <w:rsid w:val="145F5411"/>
    <w:rsid w:val="146343E0"/>
    <w:rsid w:val="146930CB"/>
    <w:rsid w:val="146B4766"/>
    <w:rsid w:val="146C1673"/>
    <w:rsid w:val="14733E75"/>
    <w:rsid w:val="147761EE"/>
    <w:rsid w:val="147B4BCC"/>
    <w:rsid w:val="147F10E4"/>
    <w:rsid w:val="149654D6"/>
    <w:rsid w:val="1497412F"/>
    <w:rsid w:val="149E726C"/>
    <w:rsid w:val="14A81D61"/>
    <w:rsid w:val="14AD2EC1"/>
    <w:rsid w:val="14B00D4D"/>
    <w:rsid w:val="14B206E4"/>
    <w:rsid w:val="14B922F8"/>
    <w:rsid w:val="14BB6207"/>
    <w:rsid w:val="14BF2910"/>
    <w:rsid w:val="14CA62B3"/>
    <w:rsid w:val="14CC4A45"/>
    <w:rsid w:val="14CF24DB"/>
    <w:rsid w:val="14D37C3D"/>
    <w:rsid w:val="14D709D0"/>
    <w:rsid w:val="14E82126"/>
    <w:rsid w:val="14F0383F"/>
    <w:rsid w:val="14F41582"/>
    <w:rsid w:val="14F70A43"/>
    <w:rsid w:val="14FE7CDE"/>
    <w:rsid w:val="15101BF8"/>
    <w:rsid w:val="1517701E"/>
    <w:rsid w:val="15252DED"/>
    <w:rsid w:val="153207CC"/>
    <w:rsid w:val="153320AA"/>
    <w:rsid w:val="1534240D"/>
    <w:rsid w:val="15342969"/>
    <w:rsid w:val="153633D2"/>
    <w:rsid w:val="1543751C"/>
    <w:rsid w:val="1553451A"/>
    <w:rsid w:val="155F4320"/>
    <w:rsid w:val="15636797"/>
    <w:rsid w:val="15653784"/>
    <w:rsid w:val="156A0208"/>
    <w:rsid w:val="156A35F2"/>
    <w:rsid w:val="15714980"/>
    <w:rsid w:val="15787455"/>
    <w:rsid w:val="1585667E"/>
    <w:rsid w:val="158A2BB3"/>
    <w:rsid w:val="158E6755"/>
    <w:rsid w:val="159348F7"/>
    <w:rsid w:val="15957DC5"/>
    <w:rsid w:val="159F14ED"/>
    <w:rsid w:val="15A25775"/>
    <w:rsid w:val="15A87DA9"/>
    <w:rsid w:val="15C9585D"/>
    <w:rsid w:val="15CB0EA5"/>
    <w:rsid w:val="15D14AF0"/>
    <w:rsid w:val="15D6106F"/>
    <w:rsid w:val="15D840E9"/>
    <w:rsid w:val="15DD1E52"/>
    <w:rsid w:val="15E038B4"/>
    <w:rsid w:val="15E213DA"/>
    <w:rsid w:val="15E4131D"/>
    <w:rsid w:val="15EE50EB"/>
    <w:rsid w:val="160F7CF5"/>
    <w:rsid w:val="161812A0"/>
    <w:rsid w:val="161E4FC8"/>
    <w:rsid w:val="16216934"/>
    <w:rsid w:val="16244E5E"/>
    <w:rsid w:val="1624688D"/>
    <w:rsid w:val="16266DF6"/>
    <w:rsid w:val="163C0589"/>
    <w:rsid w:val="16442095"/>
    <w:rsid w:val="164B4461"/>
    <w:rsid w:val="16514B7F"/>
    <w:rsid w:val="16526560"/>
    <w:rsid w:val="16541286"/>
    <w:rsid w:val="1658117B"/>
    <w:rsid w:val="16596A26"/>
    <w:rsid w:val="165A18B8"/>
    <w:rsid w:val="165F6B9A"/>
    <w:rsid w:val="166B5873"/>
    <w:rsid w:val="166C0CFF"/>
    <w:rsid w:val="16700091"/>
    <w:rsid w:val="167209B0"/>
    <w:rsid w:val="16752B1B"/>
    <w:rsid w:val="16781FE2"/>
    <w:rsid w:val="167D2AE2"/>
    <w:rsid w:val="16853D6A"/>
    <w:rsid w:val="1686445B"/>
    <w:rsid w:val="168A61CF"/>
    <w:rsid w:val="168E6E22"/>
    <w:rsid w:val="16914AB9"/>
    <w:rsid w:val="16930926"/>
    <w:rsid w:val="16943E8C"/>
    <w:rsid w:val="169B5926"/>
    <w:rsid w:val="16A208D5"/>
    <w:rsid w:val="16A940D3"/>
    <w:rsid w:val="16B70803"/>
    <w:rsid w:val="16B81660"/>
    <w:rsid w:val="16BA5996"/>
    <w:rsid w:val="16BD4697"/>
    <w:rsid w:val="16BE59A3"/>
    <w:rsid w:val="16C32FBA"/>
    <w:rsid w:val="16C8005A"/>
    <w:rsid w:val="16C8679D"/>
    <w:rsid w:val="16C9435F"/>
    <w:rsid w:val="16DE0D04"/>
    <w:rsid w:val="16DE197D"/>
    <w:rsid w:val="16E46CBF"/>
    <w:rsid w:val="16E50775"/>
    <w:rsid w:val="16F969DB"/>
    <w:rsid w:val="16FC1E41"/>
    <w:rsid w:val="17004962"/>
    <w:rsid w:val="17014CC7"/>
    <w:rsid w:val="170A0B51"/>
    <w:rsid w:val="170D06D9"/>
    <w:rsid w:val="170F2E64"/>
    <w:rsid w:val="17103D25"/>
    <w:rsid w:val="17143815"/>
    <w:rsid w:val="17184304"/>
    <w:rsid w:val="17187064"/>
    <w:rsid w:val="171B05E0"/>
    <w:rsid w:val="171C1816"/>
    <w:rsid w:val="1720665E"/>
    <w:rsid w:val="172341AB"/>
    <w:rsid w:val="17245F9E"/>
    <w:rsid w:val="17254DA9"/>
    <w:rsid w:val="172939FE"/>
    <w:rsid w:val="172A3FA4"/>
    <w:rsid w:val="17314A1C"/>
    <w:rsid w:val="17315F09"/>
    <w:rsid w:val="1735188C"/>
    <w:rsid w:val="173876A7"/>
    <w:rsid w:val="1739327C"/>
    <w:rsid w:val="17493A22"/>
    <w:rsid w:val="174F1860"/>
    <w:rsid w:val="1752433D"/>
    <w:rsid w:val="17646012"/>
    <w:rsid w:val="1767284E"/>
    <w:rsid w:val="176D73C9"/>
    <w:rsid w:val="1773358A"/>
    <w:rsid w:val="177B7D38"/>
    <w:rsid w:val="177D2164"/>
    <w:rsid w:val="177E12FA"/>
    <w:rsid w:val="177E488E"/>
    <w:rsid w:val="1788476D"/>
    <w:rsid w:val="178A2DAD"/>
    <w:rsid w:val="178F2125"/>
    <w:rsid w:val="17936270"/>
    <w:rsid w:val="17952348"/>
    <w:rsid w:val="179674E7"/>
    <w:rsid w:val="17993131"/>
    <w:rsid w:val="17A563A6"/>
    <w:rsid w:val="17AB11A9"/>
    <w:rsid w:val="17AC1CA0"/>
    <w:rsid w:val="17B256D4"/>
    <w:rsid w:val="17BC01E8"/>
    <w:rsid w:val="17C07F6A"/>
    <w:rsid w:val="17CB69C5"/>
    <w:rsid w:val="17CF3CA8"/>
    <w:rsid w:val="17CF5AC4"/>
    <w:rsid w:val="17D47448"/>
    <w:rsid w:val="17D81D56"/>
    <w:rsid w:val="17DF1923"/>
    <w:rsid w:val="17E56F60"/>
    <w:rsid w:val="17E665EE"/>
    <w:rsid w:val="17EF1DD6"/>
    <w:rsid w:val="17F90C5D"/>
    <w:rsid w:val="17FD074D"/>
    <w:rsid w:val="17FE3F33"/>
    <w:rsid w:val="1803648B"/>
    <w:rsid w:val="18063958"/>
    <w:rsid w:val="18113AAC"/>
    <w:rsid w:val="18140050"/>
    <w:rsid w:val="18140AB0"/>
    <w:rsid w:val="181B6E25"/>
    <w:rsid w:val="183772B8"/>
    <w:rsid w:val="183A374F"/>
    <w:rsid w:val="183B3375"/>
    <w:rsid w:val="184260F5"/>
    <w:rsid w:val="18445811"/>
    <w:rsid w:val="18466BCD"/>
    <w:rsid w:val="184D3CAF"/>
    <w:rsid w:val="184E7689"/>
    <w:rsid w:val="18501A1D"/>
    <w:rsid w:val="1851593E"/>
    <w:rsid w:val="18540BF0"/>
    <w:rsid w:val="185635F5"/>
    <w:rsid w:val="18591D0D"/>
    <w:rsid w:val="185F6B27"/>
    <w:rsid w:val="18623338"/>
    <w:rsid w:val="186D65B4"/>
    <w:rsid w:val="186D6628"/>
    <w:rsid w:val="18826EA4"/>
    <w:rsid w:val="188340FF"/>
    <w:rsid w:val="18893D8F"/>
    <w:rsid w:val="188C142B"/>
    <w:rsid w:val="18900478"/>
    <w:rsid w:val="18A55BCE"/>
    <w:rsid w:val="18A62B93"/>
    <w:rsid w:val="18A64941"/>
    <w:rsid w:val="18B71A64"/>
    <w:rsid w:val="18B76CE3"/>
    <w:rsid w:val="18B800A1"/>
    <w:rsid w:val="18C33C4E"/>
    <w:rsid w:val="18C7744A"/>
    <w:rsid w:val="18C836BE"/>
    <w:rsid w:val="18CE2FF6"/>
    <w:rsid w:val="18D364CA"/>
    <w:rsid w:val="18DB1E9B"/>
    <w:rsid w:val="18DE4537"/>
    <w:rsid w:val="18E41886"/>
    <w:rsid w:val="18E722AD"/>
    <w:rsid w:val="18EB0C1A"/>
    <w:rsid w:val="18F073FC"/>
    <w:rsid w:val="18F26EAB"/>
    <w:rsid w:val="18F64BCE"/>
    <w:rsid w:val="18F735E8"/>
    <w:rsid w:val="18FC7301"/>
    <w:rsid w:val="18FF1F3A"/>
    <w:rsid w:val="19063631"/>
    <w:rsid w:val="190819AD"/>
    <w:rsid w:val="190B2D72"/>
    <w:rsid w:val="1913347C"/>
    <w:rsid w:val="191B12A4"/>
    <w:rsid w:val="19303E00"/>
    <w:rsid w:val="19322D45"/>
    <w:rsid w:val="19386B63"/>
    <w:rsid w:val="193E101D"/>
    <w:rsid w:val="19456842"/>
    <w:rsid w:val="194A5C14"/>
    <w:rsid w:val="194F73AB"/>
    <w:rsid w:val="195308EE"/>
    <w:rsid w:val="195742B4"/>
    <w:rsid w:val="195B1744"/>
    <w:rsid w:val="195C5C31"/>
    <w:rsid w:val="196039E1"/>
    <w:rsid w:val="196440DC"/>
    <w:rsid w:val="196456BE"/>
    <w:rsid w:val="196811FE"/>
    <w:rsid w:val="196F2776"/>
    <w:rsid w:val="19710C3C"/>
    <w:rsid w:val="19734247"/>
    <w:rsid w:val="19864D35"/>
    <w:rsid w:val="19871905"/>
    <w:rsid w:val="198E6F17"/>
    <w:rsid w:val="19924413"/>
    <w:rsid w:val="199D7C7C"/>
    <w:rsid w:val="199F6332"/>
    <w:rsid w:val="19A03A86"/>
    <w:rsid w:val="19A32C5A"/>
    <w:rsid w:val="19A879E4"/>
    <w:rsid w:val="19B44CA1"/>
    <w:rsid w:val="19C17AAC"/>
    <w:rsid w:val="19C21C4E"/>
    <w:rsid w:val="19C54225"/>
    <w:rsid w:val="19D2397B"/>
    <w:rsid w:val="19D64618"/>
    <w:rsid w:val="19DB686C"/>
    <w:rsid w:val="19E5261E"/>
    <w:rsid w:val="19EB0735"/>
    <w:rsid w:val="19EF3E9F"/>
    <w:rsid w:val="19F618F8"/>
    <w:rsid w:val="1A0C6271"/>
    <w:rsid w:val="1A0E32D9"/>
    <w:rsid w:val="1A173873"/>
    <w:rsid w:val="1A1E367A"/>
    <w:rsid w:val="1A2F1B2D"/>
    <w:rsid w:val="1A325B5E"/>
    <w:rsid w:val="1A444411"/>
    <w:rsid w:val="1A4B5525"/>
    <w:rsid w:val="1A555ADC"/>
    <w:rsid w:val="1A567B53"/>
    <w:rsid w:val="1A5A159E"/>
    <w:rsid w:val="1A5C629A"/>
    <w:rsid w:val="1A613431"/>
    <w:rsid w:val="1A703458"/>
    <w:rsid w:val="1A704D0B"/>
    <w:rsid w:val="1A72133B"/>
    <w:rsid w:val="1A735978"/>
    <w:rsid w:val="1A7A1BBB"/>
    <w:rsid w:val="1A7C678C"/>
    <w:rsid w:val="1A8011C2"/>
    <w:rsid w:val="1A872F18"/>
    <w:rsid w:val="1A8E6679"/>
    <w:rsid w:val="1A914B7E"/>
    <w:rsid w:val="1A933129"/>
    <w:rsid w:val="1A943AA6"/>
    <w:rsid w:val="1A9E0F52"/>
    <w:rsid w:val="1AA6231F"/>
    <w:rsid w:val="1ABA0B77"/>
    <w:rsid w:val="1ABA481B"/>
    <w:rsid w:val="1ABA5491"/>
    <w:rsid w:val="1ABE5077"/>
    <w:rsid w:val="1AC76DF0"/>
    <w:rsid w:val="1ACF6C75"/>
    <w:rsid w:val="1AD82DAC"/>
    <w:rsid w:val="1ADD10A0"/>
    <w:rsid w:val="1AE6196C"/>
    <w:rsid w:val="1AEB6F83"/>
    <w:rsid w:val="1AF9493A"/>
    <w:rsid w:val="1B0246D5"/>
    <w:rsid w:val="1B0E43FD"/>
    <w:rsid w:val="1B1B0FC6"/>
    <w:rsid w:val="1B3450CF"/>
    <w:rsid w:val="1B347E5C"/>
    <w:rsid w:val="1B3A1BF2"/>
    <w:rsid w:val="1B416BA3"/>
    <w:rsid w:val="1B520877"/>
    <w:rsid w:val="1B59213E"/>
    <w:rsid w:val="1B5B70F9"/>
    <w:rsid w:val="1B6A2404"/>
    <w:rsid w:val="1B6D3662"/>
    <w:rsid w:val="1B713BCA"/>
    <w:rsid w:val="1B7268AE"/>
    <w:rsid w:val="1B786B0A"/>
    <w:rsid w:val="1B8A6E8F"/>
    <w:rsid w:val="1B8C03D7"/>
    <w:rsid w:val="1B8D1DE8"/>
    <w:rsid w:val="1B940960"/>
    <w:rsid w:val="1B960F82"/>
    <w:rsid w:val="1BA203D0"/>
    <w:rsid w:val="1BA3785E"/>
    <w:rsid w:val="1BAB0CA3"/>
    <w:rsid w:val="1BAB3A51"/>
    <w:rsid w:val="1BB07F07"/>
    <w:rsid w:val="1BB11250"/>
    <w:rsid w:val="1BB5005C"/>
    <w:rsid w:val="1BB8000F"/>
    <w:rsid w:val="1BB83D11"/>
    <w:rsid w:val="1BB91C9A"/>
    <w:rsid w:val="1BBB0FD7"/>
    <w:rsid w:val="1BBE7C44"/>
    <w:rsid w:val="1BC17CE4"/>
    <w:rsid w:val="1BC62F8D"/>
    <w:rsid w:val="1BCC1DC6"/>
    <w:rsid w:val="1BD17F27"/>
    <w:rsid w:val="1BD2498B"/>
    <w:rsid w:val="1BD73063"/>
    <w:rsid w:val="1BD82F80"/>
    <w:rsid w:val="1BD9534F"/>
    <w:rsid w:val="1BE96568"/>
    <w:rsid w:val="1BEF60E3"/>
    <w:rsid w:val="1BF14125"/>
    <w:rsid w:val="1BF24221"/>
    <w:rsid w:val="1BF60697"/>
    <w:rsid w:val="1BF63B2B"/>
    <w:rsid w:val="1BFC56B5"/>
    <w:rsid w:val="1C00075B"/>
    <w:rsid w:val="1C033E58"/>
    <w:rsid w:val="1C090D67"/>
    <w:rsid w:val="1C0A082B"/>
    <w:rsid w:val="1C0F4EF3"/>
    <w:rsid w:val="1C126BF1"/>
    <w:rsid w:val="1C152BE3"/>
    <w:rsid w:val="1C161DDD"/>
    <w:rsid w:val="1C200EAE"/>
    <w:rsid w:val="1C247751"/>
    <w:rsid w:val="1C330D81"/>
    <w:rsid w:val="1C3A1621"/>
    <w:rsid w:val="1C4F6FF7"/>
    <w:rsid w:val="1C536B8E"/>
    <w:rsid w:val="1C54006E"/>
    <w:rsid w:val="1C56042C"/>
    <w:rsid w:val="1C576D0C"/>
    <w:rsid w:val="1C5B6D90"/>
    <w:rsid w:val="1C5D7020"/>
    <w:rsid w:val="1C627CB7"/>
    <w:rsid w:val="1C664FE7"/>
    <w:rsid w:val="1C6B4178"/>
    <w:rsid w:val="1C6E39C8"/>
    <w:rsid w:val="1C72747D"/>
    <w:rsid w:val="1C7A05BE"/>
    <w:rsid w:val="1C7B41D3"/>
    <w:rsid w:val="1C84143D"/>
    <w:rsid w:val="1C8B0D49"/>
    <w:rsid w:val="1C8E7BC6"/>
    <w:rsid w:val="1C9C36AC"/>
    <w:rsid w:val="1C9D7E82"/>
    <w:rsid w:val="1CA2398A"/>
    <w:rsid w:val="1CA27182"/>
    <w:rsid w:val="1CB92472"/>
    <w:rsid w:val="1CCC570F"/>
    <w:rsid w:val="1CD239BF"/>
    <w:rsid w:val="1CDB4ADE"/>
    <w:rsid w:val="1CE06507"/>
    <w:rsid w:val="1CE6645C"/>
    <w:rsid w:val="1CEB525C"/>
    <w:rsid w:val="1CEE4B08"/>
    <w:rsid w:val="1CEE7FE8"/>
    <w:rsid w:val="1CFC6AE7"/>
    <w:rsid w:val="1D0A39A4"/>
    <w:rsid w:val="1D115C47"/>
    <w:rsid w:val="1D1327C1"/>
    <w:rsid w:val="1D15324F"/>
    <w:rsid w:val="1D293D92"/>
    <w:rsid w:val="1D305121"/>
    <w:rsid w:val="1D320E8A"/>
    <w:rsid w:val="1D332BCD"/>
    <w:rsid w:val="1D355C17"/>
    <w:rsid w:val="1D4104B9"/>
    <w:rsid w:val="1D4E7035"/>
    <w:rsid w:val="1D530E41"/>
    <w:rsid w:val="1D540E0F"/>
    <w:rsid w:val="1D58544C"/>
    <w:rsid w:val="1D5A068E"/>
    <w:rsid w:val="1D5D57EA"/>
    <w:rsid w:val="1D620C2B"/>
    <w:rsid w:val="1D6D6E49"/>
    <w:rsid w:val="1D785701"/>
    <w:rsid w:val="1D8B44A2"/>
    <w:rsid w:val="1D963E91"/>
    <w:rsid w:val="1D990F18"/>
    <w:rsid w:val="1D992D5E"/>
    <w:rsid w:val="1D9C519D"/>
    <w:rsid w:val="1D9F7F52"/>
    <w:rsid w:val="1DA06387"/>
    <w:rsid w:val="1DAB6F39"/>
    <w:rsid w:val="1DB21FDA"/>
    <w:rsid w:val="1DB56977"/>
    <w:rsid w:val="1DB7139E"/>
    <w:rsid w:val="1DBC2A5D"/>
    <w:rsid w:val="1DC05541"/>
    <w:rsid w:val="1DC13096"/>
    <w:rsid w:val="1DC65DCF"/>
    <w:rsid w:val="1DD508DE"/>
    <w:rsid w:val="1DD8524D"/>
    <w:rsid w:val="1DDE692B"/>
    <w:rsid w:val="1DE40E59"/>
    <w:rsid w:val="1DEF0B38"/>
    <w:rsid w:val="1DF51CE6"/>
    <w:rsid w:val="1E073CDF"/>
    <w:rsid w:val="1E0818E8"/>
    <w:rsid w:val="1E091F5C"/>
    <w:rsid w:val="1E1B44E3"/>
    <w:rsid w:val="1E1C10AC"/>
    <w:rsid w:val="1E273037"/>
    <w:rsid w:val="1E2A5821"/>
    <w:rsid w:val="1E2C418F"/>
    <w:rsid w:val="1E337F0B"/>
    <w:rsid w:val="1E3C6314"/>
    <w:rsid w:val="1E3E658B"/>
    <w:rsid w:val="1E485766"/>
    <w:rsid w:val="1E4D5B69"/>
    <w:rsid w:val="1E5007D0"/>
    <w:rsid w:val="1E5B2F38"/>
    <w:rsid w:val="1E605592"/>
    <w:rsid w:val="1E637F6C"/>
    <w:rsid w:val="1E685A19"/>
    <w:rsid w:val="1E6908EA"/>
    <w:rsid w:val="1E6E7EBE"/>
    <w:rsid w:val="1E72251E"/>
    <w:rsid w:val="1E7763D8"/>
    <w:rsid w:val="1E783F01"/>
    <w:rsid w:val="1E7A6829"/>
    <w:rsid w:val="1E7B5BAA"/>
    <w:rsid w:val="1E823321"/>
    <w:rsid w:val="1E861706"/>
    <w:rsid w:val="1E866B41"/>
    <w:rsid w:val="1E881F2B"/>
    <w:rsid w:val="1E8B796B"/>
    <w:rsid w:val="1E8F02F7"/>
    <w:rsid w:val="1E912B3E"/>
    <w:rsid w:val="1E9534A1"/>
    <w:rsid w:val="1E965458"/>
    <w:rsid w:val="1EA90CE7"/>
    <w:rsid w:val="1EB46588"/>
    <w:rsid w:val="1EB505DD"/>
    <w:rsid w:val="1EB76B62"/>
    <w:rsid w:val="1EB8717C"/>
    <w:rsid w:val="1EBB0A1A"/>
    <w:rsid w:val="1EC03675"/>
    <w:rsid w:val="1EC42A15"/>
    <w:rsid w:val="1EC43D73"/>
    <w:rsid w:val="1ECD748C"/>
    <w:rsid w:val="1ECE747C"/>
    <w:rsid w:val="1ECF44C6"/>
    <w:rsid w:val="1EDA7854"/>
    <w:rsid w:val="1EDD3AC9"/>
    <w:rsid w:val="1EEF3CF3"/>
    <w:rsid w:val="1EF20721"/>
    <w:rsid w:val="1EFD0E7E"/>
    <w:rsid w:val="1EFD5194"/>
    <w:rsid w:val="1EFF2FFD"/>
    <w:rsid w:val="1F065E78"/>
    <w:rsid w:val="1F0F44F2"/>
    <w:rsid w:val="1F114ADE"/>
    <w:rsid w:val="1F1F1E04"/>
    <w:rsid w:val="1F286F6B"/>
    <w:rsid w:val="1F29688E"/>
    <w:rsid w:val="1F3642C6"/>
    <w:rsid w:val="1F372256"/>
    <w:rsid w:val="1F3F3C8D"/>
    <w:rsid w:val="1F422E4D"/>
    <w:rsid w:val="1F483B73"/>
    <w:rsid w:val="1F515899"/>
    <w:rsid w:val="1F5170A5"/>
    <w:rsid w:val="1F547C90"/>
    <w:rsid w:val="1F5B002F"/>
    <w:rsid w:val="1F5E1C96"/>
    <w:rsid w:val="1F5E3223"/>
    <w:rsid w:val="1F623734"/>
    <w:rsid w:val="1F653440"/>
    <w:rsid w:val="1F69603C"/>
    <w:rsid w:val="1F703B65"/>
    <w:rsid w:val="1F777037"/>
    <w:rsid w:val="1F7D54CB"/>
    <w:rsid w:val="1F904779"/>
    <w:rsid w:val="1F9E585C"/>
    <w:rsid w:val="1FAC3E99"/>
    <w:rsid w:val="1FB27CA2"/>
    <w:rsid w:val="1FC66A67"/>
    <w:rsid w:val="1FD42EAA"/>
    <w:rsid w:val="1FE04BDC"/>
    <w:rsid w:val="1FE2376E"/>
    <w:rsid w:val="1FE3647B"/>
    <w:rsid w:val="1FE36579"/>
    <w:rsid w:val="1FE50445"/>
    <w:rsid w:val="1FE609D0"/>
    <w:rsid w:val="1FF00888"/>
    <w:rsid w:val="1FF73CD4"/>
    <w:rsid w:val="1FFB7BCF"/>
    <w:rsid w:val="1FFD5D05"/>
    <w:rsid w:val="1FFF6B11"/>
    <w:rsid w:val="2001472C"/>
    <w:rsid w:val="200F5330"/>
    <w:rsid w:val="20104D96"/>
    <w:rsid w:val="201151DD"/>
    <w:rsid w:val="20216FF7"/>
    <w:rsid w:val="202B1BD0"/>
    <w:rsid w:val="202D76F6"/>
    <w:rsid w:val="2033193C"/>
    <w:rsid w:val="20366AE2"/>
    <w:rsid w:val="2041079C"/>
    <w:rsid w:val="20430F4D"/>
    <w:rsid w:val="20434E3D"/>
    <w:rsid w:val="20491554"/>
    <w:rsid w:val="205E01F7"/>
    <w:rsid w:val="20616F31"/>
    <w:rsid w:val="2064374E"/>
    <w:rsid w:val="206D12E3"/>
    <w:rsid w:val="206E623B"/>
    <w:rsid w:val="207E43F5"/>
    <w:rsid w:val="208117EE"/>
    <w:rsid w:val="208239E9"/>
    <w:rsid w:val="20901CE0"/>
    <w:rsid w:val="20914128"/>
    <w:rsid w:val="20A1584D"/>
    <w:rsid w:val="20AB1E65"/>
    <w:rsid w:val="20B2171A"/>
    <w:rsid w:val="20B71101"/>
    <w:rsid w:val="20BB06DC"/>
    <w:rsid w:val="20BC20FD"/>
    <w:rsid w:val="20C551C2"/>
    <w:rsid w:val="20CA68E2"/>
    <w:rsid w:val="20CB34B0"/>
    <w:rsid w:val="20CE28BE"/>
    <w:rsid w:val="20D109C9"/>
    <w:rsid w:val="20D3029D"/>
    <w:rsid w:val="20D41538"/>
    <w:rsid w:val="20D44015"/>
    <w:rsid w:val="20DE0B62"/>
    <w:rsid w:val="20EA2944"/>
    <w:rsid w:val="20F052F3"/>
    <w:rsid w:val="20F163F0"/>
    <w:rsid w:val="20F55CD9"/>
    <w:rsid w:val="20FB19F7"/>
    <w:rsid w:val="21006E58"/>
    <w:rsid w:val="210278B2"/>
    <w:rsid w:val="210520D8"/>
    <w:rsid w:val="210677A8"/>
    <w:rsid w:val="210F3251"/>
    <w:rsid w:val="211D776A"/>
    <w:rsid w:val="212125AD"/>
    <w:rsid w:val="212154AC"/>
    <w:rsid w:val="21313216"/>
    <w:rsid w:val="21371D65"/>
    <w:rsid w:val="21504169"/>
    <w:rsid w:val="21507B40"/>
    <w:rsid w:val="21567B5E"/>
    <w:rsid w:val="21621621"/>
    <w:rsid w:val="21696158"/>
    <w:rsid w:val="216E66B4"/>
    <w:rsid w:val="21753C60"/>
    <w:rsid w:val="217557F8"/>
    <w:rsid w:val="217575A6"/>
    <w:rsid w:val="21771570"/>
    <w:rsid w:val="217741E0"/>
    <w:rsid w:val="217759EE"/>
    <w:rsid w:val="217C039D"/>
    <w:rsid w:val="217C1966"/>
    <w:rsid w:val="21815A5C"/>
    <w:rsid w:val="21875522"/>
    <w:rsid w:val="218A33B2"/>
    <w:rsid w:val="218C669E"/>
    <w:rsid w:val="21921F06"/>
    <w:rsid w:val="219263AA"/>
    <w:rsid w:val="21934580"/>
    <w:rsid w:val="219A3BE1"/>
    <w:rsid w:val="219D08AB"/>
    <w:rsid w:val="21A30A81"/>
    <w:rsid w:val="21AA74EF"/>
    <w:rsid w:val="21BA6164"/>
    <w:rsid w:val="21BC51D5"/>
    <w:rsid w:val="21C06526"/>
    <w:rsid w:val="21C32917"/>
    <w:rsid w:val="21C47815"/>
    <w:rsid w:val="21D03A8D"/>
    <w:rsid w:val="21D2321B"/>
    <w:rsid w:val="21D829FB"/>
    <w:rsid w:val="21DC7694"/>
    <w:rsid w:val="21EB65B0"/>
    <w:rsid w:val="21EF2637"/>
    <w:rsid w:val="21F901D7"/>
    <w:rsid w:val="220740D0"/>
    <w:rsid w:val="220B1DE3"/>
    <w:rsid w:val="22135854"/>
    <w:rsid w:val="221B150E"/>
    <w:rsid w:val="221E7BF7"/>
    <w:rsid w:val="221F133D"/>
    <w:rsid w:val="223918D0"/>
    <w:rsid w:val="223D6F96"/>
    <w:rsid w:val="223F763D"/>
    <w:rsid w:val="224407AF"/>
    <w:rsid w:val="224B50A7"/>
    <w:rsid w:val="224C6559"/>
    <w:rsid w:val="224C7F9D"/>
    <w:rsid w:val="225047E7"/>
    <w:rsid w:val="22685A1B"/>
    <w:rsid w:val="226F401D"/>
    <w:rsid w:val="227202EB"/>
    <w:rsid w:val="22732BCC"/>
    <w:rsid w:val="22765384"/>
    <w:rsid w:val="227D450F"/>
    <w:rsid w:val="22813D29"/>
    <w:rsid w:val="228640B3"/>
    <w:rsid w:val="228D4308"/>
    <w:rsid w:val="2294299F"/>
    <w:rsid w:val="22973FF4"/>
    <w:rsid w:val="229C2B38"/>
    <w:rsid w:val="22AC5FB0"/>
    <w:rsid w:val="22B13D33"/>
    <w:rsid w:val="22C91716"/>
    <w:rsid w:val="22D314B1"/>
    <w:rsid w:val="22D456B2"/>
    <w:rsid w:val="22D5001A"/>
    <w:rsid w:val="22DD3655"/>
    <w:rsid w:val="22E03145"/>
    <w:rsid w:val="22F62969"/>
    <w:rsid w:val="22FB00AF"/>
    <w:rsid w:val="2302130E"/>
    <w:rsid w:val="23031512"/>
    <w:rsid w:val="230474F0"/>
    <w:rsid w:val="2309684E"/>
    <w:rsid w:val="230C61CC"/>
    <w:rsid w:val="230F38AE"/>
    <w:rsid w:val="23110D9F"/>
    <w:rsid w:val="23131962"/>
    <w:rsid w:val="231A0A46"/>
    <w:rsid w:val="232079E6"/>
    <w:rsid w:val="232250BB"/>
    <w:rsid w:val="2322550C"/>
    <w:rsid w:val="23281B33"/>
    <w:rsid w:val="232958E5"/>
    <w:rsid w:val="232C1EE7"/>
    <w:rsid w:val="232D0D02"/>
    <w:rsid w:val="233200D8"/>
    <w:rsid w:val="233F269F"/>
    <w:rsid w:val="23415171"/>
    <w:rsid w:val="23472198"/>
    <w:rsid w:val="23496F3C"/>
    <w:rsid w:val="234A672B"/>
    <w:rsid w:val="234C07DB"/>
    <w:rsid w:val="234E01C8"/>
    <w:rsid w:val="23572F18"/>
    <w:rsid w:val="23604D89"/>
    <w:rsid w:val="236B6E6B"/>
    <w:rsid w:val="2377320B"/>
    <w:rsid w:val="23812AF5"/>
    <w:rsid w:val="238166D6"/>
    <w:rsid w:val="23860B84"/>
    <w:rsid w:val="238865DC"/>
    <w:rsid w:val="238E6172"/>
    <w:rsid w:val="2395307A"/>
    <w:rsid w:val="2398757C"/>
    <w:rsid w:val="239D57D0"/>
    <w:rsid w:val="239E2C2B"/>
    <w:rsid w:val="23A411CC"/>
    <w:rsid w:val="23B21385"/>
    <w:rsid w:val="23CD48A1"/>
    <w:rsid w:val="23CD4A35"/>
    <w:rsid w:val="23DF21DE"/>
    <w:rsid w:val="23DF6B20"/>
    <w:rsid w:val="23E40040"/>
    <w:rsid w:val="23EA2930"/>
    <w:rsid w:val="23ED3875"/>
    <w:rsid w:val="23EE0D5E"/>
    <w:rsid w:val="23F161F7"/>
    <w:rsid w:val="24082A8D"/>
    <w:rsid w:val="240977A7"/>
    <w:rsid w:val="240A6FB1"/>
    <w:rsid w:val="240C069F"/>
    <w:rsid w:val="24103601"/>
    <w:rsid w:val="241348F9"/>
    <w:rsid w:val="2419191B"/>
    <w:rsid w:val="241A5C0D"/>
    <w:rsid w:val="24221432"/>
    <w:rsid w:val="242B781B"/>
    <w:rsid w:val="242D23BA"/>
    <w:rsid w:val="243C2453"/>
    <w:rsid w:val="244167EB"/>
    <w:rsid w:val="24422E9E"/>
    <w:rsid w:val="24423B22"/>
    <w:rsid w:val="244A5777"/>
    <w:rsid w:val="244C2837"/>
    <w:rsid w:val="244F4611"/>
    <w:rsid w:val="245142FB"/>
    <w:rsid w:val="24547548"/>
    <w:rsid w:val="245A6AF4"/>
    <w:rsid w:val="24682FF3"/>
    <w:rsid w:val="246C3202"/>
    <w:rsid w:val="246F14E9"/>
    <w:rsid w:val="24720E5F"/>
    <w:rsid w:val="247753E3"/>
    <w:rsid w:val="24837121"/>
    <w:rsid w:val="249352A7"/>
    <w:rsid w:val="24976A43"/>
    <w:rsid w:val="24A079C9"/>
    <w:rsid w:val="24B00147"/>
    <w:rsid w:val="24B37C49"/>
    <w:rsid w:val="24B81988"/>
    <w:rsid w:val="24BE0146"/>
    <w:rsid w:val="24C114D3"/>
    <w:rsid w:val="24C64DCF"/>
    <w:rsid w:val="24CF4151"/>
    <w:rsid w:val="24CF521F"/>
    <w:rsid w:val="24DE36B4"/>
    <w:rsid w:val="24E212BA"/>
    <w:rsid w:val="24ED56A6"/>
    <w:rsid w:val="24FA4E6F"/>
    <w:rsid w:val="24FB7DC2"/>
    <w:rsid w:val="24FC0490"/>
    <w:rsid w:val="250321B4"/>
    <w:rsid w:val="250B072C"/>
    <w:rsid w:val="2517003B"/>
    <w:rsid w:val="2518224A"/>
    <w:rsid w:val="251849D8"/>
    <w:rsid w:val="25253091"/>
    <w:rsid w:val="2525782B"/>
    <w:rsid w:val="252E63EA"/>
    <w:rsid w:val="252F2DA9"/>
    <w:rsid w:val="25320EFB"/>
    <w:rsid w:val="25441769"/>
    <w:rsid w:val="254E083A"/>
    <w:rsid w:val="255A453F"/>
    <w:rsid w:val="256742A6"/>
    <w:rsid w:val="256D560D"/>
    <w:rsid w:val="25715576"/>
    <w:rsid w:val="25746867"/>
    <w:rsid w:val="257F1E11"/>
    <w:rsid w:val="25911C34"/>
    <w:rsid w:val="25967D5E"/>
    <w:rsid w:val="25972C58"/>
    <w:rsid w:val="259A50C1"/>
    <w:rsid w:val="259A5145"/>
    <w:rsid w:val="259B6014"/>
    <w:rsid w:val="259D3570"/>
    <w:rsid w:val="259F406E"/>
    <w:rsid w:val="25A91791"/>
    <w:rsid w:val="25A93CC2"/>
    <w:rsid w:val="25AB614F"/>
    <w:rsid w:val="25AE752B"/>
    <w:rsid w:val="25B4220A"/>
    <w:rsid w:val="25C235BB"/>
    <w:rsid w:val="25C31185"/>
    <w:rsid w:val="25C64076"/>
    <w:rsid w:val="25CA1C1A"/>
    <w:rsid w:val="25CA70CD"/>
    <w:rsid w:val="25D25254"/>
    <w:rsid w:val="25DC43CD"/>
    <w:rsid w:val="25DE2164"/>
    <w:rsid w:val="25E5442C"/>
    <w:rsid w:val="25EE16DD"/>
    <w:rsid w:val="25F807A6"/>
    <w:rsid w:val="25F933E0"/>
    <w:rsid w:val="25F969F8"/>
    <w:rsid w:val="25FA2770"/>
    <w:rsid w:val="25FB65A9"/>
    <w:rsid w:val="26084E8D"/>
    <w:rsid w:val="261408A9"/>
    <w:rsid w:val="26143832"/>
    <w:rsid w:val="261B158B"/>
    <w:rsid w:val="261B69C4"/>
    <w:rsid w:val="26291378"/>
    <w:rsid w:val="262A3886"/>
    <w:rsid w:val="26306192"/>
    <w:rsid w:val="26321A4B"/>
    <w:rsid w:val="263E440B"/>
    <w:rsid w:val="263F32FB"/>
    <w:rsid w:val="26411577"/>
    <w:rsid w:val="26420DAD"/>
    <w:rsid w:val="264B4D7A"/>
    <w:rsid w:val="264E443C"/>
    <w:rsid w:val="2652353D"/>
    <w:rsid w:val="26527BAA"/>
    <w:rsid w:val="26574EF3"/>
    <w:rsid w:val="265D6F87"/>
    <w:rsid w:val="26647F85"/>
    <w:rsid w:val="266527F2"/>
    <w:rsid w:val="2666570F"/>
    <w:rsid w:val="26672348"/>
    <w:rsid w:val="266E21AF"/>
    <w:rsid w:val="26726DD9"/>
    <w:rsid w:val="267C13D7"/>
    <w:rsid w:val="268323AF"/>
    <w:rsid w:val="26857E9D"/>
    <w:rsid w:val="268638BC"/>
    <w:rsid w:val="26867B60"/>
    <w:rsid w:val="26892384"/>
    <w:rsid w:val="269C03DE"/>
    <w:rsid w:val="26A57368"/>
    <w:rsid w:val="26AC744B"/>
    <w:rsid w:val="26AF70B6"/>
    <w:rsid w:val="26AF7A3F"/>
    <w:rsid w:val="26B05123"/>
    <w:rsid w:val="26B66697"/>
    <w:rsid w:val="26BA0FA3"/>
    <w:rsid w:val="26BE1A01"/>
    <w:rsid w:val="26C54B2C"/>
    <w:rsid w:val="26CA568A"/>
    <w:rsid w:val="26D41066"/>
    <w:rsid w:val="26E3757D"/>
    <w:rsid w:val="26E466B6"/>
    <w:rsid w:val="26ED5E31"/>
    <w:rsid w:val="26F1465A"/>
    <w:rsid w:val="26F7687A"/>
    <w:rsid w:val="26FB054E"/>
    <w:rsid w:val="2708328E"/>
    <w:rsid w:val="270C54C8"/>
    <w:rsid w:val="270C62B7"/>
    <w:rsid w:val="270E7E22"/>
    <w:rsid w:val="270F7B55"/>
    <w:rsid w:val="271218A5"/>
    <w:rsid w:val="27183461"/>
    <w:rsid w:val="271C5FE7"/>
    <w:rsid w:val="272A2BE1"/>
    <w:rsid w:val="272F462C"/>
    <w:rsid w:val="27321C81"/>
    <w:rsid w:val="274676FC"/>
    <w:rsid w:val="27482393"/>
    <w:rsid w:val="274C2B57"/>
    <w:rsid w:val="274D3F4B"/>
    <w:rsid w:val="274E4B21"/>
    <w:rsid w:val="27557062"/>
    <w:rsid w:val="275E3EE6"/>
    <w:rsid w:val="276F6D50"/>
    <w:rsid w:val="27737B0D"/>
    <w:rsid w:val="27750300"/>
    <w:rsid w:val="27787851"/>
    <w:rsid w:val="277D058A"/>
    <w:rsid w:val="2780134E"/>
    <w:rsid w:val="278D53D5"/>
    <w:rsid w:val="278F55B8"/>
    <w:rsid w:val="279B63D3"/>
    <w:rsid w:val="279D1605"/>
    <w:rsid w:val="27A00268"/>
    <w:rsid w:val="27B55D64"/>
    <w:rsid w:val="27B97289"/>
    <w:rsid w:val="27BA3F65"/>
    <w:rsid w:val="27BB3024"/>
    <w:rsid w:val="27BF58C1"/>
    <w:rsid w:val="27C14FCB"/>
    <w:rsid w:val="27C25D8D"/>
    <w:rsid w:val="27D112AE"/>
    <w:rsid w:val="27D63A34"/>
    <w:rsid w:val="27D765EE"/>
    <w:rsid w:val="27D80286"/>
    <w:rsid w:val="27D85085"/>
    <w:rsid w:val="27DF7056"/>
    <w:rsid w:val="27EE59A0"/>
    <w:rsid w:val="27F8683B"/>
    <w:rsid w:val="27F97B65"/>
    <w:rsid w:val="28036668"/>
    <w:rsid w:val="28087B4D"/>
    <w:rsid w:val="28126D74"/>
    <w:rsid w:val="2814347E"/>
    <w:rsid w:val="28180C8B"/>
    <w:rsid w:val="281875F6"/>
    <w:rsid w:val="282C4737"/>
    <w:rsid w:val="282D666B"/>
    <w:rsid w:val="282F460A"/>
    <w:rsid w:val="2835180E"/>
    <w:rsid w:val="283B6B64"/>
    <w:rsid w:val="283D06F2"/>
    <w:rsid w:val="284267FC"/>
    <w:rsid w:val="28436F06"/>
    <w:rsid w:val="28475927"/>
    <w:rsid w:val="284952E9"/>
    <w:rsid w:val="284A2313"/>
    <w:rsid w:val="284B369B"/>
    <w:rsid w:val="284C045D"/>
    <w:rsid w:val="285205FC"/>
    <w:rsid w:val="28550C54"/>
    <w:rsid w:val="285E0D94"/>
    <w:rsid w:val="286363AA"/>
    <w:rsid w:val="286F2FA1"/>
    <w:rsid w:val="2879222A"/>
    <w:rsid w:val="287D72B0"/>
    <w:rsid w:val="288732CD"/>
    <w:rsid w:val="289607B9"/>
    <w:rsid w:val="2898451F"/>
    <w:rsid w:val="28A20AE7"/>
    <w:rsid w:val="28A55BD1"/>
    <w:rsid w:val="28BA0084"/>
    <w:rsid w:val="28C57065"/>
    <w:rsid w:val="28C655E7"/>
    <w:rsid w:val="28C93FA2"/>
    <w:rsid w:val="28CB3E86"/>
    <w:rsid w:val="28CF3A40"/>
    <w:rsid w:val="28D61026"/>
    <w:rsid w:val="28DC43AF"/>
    <w:rsid w:val="28DD30B8"/>
    <w:rsid w:val="28E2004C"/>
    <w:rsid w:val="28E8271A"/>
    <w:rsid w:val="28EA3149"/>
    <w:rsid w:val="28F66390"/>
    <w:rsid w:val="28F95BE3"/>
    <w:rsid w:val="2900131D"/>
    <w:rsid w:val="2903131F"/>
    <w:rsid w:val="29132F32"/>
    <w:rsid w:val="291A0F38"/>
    <w:rsid w:val="291B61D3"/>
    <w:rsid w:val="292B15A1"/>
    <w:rsid w:val="292C4647"/>
    <w:rsid w:val="293F71A5"/>
    <w:rsid w:val="2940430A"/>
    <w:rsid w:val="29406D7C"/>
    <w:rsid w:val="29487555"/>
    <w:rsid w:val="294E5E3F"/>
    <w:rsid w:val="2951217D"/>
    <w:rsid w:val="2952050E"/>
    <w:rsid w:val="29524D88"/>
    <w:rsid w:val="295A3417"/>
    <w:rsid w:val="29636A75"/>
    <w:rsid w:val="29660F9C"/>
    <w:rsid w:val="297A7E50"/>
    <w:rsid w:val="298559B6"/>
    <w:rsid w:val="298800E8"/>
    <w:rsid w:val="298944CE"/>
    <w:rsid w:val="298A4BC1"/>
    <w:rsid w:val="298A6197"/>
    <w:rsid w:val="299F045D"/>
    <w:rsid w:val="299F78B6"/>
    <w:rsid w:val="29A053DC"/>
    <w:rsid w:val="29A26BB0"/>
    <w:rsid w:val="29A6675E"/>
    <w:rsid w:val="29AE0ECF"/>
    <w:rsid w:val="29C56BA5"/>
    <w:rsid w:val="29D07A70"/>
    <w:rsid w:val="29D137E8"/>
    <w:rsid w:val="29D3130E"/>
    <w:rsid w:val="29D6426A"/>
    <w:rsid w:val="29D90C54"/>
    <w:rsid w:val="29EA557E"/>
    <w:rsid w:val="29F14236"/>
    <w:rsid w:val="29F80697"/>
    <w:rsid w:val="29FE40F0"/>
    <w:rsid w:val="29FF3E88"/>
    <w:rsid w:val="2A0D2E6D"/>
    <w:rsid w:val="2A0E3239"/>
    <w:rsid w:val="2A0E3ED1"/>
    <w:rsid w:val="2A122468"/>
    <w:rsid w:val="2A26533F"/>
    <w:rsid w:val="2A297180"/>
    <w:rsid w:val="2A2E45FD"/>
    <w:rsid w:val="2A300308"/>
    <w:rsid w:val="2A4B17EC"/>
    <w:rsid w:val="2A554D90"/>
    <w:rsid w:val="2A5A53BA"/>
    <w:rsid w:val="2A5C5B59"/>
    <w:rsid w:val="2A5D1C7C"/>
    <w:rsid w:val="2A612DBE"/>
    <w:rsid w:val="2A625AC4"/>
    <w:rsid w:val="2A635FC4"/>
    <w:rsid w:val="2A662182"/>
    <w:rsid w:val="2A693E3C"/>
    <w:rsid w:val="2A6E1037"/>
    <w:rsid w:val="2A823ABD"/>
    <w:rsid w:val="2A834A21"/>
    <w:rsid w:val="2A846AAC"/>
    <w:rsid w:val="2A8572EE"/>
    <w:rsid w:val="2A8645D2"/>
    <w:rsid w:val="2A971F59"/>
    <w:rsid w:val="2A984CD6"/>
    <w:rsid w:val="2AA05BAA"/>
    <w:rsid w:val="2AA61175"/>
    <w:rsid w:val="2AA669D3"/>
    <w:rsid w:val="2AAA2BF7"/>
    <w:rsid w:val="2AAA65D4"/>
    <w:rsid w:val="2AAF1F86"/>
    <w:rsid w:val="2AB54EB7"/>
    <w:rsid w:val="2AB729DE"/>
    <w:rsid w:val="2AC05D36"/>
    <w:rsid w:val="2ACE78A7"/>
    <w:rsid w:val="2ACF361D"/>
    <w:rsid w:val="2ADC3C95"/>
    <w:rsid w:val="2AE0289C"/>
    <w:rsid w:val="2AE17A5A"/>
    <w:rsid w:val="2AE269CD"/>
    <w:rsid w:val="2AE4280E"/>
    <w:rsid w:val="2AE44A8F"/>
    <w:rsid w:val="2AE57210"/>
    <w:rsid w:val="2AEB08D9"/>
    <w:rsid w:val="2AEC4CE2"/>
    <w:rsid w:val="2AF068A5"/>
    <w:rsid w:val="2AF46E96"/>
    <w:rsid w:val="2AFC4799"/>
    <w:rsid w:val="2B0A1BCE"/>
    <w:rsid w:val="2B0E33CC"/>
    <w:rsid w:val="2B0E388C"/>
    <w:rsid w:val="2B116221"/>
    <w:rsid w:val="2B1F38F5"/>
    <w:rsid w:val="2B2362C5"/>
    <w:rsid w:val="2B255B99"/>
    <w:rsid w:val="2B2A1157"/>
    <w:rsid w:val="2B346ECE"/>
    <w:rsid w:val="2B3B04A5"/>
    <w:rsid w:val="2B3B7B09"/>
    <w:rsid w:val="2B52590E"/>
    <w:rsid w:val="2B5344EE"/>
    <w:rsid w:val="2B5F2C64"/>
    <w:rsid w:val="2B6568DD"/>
    <w:rsid w:val="2B672E15"/>
    <w:rsid w:val="2B683CD8"/>
    <w:rsid w:val="2B6D12EE"/>
    <w:rsid w:val="2B75456B"/>
    <w:rsid w:val="2B7D0F5F"/>
    <w:rsid w:val="2B881414"/>
    <w:rsid w:val="2B944A28"/>
    <w:rsid w:val="2B9F184C"/>
    <w:rsid w:val="2BA2543C"/>
    <w:rsid w:val="2BA32F62"/>
    <w:rsid w:val="2BA76ADF"/>
    <w:rsid w:val="2BAB27E5"/>
    <w:rsid w:val="2BB539CA"/>
    <w:rsid w:val="2BB70C5C"/>
    <w:rsid w:val="2BC3596A"/>
    <w:rsid w:val="2BC52ED8"/>
    <w:rsid w:val="2BC730F4"/>
    <w:rsid w:val="2BCB08F7"/>
    <w:rsid w:val="2BCE6231"/>
    <w:rsid w:val="2BDD6A68"/>
    <w:rsid w:val="2BE21CDC"/>
    <w:rsid w:val="2BE710A1"/>
    <w:rsid w:val="2BE821EB"/>
    <w:rsid w:val="2BEB7278"/>
    <w:rsid w:val="2BED6535"/>
    <w:rsid w:val="2BEF43C1"/>
    <w:rsid w:val="2BF51A0F"/>
    <w:rsid w:val="2BF717A7"/>
    <w:rsid w:val="2C16157A"/>
    <w:rsid w:val="2C161986"/>
    <w:rsid w:val="2C246A6A"/>
    <w:rsid w:val="2C274113"/>
    <w:rsid w:val="2C27550D"/>
    <w:rsid w:val="2C2876FD"/>
    <w:rsid w:val="2C2E4B49"/>
    <w:rsid w:val="2C342D2E"/>
    <w:rsid w:val="2C364617"/>
    <w:rsid w:val="2C385DA0"/>
    <w:rsid w:val="2C3A3A94"/>
    <w:rsid w:val="2C3A5002"/>
    <w:rsid w:val="2C412EA7"/>
    <w:rsid w:val="2C536736"/>
    <w:rsid w:val="2C545F32"/>
    <w:rsid w:val="2C5B55EB"/>
    <w:rsid w:val="2C5D58CD"/>
    <w:rsid w:val="2C5D67EF"/>
    <w:rsid w:val="2C68537B"/>
    <w:rsid w:val="2C6C1C73"/>
    <w:rsid w:val="2C6D062B"/>
    <w:rsid w:val="2C702FF6"/>
    <w:rsid w:val="2C7124AA"/>
    <w:rsid w:val="2C7A0167"/>
    <w:rsid w:val="2C7E7F86"/>
    <w:rsid w:val="2C8132E4"/>
    <w:rsid w:val="2C8147A5"/>
    <w:rsid w:val="2C891ED6"/>
    <w:rsid w:val="2C8A0563"/>
    <w:rsid w:val="2C8A6AA3"/>
    <w:rsid w:val="2C96021D"/>
    <w:rsid w:val="2C96472C"/>
    <w:rsid w:val="2C9F4404"/>
    <w:rsid w:val="2CA07D70"/>
    <w:rsid w:val="2CAD3CD9"/>
    <w:rsid w:val="2CB23E10"/>
    <w:rsid w:val="2CB73169"/>
    <w:rsid w:val="2CBC4D56"/>
    <w:rsid w:val="2CC139DC"/>
    <w:rsid w:val="2CC444C4"/>
    <w:rsid w:val="2CC80D5E"/>
    <w:rsid w:val="2CCD4E38"/>
    <w:rsid w:val="2CD20100"/>
    <w:rsid w:val="2CD800EF"/>
    <w:rsid w:val="2CE111A5"/>
    <w:rsid w:val="2CE57E3C"/>
    <w:rsid w:val="2D03163E"/>
    <w:rsid w:val="2D0744F2"/>
    <w:rsid w:val="2D08645E"/>
    <w:rsid w:val="2D094525"/>
    <w:rsid w:val="2D1A7254"/>
    <w:rsid w:val="2D1B54A6"/>
    <w:rsid w:val="2D20612D"/>
    <w:rsid w:val="2D214369"/>
    <w:rsid w:val="2D244788"/>
    <w:rsid w:val="2D26271D"/>
    <w:rsid w:val="2D2745E5"/>
    <w:rsid w:val="2D314CC9"/>
    <w:rsid w:val="2D32105F"/>
    <w:rsid w:val="2D385844"/>
    <w:rsid w:val="2D3C3092"/>
    <w:rsid w:val="2D415E79"/>
    <w:rsid w:val="2D4C45BC"/>
    <w:rsid w:val="2D5122E1"/>
    <w:rsid w:val="2D5173EA"/>
    <w:rsid w:val="2D554990"/>
    <w:rsid w:val="2D564730"/>
    <w:rsid w:val="2D5F5C09"/>
    <w:rsid w:val="2D7352E2"/>
    <w:rsid w:val="2D777553"/>
    <w:rsid w:val="2D855055"/>
    <w:rsid w:val="2D8F379E"/>
    <w:rsid w:val="2D9146DD"/>
    <w:rsid w:val="2D9B394F"/>
    <w:rsid w:val="2DA532B1"/>
    <w:rsid w:val="2DAF3E40"/>
    <w:rsid w:val="2DBA2E4F"/>
    <w:rsid w:val="2DC5497D"/>
    <w:rsid w:val="2DCB7A40"/>
    <w:rsid w:val="2DD500BA"/>
    <w:rsid w:val="2DDB4C35"/>
    <w:rsid w:val="2DDB5965"/>
    <w:rsid w:val="2DDC50D9"/>
    <w:rsid w:val="2DE03AF7"/>
    <w:rsid w:val="2DE21BA9"/>
    <w:rsid w:val="2DE3463B"/>
    <w:rsid w:val="2DF31F7F"/>
    <w:rsid w:val="2DF92249"/>
    <w:rsid w:val="2DFA5680"/>
    <w:rsid w:val="2DFB52D7"/>
    <w:rsid w:val="2DFF3C45"/>
    <w:rsid w:val="2E0010B6"/>
    <w:rsid w:val="2E044C53"/>
    <w:rsid w:val="2E0678E7"/>
    <w:rsid w:val="2E0777D8"/>
    <w:rsid w:val="2E112510"/>
    <w:rsid w:val="2E1C715F"/>
    <w:rsid w:val="2E1F0FC6"/>
    <w:rsid w:val="2E236A75"/>
    <w:rsid w:val="2E2414DA"/>
    <w:rsid w:val="2E262354"/>
    <w:rsid w:val="2E2F286D"/>
    <w:rsid w:val="2E3A7BAD"/>
    <w:rsid w:val="2E474078"/>
    <w:rsid w:val="2E50411F"/>
    <w:rsid w:val="2E562C1F"/>
    <w:rsid w:val="2E5B73B8"/>
    <w:rsid w:val="2E5E49A4"/>
    <w:rsid w:val="2E5F35C3"/>
    <w:rsid w:val="2E63187F"/>
    <w:rsid w:val="2E66279C"/>
    <w:rsid w:val="2E6C5D04"/>
    <w:rsid w:val="2E713A3C"/>
    <w:rsid w:val="2E741C21"/>
    <w:rsid w:val="2E772D66"/>
    <w:rsid w:val="2E7A444E"/>
    <w:rsid w:val="2E7D08E1"/>
    <w:rsid w:val="2E7D4AE6"/>
    <w:rsid w:val="2E7D7B3A"/>
    <w:rsid w:val="2E8651BE"/>
    <w:rsid w:val="2E867547"/>
    <w:rsid w:val="2E8941FF"/>
    <w:rsid w:val="2E8B5FE8"/>
    <w:rsid w:val="2E951288"/>
    <w:rsid w:val="2EA21147"/>
    <w:rsid w:val="2EAC2993"/>
    <w:rsid w:val="2EAC496F"/>
    <w:rsid w:val="2EAD4823"/>
    <w:rsid w:val="2EB07E70"/>
    <w:rsid w:val="2EB21E3A"/>
    <w:rsid w:val="2EBE493E"/>
    <w:rsid w:val="2EC21805"/>
    <w:rsid w:val="2EC60DB5"/>
    <w:rsid w:val="2EC659BD"/>
    <w:rsid w:val="2ECD6C74"/>
    <w:rsid w:val="2ECE3E7F"/>
    <w:rsid w:val="2ED00512"/>
    <w:rsid w:val="2ED7244C"/>
    <w:rsid w:val="2EDA6C9B"/>
    <w:rsid w:val="2EDB13D2"/>
    <w:rsid w:val="2EE11CCC"/>
    <w:rsid w:val="2EE6563F"/>
    <w:rsid w:val="2EF064BE"/>
    <w:rsid w:val="2EF1683A"/>
    <w:rsid w:val="2EFA3102"/>
    <w:rsid w:val="2EFD7E61"/>
    <w:rsid w:val="2F023AFB"/>
    <w:rsid w:val="2F03519A"/>
    <w:rsid w:val="2F0D3EBB"/>
    <w:rsid w:val="2F1D516B"/>
    <w:rsid w:val="2F1D5370"/>
    <w:rsid w:val="2F1D6D82"/>
    <w:rsid w:val="2F2969EB"/>
    <w:rsid w:val="2F2C13A9"/>
    <w:rsid w:val="2F2E67F0"/>
    <w:rsid w:val="2F34284F"/>
    <w:rsid w:val="2F3445FD"/>
    <w:rsid w:val="2F3C5BA7"/>
    <w:rsid w:val="2F464E32"/>
    <w:rsid w:val="2F486DA5"/>
    <w:rsid w:val="2F4D56BE"/>
    <w:rsid w:val="2F4F58DB"/>
    <w:rsid w:val="2F561217"/>
    <w:rsid w:val="2F5613CC"/>
    <w:rsid w:val="2F5B44D5"/>
    <w:rsid w:val="2F5C4797"/>
    <w:rsid w:val="2F5C5E02"/>
    <w:rsid w:val="2F64034F"/>
    <w:rsid w:val="2F64085B"/>
    <w:rsid w:val="2F68699C"/>
    <w:rsid w:val="2F733BB3"/>
    <w:rsid w:val="2F742F34"/>
    <w:rsid w:val="2F7443ED"/>
    <w:rsid w:val="2F77098D"/>
    <w:rsid w:val="2F846B37"/>
    <w:rsid w:val="2F882B9B"/>
    <w:rsid w:val="2F887C19"/>
    <w:rsid w:val="2FA375E7"/>
    <w:rsid w:val="2FD72778"/>
    <w:rsid w:val="2FD730FB"/>
    <w:rsid w:val="2FE204FD"/>
    <w:rsid w:val="2FE92AEC"/>
    <w:rsid w:val="2FF260D3"/>
    <w:rsid w:val="2FF53F42"/>
    <w:rsid w:val="2FF97588"/>
    <w:rsid w:val="3008444D"/>
    <w:rsid w:val="30094A3C"/>
    <w:rsid w:val="300C25F7"/>
    <w:rsid w:val="300C526E"/>
    <w:rsid w:val="300D4E4E"/>
    <w:rsid w:val="300E30A0"/>
    <w:rsid w:val="30160E24"/>
    <w:rsid w:val="30360848"/>
    <w:rsid w:val="30384B38"/>
    <w:rsid w:val="303B19BB"/>
    <w:rsid w:val="30407391"/>
    <w:rsid w:val="30414686"/>
    <w:rsid w:val="30471C10"/>
    <w:rsid w:val="304D6CD4"/>
    <w:rsid w:val="3050276F"/>
    <w:rsid w:val="30513C37"/>
    <w:rsid w:val="30600ECD"/>
    <w:rsid w:val="30621F18"/>
    <w:rsid w:val="30624C2D"/>
    <w:rsid w:val="30626042"/>
    <w:rsid w:val="30651B57"/>
    <w:rsid w:val="30711183"/>
    <w:rsid w:val="307828BA"/>
    <w:rsid w:val="307F0B1B"/>
    <w:rsid w:val="308426EE"/>
    <w:rsid w:val="308642C9"/>
    <w:rsid w:val="308B4938"/>
    <w:rsid w:val="308C4C3B"/>
    <w:rsid w:val="308F1579"/>
    <w:rsid w:val="309074A0"/>
    <w:rsid w:val="30911CE4"/>
    <w:rsid w:val="30942609"/>
    <w:rsid w:val="309E79E4"/>
    <w:rsid w:val="30A2779B"/>
    <w:rsid w:val="30A52A3D"/>
    <w:rsid w:val="30A560DE"/>
    <w:rsid w:val="30A70A0C"/>
    <w:rsid w:val="30AA5765"/>
    <w:rsid w:val="30AB2186"/>
    <w:rsid w:val="30AE22AE"/>
    <w:rsid w:val="30AF3F28"/>
    <w:rsid w:val="30B478D1"/>
    <w:rsid w:val="30B75287"/>
    <w:rsid w:val="30BD4E03"/>
    <w:rsid w:val="30C145B6"/>
    <w:rsid w:val="30CB3765"/>
    <w:rsid w:val="30CE51FE"/>
    <w:rsid w:val="30D140CD"/>
    <w:rsid w:val="30DA3543"/>
    <w:rsid w:val="30DC12D6"/>
    <w:rsid w:val="30DF5C96"/>
    <w:rsid w:val="30E66EC3"/>
    <w:rsid w:val="30E87D95"/>
    <w:rsid w:val="30EB7897"/>
    <w:rsid w:val="30ED3FD2"/>
    <w:rsid w:val="30F5259F"/>
    <w:rsid w:val="30FC4936"/>
    <w:rsid w:val="3106646D"/>
    <w:rsid w:val="310D4CA4"/>
    <w:rsid w:val="311C21C8"/>
    <w:rsid w:val="31216E03"/>
    <w:rsid w:val="31227672"/>
    <w:rsid w:val="312468F3"/>
    <w:rsid w:val="31271F3F"/>
    <w:rsid w:val="31285357"/>
    <w:rsid w:val="3129682B"/>
    <w:rsid w:val="312D7D59"/>
    <w:rsid w:val="312E6FC3"/>
    <w:rsid w:val="31460CE6"/>
    <w:rsid w:val="314671FB"/>
    <w:rsid w:val="31584675"/>
    <w:rsid w:val="315A2315"/>
    <w:rsid w:val="315A3BE0"/>
    <w:rsid w:val="315C7E3B"/>
    <w:rsid w:val="31645291"/>
    <w:rsid w:val="31660CB9"/>
    <w:rsid w:val="31785513"/>
    <w:rsid w:val="317E5271"/>
    <w:rsid w:val="31815AF3"/>
    <w:rsid w:val="31927C72"/>
    <w:rsid w:val="319E2BC9"/>
    <w:rsid w:val="31A4102D"/>
    <w:rsid w:val="31AD0696"/>
    <w:rsid w:val="31AE13E3"/>
    <w:rsid w:val="31B4219B"/>
    <w:rsid w:val="31B639EF"/>
    <w:rsid w:val="31B70371"/>
    <w:rsid w:val="31BB1005"/>
    <w:rsid w:val="31BF4257"/>
    <w:rsid w:val="31C150D9"/>
    <w:rsid w:val="31C15242"/>
    <w:rsid w:val="31C82057"/>
    <w:rsid w:val="31CA56EC"/>
    <w:rsid w:val="31D125D7"/>
    <w:rsid w:val="31D541E5"/>
    <w:rsid w:val="31D91491"/>
    <w:rsid w:val="31E07CE0"/>
    <w:rsid w:val="31E71A14"/>
    <w:rsid w:val="31E762BB"/>
    <w:rsid w:val="31ED17D1"/>
    <w:rsid w:val="31EE5F02"/>
    <w:rsid w:val="31F13468"/>
    <w:rsid w:val="31FB0564"/>
    <w:rsid w:val="32024E86"/>
    <w:rsid w:val="321150C9"/>
    <w:rsid w:val="32115747"/>
    <w:rsid w:val="32136C77"/>
    <w:rsid w:val="3220279B"/>
    <w:rsid w:val="32204A65"/>
    <w:rsid w:val="32222E32"/>
    <w:rsid w:val="3238579A"/>
    <w:rsid w:val="323C4D69"/>
    <w:rsid w:val="324D47E7"/>
    <w:rsid w:val="324E1E79"/>
    <w:rsid w:val="32550EA6"/>
    <w:rsid w:val="32601BAD"/>
    <w:rsid w:val="327366AC"/>
    <w:rsid w:val="32764008"/>
    <w:rsid w:val="3276601D"/>
    <w:rsid w:val="327976BA"/>
    <w:rsid w:val="3282623D"/>
    <w:rsid w:val="328A0BB3"/>
    <w:rsid w:val="32953A5A"/>
    <w:rsid w:val="32995A63"/>
    <w:rsid w:val="32AA6065"/>
    <w:rsid w:val="32AC6BA0"/>
    <w:rsid w:val="32B263EA"/>
    <w:rsid w:val="32B40A15"/>
    <w:rsid w:val="32C2048C"/>
    <w:rsid w:val="32C31554"/>
    <w:rsid w:val="32C572A5"/>
    <w:rsid w:val="32C70B97"/>
    <w:rsid w:val="32D10519"/>
    <w:rsid w:val="32D70A63"/>
    <w:rsid w:val="32DF6F75"/>
    <w:rsid w:val="32E6466C"/>
    <w:rsid w:val="32F00E51"/>
    <w:rsid w:val="32F522F5"/>
    <w:rsid w:val="32F81DE5"/>
    <w:rsid w:val="33043C30"/>
    <w:rsid w:val="330D5C27"/>
    <w:rsid w:val="331615CD"/>
    <w:rsid w:val="331C5AD4"/>
    <w:rsid w:val="331D184C"/>
    <w:rsid w:val="33244988"/>
    <w:rsid w:val="3335434B"/>
    <w:rsid w:val="33380434"/>
    <w:rsid w:val="33391578"/>
    <w:rsid w:val="333E410C"/>
    <w:rsid w:val="33413E46"/>
    <w:rsid w:val="334214A6"/>
    <w:rsid w:val="33466FF4"/>
    <w:rsid w:val="3355548A"/>
    <w:rsid w:val="335600C6"/>
    <w:rsid w:val="336472E3"/>
    <w:rsid w:val="3364747B"/>
    <w:rsid w:val="337109D4"/>
    <w:rsid w:val="337376BE"/>
    <w:rsid w:val="337666C3"/>
    <w:rsid w:val="33830D6D"/>
    <w:rsid w:val="33873DC4"/>
    <w:rsid w:val="338B2C59"/>
    <w:rsid w:val="339D6490"/>
    <w:rsid w:val="33A1247D"/>
    <w:rsid w:val="33A172E0"/>
    <w:rsid w:val="33A74196"/>
    <w:rsid w:val="33A8380B"/>
    <w:rsid w:val="33B75806"/>
    <w:rsid w:val="33BC6999"/>
    <w:rsid w:val="33BE4DDD"/>
    <w:rsid w:val="33CC4425"/>
    <w:rsid w:val="33CD5020"/>
    <w:rsid w:val="33D95764"/>
    <w:rsid w:val="33DB773D"/>
    <w:rsid w:val="33DE4BF8"/>
    <w:rsid w:val="33E57AF0"/>
    <w:rsid w:val="33E800AC"/>
    <w:rsid w:val="33F051BF"/>
    <w:rsid w:val="33F16B82"/>
    <w:rsid w:val="33F610D0"/>
    <w:rsid w:val="33F7209D"/>
    <w:rsid w:val="33F8693E"/>
    <w:rsid w:val="33F94067"/>
    <w:rsid w:val="33FC296F"/>
    <w:rsid w:val="34062C62"/>
    <w:rsid w:val="34064F33"/>
    <w:rsid w:val="340A0B1C"/>
    <w:rsid w:val="340D7095"/>
    <w:rsid w:val="34143127"/>
    <w:rsid w:val="341B000C"/>
    <w:rsid w:val="34220CB6"/>
    <w:rsid w:val="3422174F"/>
    <w:rsid w:val="342938A0"/>
    <w:rsid w:val="34325D4C"/>
    <w:rsid w:val="34426DD3"/>
    <w:rsid w:val="34433534"/>
    <w:rsid w:val="344C6B16"/>
    <w:rsid w:val="344C7AC7"/>
    <w:rsid w:val="34526490"/>
    <w:rsid w:val="345614B9"/>
    <w:rsid w:val="34561A09"/>
    <w:rsid w:val="345662D0"/>
    <w:rsid w:val="345C347A"/>
    <w:rsid w:val="345F0C1D"/>
    <w:rsid w:val="346670F7"/>
    <w:rsid w:val="34673549"/>
    <w:rsid w:val="347656B7"/>
    <w:rsid w:val="347D1DDD"/>
    <w:rsid w:val="3483314F"/>
    <w:rsid w:val="34840B5F"/>
    <w:rsid w:val="34850D8A"/>
    <w:rsid w:val="34890847"/>
    <w:rsid w:val="3489220E"/>
    <w:rsid w:val="34911E0A"/>
    <w:rsid w:val="34A17DF2"/>
    <w:rsid w:val="34AE3594"/>
    <w:rsid w:val="34AE5713"/>
    <w:rsid w:val="34B164E5"/>
    <w:rsid w:val="34B910A0"/>
    <w:rsid w:val="34BD4515"/>
    <w:rsid w:val="34BD6E42"/>
    <w:rsid w:val="34BF484A"/>
    <w:rsid w:val="34CA5FD9"/>
    <w:rsid w:val="34D44B2E"/>
    <w:rsid w:val="34D94CCB"/>
    <w:rsid w:val="34DE7C8A"/>
    <w:rsid w:val="34E306A2"/>
    <w:rsid w:val="34E41842"/>
    <w:rsid w:val="34E750E6"/>
    <w:rsid w:val="34E829C9"/>
    <w:rsid w:val="34EE524E"/>
    <w:rsid w:val="34F03DC0"/>
    <w:rsid w:val="34F50AB5"/>
    <w:rsid w:val="35052EAD"/>
    <w:rsid w:val="350E65A8"/>
    <w:rsid w:val="35134CB4"/>
    <w:rsid w:val="351F0C68"/>
    <w:rsid w:val="35252F29"/>
    <w:rsid w:val="3528792F"/>
    <w:rsid w:val="35287B5E"/>
    <w:rsid w:val="352F271D"/>
    <w:rsid w:val="353043A7"/>
    <w:rsid w:val="35365552"/>
    <w:rsid w:val="353773A2"/>
    <w:rsid w:val="353D22BD"/>
    <w:rsid w:val="353D7F83"/>
    <w:rsid w:val="35446E64"/>
    <w:rsid w:val="3546683D"/>
    <w:rsid w:val="354E527D"/>
    <w:rsid w:val="355958DF"/>
    <w:rsid w:val="35600FCE"/>
    <w:rsid w:val="356419B4"/>
    <w:rsid w:val="356C0B3B"/>
    <w:rsid w:val="356C7D8E"/>
    <w:rsid w:val="356E07EC"/>
    <w:rsid w:val="356E638F"/>
    <w:rsid w:val="357A3815"/>
    <w:rsid w:val="357E4FCB"/>
    <w:rsid w:val="358C0E05"/>
    <w:rsid w:val="35906305"/>
    <w:rsid w:val="359371E3"/>
    <w:rsid w:val="35971C02"/>
    <w:rsid w:val="359A77DF"/>
    <w:rsid w:val="35A46AC3"/>
    <w:rsid w:val="35A5434E"/>
    <w:rsid w:val="35A87AF3"/>
    <w:rsid w:val="35B77D37"/>
    <w:rsid w:val="35C44201"/>
    <w:rsid w:val="35C81F43"/>
    <w:rsid w:val="35C87DEE"/>
    <w:rsid w:val="35CE6E2D"/>
    <w:rsid w:val="35CF6AD0"/>
    <w:rsid w:val="35D20016"/>
    <w:rsid w:val="35D404FD"/>
    <w:rsid w:val="35DF486E"/>
    <w:rsid w:val="35E46F86"/>
    <w:rsid w:val="35F96E88"/>
    <w:rsid w:val="360311CD"/>
    <w:rsid w:val="360E270F"/>
    <w:rsid w:val="36133860"/>
    <w:rsid w:val="36176A26"/>
    <w:rsid w:val="36195F56"/>
    <w:rsid w:val="36234076"/>
    <w:rsid w:val="362D0244"/>
    <w:rsid w:val="363943F8"/>
    <w:rsid w:val="36580415"/>
    <w:rsid w:val="36592B9B"/>
    <w:rsid w:val="36595EA2"/>
    <w:rsid w:val="36621224"/>
    <w:rsid w:val="36642D30"/>
    <w:rsid w:val="3666151D"/>
    <w:rsid w:val="3669260B"/>
    <w:rsid w:val="366F3B8D"/>
    <w:rsid w:val="367043CD"/>
    <w:rsid w:val="36766061"/>
    <w:rsid w:val="36770772"/>
    <w:rsid w:val="368340BC"/>
    <w:rsid w:val="368E5260"/>
    <w:rsid w:val="36926411"/>
    <w:rsid w:val="369270E1"/>
    <w:rsid w:val="369738C2"/>
    <w:rsid w:val="369B553D"/>
    <w:rsid w:val="36A015CF"/>
    <w:rsid w:val="36A06A70"/>
    <w:rsid w:val="36AB3E1C"/>
    <w:rsid w:val="36B3460C"/>
    <w:rsid w:val="36B50ACB"/>
    <w:rsid w:val="36BE1156"/>
    <w:rsid w:val="36C2284F"/>
    <w:rsid w:val="36C26992"/>
    <w:rsid w:val="36D554E4"/>
    <w:rsid w:val="36DF7DF2"/>
    <w:rsid w:val="36E91720"/>
    <w:rsid w:val="36F821FE"/>
    <w:rsid w:val="36F944E8"/>
    <w:rsid w:val="36FB55FB"/>
    <w:rsid w:val="36FF1715"/>
    <w:rsid w:val="36FF6A51"/>
    <w:rsid w:val="370150DB"/>
    <w:rsid w:val="370943CD"/>
    <w:rsid w:val="370C2303"/>
    <w:rsid w:val="37105893"/>
    <w:rsid w:val="37190722"/>
    <w:rsid w:val="37262CAE"/>
    <w:rsid w:val="37283E82"/>
    <w:rsid w:val="372D099C"/>
    <w:rsid w:val="373635E1"/>
    <w:rsid w:val="373C4996"/>
    <w:rsid w:val="373E1E2D"/>
    <w:rsid w:val="3748158D"/>
    <w:rsid w:val="374954A2"/>
    <w:rsid w:val="374B6019"/>
    <w:rsid w:val="37505DC1"/>
    <w:rsid w:val="375A6BCB"/>
    <w:rsid w:val="375F3A6A"/>
    <w:rsid w:val="37600CA4"/>
    <w:rsid w:val="376B527C"/>
    <w:rsid w:val="376D3DDB"/>
    <w:rsid w:val="37704640"/>
    <w:rsid w:val="377845E2"/>
    <w:rsid w:val="3780604B"/>
    <w:rsid w:val="37895702"/>
    <w:rsid w:val="378B3228"/>
    <w:rsid w:val="37987C91"/>
    <w:rsid w:val="37A140C3"/>
    <w:rsid w:val="37A925EF"/>
    <w:rsid w:val="37AE5168"/>
    <w:rsid w:val="37B25393"/>
    <w:rsid w:val="37B7001B"/>
    <w:rsid w:val="37B7226F"/>
    <w:rsid w:val="37B76BBE"/>
    <w:rsid w:val="37B85359"/>
    <w:rsid w:val="37BC1633"/>
    <w:rsid w:val="37BE1E1B"/>
    <w:rsid w:val="37CE0E87"/>
    <w:rsid w:val="37CE1367"/>
    <w:rsid w:val="37D30E2D"/>
    <w:rsid w:val="37D84936"/>
    <w:rsid w:val="37DC62F0"/>
    <w:rsid w:val="37E10CD2"/>
    <w:rsid w:val="37ED3EE3"/>
    <w:rsid w:val="37F93A78"/>
    <w:rsid w:val="37FB1F5B"/>
    <w:rsid w:val="380365D3"/>
    <w:rsid w:val="380426EE"/>
    <w:rsid w:val="3815361A"/>
    <w:rsid w:val="38196A86"/>
    <w:rsid w:val="382F1BD2"/>
    <w:rsid w:val="38345414"/>
    <w:rsid w:val="383C6B6C"/>
    <w:rsid w:val="383F28D9"/>
    <w:rsid w:val="386019AE"/>
    <w:rsid w:val="386262F6"/>
    <w:rsid w:val="38670EBB"/>
    <w:rsid w:val="386717C0"/>
    <w:rsid w:val="387737AC"/>
    <w:rsid w:val="387F1D06"/>
    <w:rsid w:val="38840755"/>
    <w:rsid w:val="388606A2"/>
    <w:rsid w:val="38861F99"/>
    <w:rsid w:val="388D225F"/>
    <w:rsid w:val="388F4F9A"/>
    <w:rsid w:val="389C3831"/>
    <w:rsid w:val="389D5CB8"/>
    <w:rsid w:val="38A35F7C"/>
    <w:rsid w:val="38B247E4"/>
    <w:rsid w:val="38B8707B"/>
    <w:rsid w:val="38B91893"/>
    <w:rsid w:val="38B9241E"/>
    <w:rsid w:val="38B955D1"/>
    <w:rsid w:val="38C102F4"/>
    <w:rsid w:val="38C77E42"/>
    <w:rsid w:val="38CC32A3"/>
    <w:rsid w:val="38DD3F57"/>
    <w:rsid w:val="38DE04BB"/>
    <w:rsid w:val="38E26A3B"/>
    <w:rsid w:val="38E30E42"/>
    <w:rsid w:val="38FF3B28"/>
    <w:rsid w:val="39007C46"/>
    <w:rsid w:val="39013DC6"/>
    <w:rsid w:val="390A5CD2"/>
    <w:rsid w:val="390C16CD"/>
    <w:rsid w:val="390C21A9"/>
    <w:rsid w:val="390E55DB"/>
    <w:rsid w:val="390F4298"/>
    <w:rsid w:val="3913589D"/>
    <w:rsid w:val="39183AA2"/>
    <w:rsid w:val="391E6A01"/>
    <w:rsid w:val="39240EF8"/>
    <w:rsid w:val="392A081F"/>
    <w:rsid w:val="392E030F"/>
    <w:rsid w:val="393031B2"/>
    <w:rsid w:val="39315941"/>
    <w:rsid w:val="3932270A"/>
    <w:rsid w:val="39322A3F"/>
    <w:rsid w:val="395444A8"/>
    <w:rsid w:val="395652E7"/>
    <w:rsid w:val="395A6993"/>
    <w:rsid w:val="395B7F4A"/>
    <w:rsid w:val="395C1478"/>
    <w:rsid w:val="39641F82"/>
    <w:rsid w:val="396A50BF"/>
    <w:rsid w:val="39714116"/>
    <w:rsid w:val="39726CFE"/>
    <w:rsid w:val="39767688"/>
    <w:rsid w:val="397A13EA"/>
    <w:rsid w:val="397B127F"/>
    <w:rsid w:val="397B72CC"/>
    <w:rsid w:val="397D3044"/>
    <w:rsid w:val="39801589"/>
    <w:rsid w:val="398048E2"/>
    <w:rsid w:val="3985506D"/>
    <w:rsid w:val="398A051D"/>
    <w:rsid w:val="399260C1"/>
    <w:rsid w:val="39974106"/>
    <w:rsid w:val="39974C7E"/>
    <w:rsid w:val="399901D5"/>
    <w:rsid w:val="399A7F58"/>
    <w:rsid w:val="399D7242"/>
    <w:rsid w:val="39A04924"/>
    <w:rsid w:val="39A36867"/>
    <w:rsid w:val="39A57F58"/>
    <w:rsid w:val="39A8206F"/>
    <w:rsid w:val="39A9208B"/>
    <w:rsid w:val="39AB7112"/>
    <w:rsid w:val="39AF5E34"/>
    <w:rsid w:val="39B46D42"/>
    <w:rsid w:val="39B747A8"/>
    <w:rsid w:val="39CC23DE"/>
    <w:rsid w:val="39D20F0C"/>
    <w:rsid w:val="39D240C6"/>
    <w:rsid w:val="39D6704B"/>
    <w:rsid w:val="39DA6A6C"/>
    <w:rsid w:val="39E210F9"/>
    <w:rsid w:val="39E57BB6"/>
    <w:rsid w:val="39F7118E"/>
    <w:rsid w:val="3A0144EA"/>
    <w:rsid w:val="3A085153"/>
    <w:rsid w:val="3A0E0140"/>
    <w:rsid w:val="3A1E12D9"/>
    <w:rsid w:val="3A204DA8"/>
    <w:rsid w:val="3A282D89"/>
    <w:rsid w:val="3A287454"/>
    <w:rsid w:val="3A2B484E"/>
    <w:rsid w:val="3A2D77AC"/>
    <w:rsid w:val="3A3005F7"/>
    <w:rsid w:val="3A462B0B"/>
    <w:rsid w:val="3A491FF2"/>
    <w:rsid w:val="3A4D140E"/>
    <w:rsid w:val="3A4F2C33"/>
    <w:rsid w:val="3A4F6EEE"/>
    <w:rsid w:val="3A5D7D43"/>
    <w:rsid w:val="3A5E3A7A"/>
    <w:rsid w:val="3A5E3E13"/>
    <w:rsid w:val="3A5F2132"/>
    <w:rsid w:val="3A660C25"/>
    <w:rsid w:val="3A714721"/>
    <w:rsid w:val="3A7200EF"/>
    <w:rsid w:val="3A780F78"/>
    <w:rsid w:val="3A7D7E89"/>
    <w:rsid w:val="3A7E7B5E"/>
    <w:rsid w:val="3A854A50"/>
    <w:rsid w:val="3A963166"/>
    <w:rsid w:val="3A975602"/>
    <w:rsid w:val="3A976388"/>
    <w:rsid w:val="3A984566"/>
    <w:rsid w:val="3AA0348E"/>
    <w:rsid w:val="3AA24E9F"/>
    <w:rsid w:val="3AA43493"/>
    <w:rsid w:val="3AA96C1F"/>
    <w:rsid w:val="3AAA7A0E"/>
    <w:rsid w:val="3AAF1923"/>
    <w:rsid w:val="3AB05684"/>
    <w:rsid w:val="3AB24F6F"/>
    <w:rsid w:val="3AB67990"/>
    <w:rsid w:val="3ABA2531"/>
    <w:rsid w:val="3AC11879"/>
    <w:rsid w:val="3AC12E83"/>
    <w:rsid w:val="3AC423BF"/>
    <w:rsid w:val="3ACF78CF"/>
    <w:rsid w:val="3ADA5858"/>
    <w:rsid w:val="3AE076E5"/>
    <w:rsid w:val="3AE07D2F"/>
    <w:rsid w:val="3AE11192"/>
    <w:rsid w:val="3AE17CCD"/>
    <w:rsid w:val="3AED64BF"/>
    <w:rsid w:val="3AF52F5B"/>
    <w:rsid w:val="3AFC5118"/>
    <w:rsid w:val="3B002895"/>
    <w:rsid w:val="3B0D21A6"/>
    <w:rsid w:val="3B135A0E"/>
    <w:rsid w:val="3B17745B"/>
    <w:rsid w:val="3B192406"/>
    <w:rsid w:val="3B1A3241"/>
    <w:rsid w:val="3B1A72E8"/>
    <w:rsid w:val="3B31685D"/>
    <w:rsid w:val="3B3178DE"/>
    <w:rsid w:val="3B323BFB"/>
    <w:rsid w:val="3B33543C"/>
    <w:rsid w:val="3B344A3C"/>
    <w:rsid w:val="3B3E673D"/>
    <w:rsid w:val="3B422315"/>
    <w:rsid w:val="3B424545"/>
    <w:rsid w:val="3B454CC6"/>
    <w:rsid w:val="3B486010"/>
    <w:rsid w:val="3B55197E"/>
    <w:rsid w:val="3B551EA7"/>
    <w:rsid w:val="3B55589E"/>
    <w:rsid w:val="3B5878C5"/>
    <w:rsid w:val="3B5D57E3"/>
    <w:rsid w:val="3B655A63"/>
    <w:rsid w:val="3B686ABF"/>
    <w:rsid w:val="3B854432"/>
    <w:rsid w:val="3B8E1539"/>
    <w:rsid w:val="3B9052B1"/>
    <w:rsid w:val="3B9067BE"/>
    <w:rsid w:val="3B920B18"/>
    <w:rsid w:val="3B9308FD"/>
    <w:rsid w:val="3B946230"/>
    <w:rsid w:val="3B967ED4"/>
    <w:rsid w:val="3BA1671D"/>
    <w:rsid w:val="3BAE72EF"/>
    <w:rsid w:val="3BB16FD5"/>
    <w:rsid w:val="3BB21821"/>
    <w:rsid w:val="3BB30B1A"/>
    <w:rsid w:val="3BBC0CB1"/>
    <w:rsid w:val="3BBE6635"/>
    <w:rsid w:val="3BC039EE"/>
    <w:rsid w:val="3BCB62E9"/>
    <w:rsid w:val="3BCC2061"/>
    <w:rsid w:val="3BDD15FC"/>
    <w:rsid w:val="3BDE2603"/>
    <w:rsid w:val="3BE253E0"/>
    <w:rsid w:val="3BE35D9E"/>
    <w:rsid w:val="3BE86675"/>
    <w:rsid w:val="3BEF0839"/>
    <w:rsid w:val="3BF12E36"/>
    <w:rsid w:val="3BF46C7B"/>
    <w:rsid w:val="3BF94559"/>
    <w:rsid w:val="3BFD50D7"/>
    <w:rsid w:val="3BFE5094"/>
    <w:rsid w:val="3BFF5F92"/>
    <w:rsid w:val="3C0D4435"/>
    <w:rsid w:val="3C186CE7"/>
    <w:rsid w:val="3C1A42E6"/>
    <w:rsid w:val="3C1F3408"/>
    <w:rsid w:val="3C20730D"/>
    <w:rsid w:val="3C2E0626"/>
    <w:rsid w:val="3C2E6878"/>
    <w:rsid w:val="3C3053C2"/>
    <w:rsid w:val="3C3D7460"/>
    <w:rsid w:val="3C480ACF"/>
    <w:rsid w:val="3C4A209E"/>
    <w:rsid w:val="3C4B7A4D"/>
    <w:rsid w:val="3C4D64B2"/>
    <w:rsid w:val="3C524996"/>
    <w:rsid w:val="3C53008C"/>
    <w:rsid w:val="3C53303F"/>
    <w:rsid w:val="3C5C3C02"/>
    <w:rsid w:val="3C5F6234"/>
    <w:rsid w:val="3C5F6A31"/>
    <w:rsid w:val="3C615067"/>
    <w:rsid w:val="3C642299"/>
    <w:rsid w:val="3C6F1D94"/>
    <w:rsid w:val="3C7946F9"/>
    <w:rsid w:val="3C7D70DA"/>
    <w:rsid w:val="3C840D97"/>
    <w:rsid w:val="3C913717"/>
    <w:rsid w:val="3C926DF4"/>
    <w:rsid w:val="3C940D41"/>
    <w:rsid w:val="3C95739F"/>
    <w:rsid w:val="3C971AEC"/>
    <w:rsid w:val="3C9D03F0"/>
    <w:rsid w:val="3C9D0B47"/>
    <w:rsid w:val="3C9F7CC4"/>
    <w:rsid w:val="3CA11593"/>
    <w:rsid w:val="3CA4053F"/>
    <w:rsid w:val="3CAC2BF0"/>
    <w:rsid w:val="3CAD1A33"/>
    <w:rsid w:val="3CB01497"/>
    <w:rsid w:val="3CB21B7C"/>
    <w:rsid w:val="3CB270F2"/>
    <w:rsid w:val="3CC03C56"/>
    <w:rsid w:val="3CC51BB8"/>
    <w:rsid w:val="3CCF6E64"/>
    <w:rsid w:val="3CD11310"/>
    <w:rsid w:val="3CD411CD"/>
    <w:rsid w:val="3CDA27B2"/>
    <w:rsid w:val="3CDE78BE"/>
    <w:rsid w:val="3CE31F30"/>
    <w:rsid w:val="3CE33B06"/>
    <w:rsid w:val="3CE45955"/>
    <w:rsid w:val="3CEE3FDB"/>
    <w:rsid w:val="3CF54EC8"/>
    <w:rsid w:val="3CFF7EC0"/>
    <w:rsid w:val="3D054C8F"/>
    <w:rsid w:val="3D0D4C91"/>
    <w:rsid w:val="3D0E448A"/>
    <w:rsid w:val="3D163266"/>
    <w:rsid w:val="3D2340CA"/>
    <w:rsid w:val="3D2414A0"/>
    <w:rsid w:val="3D29119A"/>
    <w:rsid w:val="3D3462AF"/>
    <w:rsid w:val="3D357B68"/>
    <w:rsid w:val="3D3D3216"/>
    <w:rsid w:val="3D3F75BA"/>
    <w:rsid w:val="3D44659A"/>
    <w:rsid w:val="3D471562"/>
    <w:rsid w:val="3D491BA7"/>
    <w:rsid w:val="3D563117"/>
    <w:rsid w:val="3D567E34"/>
    <w:rsid w:val="3D5A79AF"/>
    <w:rsid w:val="3D796FA3"/>
    <w:rsid w:val="3D89754A"/>
    <w:rsid w:val="3D8A3E51"/>
    <w:rsid w:val="3D8A6C89"/>
    <w:rsid w:val="3D8B72AE"/>
    <w:rsid w:val="3D901E77"/>
    <w:rsid w:val="3D954E00"/>
    <w:rsid w:val="3D97566A"/>
    <w:rsid w:val="3D9848F1"/>
    <w:rsid w:val="3DA40D1C"/>
    <w:rsid w:val="3DA61690"/>
    <w:rsid w:val="3DA823F9"/>
    <w:rsid w:val="3DAB7E4A"/>
    <w:rsid w:val="3DB34B4E"/>
    <w:rsid w:val="3DC03B9D"/>
    <w:rsid w:val="3DC0708B"/>
    <w:rsid w:val="3DC2196D"/>
    <w:rsid w:val="3DC374CA"/>
    <w:rsid w:val="3DC7209E"/>
    <w:rsid w:val="3DC9047D"/>
    <w:rsid w:val="3DCA7C4F"/>
    <w:rsid w:val="3DD57CCC"/>
    <w:rsid w:val="3DE46669"/>
    <w:rsid w:val="3DEE5482"/>
    <w:rsid w:val="3DF3572F"/>
    <w:rsid w:val="3DF66B63"/>
    <w:rsid w:val="3DF902CA"/>
    <w:rsid w:val="3E014955"/>
    <w:rsid w:val="3E0970B1"/>
    <w:rsid w:val="3E0A667E"/>
    <w:rsid w:val="3E0D662F"/>
    <w:rsid w:val="3E0F766A"/>
    <w:rsid w:val="3E160F33"/>
    <w:rsid w:val="3E1723C3"/>
    <w:rsid w:val="3E18643C"/>
    <w:rsid w:val="3E231C89"/>
    <w:rsid w:val="3E295704"/>
    <w:rsid w:val="3E330175"/>
    <w:rsid w:val="3E3E1C48"/>
    <w:rsid w:val="3E411D1B"/>
    <w:rsid w:val="3E413913"/>
    <w:rsid w:val="3E490AA8"/>
    <w:rsid w:val="3E494787"/>
    <w:rsid w:val="3E567E27"/>
    <w:rsid w:val="3E573E64"/>
    <w:rsid w:val="3E5F79BE"/>
    <w:rsid w:val="3E6627E4"/>
    <w:rsid w:val="3E697EB4"/>
    <w:rsid w:val="3E6C36AF"/>
    <w:rsid w:val="3E6F38A3"/>
    <w:rsid w:val="3E6F668D"/>
    <w:rsid w:val="3E726EF0"/>
    <w:rsid w:val="3E7562F9"/>
    <w:rsid w:val="3E793D9F"/>
    <w:rsid w:val="3E834C59"/>
    <w:rsid w:val="3E862DD7"/>
    <w:rsid w:val="3E8B0013"/>
    <w:rsid w:val="3E9926CE"/>
    <w:rsid w:val="3E99318A"/>
    <w:rsid w:val="3E9F1660"/>
    <w:rsid w:val="3E9F6793"/>
    <w:rsid w:val="3EAC311B"/>
    <w:rsid w:val="3EB63280"/>
    <w:rsid w:val="3EBC62AF"/>
    <w:rsid w:val="3EBD1E16"/>
    <w:rsid w:val="3EBD203F"/>
    <w:rsid w:val="3EBE5F8C"/>
    <w:rsid w:val="3EC11847"/>
    <w:rsid w:val="3EC15781"/>
    <w:rsid w:val="3EC7027B"/>
    <w:rsid w:val="3EC8316F"/>
    <w:rsid w:val="3ECE0787"/>
    <w:rsid w:val="3ECE0DD5"/>
    <w:rsid w:val="3ECF05A6"/>
    <w:rsid w:val="3ECF0ADF"/>
    <w:rsid w:val="3ECF25A9"/>
    <w:rsid w:val="3ED063D1"/>
    <w:rsid w:val="3ED35FC2"/>
    <w:rsid w:val="3EDB1404"/>
    <w:rsid w:val="3EDD091A"/>
    <w:rsid w:val="3EE024B0"/>
    <w:rsid w:val="3EF7226B"/>
    <w:rsid w:val="3EFB08A4"/>
    <w:rsid w:val="3EFB4094"/>
    <w:rsid w:val="3EFE7A2A"/>
    <w:rsid w:val="3EFF05EF"/>
    <w:rsid w:val="3F017E58"/>
    <w:rsid w:val="3F042033"/>
    <w:rsid w:val="3F06588A"/>
    <w:rsid w:val="3F0819EF"/>
    <w:rsid w:val="3F0D420A"/>
    <w:rsid w:val="3F217864"/>
    <w:rsid w:val="3F2E32D3"/>
    <w:rsid w:val="3F3643C1"/>
    <w:rsid w:val="3F3B36C1"/>
    <w:rsid w:val="3F441554"/>
    <w:rsid w:val="3F476187"/>
    <w:rsid w:val="3F48679E"/>
    <w:rsid w:val="3F522520"/>
    <w:rsid w:val="3F527FB2"/>
    <w:rsid w:val="3F5B3E28"/>
    <w:rsid w:val="3F5C10AA"/>
    <w:rsid w:val="3F5C78B4"/>
    <w:rsid w:val="3F62373A"/>
    <w:rsid w:val="3F630FE3"/>
    <w:rsid w:val="3F697D56"/>
    <w:rsid w:val="3F754B99"/>
    <w:rsid w:val="3F7877A9"/>
    <w:rsid w:val="3F84345F"/>
    <w:rsid w:val="3F88660A"/>
    <w:rsid w:val="3F8C2233"/>
    <w:rsid w:val="3F942E96"/>
    <w:rsid w:val="3F961B94"/>
    <w:rsid w:val="3F980BD8"/>
    <w:rsid w:val="3F9A19ED"/>
    <w:rsid w:val="3FA31908"/>
    <w:rsid w:val="3FAC7FE8"/>
    <w:rsid w:val="3FAE09D4"/>
    <w:rsid w:val="3FAE1A11"/>
    <w:rsid w:val="3FAF101A"/>
    <w:rsid w:val="3FB672B0"/>
    <w:rsid w:val="3FBD063E"/>
    <w:rsid w:val="3FBF7BB8"/>
    <w:rsid w:val="3FC94B28"/>
    <w:rsid w:val="3FCD4DE4"/>
    <w:rsid w:val="3FCD6AF4"/>
    <w:rsid w:val="3FD15E98"/>
    <w:rsid w:val="3FD857A2"/>
    <w:rsid w:val="3FDA7AE6"/>
    <w:rsid w:val="3FDD2A8F"/>
    <w:rsid w:val="3FE71217"/>
    <w:rsid w:val="3FEA07B7"/>
    <w:rsid w:val="3FF50A49"/>
    <w:rsid w:val="3FF73A69"/>
    <w:rsid w:val="3FF81676"/>
    <w:rsid w:val="3FF86A77"/>
    <w:rsid w:val="3FFC4AAE"/>
    <w:rsid w:val="4000052B"/>
    <w:rsid w:val="40050012"/>
    <w:rsid w:val="4010353A"/>
    <w:rsid w:val="40123E02"/>
    <w:rsid w:val="40154004"/>
    <w:rsid w:val="40156B65"/>
    <w:rsid w:val="4016359C"/>
    <w:rsid w:val="40185875"/>
    <w:rsid w:val="401A0BFC"/>
    <w:rsid w:val="401D6F8B"/>
    <w:rsid w:val="401D732F"/>
    <w:rsid w:val="403A7980"/>
    <w:rsid w:val="405028AE"/>
    <w:rsid w:val="405F34A4"/>
    <w:rsid w:val="40612931"/>
    <w:rsid w:val="406978DE"/>
    <w:rsid w:val="406D5BC1"/>
    <w:rsid w:val="40750BD6"/>
    <w:rsid w:val="40774C91"/>
    <w:rsid w:val="407D1CD8"/>
    <w:rsid w:val="408B319F"/>
    <w:rsid w:val="4099592E"/>
    <w:rsid w:val="40A93B94"/>
    <w:rsid w:val="40A94FDC"/>
    <w:rsid w:val="40B1553B"/>
    <w:rsid w:val="40B25CC9"/>
    <w:rsid w:val="40B557B9"/>
    <w:rsid w:val="40B74826"/>
    <w:rsid w:val="40B82BB4"/>
    <w:rsid w:val="40B90E06"/>
    <w:rsid w:val="40C44FE1"/>
    <w:rsid w:val="40C51BAF"/>
    <w:rsid w:val="40C72178"/>
    <w:rsid w:val="40C76A4A"/>
    <w:rsid w:val="40C96B6F"/>
    <w:rsid w:val="40CC7817"/>
    <w:rsid w:val="40CF687B"/>
    <w:rsid w:val="40D0614F"/>
    <w:rsid w:val="40DA1734"/>
    <w:rsid w:val="40E011B6"/>
    <w:rsid w:val="40E51BFB"/>
    <w:rsid w:val="40EE3A49"/>
    <w:rsid w:val="40EF2DC6"/>
    <w:rsid w:val="40F87865"/>
    <w:rsid w:val="40FF1B32"/>
    <w:rsid w:val="41004C87"/>
    <w:rsid w:val="410467C3"/>
    <w:rsid w:val="41067C9E"/>
    <w:rsid w:val="41075533"/>
    <w:rsid w:val="410E60D3"/>
    <w:rsid w:val="411244E3"/>
    <w:rsid w:val="41191CA3"/>
    <w:rsid w:val="412071E1"/>
    <w:rsid w:val="41207B1A"/>
    <w:rsid w:val="41250038"/>
    <w:rsid w:val="41287D39"/>
    <w:rsid w:val="412A1FB9"/>
    <w:rsid w:val="41325F04"/>
    <w:rsid w:val="41354204"/>
    <w:rsid w:val="413761CE"/>
    <w:rsid w:val="4137689A"/>
    <w:rsid w:val="414C5354"/>
    <w:rsid w:val="415049CB"/>
    <w:rsid w:val="41540B2E"/>
    <w:rsid w:val="415E4F26"/>
    <w:rsid w:val="416367FB"/>
    <w:rsid w:val="417148FA"/>
    <w:rsid w:val="41727698"/>
    <w:rsid w:val="41765BEF"/>
    <w:rsid w:val="417F20CC"/>
    <w:rsid w:val="41925FDE"/>
    <w:rsid w:val="41984338"/>
    <w:rsid w:val="41A13EAF"/>
    <w:rsid w:val="41A42FA1"/>
    <w:rsid w:val="41A660F1"/>
    <w:rsid w:val="41B71BD1"/>
    <w:rsid w:val="41BA2F2B"/>
    <w:rsid w:val="41BB2B97"/>
    <w:rsid w:val="41C20357"/>
    <w:rsid w:val="41CA0AC0"/>
    <w:rsid w:val="41CE7B11"/>
    <w:rsid w:val="41D256A1"/>
    <w:rsid w:val="41DC5CC2"/>
    <w:rsid w:val="41E21DF5"/>
    <w:rsid w:val="41E83E7B"/>
    <w:rsid w:val="41EC1864"/>
    <w:rsid w:val="41ED25E3"/>
    <w:rsid w:val="41EF2605"/>
    <w:rsid w:val="41F501EF"/>
    <w:rsid w:val="41FD010C"/>
    <w:rsid w:val="42045A3D"/>
    <w:rsid w:val="420668D8"/>
    <w:rsid w:val="42167C79"/>
    <w:rsid w:val="42233831"/>
    <w:rsid w:val="42251632"/>
    <w:rsid w:val="4226071D"/>
    <w:rsid w:val="42264E15"/>
    <w:rsid w:val="422C2C46"/>
    <w:rsid w:val="42313D04"/>
    <w:rsid w:val="42332E3A"/>
    <w:rsid w:val="42357931"/>
    <w:rsid w:val="42376ECC"/>
    <w:rsid w:val="42462095"/>
    <w:rsid w:val="42463117"/>
    <w:rsid w:val="425643E3"/>
    <w:rsid w:val="425A1E19"/>
    <w:rsid w:val="42614756"/>
    <w:rsid w:val="4269060A"/>
    <w:rsid w:val="426A28C6"/>
    <w:rsid w:val="427822F7"/>
    <w:rsid w:val="427B0595"/>
    <w:rsid w:val="427D0B61"/>
    <w:rsid w:val="42817644"/>
    <w:rsid w:val="42863E33"/>
    <w:rsid w:val="428A28C8"/>
    <w:rsid w:val="428C42F8"/>
    <w:rsid w:val="42907808"/>
    <w:rsid w:val="42946F6A"/>
    <w:rsid w:val="429C3CFD"/>
    <w:rsid w:val="42A14BD0"/>
    <w:rsid w:val="42AA71C8"/>
    <w:rsid w:val="42AB71A3"/>
    <w:rsid w:val="42AC3FF7"/>
    <w:rsid w:val="42AE6FD9"/>
    <w:rsid w:val="42B40C6A"/>
    <w:rsid w:val="42B74162"/>
    <w:rsid w:val="42BF2256"/>
    <w:rsid w:val="42C25151"/>
    <w:rsid w:val="42C623E0"/>
    <w:rsid w:val="42C7483E"/>
    <w:rsid w:val="42D07322"/>
    <w:rsid w:val="42D213FD"/>
    <w:rsid w:val="42D42173"/>
    <w:rsid w:val="42D77C69"/>
    <w:rsid w:val="42DF27B5"/>
    <w:rsid w:val="42DF6953"/>
    <w:rsid w:val="42E66EFB"/>
    <w:rsid w:val="430321A3"/>
    <w:rsid w:val="43061471"/>
    <w:rsid w:val="43096915"/>
    <w:rsid w:val="430A6D47"/>
    <w:rsid w:val="431B2DA9"/>
    <w:rsid w:val="431C1159"/>
    <w:rsid w:val="43271906"/>
    <w:rsid w:val="432A6A35"/>
    <w:rsid w:val="432B2DB9"/>
    <w:rsid w:val="433241D2"/>
    <w:rsid w:val="434906EC"/>
    <w:rsid w:val="43493343"/>
    <w:rsid w:val="434B0725"/>
    <w:rsid w:val="434E326F"/>
    <w:rsid w:val="43542429"/>
    <w:rsid w:val="43572B58"/>
    <w:rsid w:val="43635059"/>
    <w:rsid w:val="436808C1"/>
    <w:rsid w:val="43696E43"/>
    <w:rsid w:val="437603F4"/>
    <w:rsid w:val="437B152F"/>
    <w:rsid w:val="437C0001"/>
    <w:rsid w:val="43827BD5"/>
    <w:rsid w:val="43840E36"/>
    <w:rsid w:val="43845746"/>
    <w:rsid w:val="438D0328"/>
    <w:rsid w:val="438D26B4"/>
    <w:rsid w:val="439E0787"/>
    <w:rsid w:val="43A14DE8"/>
    <w:rsid w:val="43AD1BA2"/>
    <w:rsid w:val="43AD4526"/>
    <w:rsid w:val="43B6575B"/>
    <w:rsid w:val="43BB0B5B"/>
    <w:rsid w:val="43D0611D"/>
    <w:rsid w:val="43D16466"/>
    <w:rsid w:val="43D67F21"/>
    <w:rsid w:val="43DD3B6B"/>
    <w:rsid w:val="43E16805"/>
    <w:rsid w:val="43EB71E3"/>
    <w:rsid w:val="43F263DD"/>
    <w:rsid w:val="44033404"/>
    <w:rsid w:val="4404683C"/>
    <w:rsid w:val="44097B6F"/>
    <w:rsid w:val="441120E5"/>
    <w:rsid w:val="441612D4"/>
    <w:rsid w:val="441B64F4"/>
    <w:rsid w:val="442A0945"/>
    <w:rsid w:val="443D11F9"/>
    <w:rsid w:val="4441183E"/>
    <w:rsid w:val="444F6CCA"/>
    <w:rsid w:val="4451255A"/>
    <w:rsid w:val="445C5D35"/>
    <w:rsid w:val="445D419E"/>
    <w:rsid w:val="44692B43"/>
    <w:rsid w:val="446D538A"/>
    <w:rsid w:val="446E3135"/>
    <w:rsid w:val="446E5C96"/>
    <w:rsid w:val="4474550E"/>
    <w:rsid w:val="44827761"/>
    <w:rsid w:val="4492241E"/>
    <w:rsid w:val="44971D55"/>
    <w:rsid w:val="44984FAC"/>
    <w:rsid w:val="449B531E"/>
    <w:rsid w:val="449D3CA0"/>
    <w:rsid w:val="44B16D2D"/>
    <w:rsid w:val="44B244EA"/>
    <w:rsid w:val="44B72216"/>
    <w:rsid w:val="44B8405E"/>
    <w:rsid w:val="44BB681B"/>
    <w:rsid w:val="44BD4C3D"/>
    <w:rsid w:val="44C47144"/>
    <w:rsid w:val="44CA6533"/>
    <w:rsid w:val="44CC46E7"/>
    <w:rsid w:val="44D467E0"/>
    <w:rsid w:val="44D46A2B"/>
    <w:rsid w:val="44D85CB2"/>
    <w:rsid w:val="44DA134B"/>
    <w:rsid w:val="44DE52DF"/>
    <w:rsid w:val="44E234C9"/>
    <w:rsid w:val="44EB6264"/>
    <w:rsid w:val="44EC5FC5"/>
    <w:rsid w:val="44F06DC0"/>
    <w:rsid w:val="44F14D8D"/>
    <w:rsid w:val="44F4057C"/>
    <w:rsid w:val="44F92119"/>
    <w:rsid w:val="44FD328B"/>
    <w:rsid w:val="44FF58C6"/>
    <w:rsid w:val="450B4C58"/>
    <w:rsid w:val="450C05A0"/>
    <w:rsid w:val="4512583F"/>
    <w:rsid w:val="45140D01"/>
    <w:rsid w:val="45142F62"/>
    <w:rsid w:val="45154EA1"/>
    <w:rsid w:val="45157D7E"/>
    <w:rsid w:val="4516709B"/>
    <w:rsid w:val="4521341D"/>
    <w:rsid w:val="45244B16"/>
    <w:rsid w:val="45374134"/>
    <w:rsid w:val="45442C68"/>
    <w:rsid w:val="45521829"/>
    <w:rsid w:val="455265A6"/>
    <w:rsid w:val="455C26A8"/>
    <w:rsid w:val="45636D4B"/>
    <w:rsid w:val="45665F33"/>
    <w:rsid w:val="45682262"/>
    <w:rsid w:val="456B4BF1"/>
    <w:rsid w:val="456F23DB"/>
    <w:rsid w:val="457006BD"/>
    <w:rsid w:val="458356B4"/>
    <w:rsid w:val="45871C69"/>
    <w:rsid w:val="45880767"/>
    <w:rsid w:val="45917C58"/>
    <w:rsid w:val="45941350"/>
    <w:rsid w:val="45950CC4"/>
    <w:rsid w:val="459B4964"/>
    <w:rsid w:val="459B5CD9"/>
    <w:rsid w:val="459C2AA4"/>
    <w:rsid w:val="45A07148"/>
    <w:rsid w:val="45A35BE1"/>
    <w:rsid w:val="45A95E5C"/>
    <w:rsid w:val="45B1356E"/>
    <w:rsid w:val="45B32179"/>
    <w:rsid w:val="45B73584"/>
    <w:rsid w:val="45BF39BE"/>
    <w:rsid w:val="45C718D7"/>
    <w:rsid w:val="45CE5353"/>
    <w:rsid w:val="45CF720B"/>
    <w:rsid w:val="45D21ED5"/>
    <w:rsid w:val="45D90B8A"/>
    <w:rsid w:val="45D97AD0"/>
    <w:rsid w:val="45E701C3"/>
    <w:rsid w:val="460A6426"/>
    <w:rsid w:val="460C3112"/>
    <w:rsid w:val="46184820"/>
    <w:rsid w:val="46186775"/>
    <w:rsid w:val="462209F8"/>
    <w:rsid w:val="462D00FB"/>
    <w:rsid w:val="46330390"/>
    <w:rsid w:val="46390A65"/>
    <w:rsid w:val="463A4797"/>
    <w:rsid w:val="463B050F"/>
    <w:rsid w:val="463B1C84"/>
    <w:rsid w:val="46443C20"/>
    <w:rsid w:val="464A3A20"/>
    <w:rsid w:val="464D4ABD"/>
    <w:rsid w:val="46541432"/>
    <w:rsid w:val="465D3F9B"/>
    <w:rsid w:val="465E2EDF"/>
    <w:rsid w:val="46604453"/>
    <w:rsid w:val="46653226"/>
    <w:rsid w:val="46690BD8"/>
    <w:rsid w:val="466F4071"/>
    <w:rsid w:val="467A135D"/>
    <w:rsid w:val="4683064A"/>
    <w:rsid w:val="46837189"/>
    <w:rsid w:val="46853E3A"/>
    <w:rsid w:val="46873754"/>
    <w:rsid w:val="468D3D49"/>
    <w:rsid w:val="4697040A"/>
    <w:rsid w:val="4697159C"/>
    <w:rsid w:val="46A37971"/>
    <w:rsid w:val="46A42781"/>
    <w:rsid w:val="46A739D6"/>
    <w:rsid w:val="46AA57A4"/>
    <w:rsid w:val="46AF3AF6"/>
    <w:rsid w:val="46B902E0"/>
    <w:rsid w:val="46BB3BBB"/>
    <w:rsid w:val="46BE6E71"/>
    <w:rsid w:val="46CC374F"/>
    <w:rsid w:val="46CD6537"/>
    <w:rsid w:val="46CF6A32"/>
    <w:rsid w:val="46E83E50"/>
    <w:rsid w:val="46E90B9E"/>
    <w:rsid w:val="46EC35B7"/>
    <w:rsid w:val="46EF5F0C"/>
    <w:rsid w:val="46F53F4E"/>
    <w:rsid w:val="46F56910"/>
    <w:rsid w:val="46F6606F"/>
    <w:rsid w:val="46F661E4"/>
    <w:rsid w:val="46FA2178"/>
    <w:rsid w:val="46FB5871"/>
    <w:rsid w:val="47044DA5"/>
    <w:rsid w:val="47086A40"/>
    <w:rsid w:val="470A04BC"/>
    <w:rsid w:val="470D09EF"/>
    <w:rsid w:val="470D5A07"/>
    <w:rsid w:val="47213261"/>
    <w:rsid w:val="472C67D7"/>
    <w:rsid w:val="473869AD"/>
    <w:rsid w:val="47391234"/>
    <w:rsid w:val="474028B7"/>
    <w:rsid w:val="474C39E8"/>
    <w:rsid w:val="474C59F4"/>
    <w:rsid w:val="474D4056"/>
    <w:rsid w:val="475473BE"/>
    <w:rsid w:val="475A3F85"/>
    <w:rsid w:val="47632957"/>
    <w:rsid w:val="47727699"/>
    <w:rsid w:val="47775577"/>
    <w:rsid w:val="477932D0"/>
    <w:rsid w:val="477A7223"/>
    <w:rsid w:val="478A2645"/>
    <w:rsid w:val="4797277C"/>
    <w:rsid w:val="479877E9"/>
    <w:rsid w:val="479E7CCE"/>
    <w:rsid w:val="47B65380"/>
    <w:rsid w:val="47B839DD"/>
    <w:rsid w:val="47BD5EC8"/>
    <w:rsid w:val="47BE6D02"/>
    <w:rsid w:val="47BE73FC"/>
    <w:rsid w:val="47C05CC8"/>
    <w:rsid w:val="47C135A0"/>
    <w:rsid w:val="47C5278C"/>
    <w:rsid w:val="47C65349"/>
    <w:rsid w:val="47CC4121"/>
    <w:rsid w:val="47CF5DA8"/>
    <w:rsid w:val="47CF7558"/>
    <w:rsid w:val="47D01865"/>
    <w:rsid w:val="47D227AD"/>
    <w:rsid w:val="47D85C25"/>
    <w:rsid w:val="47DA2BCF"/>
    <w:rsid w:val="47DC1137"/>
    <w:rsid w:val="47EF7803"/>
    <w:rsid w:val="47F646ED"/>
    <w:rsid w:val="480478C9"/>
    <w:rsid w:val="48094BED"/>
    <w:rsid w:val="4812529F"/>
    <w:rsid w:val="48147269"/>
    <w:rsid w:val="481A5208"/>
    <w:rsid w:val="481C1078"/>
    <w:rsid w:val="4821325B"/>
    <w:rsid w:val="48245C2D"/>
    <w:rsid w:val="48260364"/>
    <w:rsid w:val="48285D58"/>
    <w:rsid w:val="482C010F"/>
    <w:rsid w:val="482C4086"/>
    <w:rsid w:val="4834257A"/>
    <w:rsid w:val="48356407"/>
    <w:rsid w:val="48390A7E"/>
    <w:rsid w:val="483D4011"/>
    <w:rsid w:val="4841003D"/>
    <w:rsid w:val="48423229"/>
    <w:rsid w:val="48474F49"/>
    <w:rsid w:val="48497EBD"/>
    <w:rsid w:val="484D2206"/>
    <w:rsid w:val="484D506C"/>
    <w:rsid w:val="484F271E"/>
    <w:rsid w:val="48512C13"/>
    <w:rsid w:val="48537D92"/>
    <w:rsid w:val="485671BC"/>
    <w:rsid w:val="4860072B"/>
    <w:rsid w:val="48692AE9"/>
    <w:rsid w:val="486C49B0"/>
    <w:rsid w:val="48754A7F"/>
    <w:rsid w:val="48783354"/>
    <w:rsid w:val="487A79AF"/>
    <w:rsid w:val="487B2E45"/>
    <w:rsid w:val="48825891"/>
    <w:rsid w:val="4887493B"/>
    <w:rsid w:val="488829D0"/>
    <w:rsid w:val="48884C41"/>
    <w:rsid w:val="48910D4F"/>
    <w:rsid w:val="48911248"/>
    <w:rsid w:val="48923393"/>
    <w:rsid w:val="4897703D"/>
    <w:rsid w:val="489B0550"/>
    <w:rsid w:val="48A4403A"/>
    <w:rsid w:val="48AF252E"/>
    <w:rsid w:val="48B85E47"/>
    <w:rsid w:val="48B870E3"/>
    <w:rsid w:val="48BC5937"/>
    <w:rsid w:val="48C31BA7"/>
    <w:rsid w:val="48C42A3E"/>
    <w:rsid w:val="48C707CD"/>
    <w:rsid w:val="48C75133"/>
    <w:rsid w:val="48CA23C9"/>
    <w:rsid w:val="48CC2994"/>
    <w:rsid w:val="48CE5545"/>
    <w:rsid w:val="48D34A2F"/>
    <w:rsid w:val="48D41260"/>
    <w:rsid w:val="48D966CC"/>
    <w:rsid w:val="48E50A71"/>
    <w:rsid w:val="48E704DA"/>
    <w:rsid w:val="48EB4A82"/>
    <w:rsid w:val="48F3461A"/>
    <w:rsid w:val="48FD385A"/>
    <w:rsid w:val="48FE04EC"/>
    <w:rsid w:val="49021363"/>
    <w:rsid w:val="49042E3A"/>
    <w:rsid w:val="490767AC"/>
    <w:rsid w:val="4916633E"/>
    <w:rsid w:val="49193BA2"/>
    <w:rsid w:val="491E400B"/>
    <w:rsid w:val="491F5178"/>
    <w:rsid w:val="492B03C7"/>
    <w:rsid w:val="492E05EF"/>
    <w:rsid w:val="49303C2F"/>
    <w:rsid w:val="49317766"/>
    <w:rsid w:val="49474370"/>
    <w:rsid w:val="49491E06"/>
    <w:rsid w:val="494E6506"/>
    <w:rsid w:val="49575660"/>
    <w:rsid w:val="4958156F"/>
    <w:rsid w:val="495D1749"/>
    <w:rsid w:val="496C05F4"/>
    <w:rsid w:val="496E5A82"/>
    <w:rsid w:val="49727347"/>
    <w:rsid w:val="49812756"/>
    <w:rsid w:val="49883A6B"/>
    <w:rsid w:val="4989268A"/>
    <w:rsid w:val="49895AA6"/>
    <w:rsid w:val="498A6791"/>
    <w:rsid w:val="498E3CF9"/>
    <w:rsid w:val="49940662"/>
    <w:rsid w:val="49A32653"/>
    <w:rsid w:val="49A34A17"/>
    <w:rsid w:val="49A5461D"/>
    <w:rsid w:val="49AA4CB9"/>
    <w:rsid w:val="49AF0FF8"/>
    <w:rsid w:val="49B36407"/>
    <w:rsid w:val="49BC4D85"/>
    <w:rsid w:val="49BE05C2"/>
    <w:rsid w:val="49C9410F"/>
    <w:rsid w:val="49D43645"/>
    <w:rsid w:val="49D62A28"/>
    <w:rsid w:val="49D94EAF"/>
    <w:rsid w:val="49DC06F9"/>
    <w:rsid w:val="49E36DCB"/>
    <w:rsid w:val="49EB051F"/>
    <w:rsid w:val="49EC224C"/>
    <w:rsid w:val="4A004A95"/>
    <w:rsid w:val="4A042873"/>
    <w:rsid w:val="4A061522"/>
    <w:rsid w:val="4A130C33"/>
    <w:rsid w:val="4A153C68"/>
    <w:rsid w:val="4A1560FF"/>
    <w:rsid w:val="4A221710"/>
    <w:rsid w:val="4A265380"/>
    <w:rsid w:val="4A3D3A4B"/>
    <w:rsid w:val="4A477667"/>
    <w:rsid w:val="4A48736B"/>
    <w:rsid w:val="4A4C4A99"/>
    <w:rsid w:val="4A4D3632"/>
    <w:rsid w:val="4A4F2DB8"/>
    <w:rsid w:val="4A521E4D"/>
    <w:rsid w:val="4A542E78"/>
    <w:rsid w:val="4A585020"/>
    <w:rsid w:val="4A5D5FB1"/>
    <w:rsid w:val="4A5D7456"/>
    <w:rsid w:val="4A742B58"/>
    <w:rsid w:val="4A790230"/>
    <w:rsid w:val="4A7F126F"/>
    <w:rsid w:val="4A802994"/>
    <w:rsid w:val="4A84645B"/>
    <w:rsid w:val="4A8C2172"/>
    <w:rsid w:val="4A9430DB"/>
    <w:rsid w:val="4A9B77CE"/>
    <w:rsid w:val="4A9C7AFA"/>
    <w:rsid w:val="4A9D52F4"/>
    <w:rsid w:val="4A9F60CE"/>
    <w:rsid w:val="4AA22DDB"/>
    <w:rsid w:val="4AA27F54"/>
    <w:rsid w:val="4AA33681"/>
    <w:rsid w:val="4AB214B0"/>
    <w:rsid w:val="4AB56AE2"/>
    <w:rsid w:val="4ABB7ACB"/>
    <w:rsid w:val="4ABE79DD"/>
    <w:rsid w:val="4AC123A4"/>
    <w:rsid w:val="4ACD3932"/>
    <w:rsid w:val="4ACF1226"/>
    <w:rsid w:val="4AD747FF"/>
    <w:rsid w:val="4AD9330B"/>
    <w:rsid w:val="4AD96B2A"/>
    <w:rsid w:val="4AE23D70"/>
    <w:rsid w:val="4AE41EE2"/>
    <w:rsid w:val="4AED6E7A"/>
    <w:rsid w:val="4AEF0A05"/>
    <w:rsid w:val="4AEF4F08"/>
    <w:rsid w:val="4AF433CE"/>
    <w:rsid w:val="4AF94ED9"/>
    <w:rsid w:val="4B0137E8"/>
    <w:rsid w:val="4B2052D9"/>
    <w:rsid w:val="4B2155AF"/>
    <w:rsid w:val="4B236259"/>
    <w:rsid w:val="4B297271"/>
    <w:rsid w:val="4B2D0324"/>
    <w:rsid w:val="4B366F25"/>
    <w:rsid w:val="4B3A2FF2"/>
    <w:rsid w:val="4B4A0085"/>
    <w:rsid w:val="4B4B2FA2"/>
    <w:rsid w:val="4B4B7420"/>
    <w:rsid w:val="4B4E33F9"/>
    <w:rsid w:val="4B4F783F"/>
    <w:rsid w:val="4B531C3B"/>
    <w:rsid w:val="4B541A4E"/>
    <w:rsid w:val="4B5D1DE1"/>
    <w:rsid w:val="4B6127C6"/>
    <w:rsid w:val="4B6B2A40"/>
    <w:rsid w:val="4B6B499A"/>
    <w:rsid w:val="4B6C424B"/>
    <w:rsid w:val="4B751DCD"/>
    <w:rsid w:val="4B756271"/>
    <w:rsid w:val="4B7A5F4C"/>
    <w:rsid w:val="4B7C589D"/>
    <w:rsid w:val="4B7D0C82"/>
    <w:rsid w:val="4B7D5157"/>
    <w:rsid w:val="4B8217A9"/>
    <w:rsid w:val="4B861312"/>
    <w:rsid w:val="4B890D78"/>
    <w:rsid w:val="4B8D35BB"/>
    <w:rsid w:val="4B8E2DC1"/>
    <w:rsid w:val="4B9A1834"/>
    <w:rsid w:val="4BA23931"/>
    <w:rsid w:val="4BAF082E"/>
    <w:rsid w:val="4BB46D99"/>
    <w:rsid w:val="4BB67037"/>
    <w:rsid w:val="4BBB5051"/>
    <w:rsid w:val="4BC32B39"/>
    <w:rsid w:val="4BCE5C37"/>
    <w:rsid w:val="4BD31C43"/>
    <w:rsid w:val="4BD411EA"/>
    <w:rsid w:val="4BF442F8"/>
    <w:rsid w:val="4C053323"/>
    <w:rsid w:val="4C0575F5"/>
    <w:rsid w:val="4C0638AC"/>
    <w:rsid w:val="4C0F3FD0"/>
    <w:rsid w:val="4C126CDE"/>
    <w:rsid w:val="4C140CA6"/>
    <w:rsid w:val="4C177328"/>
    <w:rsid w:val="4C186610"/>
    <w:rsid w:val="4C19393F"/>
    <w:rsid w:val="4C2215EC"/>
    <w:rsid w:val="4C264E27"/>
    <w:rsid w:val="4C2757BD"/>
    <w:rsid w:val="4C2845F4"/>
    <w:rsid w:val="4C2B677E"/>
    <w:rsid w:val="4C337F11"/>
    <w:rsid w:val="4C3C11A5"/>
    <w:rsid w:val="4C40141E"/>
    <w:rsid w:val="4C4105E3"/>
    <w:rsid w:val="4C417F01"/>
    <w:rsid w:val="4C485734"/>
    <w:rsid w:val="4C4C5AB8"/>
    <w:rsid w:val="4C4F2947"/>
    <w:rsid w:val="4C4F720B"/>
    <w:rsid w:val="4C594914"/>
    <w:rsid w:val="4C5C2C74"/>
    <w:rsid w:val="4C600A14"/>
    <w:rsid w:val="4C714C8A"/>
    <w:rsid w:val="4C7B1665"/>
    <w:rsid w:val="4C8524E4"/>
    <w:rsid w:val="4C891933"/>
    <w:rsid w:val="4C8A203F"/>
    <w:rsid w:val="4C8E75EA"/>
    <w:rsid w:val="4C8F79FC"/>
    <w:rsid w:val="4C9D6961"/>
    <w:rsid w:val="4C9D6BAF"/>
    <w:rsid w:val="4CA010CC"/>
    <w:rsid w:val="4CB129A8"/>
    <w:rsid w:val="4CB224A3"/>
    <w:rsid w:val="4CB47DDB"/>
    <w:rsid w:val="4CBA1601"/>
    <w:rsid w:val="4CBD13AA"/>
    <w:rsid w:val="4CBF2E04"/>
    <w:rsid w:val="4CC70020"/>
    <w:rsid w:val="4CCA6149"/>
    <w:rsid w:val="4CCC01F2"/>
    <w:rsid w:val="4CD26D0B"/>
    <w:rsid w:val="4CD86AB8"/>
    <w:rsid w:val="4CDA680A"/>
    <w:rsid w:val="4CDC6E81"/>
    <w:rsid w:val="4CE07F77"/>
    <w:rsid w:val="4CEB4DF7"/>
    <w:rsid w:val="4CEF2CC7"/>
    <w:rsid w:val="4CF60F89"/>
    <w:rsid w:val="4CF82D36"/>
    <w:rsid w:val="4D0C64A0"/>
    <w:rsid w:val="4D1C1AB9"/>
    <w:rsid w:val="4D265AE0"/>
    <w:rsid w:val="4D2F33D6"/>
    <w:rsid w:val="4D3154BC"/>
    <w:rsid w:val="4D3A62E0"/>
    <w:rsid w:val="4D457A26"/>
    <w:rsid w:val="4D520492"/>
    <w:rsid w:val="4D527BBA"/>
    <w:rsid w:val="4D541405"/>
    <w:rsid w:val="4D565C2E"/>
    <w:rsid w:val="4D5A1CF0"/>
    <w:rsid w:val="4D5C042C"/>
    <w:rsid w:val="4D6C7200"/>
    <w:rsid w:val="4D6D36A4"/>
    <w:rsid w:val="4D6F1DCA"/>
    <w:rsid w:val="4D707D70"/>
    <w:rsid w:val="4D762D30"/>
    <w:rsid w:val="4D7762D0"/>
    <w:rsid w:val="4D7D6F6D"/>
    <w:rsid w:val="4D906268"/>
    <w:rsid w:val="4D9218C3"/>
    <w:rsid w:val="4D97348A"/>
    <w:rsid w:val="4D9A5B1B"/>
    <w:rsid w:val="4D9C0DF9"/>
    <w:rsid w:val="4DA57899"/>
    <w:rsid w:val="4DA8648A"/>
    <w:rsid w:val="4DAE49FC"/>
    <w:rsid w:val="4DB35B07"/>
    <w:rsid w:val="4DC407C0"/>
    <w:rsid w:val="4DD37913"/>
    <w:rsid w:val="4DD86643"/>
    <w:rsid w:val="4DDD3C5A"/>
    <w:rsid w:val="4DDE4460"/>
    <w:rsid w:val="4DE14C7E"/>
    <w:rsid w:val="4DE338F1"/>
    <w:rsid w:val="4DE90850"/>
    <w:rsid w:val="4DF25957"/>
    <w:rsid w:val="4DF711BF"/>
    <w:rsid w:val="4DFF3F4D"/>
    <w:rsid w:val="4E06624E"/>
    <w:rsid w:val="4E0B6A19"/>
    <w:rsid w:val="4E121B55"/>
    <w:rsid w:val="4E127DA7"/>
    <w:rsid w:val="4E1C34FE"/>
    <w:rsid w:val="4E2233F4"/>
    <w:rsid w:val="4E2A120F"/>
    <w:rsid w:val="4E2D248B"/>
    <w:rsid w:val="4E2D2E33"/>
    <w:rsid w:val="4E305547"/>
    <w:rsid w:val="4E30671B"/>
    <w:rsid w:val="4E346591"/>
    <w:rsid w:val="4E35183C"/>
    <w:rsid w:val="4E393586"/>
    <w:rsid w:val="4E435AB0"/>
    <w:rsid w:val="4E4A7DB4"/>
    <w:rsid w:val="4E4F49A5"/>
    <w:rsid w:val="4E5B79A0"/>
    <w:rsid w:val="4E5E019D"/>
    <w:rsid w:val="4E670E98"/>
    <w:rsid w:val="4E683BE1"/>
    <w:rsid w:val="4E7177AA"/>
    <w:rsid w:val="4E78112A"/>
    <w:rsid w:val="4E7A7AE1"/>
    <w:rsid w:val="4E7B594C"/>
    <w:rsid w:val="4E803B77"/>
    <w:rsid w:val="4E835A67"/>
    <w:rsid w:val="4E843AE4"/>
    <w:rsid w:val="4E8B7D2C"/>
    <w:rsid w:val="4E8F31A6"/>
    <w:rsid w:val="4E915170"/>
    <w:rsid w:val="4E925B34"/>
    <w:rsid w:val="4EA84BD1"/>
    <w:rsid w:val="4EB86BA1"/>
    <w:rsid w:val="4EBA1E1E"/>
    <w:rsid w:val="4EBB21ED"/>
    <w:rsid w:val="4EBD5F65"/>
    <w:rsid w:val="4EC022FF"/>
    <w:rsid w:val="4ECA0258"/>
    <w:rsid w:val="4ECB4B86"/>
    <w:rsid w:val="4ED74532"/>
    <w:rsid w:val="4EDA6AB0"/>
    <w:rsid w:val="4EDD0612"/>
    <w:rsid w:val="4EDD3B16"/>
    <w:rsid w:val="4EE021E0"/>
    <w:rsid w:val="4EE108DE"/>
    <w:rsid w:val="4EE53836"/>
    <w:rsid w:val="4EE77F10"/>
    <w:rsid w:val="4EEC26BA"/>
    <w:rsid w:val="4EF734DF"/>
    <w:rsid w:val="4EFC5DA4"/>
    <w:rsid w:val="4EFE2D66"/>
    <w:rsid w:val="4F022399"/>
    <w:rsid w:val="4F091C95"/>
    <w:rsid w:val="4F1418FD"/>
    <w:rsid w:val="4F1964C8"/>
    <w:rsid w:val="4F1F277C"/>
    <w:rsid w:val="4F277882"/>
    <w:rsid w:val="4F2839DA"/>
    <w:rsid w:val="4F2E47B8"/>
    <w:rsid w:val="4F2F3FC0"/>
    <w:rsid w:val="4F304F3F"/>
    <w:rsid w:val="4F3D049B"/>
    <w:rsid w:val="4F404A3A"/>
    <w:rsid w:val="4F4A4948"/>
    <w:rsid w:val="4F4E69C4"/>
    <w:rsid w:val="4F514F1A"/>
    <w:rsid w:val="4F5440CA"/>
    <w:rsid w:val="4F5F0A3F"/>
    <w:rsid w:val="4F610FE6"/>
    <w:rsid w:val="4F7718BF"/>
    <w:rsid w:val="4F824AB9"/>
    <w:rsid w:val="4F8545A9"/>
    <w:rsid w:val="4F861066"/>
    <w:rsid w:val="4F952A3E"/>
    <w:rsid w:val="4F95531B"/>
    <w:rsid w:val="4F9F566B"/>
    <w:rsid w:val="4FA233AD"/>
    <w:rsid w:val="4FA5502F"/>
    <w:rsid w:val="4FA6753C"/>
    <w:rsid w:val="4FAB400F"/>
    <w:rsid w:val="4FB46CE6"/>
    <w:rsid w:val="4FBB6E71"/>
    <w:rsid w:val="4FD5108C"/>
    <w:rsid w:val="4FDE4AA4"/>
    <w:rsid w:val="4FE55A96"/>
    <w:rsid w:val="4FEC2D98"/>
    <w:rsid w:val="4FF15351"/>
    <w:rsid w:val="4FF22610"/>
    <w:rsid w:val="4FF44B15"/>
    <w:rsid w:val="4FF66D32"/>
    <w:rsid w:val="4FF74A41"/>
    <w:rsid w:val="4FF86152"/>
    <w:rsid w:val="4FFE5546"/>
    <w:rsid w:val="5006029B"/>
    <w:rsid w:val="5012260E"/>
    <w:rsid w:val="50127591"/>
    <w:rsid w:val="501330C7"/>
    <w:rsid w:val="50173FCB"/>
    <w:rsid w:val="50181F90"/>
    <w:rsid w:val="50204270"/>
    <w:rsid w:val="5028222A"/>
    <w:rsid w:val="502A587C"/>
    <w:rsid w:val="50473E80"/>
    <w:rsid w:val="504A06D1"/>
    <w:rsid w:val="504F7091"/>
    <w:rsid w:val="505527CB"/>
    <w:rsid w:val="50563814"/>
    <w:rsid w:val="505B0315"/>
    <w:rsid w:val="50650F19"/>
    <w:rsid w:val="50663D5B"/>
    <w:rsid w:val="507460F2"/>
    <w:rsid w:val="5075461D"/>
    <w:rsid w:val="50762F1F"/>
    <w:rsid w:val="507F10E3"/>
    <w:rsid w:val="50827466"/>
    <w:rsid w:val="508474E5"/>
    <w:rsid w:val="50857C2F"/>
    <w:rsid w:val="508E263E"/>
    <w:rsid w:val="50921AA0"/>
    <w:rsid w:val="509531FC"/>
    <w:rsid w:val="509902B4"/>
    <w:rsid w:val="50A0169A"/>
    <w:rsid w:val="50A22EE3"/>
    <w:rsid w:val="50A53155"/>
    <w:rsid w:val="50A84F9A"/>
    <w:rsid w:val="50A92F12"/>
    <w:rsid w:val="50AA076B"/>
    <w:rsid w:val="50AE767E"/>
    <w:rsid w:val="50B64A8E"/>
    <w:rsid w:val="50BB13B7"/>
    <w:rsid w:val="50BD3070"/>
    <w:rsid w:val="50C026C4"/>
    <w:rsid w:val="50C13650"/>
    <w:rsid w:val="50CD1251"/>
    <w:rsid w:val="50CD55F3"/>
    <w:rsid w:val="50D2084A"/>
    <w:rsid w:val="50D7566F"/>
    <w:rsid w:val="50E22F57"/>
    <w:rsid w:val="50E313CC"/>
    <w:rsid w:val="50EC2B32"/>
    <w:rsid w:val="50F05527"/>
    <w:rsid w:val="50F10148"/>
    <w:rsid w:val="50FD3816"/>
    <w:rsid w:val="5101258E"/>
    <w:rsid w:val="510C61C9"/>
    <w:rsid w:val="510F0460"/>
    <w:rsid w:val="51164525"/>
    <w:rsid w:val="511A2107"/>
    <w:rsid w:val="511E4CB5"/>
    <w:rsid w:val="5124176D"/>
    <w:rsid w:val="5125610B"/>
    <w:rsid w:val="51295B34"/>
    <w:rsid w:val="512B6AB4"/>
    <w:rsid w:val="513029C4"/>
    <w:rsid w:val="5137230D"/>
    <w:rsid w:val="51411E1E"/>
    <w:rsid w:val="51515600"/>
    <w:rsid w:val="51641FA1"/>
    <w:rsid w:val="51695F30"/>
    <w:rsid w:val="516C3C72"/>
    <w:rsid w:val="51713342"/>
    <w:rsid w:val="51825244"/>
    <w:rsid w:val="518576B2"/>
    <w:rsid w:val="518B056D"/>
    <w:rsid w:val="51933489"/>
    <w:rsid w:val="51A226AC"/>
    <w:rsid w:val="51A5400F"/>
    <w:rsid w:val="51A80901"/>
    <w:rsid w:val="51A97528"/>
    <w:rsid w:val="51AA471F"/>
    <w:rsid w:val="51BB1E59"/>
    <w:rsid w:val="51BB5909"/>
    <w:rsid w:val="51D231BB"/>
    <w:rsid w:val="51D57224"/>
    <w:rsid w:val="51DD247A"/>
    <w:rsid w:val="51E21D1A"/>
    <w:rsid w:val="51E67CB1"/>
    <w:rsid w:val="51EA3159"/>
    <w:rsid w:val="51EB7A38"/>
    <w:rsid w:val="51ED6B61"/>
    <w:rsid w:val="51FF183A"/>
    <w:rsid w:val="520B5239"/>
    <w:rsid w:val="5212334A"/>
    <w:rsid w:val="523F2203"/>
    <w:rsid w:val="52410291"/>
    <w:rsid w:val="524C292E"/>
    <w:rsid w:val="524E3673"/>
    <w:rsid w:val="52575E63"/>
    <w:rsid w:val="525766D1"/>
    <w:rsid w:val="52580486"/>
    <w:rsid w:val="525A3C3F"/>
    <w:rsid w:val="52612354"/>
    <w:rsid w:val="52660276"/>
    <w:rsid w:val="5268443A"/>
    <w:rsid w:val="5273095F"/>
    <w:rsid w:val="52741030"/>
    <w:rsid w:val="52807492"/>
    <w:rsid w:val="5285323E"/>
    <w:rsid w:val="528F4774"/>
    <w:rsid w:val="5294072D"/>
    <w:rsid w:val="529B763F"/>
    <w:rsid w:val="52A105BD"/>
    <w:rsid w:val="52A80CDA"/>
    <w:rsid w:val="52B1789F"/>
    <w:rsid w:val="52BB083C"/>
    <w:rsid w:val="52BF0546"/>
    <w:rsid w:val="52CE2E9A"/>
    <w:rsid w:val="52D61424"/>
    <w:rsid w:val="52D92918"/>
    <w:rsid w:val="52E50543"/>
    <w:rsid w:val="52EF5EAC"/>
    <w:rsid w:val="52F11223"/>
    <w:rsid w:val="52FC70F0"/>
    <w:rsid w:val="52FF63EF"/>
    <w:rsid w:val="53042DB3"/>
    <w:rsid w:val="53054EB7"/>
    <w:rsid w:val="5307019F"/>
    <w:rsid w:val="53073C53"/>
    <w:rsid w:val="530C4820"/>
    <w:rsid w:val="530D6112"/>
    <w:rsid w:val="530E3233"/>
    <w:rsid w:val="531916ED"/>
    <w:rsid w:val="53193547"/>
    <w:rsid w:val="531B58D4"/>
    <w:rsid w:val="531F6EC4"/>
    <w:rsid w:val="532145E9"/>
    <w:rsid w:val="53232289"/>
    <w:rsid w:val="532C41AD"/>
    <w:rsid w:val="5330287A"/>
    <w:rsid w:val="5345615B"/>
    <w:rsid w:val="534B5658"/>
    <w:rsid w:val="534D4D26"/>
    <w:rsid w:val="534F5434"/>
    <w:rsid w:val="53571CE5"/>
    <w:rsid w:val="53587A1A"/>
    <w:rsid w:val="535B5D4C"/>
    <w:rsid w:val="535C06A1"/>
    <w:rsid w:val="53603EBD"/>
    <w:rsid w:val="536A0B5E"/>
    <w:rsid w:val="536A5F90"/>
    <w:rsid w:val="536C61AC"/>
    <w:rsid w:val="53715E8F"/>
    <w:rsid w:val="538105AB"/>
    <w:rsid w:val="53832129"/>
    <w:rsid w:val="538928BA"/>
    <w:rsid w:val="538A6632"/>
    <w:rsid w:val="538A7EF8"/>
    <w:rsid w:val="53927DCF"/>
    <w:rsid w:val="5394125E"/>
    <w:rsid w:val="53964FD7"/>
    <w:rsid w:val="539A1189"/>
    <w:rsid w:val="53A02B40"/>
    <w:rsid w:val="53A22312"/>
    <w:rsid w:val="53A4234B"/>
    <w:rsid w:val="53AD7D9F"/>
    <w:rsid w:val="53B0269D"/>
    <w:rsid w:val="53C66876"/>
    <w:rsid w:val="53C93B0F"/>
    <w:rsid w:val="53CE2ACE"/>
    <w:rsid w:val="53D36321"/>
    <w:rsid w:val="53D52709"/>
    <w:rsid w:val="53D76B51"/>
    <w:rsid w:val="53D8739D"/>
    <w:rsid w:val="53DE2604"/>
    <w:rsid w:val="53E86B7E"/>
    <w:rsid w:val="53E93358"/>
    <w:rsid w:val="53EC4BF7"/>
    <w:rsid w:val="53EE3005"/>
    <w:rsid w:val="53F1220D"/>
    <w:rsid w:val="53F429BA"/>
    <w:rsid w:val="53F81EFB"/>
    <w:rsid w:val="53FC2BBB"/>
    <w:rsid w:val="54000820"/>
    <w:rsid w:val="54164C93"/>
    <w:rsid w:val="54264634"/>
    <w:rsid w:val="542D76E9"/>
    <w:rsid w:val="543C7A77"/>
    <w:rsid w:val="543F3D14"/>
    <w:rsid w:val="54536D11"/>
    <w:rsid w:val="5463310B"/>
    <w:rsid w:val="54680721"/>
    <w:rsid w:val="547846DC"/>
    <w:rsid w:val="54812740"/>
    <w:rsid w:val="548412D3"/>
    <w:rsid w:val="548932BD"/>
    <w:rsid w:val="548E6B0B"/>
    <w:rsid w:val="54931516"/>
    <w:rsid w:val="549B0B08"/>
    <w:rsid w:val="549B3A55"/>
    <w:rsid w:val="54B551A9"/>
    <w:rsid w:val="54BE6593"/>
    <w:rsid w:val="54C046E2"/>
    <w:rsid w:val="54C70B96"/>
    <w:rsid w:val="54E41A02"/>
    <w:rsid w:val="54E65ED8"/>
    <w:rsid w:val="54E77DAE"/>
    <w:rsid w:val="54E95C1E"/>
    <w:rsid w:val="54EA2C52"/>
    <w:rsid w:val="54F20336"/>
    <w:rsid w:val="54F42ACC"/>
    <w:rsid w:val="54FA643B"/>
    <w:rsid w:val="54FD744A"/>
    <w:rsid w:val="55006BAB"/>
    <w:rsid w:val="55056AFD"/>
    <w:rsid w:val="55086A8D"/>
    <w:rsid w:val="550F18CE"/>
    <w:rsid w:val="55256612"/>
    <w:rsid w:val="552A5B34"/>
    <w:rsid w:val="55306D65"/>
    <w:rsid w:val="55336B81"/>
    <w:rsid w:val="553403B2"/>
    <w:rsid w:val="553571A8"/>
    <w:rsid w:val="553636C7"/>
    <w:rsid w:val="55432327"/>
    <w:rsid w:val="554B1358"/>
    <w:rsid w:val="554C2555"/>
    <w:rsid w:val="554E0FC1"/>
    <w:rsid w:val="555B19F5"/>
    <w:rsid w:val="557A2BAA"/>
    <w:rsid w:val="557F21C6"/>
    <w:rsid w:val="55853555"/>
    <w:rsid w:val="559374CC"/>
    <w:rsid w:val="5594305C"/>
    <w:rsid w:val="55A01873"/>
    <w:rsid w:val="55AB5B8E"/>
    <w:rsid w:val="55AE2015"/>
    <w:rsid w:val="55BF05E4"/>
    <w:rsid w:val="55C85827"/>
    <w:rsid w:val="55CB0CC1"/>
    <w:rsid w:val="55D818D6"/>
    <w:rsid w:val="55D911AB"/>
    <w:rsid w:val="55E00285"/>
    <w:rsid w:val="55EC11ED"/>
    <w:rsid w:val="55F45FE4"/>
    <w:rsid w:val="55FA184D"/>
    <w:rsid w:val="55FA3E5A"/>
    <w:rsid w:val="55FC7A04"/>
    <w:rsid w:val="55FE0AB0"/>
    <w:rsid w:val="56020384"/>
    <w:rsid w:val="5608337B"/>
    <w:rsid w:val="560A662B"/>
    <w:rsid w:val="56150435"/>
    <w:rsid w:val="56165356"/>
    <w:rsid w:val="561C5A46"/>
    <w:rsid w:val="5622323A"/>
    <w:rsid w:val="562B32B4"/>
    <w:rsid w:val="563479A6"/>
    <w:rsid w:val="56382375"/>
    <w:rsid w:val="56393B24"/>
    <w:rsid w:val="563E406D"/>
    <w:rsid w:val="563F6221"/>
    <w:rsid w:val="564926DD"/>
    <w:rsid w:val="564B20A8"/>
    <w:rsid w:val="565076BF"/>
    <w:rsid w:val="56535D41"/>
    <w:rsid w:val="566273F2"/>
    <w:rsid w:val="5669564D"/>
    <w:rsid w:val="566D5190"/>
    <w:rsid w:val="56815ACA"/>
    <w:rsid w:val="568630E0"/>
    <w:rsid w:val="568B799B"/>
    <w:rsid w:val="569362B6"/>
    <w:rsid w:val="56973C6B"/>
    <w:rsid w:val="5697709C"/>
    <w:rsid w:val="56995D14"/>
    <w:rsid w:val="569C6DA8"/>
    <w:rsid w:val="569D22E6"/>
    <w:rsid w:val="569E250A"/>
    <w:rsid w:val="56A064BA"/>
    <w:rsid w:val="56A42F7F"/>
    <w:rsid w:val="56AB5A99"/>
    <w:rsid w:val="56AE5749"/>
    <w:rsid w:val="56B21D51"/>
    <w:rsid w:val="56BF1DFA"/>
    <w:rsid w:val="56C447B8"/>
    <w:rsid w:val="56C93B85"/>
    <w:rsid w:val="56D54068"/>
    <w:rsid w:val="56DE71A4"/>
    <w:rsid w:val="56E20C1E"/>
    <w:rsid w:val="56E51347"/>
    <w:rsid w:val="56E57E7D"/>
    <w:rsid w:val="56E82ED0"/>
    <w:rsid w:val="56EA2821"/>
    <w:rsid w:val="56EA556B"/>
    <w:rsid w:val="56ED3A4D"/>
    <w:rsid w:val="56F23D79"/>
    <w:rsid w:val="56F476E0"/>
    <w:rsid w:val="56F609DE"/>
    <w:rsid w:val="56F72230"/>
    <w:rsid w:val="5700148F"/>
    <w:rsid w:val="57055CE2"/>
    <w:rsid w:val="57087F99"/>
    <w:rsid w:val="570C35BF"/>
    <w:rsid w:val="570D4FA1"/>
    <w:rsid w:val="57104B41"/>
    <w:rsid w:val="57133340"/>
    <w:rsid w:val="571477B7"/>
    <w:rsid w:val="571A1A7B"/>
    <w:rsid w:val="571E0CAB"/>
    <w:rsid w:val="5722541C"/>
    <w:rsid w:val="57393677"/>
    <w:rsid w:val="574A56CA"/>
    <w:rsid w:val="574C2587"/>
    <w:rsid w:val="575E5D20"/>
    <w:rsid w:val="576528E0"/>
    <w:rsid w:val="57686C8A"/>
    <w:rsid w:val="576A62A9"/>
    <w:rsid w:val="577713E3"/>
    <w:rsid w:val="57785210"/>
    <w:rsid w:val="577C358F"/>
    <w:rsid w:val="577D448E"/>
    <w:rsid w:val="577D75B8"/>
    <w:rsid w:val="577E025B"/>
    <w:rsid w:val="57805D82"/>
    <w:rsid w:val="578162BC"/>
    <w:rsid w:val="57876C2E"/>
    <w:rsid w:val="5797224C"/>
    <w:rsid w:val="579B705F"/>
    <w:rsid w:val="57A26B41"/>
    <w:rsid w:val="57A777B2"/>
    <w:rsid w:val="57B017F6"/>
    <w:rsid w:val="57B63E99"/>
    <w:rsid w:val="57B95737"/>
    <w:rsid w:val="57BE1B56"/>
    <w:rsid w:val="57C27432"/>
    <w:rsid w:val="57C31415"/>
    <w:rsid w:val="57D3429C"/>
    <w:rsid w:val="57E97DCB"/>
    <w:rsid w:val="57ED66AA"/>
    <w:rsid w:val="57F347A6"/>
    <w:rsid w:val="57F549C2"/>
    <w:rsid w:val="57FF5681"/>
    <w:rsid w:val="580F15D6"/>
    <w:rsid w:val="58161D29"/>
    <w:rsid w:val="581703CB"/>
    <w:rsid w:val="581D1822"/>
    <w:rsid w:val="58285BD8"/>
    <w:rsid w:val="58337298"/>
    <w:rsid w:val="5834210C"/>
    <w:rsid w:val="58374865"/>
    <w:rsid w:val="58403763"/>
    <w:rsid w:val="5848391C"/>
    <w:rsid w:val="585B5E35"/>
    <w:rsid w:val="585B7277"/>
    <w:rsid w:val="585F5D41"/>
    <w:rsid w:val="58636A40"/>
    <w:rsid w:val="58647451"/>
    <w:rsid w:val="586C0B52"/>
    <w:rsid w:val="587003DF"/>
    <w:rsid w:val="5870229A"/>
    <w:rsid w:val="5878622A"/>
    <w:rsid w:val="587A5A97"/>
    <w:rsid w:val="587D72F9"/>
    <w:rsid w:val="587F072F"/>
    <w:rsid w:val="58807301"/>
    <w:rsid w:val="58844137"/>
    <w:rsid w:val="588616D3"/>
    <w:rsid w:val="5886386C"/>
    <w:rsid w:val="58873140"/>
    <w:rsid w:val="5888627A"/>
    <w:rsid w:val="588B5295"/>
    <w:rsid w:val="58900246"/>
    <w:rsid w:val="58916AC3"/>
    <w:rsid w:val="58975328"/>
    <w:rsid w:val="58977A2E"/>
    <w:rsid w:val="589B1600"/>
    <w:rsid w:val="58A05DC2"/>
    <w:rsid w:val="58AB32D2"/>
    <w:rsid w:val="58B6258C"/>
    <w:rsid w:val="58B646E4"/>
    <w:rsid w:val="58BC54DF"/>
    <w:rsid w:val="58BE4439"/>
    <w:rsid w:val="58C148A4"/>
    <w:rsid w:val="58C3655D"/>
    <w:rsid w:val="58C6010C"/>
    <w:rsid w:val="58CA62C8"/>
    <w:rsid w:val="58D73051"/>
    <w:rsid w:val="58DE69F7"/>
    <w:rsid w:val="58E3783D"/>
    <w:rsid w:val="58E467E4"/>
    <w:rsid w:val="58EF62C7"/>
    <w:rsid w:val="58F073FF"/>
    <w:rsid w:val="58F25714"/>
    <w:rsid w:val="58FD3402"/>
    <w:rsid w:val="59004B47"/>
    <w:rsid w:val="590537DA"/>
    <w:rsid w:val="59091DA7"/>
    <w:rsid w:val="590A624B"/>
    <w:rsid w:val="590B3D71"/>
    <w:rsid w:val="590F1AB3"/>
    <w:rsid w:val="59123351"/>
    <w:rsid w:val="59131E85"/>
    <w:rsid w:val="591E773C"/>
    <w:rsid w:val="592B61C1"/>
    <w:rsid w:val="5931649C"/>
    <w:rsid w:val="59353AFB"/>
    <w:rsid w:val="59356FF1"/>
    <w:rsid w:val="593C70B4"/>
    <w:rsid w:val="59406A8D"/>
    <w:rsid w:val="59497BB1"/>
    <w:rsid w:val="594D7417"/>
    <w:rsid w:val="594F4A95"/>
    <w:rsid w:val="5952570D"/>
    <w:rsid w:val="59574169"/>
    <w:rsid w:val="595E6D7C"/>
    <w:rsid w:val="596A3F0B"/>
    <w:rsid w:val="596C2A61"/>
    <w:rsid w:val="5973649F"/>
    <w:rsid w:val="59804C5F"/>
    <w:rsid w:val="59853B23"/>
    <w:rsid w:val="59946BAC"/>
    <w:rsid w:val="599775EE"/>
    <w:rsid w:val="59A044B9"/>
    <w:rsid w:val="59AF0EEB"/>
    <w:rsid w:val="59B01EF0"/>
    <w:rsid w:val="59BD1B3C"/>
    <w:rsid w:val="59C44CE9"/>
    <w:rsid w:val="59CC3FE2"/>
    <w:rsid w:val="59CD1026"/>
    <w:rsid w:val="59CE248B"/>
    <w:rsid w:val="59D2488F"/>
    <w:rsid w:val="59E30C64"/>
    <w:rsid w:val="59E7708B"/>
    <w:rsid w:val="59E911EE"/>
    <w:rsid w:val="59EC5012"/>
    <w:rsid w:val="59F208B8"/>
    <w:rsid w:val="59F34F31"/>
    <w:rsid w:val="59F35F66"/>
    <w:rsid w:val="59F6216C"/>
    <w:rsid w:val="5A211DBA"/>
    <w:rsid w:val="5A256210"/>
    <w:rsid w:val="5A31662D"/>
    <w:rsid w:val="5A326BEC"/>
    <w:rsid w:val="5A3D2BDB"/>
    <w:rsid w:val="5A414E3D"/>
    <w:rsid w:val="5A427E36"/>
    <w:rsid w:val="5A454CEA"/>
    <w:rsid w:val="5A496657"/>
    <w:rsid w:val="5A4E7A60"/>
    <w:rsid w:val="5A56330D"/>
    <w:rsid w:val="5A5C65DE"/>
    <w:rsid w:val="5A68311A"/>
    <w:rsid w:val="5A732F8A"/>
    <w:rsid w:val="5A744438"/>
    <w:rsid w:val="5A763F4F"/>
    <w:rsid w:val="5A821E11"/>
    <w:rsid w:val="5A84657D"/>
    <w:rsid w:val="5A8A3010"/>
    <w:rsid w:val="5A8B33BB"/>
    <w:rsid w:val="5A8E07B6"/>
    <w:rsid w:val="5A951B9E"/>
    <w:rsid w:val="5A9D30EE"/>
    <w:rsid w:val="5A9E46A2"/>
    <w:rsid w:val="5AA10BEE"/>
    <w:rsid w:val="5AA42629"/>
    <w:rsid w:val="5AA53B9A"/>
    <w:rsid w:val="5AA57C9B"/>
    <w:rsid w:val="5AA806D3"/>
    <w:rsid w:val="5AB95D5F"/>
    <w:rsid w:val="5ABC4C18"/>
    <w:rsid w:val="5AC42429"/>
    <w:rsid w:val="5AC57E95"/>
    <w:rsid w:val="5AC85246"/>
    <w:rsid w:val="5AC96D8D"/>
    <w:rsid w:val="5ACB6B60"/>
    <w:rsid w:val="5AD14B46"/>
    <w:rsid w:val="5AD9584A"/>
    <w:rsid w:val="5ADE471F"/>
    <w:rsid w:val="5AE70BB0"/>
    <w:rsid w:val="5AEB29BA"/>
    <w:rsid w:val="5AEE09C6"/>
    <w:rsid w:val="5AEF70F6"/>
    <w:rsid w:val="5AF2343A"/>
    <w:rsid w:val="5AF30F60"/>
    <w:rsid w:val="5AF947C9"/>
    <w:rsid w:val="5AFF4EE0"/>
    <w:rsid w:val="5B0373F5"/>
    <w:rsid w:val="5B093975"/>
    <w:rsid w:val="5B0D6977"/>
    <w:rsid w:val="5B0F51AA"/>
    <w:rsid w:val="5B1705AA"/>
    <w:rsid w:val="5B1A029B"/>
    <w:rsid w:val="5B1C04B7"/>
    <w:rsid w:val="5B1C4013"/>
    <w:rsid w:val="5B26465E"/>
    <w:rsid w:val="5B386973"/>
    <w:rsid w:val="5B3F307F"/>
    <w:rsid w:val="5B43290D"/>
    <w:rsid w:val="5B443756"/>
    <w:rsid w:val="5B486EF9"/>
    <w:rsid w:val="5B505E97"/>
    <w:rsid w:val="5B64745E"/>
    <w:rsid w:val="5B647768"/>
    <w:rsid w:val="5B697B85"/>
    <w:rsid w:val="5B6B7AE5"/>
    <w:rsid w:val="5B6D7895"/>
    <w:rsid w:val="5B6F4F7F"/>
    <w:rsid w:val="5B7454CA"/>
    <w:rsid w:val="5B750EFE"/>
    <w:rsid w:val="5B7A33E0"/>
    <w:rsid w:val="5B8B14A4"/>
    <w:rsid w:val="5B956ECD"/>
    <w:rsid w:val="5B9718EC"/>
    <w:rsid w:val="5B977B3E"/>
    <w:rsid w:val="5B9F2E9A"/>
    <w:rsid w:val="5BA504AD"/>
    <w:rsid w:val="5BA54009"/>
    <w:rsid w:val="5BA73103"/>
    <w:rsid w:val="5BAA2B88"/>
    <w:rsid w:val="5BB26369"/>
    <w:rsid w:val="5BB84ACC"/>
    <w:rsid w:val="5BBB40FA"/>
    <w:rsid w:val="5BBC2DC8"/>
    <w:rsid w:val="5BBD41C5"/>
    <w:rsid w:val="5BC30933"/>
    <w:rsid w:val="5BD14EA2"/>
    <w:rsid w:val="5BD818EA"/>
    <w:rsid w:val="5BD91F04"/>
    <w:rsid w:val="5BDB23DD"/>
    <w:rsid w:val="5BDB3669"/>
    <w:rsid w:val="5BDD3DAB"/>
    <w:rsid w:val="5BDF74C1"/>
    <w:rsid w:val="5BE871A6"/>
    <w:rsid w:val="5BEF43F6"/>
    <w:rsid w:val="5BF07B73"/>
    <w:rsid w:val="5BF358A1"/>
    <w:rsid w:val="5BFC5BF3"/>
    <w:rsid w:val="5BFE5E0F"/>
    <w:rsid w:val="5C0209EF"/>
    <w:rsid w:val="5C055EB3"/>
    <w:rsid w:val="5C063EDE"/>
    <w:rsid w:val="5C067E93"/>
    <w:rsid w:val="5C0B4850"/>
    <w:rsid w:val="5C112FB7"/>
    <w:rsid w:val="5C163158"/>
    <w:rsid w:val="5C1B251D"/>
    <w:rsid w:val="5C1D2488"/>
    <w:rsid w:val="5C1F733C"/>
    <w:rsid w:val="5C1F7933"/>
    <w:rsid w:val="5C2A125B"/>
    <w:rsid w:val="5C2B7C22"/>
    <w:rsid w:val="5C2C472A"/>
    <w:rsid w:val="5C362FC6"/>
    <w:rsid w:val="5C3C25D8"/>
    <w:rsid w:val="5C403D31"/>
    <w:rsid w:val="5C40596B"/>
    <w:rsid w:val="5C4070C7"/>
    <w:rsid w:val="5C462F70"/>
    <w:rsid w:val="5C464800"/>
    <w:rsid w:val="5C4B3416"/>
    <w:rsid w:val="5C551B74"/>
    <w:rsid w:val="5C593045"/>
    <w:rsid w:val="5C5A4BA4"/>
    <w:rsid w:val="5C606182"/>
    <w:rsid w:val="5C614690"/>
    <w:rsid w:val="5C71213D"/>
    <w:rsid w:val="5C743D97"/>
    <w:rsid w:val="5C760FEB"/>
    <w:rsid w:val="5C7A0B5D"/>
    <w:rsid w:val="5C80022D"/>
    <w:rsid w:val="5C8739B8"/>
    <w:rsid w:val="5C892A50"/>
    <w:rsid w:val="5C8C341B"/>
    <w:rsid w:val="5C903FB1"/>
    <w:rsid w:val="5C923C74"/>
    <w:rsid w:val="5CA26AE8"/>
    <w:rsid w:val="5CA63AC8"/>
    <w:rsid w:val="5CAA564F"/>
    <w:rsid w:val="5CAC13C7"/>
    <w:rsid w:val="5CB11D9A"/>
    <w:rsid w:val="5CB32B30"/>
    <w:rsid w:val="5CB5471F"/>
    <w:rsid w:val="5CB73713"/>
    <w:rsid w:val="5CBD4BB2"/>
    <w:rsid w:val="5CBF193C"/>
    <w:rsid w:val="5CCA2A8F"/>
    <w:rsid w:val="5CCC4256"/>
    <w:rsid w:val="5CCD192B"/>
    <w:rsid w:val="5CD10967"/>
    <w:rsid w:val="5CD12721"/>
    <w:rsid w:val="5CD526CC"/>
    <w:rsid w:val="5CE42F25"/>
    <w:rsid w:val="5CEB03DB"/>
    <w:rsid w:val="5CEB2375"/>
    <w:rsid w:val="5CEB7654"/>
    <w:rsid w:val="5CED2246"/>
    <w:rsid w:val="5CF95B89"/>
    <w:rsid w:val="5CFC234E"/>
    <w:rsid w:val="5CFC2E54"/>
    <w:rsid w:val="5D001860"/>
    <w:rsid w:val="5D0541AD"/>
    <w:rsid w:val="5D087AD5"/>
    <w:rsid w:val="5D156B41"/>
    <w:rsid w:val="5D1809E5"/>
    <w:rsid w:val="5D22487D"/>
    <w:rsid w:val="5D277883"/>
    <w:rsid w:val="5D320A2C"/>
    <w:rsid w:val="5D325688"/>
    <w:rsid w:val="5D3C4296"/>
    <w:rsid w:val="5D3D64C3"/>
    <w:rsid w:val="5D437F7D"/>
    <w:rsid w:val="5D4A4AAB"/>
    <w:rsid w:val="5D51481A"/>
    <w:rsid w:val="5D583FDE"/>
    <w:rsid w:val="5D5A52C7"/>
    <w:rsid w:val="5D6778DC"/>
    <w:rsid w:val="5D787085"/>
    <w:rsid w:val="5D78723B"/>
    <w:rsid w:val="5D793ED9"/>
    <w:rsid w:val="5D7C54B7"/>
    <w:rsid w:val="5D8073CE"/>
    <w:rsid w:val="5D9E0DCC"/>
    <w:rsid w:val="5DA7160D"/>
    <w:rsid w:val="5DAB5B22"/>
    <w:rsid w:val="5DBF002A"/>
    <w:rsid w:val="5DCA5FA9"/>
    <w:rsid w:val="5DCE0F21"/>
    <w:rsid w:val="5DCE33F0"/>
    <w:rsid w:val="5DD230AF"/>
    <w:rsid w:val="5DD2425A"/>
    <w:rsid w:val="5DD475FB"/>
    <w:rsid w:val="5DD82D8D"/>
    <w:rsid w:val="5DE320CD"/>
    <w:rsid w:val="5DE828D3"/>
    <w:rsid w:val="5DED534B"/>
    <w:rsid w:val="5DF22A47"/>
    <w:rsid w:val="5DF3207B"/>
    <w:rsid w:val="5DF429BD"/>
    <w:rsid w:val="5DFB19D3"/>
    <w:rsid w:val="5E015239"/>
    <w:rsid w:val="5E02108F"/>
    <w:rsid w:val="5E027712"/>
    <w:rsid w:val="5E0A693F"/>
    <w:rsid w:val="5E0B4D95"/>
    <w:rsid w:val="5E0B6705"/>
    <w:rsid w:val="5E0C65C1"/>
    <w:rsid w:val="5E0F3507"/>
    <w:rsid w:val="5E126B5F"/>
    <w:rsid w:val="5E1B63CF"/>
    <w:rsid w:val="5E241C39"/>
    <w:rsid w:val="5E2B0BE4"/>
    <w:rsid w:val="5E2C7C9A"/>
    <w:rsid w:val="5E2D15BD"/>
    <w:rsid w:val="5E2E4C97"/>
    <w:rsid w:val="5E315F82"/>
    <w:rsid w:val="5E421185"/>
    <w:rsid w:val="5E42296D"/>
    <w:rsid w:val="5E42423D"/>
    <w:rsid w:val="5E4A533B"/>
    <w:rsid w:val="5E566ABA"/>
    <w:rsid w:val="5E5F0174"/>
    <w:rsid w:val="5E7423B8"/>
    <w:rsid w:val="5E794DAB"/>
    <w:rsid w:val="5E851769"/>
    <w:rsid w:val="5E88676E"/>
    <w:rsid w:val="5E90377B"/>
    <w:rsid w:val="5E974737"/>
    <w:rsid w:val="5E9D546B"/>
    <w:rsid w:val="5EB56C59"/>
    <w:rsid w:val="5EBB3B43"/>
    <w:rsid w:val="5EC15463"/>
    <w:rsid w:val="5EC16502"/>
    <w:rsid w:val="5ECD6940"/>
    <w:rsid w:val="5ECE5B95"/>
    <w:rsid w:val="5ECE7D1A"/>
    <w:rsid w:val="5ED15115"/>
    <w:rsid w:val="5ED34208"/>
    <w:rsid w:val="5EE04FB0"/>
    <w:rsid w:val="5EE33CF5"/>
    <w:rsid w:val="5EEA61D6"/>
    <w:rsid w:val="5EEE2AE3"/>
    <w:rsid w:val="5EF13A09"/>
    <w:rsid w:val="5EF17E67"/>
    <w:rsid w:val="5EF72A2C"/>
    <w:rsid w:val="5EF86B45"/>
    <w:rsid w:val="5F004C32"/>
    <w:rsid w:val="5F0279C4"/>
    <w:rsid w:val="5F056400"/>
    <w:rsid w:val="5F090007"/>
    <w:rsid w:val="5F0B07FC"/>
    <w:rsid w:val="5F125E59"/>
    <w:rsid w:val="5F1B4886"/>
    <w:rsid w:val="5F1C07BB"/>
    <w:rsid w:val="5F2142EE"/>
    <w:rsid w:val="5F296CFF"/>
    <w:rsid w:val="5F2E07B9"/>
    <w:rsid w:val="5F366E01"/>
    <w:rsid w:val="5F447FDD"/>
    <w:rsid w:val="5F4655BD"/>
    <w:rsid w:val="5F47215F"/>
    <w:rsid w:val="5F4D4329"/>
    <w:rsid w:val="5F5010B5"/>
    <w:rsid w:val="5F5201F6"/>
    <w:rsid w:val="5F5C6C75"/>
    <w:rsid w:val="5F5F0972"/>
    <w:rsid w:val="5F6441DB"/>
    <w:rsid w:val="5F6A6AEE"/>
    <w:rsid w:val="5F717047"/>
    <w:rsid w:val="5F7206A6"/>
    <w:rsid w:val="5F79590E"/>
    <w:rsid w:val="5F8B5725"/>
    <w:rsid w:val="5F9A53E0"/>
    <w:rsid w:val="5FA42082"/>
    <w:rsid w:val="5FAB164E"/>
    <w:rsid w:val="5FAF6596"/>
    <w:rsid w:val="5FB94DB2"/>
    <w:rsid w:val="5FCA16FF"/>
    <w:rsid w:val="5FCE3FB0"/>
    <w:rsid w:val="5FD05FD8"/>
    <w:rsid w:val="5FD56FBE"/>
    <w:rsid w:val="5FD94A5C"/>
    <w:rsid w:val="5FD97849"/>
    <w:rsid w:val="5FDD1C0F"/>
    <w:rsid w:val="5FE52AA3"/>
    <w:rsid w:val="5FEC48FC"/>
    <w:rsid w:val="5FF305EB"/>
    <w:rsid w:val="5FF53085"/>
    <w:rsid w:val="60025ECE"/>
    <w:rsid w:val="60045777"/>
    <w:rsid w:val="6005776C"/>
    <w:rsid w:val="601959CA"/>
    <w:rsid w:val="601E7F39"/>
    <w:rsid w:val="603826DC"/>
    <w:rsid w:val="60422C2E"/>
    <w:rsid w:val="605024FC"/>
    <w:rsid w:val="60590969"/>
    <w:rsid w:val="60787F3E"/>
    <w:rsid w:val="607B3B51"/>
    <w:rsid w:val="607B497F"/>
    <w:rsid w:val="607D4874"/>
    <w:rsid w:val="60874625"/>
    <w:rsid w:val="608F7B4B"/>
    <w:rsid w:val="6094289E"/>
    <w:rsid w:val="60967B7C"/>
    <w:rsid w:val="60985008"/>
    <w:rsid w:val="6098672D"/>
    <w:rsid w:val="60A125B4"/>
    <w:rsid w:val="60A30158"/>
    <w:rsid w:val="60B26229"/>
    <w:rsid w:val="60B371C8"/>
    <w:rsid w:val="60B453AD"/>
    <w:rsid w:val="60BA6C35"/>
    <w:rsid w:val="60BD3D7D"/>
    <w:rsid w:val="60C4236B"/>
    <w:rsid w:val="60C442E0"/>
    <w:rsid w:val="60C530B4"/>
    <w:rsid w:val="60C561A8"/>
    <w:rsid w:val="60C62136"/>
    <w:rsid w:val="60C82547"/>
    <w:rsid w:val="60CC4BE4"/>
    <w:rsid w:val="60D31618"/>
    <w:rsid w:val="60D37AAA"/>
    <w:rsid w:val="60D45AE8"/>
    <w:rsid w:val="60E1407F"/>
    <w:rsid w:val="60E65C25"/>
    <w:rsid w:val="60E845C2"/>
    <w:rsid w:val="60EA32B3"/>
    <w:rsid w:val="60EC6488"/>
    <w:rsid w:val="60F31CBA"/>
    <w:rsid w:val="60F44CBD"/>
    <w:rsid w:val="60F75E80"/>
    <w:rsid w:val="60F90189"/>
    <w:rsid w:val="60FB291D"/>
    <w:rsid w:val="60FC519A"/>
    <w:rsid w:val="60FF0BF0"/>
    <w:rsid w:val="610B7C7E"/>
    <w:rsid w:val="610D3483"/>
    <w:rsid w:val="610D568C"/>
    <w:rsid w:val="61104046"/>
    <w:rsid w:val="61125844"/>
    <w:rsid w:val="611A72C2"/>
    <w:rsid w:val="611E37D0"/>
    <w:rsid w:val="61285B29"/>
    <w:rsid w:val="612C6293"/>
    <w:rsid w:val="61310555"/>
    <w:rsid w:val="613A51F3"/>
    <w:rsid w:val="615F143C"/>
    <w:rsid w:val="61611779"/>
    <w:rsid w:val="616347D0"/>
    <w:rsid w:val="61655CDB"/>
    <w:rsid w:val="6172141B"/>
    <w:rsid w:val="6174316B"/>
    <w:rsid w:val="617D118D"/>
    <w:rsid w:val="618B652E"/>
    <w:rsid w:val="618E5E31"/>
    <w:rsid w:val="61907414"/>
    <w:rsid w:val="6191012D"/>
    <w:rsid w:val="619B419C"/>
    <w:rsid w:val="619E091E"/>
    <w:rsid w:val="61A05B47"/>
    <w:rsid w:val="61A115C1"/>
    <w:rsid w:val="61A20794"/>
    <w:rsid w:val="61AD056F"/>
    <w:rsid w:val="61AE454C"/>
    <w:rsid w:val="61B9080E"/>
    <w:rsid w:val="61B91F97"/>
    <w:rsid w:val="61BB4A54"/>
    <w:rsid w:val="61BC1174"/>
    <w:rsid w:val="61BD1DEE"/>
    <w:rsid w:val="61D33AAA"/>
    <w:rsid w:val="61D90170"/>
    <w:rsid w:val="61E342AA"/>
    <w:rsid w:val="61F1110B"/>
    <w:rsid w:val="61F24E49"/>
    <w:rsid w:val="61F45CEA"/>
    <w:rsid w:val="61FC08DA"/>
    <w:rsid w:val="62065A1D"/>
    <w:rsid w:val="62080726"/>
    <w:rsid w:val="620B0C67"/>
    <w:rsid w:val="620B1115"/>
    <w:rsid w:val="620B4DE2"/>
    <w:rsid w:val="62206FCC"/>
    <w:rsid w:val="622814F0"/>
    <w:rsid w:val="62305F56"/>
    <w:rsid w:val="623D67C2"/>
    <w:rsid w:val="62400F9F"/>
    <w:rsid w:val="624F4F06"/>
    <w:rsid w:val="625760E8"/>
    <w:rsid w:val="62594F73"/>
    <w:rsid w:val="625B6E07"/>
    <w:rsid w:val="62692215"/>
    <w:rsid w:val="62716B09"/>
    <w:rsid w:val="627365A7"/>
    <w:rsid w:val="62847ECD"/>
    <w:rsid w:val="62890C71"/>
    <w:rsid w:val="6290224D"/>
    <w:rsid w:val="62C03E1E"/>
    <w:rsid w:val="62C607B9"/>
    <w:rsid w:val="62C66E72"/>
    <w:rsid w:val="62C96F6B"/>
    <w:rsid w:val="62D17DD9"/>
    <w:rsid w:val="62D90C68"/>
    <w:rsid w:val="62D96C8E"/>
    <w:rsid w:val="62DB47B4"/>
    <w:rsid w:val="62DD67CF"/>
    <w:rsid w:val="62E442A2"/>
    <w:rsid w:val="62E778F9"/>
    <w:rsid w:val="62F35FA1"/>
    <w:rsid w:val="63002F12"/>
    <w:rsid w:val="63072F03"/>
    <w:rsid w:val="630E00AD"/>
    <w:rsid w:val="63130EDA"/>
    <w:rsid w:val="631D4DCC"/>
    <w:rsid w:val="632F14AD"/>
    <w:rsid w:val="633116D0"/>
    <w:rsid w:val="63327579"/>
    <w:rsid w:val="633640E0"/>
    <w:rsid w:val="6336589B"/>
    <w:rsid w:val="633C46CC"/>
    <w:rsid w:val="634020BB"/>
    <w:rsid w:val="63422A85"/>
    <w:rsid w:val="63424539"/>
    <w:rsid w:val="634467FD"/>
    <w:rsid w:val="63462575"/>
    <w:rsid w:val="63584286"/>
    <w:rsid w:val="6370314E"/>
    <w:rsid w:val="6378452C"/>
    <w:rsid w:val="6386341C"/>
    <w:rsid w:val="63884F6D"/>
    <w:rsid w:val="63A11F18"/>
    <w:rsid w:val="63A76A6A"/>
    <w:rsid w:val="63A82100"/>
    <w:rsid w:val="63AB3CC0"/>
    <w:rsid w:val="63BF2E3F"/>
    <w:rsid w:val="63BF40D6"/>
    <w:rsid w:val="63C8712F"/>
    <w:rsid w:val="63D27965"/>
    <w:rsid w:val="63D32CD3"/>
    <w:rsid w:val="63DC6763"/>
    <w:rsid w:val="63E80F78"/>
    <w:rsid w:val="63ED315D"/>
    <w:rsid w:val="63F248C8"/>
    <w:rsid w:val="640115AF"/>
    <w:rsid w:val="64016C13"/>
    <w:rsid w:val="64054A37"/>
    <w:rsid w:val="640E0649"/>
    <w:rsid w:val="6411626F"/>
    <w:rsid w:val="64134D74"/>
    <w:rsid w:val="6417181C"/>
    <w:rsid w:val="641A2CAF"/>
    <w:rsid w:val="64203F73"/>
    <w:rsid w:val="64230EF6"/>
    <w:rsid w:val="64267CB1"/>
    <w:rsid w:val="6429584C"/>
    <w:rsid w:val="642B3B36"/>
    <w:rsid w:val="642D6665"/>
    <w:rsid w:val="643F19F5"/>
    <w:rsid w:val="64495D15"/>
    <w:rsid w:val="644B0789"/>
    <w:rsid w:val="64502615"/>
    <w:rsid w:val="6462089C"/>
    <w:rsid w:val="64777874"/>
    <w:rsid w:val="647B04A1"/>
    <w:rsid w:val="647B7FFD"/>
    <w:rsid w:val="647C0C8E"/>
    <w:rsid w:val="647D0F5E"/>
    <w:rsid w:val="647E4697"/>
    <w:rsid w:val="649514AF"/>
    <w:rsid w:val="64A03CD0"/>
    <w:rsid w:val="64A137DB"/>
    <w:rsid w:val="64A633FC"/>
    <w:rsid w:val="64AA2690"/>
    <w:rsid w:val="64AF08F2"/>
    <w:rsid w:val="64B77DA8"/>
    <w:rsid w:val="64C37BF6"/>
    <w:rsid w:val="64C95AA1"/>
    <w:rsid w:val="64CD6821"/>
    <w:rsid w:val="64D35ED3"/>
    <w:rsid w:val="64D3795A"/>
    <w:rsid w:val="64D43BB1"/>
    <w:rsid w:val="64D4770D"/>
    <w:rsid w:val="64D51C41"/>
    <w:rsid w:val="64DE5971"/>
    <w:rsid w:val="64EA779F"/>
    <w:rsid w:val="64ED2038"/>
    <w:rsid w:val="64F302B2"/>
    <w:rsid w:val="64F878B5"/>
    <w:rsid w:val="64FA4357"/>
    <w:rsid w:val="64FB738F"/>
    <w:rsid w:val="64FE7793"/>
    <w:rsid w:val="65056D62"/>
    <w:rsid w:val="651D51F3"/>
    <w:rsid w:val="65200BA4"/>
    <w:rsid w:val="652A7F54"/>
    <w:rsid w:val="65372515"/>
    <w:rsid w:val="653D291D"/>
    <w:rsid w:val="653F727C"/>
    <w:rsid w:val="6540549D"/>
    <w:rsid w:val="6547592D"/>
    <w:rsid w:val="654A1586"/>
    <w:rsid w:val="654B5FE2"/>
    <w:rsid w:val="654C412D"/>
    <w:rsid w:val="654E525A"/>
    <w:rsid w:val="654E5711"/>
    <w:rsid w:val="654F5753"/>
    <w:rsid w:val="65501253"/>
    <w:rsid w:val="65504AC6"/>
    <w:rsid w:val="65521597"/>
    <w:rsid w:val="655B4CDF"/>
    <w:rsid w:val="655C1292"/>
    <w:rsid w:val="65660CAD"/>
    <w:rsid w:val="65674E76"/>
    <w:rsid w:val="65675E07"/>
    <w:rsid w:val="65716D31"/>
    <w:rsid w:val="657F1D6E"/>
    <w:rsid w:val="657F38A3"/>
    <w:rsid w:val="65895C28"/>
    <w:rsid w:val="658D5E37"/>
    <w:rsid w:val="659C1F4E"/>
    <w:rsid w:val="65AA3471"/>
    <w:rsid w:val="65AB46AE"/>
    <w:rsid w:val="65AE4402"/>
    <w:rsid w:val="65AF73EF"/>
    <w:rsid w:val="65B03DC2"/>
    <w:rsid w:val="65B50E60"/>
    <w:rsid w:val="65B66C35"/>
    <w:rsid w:val="65BA7D2D"/>
    <w:rsid w:val="65C502FA"/>
    <w:rsid w:val="65C724F9"/>
    <w:rsid w:val="65CF1EBB"/>
    <w:rsid w:val="65D025CA"/>
    <w:rsid w:val="65D35C16"/>
    <w:rsid w:val="65DE3971"/>
    <w:rsid w:val="65E331ED"/>
    <w:rsid w:val="65E84B80"/>
    <w:rsid w:val="65F74065"/>
    <w:rsid w:val="65FD0AF8"/>
    <w:rsid w:val="65FD7198"/>
    <w:rsid w:val="65FF226E"/>
    <w:rsid w:val="66043DB8"/>
    <w:rsid w:val="660A5ADC"/>
    <w:rsid w:val="66157FDD"/>
    <w:rsid w:val="661A3845"/>
    <w:rsid w:val="66265F1F"/>
    <w:rsid w:val="662A7E7C"/>
    <w:rsid w:val="662E7EB8"/>
    <w:rsid w:val="662F5A11"/>
    <w:rsid w:val="663D12E2"/>
    <w:rsid w:val="664154B8"/>
    <w:rsid w:val="664B4805"/>
    <w:rsid w:val="664D0068"/>
    <w:rsid w:val="664F1741"/>
    <w:rsid w:val="665143DB"/>
    <w:rsid w:val="665925BF"/>
    <w:rsid w:val="66624D82"/>
    <w:rsid w:val="666432A3"/>
    <w:rsid w:val="666B40A1"/>
    <w:rsid w:val="66755229"/>
    <w:rsid w:val="66771C61"/>
    <w:rsid w:val="667C2664"/>
    <w:rsid w:val="66827B3D"/>
    <w:rsid w:val="66854BCD"/>
    <w:rsid w:val="66866A8D"/>
    <w:rsid w:val="668B64F1"/>
    <w:rsid w:val="6692787F"/>
    <w:rsid w:val="66945F77"/>
    <w:rsid w:val="66964FA7"/>
    <w:rsid w:val="669B5E9B"/>
    <w:rsid w:val="669C06FE"/>
    <w:rsid w:val="669F7F7B"/>
    <w:rsid w:val="66A000D7"/>
    <w:rsid w:val="66A74D76"/>
    <w:rsid w:val="66BA1819"/>
    <w:rsid w:val="66BA6599"/>
    <w:rsid w:val="66C0263F"/>
    <w:rsid w:val="66C030E7"/>
    <w:rsid w:val="66C35C8B"/>
    <w:rsid w:val="66C4124C"/>
    <w:rsid w:val="66C76AE9"/>
    <w:rsid w:val="66CA2DA7"/>
    <w:rsid w:val="66CE1B7D"/>
    <w:rsid w:val="66CF4166"/>
    <w:rsid w:val="66D41C46"/>
    <w:rsid w:val="66D47E98"/>
    <w:rsid w:val="66D659BE"/>
    <w:rsid w:val="66D85EBE"/>
    <w:rsid w:val="66D94BF1"/>
    <w:rsid w:val="66E476BE"/>
    <w:rsid w:val="66EC3434"/>
    <w:rsid w:val="66F54039"/>
    <w:rsid w:val="66F8572B"/>
    <w:rsid w:val="66F95F2B"/>
    <w:rsid w:val="670B0273"/>
    <w:rsid w:val="671044D0"/>
    <w:rsid w:val="67113E15"/>
    <w:rsid w:val="671D183F"/>
    <w:rsid w:val="671E132D"/>
    <w:rsid w:val="671F6C26"/>
    <w:rsid w:val="67211BCE"/>
    <w:rsid w:val="67213E84"/>
    <w:rsid w:val="67226206"/>
    <w:rsid w:val="67275CCB"/>
    <w:rsid w:val="672F4F35"/>
    <w:rsid w:val="67366627"/>
    <w:rsid w:val="673E5311"/>
    <w:rsid w:val="67421363"/>
    <w:rsid w:val="674800D6"/>
    <w:rsid w:val="67500683"/>
    <w:rsid w:val="675240D8"/>
    <w:rsid w:val="67540D79"/>
    <w:rsid w:val="675451C3"/>
    <w:rsid w:val="67635CBE"/>
    <w:rsid w:val="676A6106"/>
    <w:rsid w:val="67735CB1"/>
    <w:rsid w:val="67746F85"/>
    <w:rsid w:val="678256E4"/>
    <w:rsid w:val="6784541A"/>
    <w:rsid w:val="678604F5"/>
    <w:rsid w:val="67877632"/>
    <w:rsid w:val="678B4940"/>
    <w:rsid w:val="678D1E21"/>
    <w:rsid w:val="679B0D96"/>
    <w:rsid w:val="67A3483F"/>
    <w:rsid w:val="67AA1AED"/>
    <w:rsid w:val="67AC4971"/>
    <w:rsid w:val="67B57794"/>
    <w:rsid w:val="67BD28CF"/>
    <w:rsid w:val="67C12AFD"/>
    <w:rsid w:val="67C6102C"/>
    <w:rsid w:val="67CB47C6"/>
    <w:rsid w:val="67CB5095"/>
    <w:rsid w:val="67D14B39"/>
    <w:rsid w:val="67D619EE"/>
    <w:rsid w:val="67D7311F"/>
    <w:rsid w:val="67EB657A"/>
    <w:rsid w:val="67EC6EC6"/>
    <w:rsid w:val="67EF05FB"/>
    <w:rsid w:val="67F42934"/>
    <w:rsid w:val="67FD4C02"/>
    <w:rsid w:val="680E4EB6"/>
    <w:rsid w:val="680F690C"/>
    <w:rsid w:val="682A51CE"/>
    <w:rsid w:val="682D0414"/>
    <w:rsid w:val="682E35D8"/>
    <w:rsid w:val="682F0D98"/>
    <w:rsid w:val="68312542"/>
    <w:rsid w:val="6832131A"/>
    <w:rsid w:val="683C7AA3"/>
    <w:rsid w:val="684F3C7A"/>
    <w:rsid w:val="68572B2F"/>
    <w:rsid w:val="68582403"/>
    <w:rsid w:val="6858799D"/>
    <w:rsid w:val="686314D3"/>
    <w:rsid w:val="68680898"/>
    <w:rsid w:val="68692862"/>
    <w:rsid w:val="686B55F0"/>
    <w:rsid w:val="686D1C95"/>
    <w:rsid w:val="686E080E"/>
    <w:rsid w:val="68703BF0"/>
    <w:rsid w:val="687C04E5"/>
    <w:rsid w:val="6886013D"/>
    <w:rsid w:val="688B26BE"/>
    <w:rsid w:val="688D46E7"/>
    <w:rsid w:val="68905759"/>
    <w:rsid w:val="68924BEC"/>
    <w:rsid w:val="68975621"/>
    <w:rsid w:val="689D5797"/>
    <w:rsid w:val="689E42BA"/>
    <w:rsid w:val="68A175AA"/>
    <w:rsid w:val="68A952C7"/>
    <w:rsid w:val="68AB0A3F"/>
    <w:rsid w:val="68C31F72"/>
    <w:rsid w:val="68C36F51"/>
    <w:rsid w:val="68C53F3C"/>
    <w:rsid w:val="68C54B2B"/>
    <w:rsid w:val="68C65138"/>
    <w:rsid w:val="68C83D17"/>
    <w:rsid w:val="68CD6D1C"/>
    <w:rsid w:val="68D575AA"/>
    <w:rsid w:val="68E74754"/>
    <w:rsid w:val="68EB5561"/>
    <w:rsid w:val="68ED5241"/>
    <w:rsid w:val="68EE37E7"/>
    <w:rsid w:val="68F6433A"/>
    <w:rsid w:val="68FA70B5"/>
    <w:rsid w:val="69012A9A"/>
    <w:rsid w:val="690A7750"/>
    <w:rsid w:val="690C1B6B"/>
    <w:rsid w:val="69126A4A"/>
    <w:rsid w:val="691825F7"/>
    <w:rsid w:val="692430FB"/>
    <w:rsid w:val="693426BD"/>
    <w:rsid w:val="69362744"/>
    <w:rsid w:val="693A6095"/>
    <w:rsid w:val="693F2831"/>
    <w:rsid w:val="694035C3"/>
    <w:rsid w:val="694D5795"/>
    <w:rsid w:val="69550E53"/>
    <w:rsid w:val="69550FF4"/>
    <w:rsid w:val="695B7B2C"/>
    <w:rsid w:val="695C2AE8"/>
    <w:rsid w:val="695D669B"/>
    <w:rsid w:val="696574CD"/>
    <w:rsid w:val="69693246"/>
    <w:rsid w:val="696B7A86"/>
    <w:rsid w:val="69754887"/>
    <w:rsid w:val="69780FAF"/>
    <w:rsid w:val="697D0373"/>
    <w:rsid w:val="697D217E"/>
    <w:rsid w:val="697F5095"/>
    <w:rsid w:val="69815A80"/>
    <w:rsid w:val="69834476"/>
    <w:rsid w:val="69947212"/>
    <w:rsid w:val="69991090"/>
    <w:rsid w:val="69997984"/>
    <w:rsid w:val="699E287C"/>
    <w:rsid w:val="69A04B83"/>
    <w:rsid w:val="69A322AF"/>
    <w:rsid w:val="69A3487A"/>
    <w:rsid w:val="69AF29CB"/>
    <w:rsid w:val="69B2383F"/>
    <w:rsid w:val="69B26EAC"/>
    <w:rsid w:val="69B33D95"/>
    <w:rsid w:val="69B8584F"/>
    <w:rsid w:val="69BA462F"/>
    <w:rsid w:val="69CD6845"/>
    <w:rsid w:val="69D148AF"/>
    <w:rsid w:val="69D931DC"/>
    <w:rsid w:val="69DC72B6"/>
    <w:rsid w:val="69E44896"/>
    <w:rsid w:val="69EB616C"/>
    <w:rsid w:val="69F21D74"/>
    <w:rsid w:val="69F33097"/>
    <w:rsid w:val="69FC398E"/>
    <w:rsid w:val="69FD3262"/>
    <w:rsid w:val="6A0E36C1"/>
    <w:rsid w:val="6A1738DF"/>
    <w:rsid w:val="6A274783"/>
    <w:rsid w:val="6A2D13DC"/>
    <w:rsid w:val="6A3364FD"/>
    <w:rsid w:val="6A34330F"/>
    <w:rsid w:val="6A3B3C7F"/>
    <w:rsid w:val="6A512801"/>
    <w:rsid w:val="6A52544C"/>
    <w:rsid w:val="6A560C27"/>
    <w:rsid w:val="6A5D20CE"/>
    <w:rsid w:val="6A5D659B"/>
    <w:rsid w:val="6A673143"/>
    <w:rsid w:val="6A6B0B13"/>
    <w:rsid w:val="6A6B2981"/>
    <w:rsid w:val="6A6C5A74"/>
    <w:rsid w:val="6A6E4160"/>
    <w:rsid w:val="6A7236C1"/>
    <w:rsid w:val="6A745267"/>
    <w:rsid w:val="6A7A2B04"/>
    <w:rsid w:val="6A7B2CCA"/>
    <w:rsid w:val="6A7F652E"/>
    <w:rsid w:val="6A8802CA"/>
    <w:rsid w:val="6A8954A7"/>
    <w:rsid w:val="6A8B2F63"/>
    <w:rsid w:val="6A8D70FB"/>
    <w:rsid w:val="6A987763"/>
    <w:rsid w:val="6A995680"/>
    <w:rsid w:val="6A9A31A7"/>
    <w:rsid w:val="6AA14535"/>
    <w:rsid w:val="6AA858C3"/>
    <w:rsid w:val="6AA94950"/>
    <w:rsid w:val="6AAC1C95"/>
    <w:rsid w:val="6AB133C0"/>
    <w:rsid w:val="6AB72182"/>
    <w:rsid w:val="6AC76F0E"/>
    <w:rsid w:val="6AC81AC2"/>
    <w:rsid w:val="6AC928E3"/>
    <w:rsid w:val="6AD1652F"/>
    <w:rsid w:val="6AD761A9"/>
    <w:rsid w:val="6AD93CCF"/>
    <w:rsid w:val="6AE4490D"/>
    <w:rsid w:val="6AE6019A"/>
    <w:rsid w:val="6AE962BC"/>
    <w:rsid w:val="6AE971C0"/>
    <w:rsid w:val="6AED3502"/>
    <w:rsid w:val="6AF720B2"/>
    <w:rsid w:val="6AFA3EA0"/>
    <w:rsid w:val="6B007E4F"/>
    <w:rsid w:val="6B0D0D45"/>
    <w:rsid w:val="6B0E4B29"/>
    <w:rsid w:val="6B1126D9"/>
    <w:rsid w:val="6B2368F6"/>
    <w:rsid w:val="6B2503CC"/>
    <w:rsid w:val="6B257A7C"/>
    <w:rsid w:val="6B282A35"/>
    <w:rsid w:val="6B2C1649"/>
    <w:rsid w:val="6B2D401B"/>
    <w:rsid w:val="6B2F3761"/>
    <w:rsid w:val="6B47337F"/>
    <w:rsid w:val="6B533DBC"/>
    <w:rsid w:val="6B553D2F"/>
    <w:rsid w:val="6B5E60B3"/>
    <w:rsid w:val="6B626A3C"/>
    <w:rsid w:val="6B65747E"/>
    <w:rsid w:val="6B663E10"/>
    <w:rsid w:val="6B6D67AA"/>
    <w:rsid w:val="6B724E0D"/>
    <w:rsid w:val="6B7925B5"/>
    <w:rsid w:val="6B7A2316"/>
    <w:rsid w:val="6B877C9B"/>
    <w:rsid w:val="6B8819A8"/>
    <w:rsid w:val="6B8F6B7F"/>
    <w:rsid w:val="6B965963"/>
    <w:rsid w:val="6B974E85"/>
    <w:rsid w:val="6B9F6CC6"/>
    <w:rsid w:val="6BA50055"/>
    <w:rsid w:val="6BAF1301"/>
    <w:rsid w:val="6BAF2042"/>
    <w:rsid w:val="6BB11D96"/>
    <w:rsid w:val="6BB32859"/>
    <w:rsid w:val="6BB96E84"/>
    <w:rsid w:val="6BC54253"/>
    <w:rsid w:val="6BCB61ED"/>
    <w:rsid w:val="6BCC7390"/>
    <w:rsid w:val="6BCD30F0"/>
    <w:rsid w:val="6BD9335E"/>
    <w:rsid w:val="6BDB75D3"/>
    <w:rsid w:val="6BDF3567"/>
    <w:rsid w:val="6BE474E3"/>
    <w:rsid w:val="6BE7196F"/>
    <w:rsid w:val="6BEA6237"/>
    <w:rsid w:val="6BEB6C7C"/>
    <w:rsid w:val="6BF32B6E"/>
    <w:rsid w:val="6BF80FBE"/>
    <w:rsid w:val="6BFC65AB"/>
    <w:rsid w:val="6BFE489F"/>
    <w:rsid w:val="6C013639"/>
    <w:rsid w:val="6C1B0C97"/>
    <w:rsid w:val="6C1E25B0"/>
    <w:rsid w:val="6C320E94"/>
    <w:rsid w:val="6C3A734E"/>
    <w:rsid w:val="6C3F3573"/>
    <w:rsid w:val="6C401167"/>
    <w:rsid w:val="6C43664A"/>
    <w:rsid w:val="6C4614AB"/>
    <w:rsid w:val="6C4F0C71"/>
    <w:rsid w:val="6C545132"/>
    <w:rsid w:val="6C546284"/>
    <w:rsid w:val="6C5A1D5D"/>
    <w:rsid w:val="6C603FDE"/>
    <w:rsid w:val="6C624437"/>
    <w:rsid w:val="6C711CE5"/>
    <w:rsid w:val="6C72130A"/>
    <w:rsid w:val="6C8815DE"/>
    <w:rsid w:val="6C90660F"/>
    <w:rsid w:val="6C990E6B"/>
    <w:rsid w:val="6C9A21B0"/>
    <w:rsid w:val="6C9C216E"/>
    <w:rsid w:val="6C9C55EA"/>
    <w:rsid w:val="6C9D3BD0"/>
    <w:rsid w:val="6CA125CA"/>
    <w:rsid w:val="6CA420BB"/>
    <w:rsid w:val="6CA95923"/>
    <w:rsid w:val="6CAA4580"/>
    <w:rsid w:val="6CAC27CB"/>
    <w:rsid w:val="6CAC562C"/>
    <w:rsid w:val="6CB107A0"/>
    <w:rsid w:val="6CB17C26"/>
    <w:rsid w:val="6CC5381A"/>
    <w:rsid w:val="6CC83FFB"/>
    <w:rsid w:val="6CC85DA9"/>
    <w:rsid w:val="6CC95B6D"/>
    <w:rsid w:val="6CD010B4"/>
    <w:rsid w:val="6CD3782A"/>
    <w:rsid w:val="6CD504C6"/>
    <w:rsid w:val="6CD87736"/>
    <w:rsid w:val="6CE55009"/>
    <w:rsid w:val="6CEC5FA6"/>
    <w:rsid w:val="6CEE52C1"/>
    <w:rsid w:val="6D0E46C1"/>
    <w:rsid w:val="6D176882"/>
    <w:rsid w:val="6D235680"/>
    <w:rsid w:val="6D286DCC"/>
    <w:rsid w:val="6D2D0302"/>
    <w:rsid w:val="6D343522"/>
    <w:rsid w:val="6D350FDA"/>
    <w:rsid w:val="6D364707"/>
    <w:rsid w:val="6D4E063C"/>
    <w:rsid w:val="6D512242"/>
    <w:rsid w:val="6D5E7F39"/>
    <w:rsid w:val="6D6A69DE"/>
    <w:rsid w:val="6D6C6B8F"/>
    <w:rsid w:val="6D7643BB"/>
    <w:rsid w:val="6D7963DE"/>
    <w:rsid w:val="6D8F70B2"/>
    <w:rsid w:val="6D965EA7"/>
    <w:rsid w:val="6D970DCA"/>
    <w:rsid w:val="6D9914F3"/>
    <w:rsid w:val="6D9C4D93"/>
    <w:rsid w:val="6DA11E44"/>
    <w:rsid w:val="6DA44327"/>
    <w:rsid w:val="6DAB629C"/>
    <w:rsid w:val="6DAC12E6"/>
    <w:rsid w:val="6DAD2431"/>
    <w:rsid w:val="6DAD509E"/>
    <w:rsid w:val="6DAD50F3"/>
    <w:rsid w:val="6DAE5E0C"/>
    <w:rsid w:val="6DB06057"/>
    <w:rsid w:val="6DB343AB"/>
    <w:rsid w:val="6DB73468"/>
    <w:rsid w:val="6DB76412"/>
    <w:rsid w:val="6DC122ED"/>
    <w:rsid w:val="6DC53803"/>
    <w:rsid w:val="6DCC6C7E"/>
    <w:rsid w:val="6DCD52AB"/>
    <w:rsid w:val="6DCE3893"/>
    <w:rsid w:val="6DCF592F"/>
    <w:rsid w:val="6DD220A4"/>
    <w:rsid w:val="6DD2428C"/>
    <w:rsid w:val="6DE3008D"/>
    <w:rsid w:val="6DE52B27"/>
    <w:rsid w:val="6DE54739"/>
    <w:rsid w:val="6DE80176"/>
    <w:rsid w:val="6DF52284"/>
    <w:rsid w:val="6DF66DF1"/>
    <w:rsid w:val="6DFB0400"/>
    <w:rsid w:val="6E0120CF"/>
    <w:rsid w:val="6E0267F8"/>
    <w:rsid w:val="6E0472B5"/>
    <w:rsid w:val="6E210D03"/>
    <w:rsid w:val="6E265FBE"/>
    <w:rsid w:val="6E321D30"/>
    <w:rsid w:val="6E345D7E"/>
    <w:rsid w:val="6E3D27C7"/>
    <w:rsid w:val="6E407BC1"/>
    <w:rsid w:val="6E475EE8"/>
    <w:rsid w:val="6E4D56C9"/>
    <w:rsid w:val="6E4D5B56"/>
    <w:rsid w:val="6E5B1D13"/>
    <w:rsid w:val="6E6623CD"/>
    <w:rsid w:val="6E7B0DE6"/>
    <w:rsid w:val="6E7B5C6F"/>
    <w:rsid w:val="6E7E6DE8"/>
    <w:rsid w:val="6E802A53"/>
    <w:rsid w:val="6E847166"/>
    <w:rsid w:val="6E91654A"/>
    <w:rsid w:val="6EA12F15"/>
    <w:rsid w:val="6EA445F4"/>
    <w:rsid w:val="6EBA45D5"/>
    <w:rsid w:val="6EBD10DA"/>
    <w:rsid w:val="6EBE2657"/>
    <w:rsid w:val="6EC0253B"/>
    <w:rsid w:val="6EC06EAB"/>
    <w:rsid w:val="6EC407F2"/>
    <w:rsid w:val="6ED07197"/>
    <w:rsid w:val="6ED749C9"/>
    <w:rsid w:val="6ED8604B"/>
    <w:rsid w:val="6EDA669F"/>
    <w:rsid w:val="6EE0690B"/>
    <w:rsid w:val="6EE666D7"/>
    <w:rsid w:val="6EE91413"/>
    <w:rsid w:val="6EEB3FD1"/>
    <w:rsid w:val="6EF00DA5"/>
    <w:rsid w:val="6EF11237"/>
    <w:rsid w:val="6EFF0917"/>
    <w:rsid w:val="6F0E3B02"/>
    <w:rsid w:val="6F101C89"/>
    <w:rsid w:val="6F12155D"/>
    <w:rsid w:val="6F130BA6"/>
    <w:rsid w:val="6F1C062E"/>
    <w:rsid w:val="6F205061"/>
    <w:rsid w:val="6F2668C4"/>
    <w:rsid w:val="6F291EA7"/>
    <w:rsid w:val="6F3B04C3"/>
    <w:rsid w:val="6F3C482C"/>
    <w:rsid w:val="6F4205B8"/>
    <w:rsid w:val="6F490A01"/>
    <w:rsid w:val="6F504BA3"/>
    <w:rsid w:val="6F54601A"/>
    <w:rsid w:val="6F580642"/>
    <w:rsid w:val="6F6063DA"/>
    <w:rsid w:val="6F690FB5"/>
    <w:rsid w:val="6F696861"/>
    <w:rsid w:val="6F73314A"/>
    <w:rsid w:val="6F742218"/>
    <w:rsid w:val="6F747CE1"/>
    <w:rsid w:val="6F812035"/>
    <w:rsid w:val="6F861A7F"/>
    <w:rsid w:val="6F871318"/>
    <w:rsid w:val="6F8B1310"/>
    <w:rsid w:val="6F906926"/>
    <w:rsid w:val="6F9C08CE"/>
    <w:rsid w:val="6F9F0403"/>
    <w:rsid w:val="6F9F0F7C"/>
    <w:rsid w:val="6FA24B3F"/>
    <w:rsid w:val="6FAA3E8C"/>
    <w:rsid w:val="6FAD572A"/>
    <w:rsid w:val="6FB66EBE"/>
    <w:rsid w:val="6FBB4783"/>
    <w:rsid w:val="6FCB3BBE"/>
    <w:rsid w:val="6FD607DD"/>
    <w:rsid w:val="6FD77C06"/>
    <w:rsid w:val="6FDC4A6B"/>
    <w:rsid w:val="6FDE40F4"/>
    <w:rsid w:val="6FE43C0B"/>
    <w:rsid w:val="6FE909C4"/>
    <w:rsid w:val="6FEB59EC"/>
    <w:rsid w:val="6FED6F63"/>
    <w:rsid w:val="6FF21504"/>
    <w:rsid w:val="6FFB0B79"/>
    <w:rsid w:val="6FFD6152"/>
    <w:rsid w:val="700D6BE7"/>
    <w:rsid w:val="70125ECE"/>
    <w:rsid w:val="701610B3"/>
    <w:rsid w:val="701D5136"/>
    <w:rsid w:val="701F5CFD"/>
    <w:rsid w:val="702A6D7B"/>
    <w:rsid w:val="702B2A4F"/>
    <w:rsid w:val="70383246"/>
    <w:rsid w:val="70415161"/>
    <w:rsid w:val="704F4B5D"/>
    <w:rsid w:val="705B70F1"/>
    <w:rsid w:val="707341CC"/>
    <w:rsid w:val="70757E92"/>
    <w:rsid w:val="70785390"/>
    <w:rsid w:val="707B75D6"/>
    <w:rsid w:val="707D2D28"/>
    <w:rsid w:val="707F2C23"/>
    <w:rsid w:val="70855315"/>
    <w:rsid w:val="70865AB7"/>
    <w:rsid w:val="708D40B6"/>
    <w:rsid w:val="70927EA3"/>
    <w:rsid w:val="70953140"/>
    <w:rsid w:val="709656FC"/>
    <w:rsid w:val="70995534"/>
    <w:rsid w:val="709D579F"/>
    <w:rsid w:val="709F4389"/>
    <w:rsid w:val="70AC59E2"/>
    <w:rsid w:val="70B7060E"/>
    <w:rsid w:val="70BA1EAD"/>
    <w:rsid w:val="70C522E1"/>
    <w:rsid w:val="70D77FF1"/>
    <w:rsid w:val="70E1568B"/>
    <w:rsid w:val="70E231B1"/>
    <w:rsid w:val="70E433CD"/>
    <w:rsid w:val="70F03B44"/>
    <w:rsid w:val="70F74EAF"/>
    <w:rsid w:val="70F87828"/>
    <w:rsid w:val="70FA04FB"/>
    <w:rsid w:val="70FB218C"/>
    <w:rsid w:val="71060EE1"/>
    <w:rsid w:val="71075859"/>
    <w:rsid w:val="710B23EA"/>
    <w:rsid w:val="710D2C6D"/>
    <w:rsid w:val="710D46D2"/>
    <w:rsid w:val="71107D1F"/>
    <w:rsid w:val="711B4217"/>
    <w:rsid w:val="711C66C3"/>
    <w:rsid w:val="7121252E"/>
    <w:rsid w:val="7123505E"/>
    <w:rsid w:val="71295B65"/>
    <w:rsid w:val="712B2DAA"/>
    <w:rsid w:val="712B754A"/>
    <w:rsid w:val="713570EC"/>
    <w:rsid w:val="71386B7F"/>
    <w:rsid w:val="713E6171"/>
    <w:rsid w:val="71413C67"/>
    <w:rsid w:val="7141437C"/>
    <w:rsid w:val="7141612A"/>
    <w:rsid w:val="71481F24"/>
    <w:rsid w:val="71492550"/>
    <w:rsid w:val="71502811"/>
    <w:rsid w:val="71525BA8"/>
    <w:rsid w:val="7156656B"/>
    <w:rsid w:val="715A71EC"/>
    <w:rsid w:val="715B0157"/>
    <w:rsid w:val="715B3DDF"/>
    <w:rsid w:val="715B7657"/>
    <w:rsid w:val="715E4484"/>
    <w:rsid w:val="716439CF"/>
    <w:rsid w:val="716719D7"/>
    <w:rsid w:val="7170075E"/>
    <w:rsid w:val="71735F71"/>
    <w:rsid w:val="718F3339"/>
    <w:rsid w:val="719D4141"/>
    <w:rsid w:val="71A71EDB"/>
    <w:rsid w:val="71AF12E6"/>
    <w:rsid w:val="71AF2EF0"/>
    <w:rsid w:val="71B9267F"/>
    <w:rsid w:val="71BA036E"/>
    <w:rsid w:val="71C54E40"/>
    <w:rsid w:val="71C5703E"/>
    <w:rsid w:val="71D51833"/>
    <w:rsid w:val="71DC352A"/>
    <w:rsid w:val="71E116BB"/>
    <w:rsid w:val="71E371E1"/>
    <w:rsid w:val="71E72BB0"/>
    <w:rsid w:val="71E73175"/>
    <w:rsid w:val="71E82FA9"/>
    <w:rsid w:val="71F511B8"/>
    <w:rsid w:val="71F75EFC"/>
    <w:rsid w:val="71FC5B6D"/>
    <w:rsid w:val="71FD5767"/>
    <w:rsid w:val="71FE544F"/>
    <w:rsid w:val="72071122"/>
    <w:rsid w:val="720F447A"/>
    <w:rsid w:val="720F7FD6"/>
    <w:rsid w:val="72182EAB"/>
    <w:rsid w:val="72193365"/>
    <w:rsid w:val="721B6499"/>
    <w:rsid w:val="7222231E"/>
    <w:rsid w:val="7225200E"/>
    <w:rsid w:val="72277C21"/>
    <w:rsid w:val="72317CE3"/>
    <w:rsid w:val="723A5661"/>
    <w:rsid w:val="723D1997"/>
    <w:rsid w:val="723E7C92"/>
    <w:rsid w:val="724A4977"/>
    <w:rsid w:val="724C51C6"/>
    <w:rsid w:val="724E6446"/>
    <w:rsid w:val="7251167E"/>
    <w:rsid w:val="725974A3"/>
    <w:rsid w:val="725D0C70"/>
    <w:rsid w:val="72692A6A"/>
    <w:rsid w:val="726C5429"/>
    <w:rsid w:val="727413C6"/>
    <w:rsid w:val="72757EE0"/>
    <w:rsid w:val="72793EBE"/>
    <w:rsid w:val="727D297F"/>
    <w:rsid w:val="727F6340"/>
    <w:rsid w:val="728065B3"/>
    <w:rsid w:val="728269FA"/>
    <w:rsid w:val="72854ACC"/>
    <w:rsid w:val="728C3A87"/>
    <w:rsid w:val="728E4B88"/>
    <w:rsid w:val="729529B0"/>
    <w:rsid w:val="72953044"/>
    <w:rsid w:val="7298621E"/>
    <w:rsid w:val="729A1F96"/>
    <w:rsid w:val="729B4553"/>
    <w:rsid w:val="72A46970"/>
    <w:rsid w:val="72A5597B"/>
    <w:rsid w:val="72A921D9"/>
    <w:rsid w:val="72A94693"/>
    <w:rsid w:val="72AC7668"/>
    <w:rsid w:val="72AF0FA2"/>
    <w:rsid w:val="72B23B0B"/>
    <w:rsid w:val="72B57C6C"/>
    <w:rsid w:val="72B87E37"/>
    <w:rsid w:val="72BD48B0"/>
    <w:rsid w:val="72BF211F"/>
    <w:rsid w:val="72D40618"/>
    <w:rsid w:val="72DB4C6A"/>
    <w:rsid w:val="72DD5321"/>
    <w:rsid w:val="72E67FA9"/>
    <w:rsid w:val="72EC6069"/>
    <w:rsid w:val="72F07E08"/>
    <w:rsid w:val="72FE5916"/>
    <w:rsid w:val="73013DC3"/>
    <w:rsid w:val="731358A4"/>
    <w:rsid w:val="73186354"/>
    <w:rsid w:val="731D4975"/>
    <w:rsid w:val="73212D87"/>
    <w:rsid w:val="73241B29"/>
    <w:rsid w:val="732C308F"/>
    <w:rsid w:val="732C3D1D"/>
    <w:rsid w:val="73363E43"/>
    <w:rsid w:val="734B56FD"/>
    <w:rsid w:val="7358432E"/>
    <w:rsid w:val="7365422B"/>
    <w:rsid w:val="736B56E0"/>
    <w:rsid w:val="736D1458"/>
    <w:rsid w:val="7371287E"/>
    <w:rsid w:val="73726D2E"/>
    <w:rsid w:val="7375303F"/>
    <w:rsid w:val="7376008C"/>
    <w:rsid w:val="737F4CF4"/>
    <w:rsid w:val="7391049E"/>
    <w:rsid w:val="73941891"/>
    <w:rsid w:val="73951641"/>
    <w:rsid w:val="739F4561"/>
    <w:rsid w:val="73A57254"/>
    <w:rsid w:val="73AB02FB"/>
    <w:rsid w:val="73B23EF9"/>
    <w:rsid w:val="73B805F1"/>
    <w:rsid w:val="73B90648"/>
    <w:rsid w:val="73BB0D2E"/>
    <w:rsid w:val="73BD4863"/>
    <w:rsid w:val="73BE7AC3"/>
    <w:rsid w:val="73C1083E"/>
    <w:rsid w:val="73C23FEB"/>
    <w:rsid w:val="73C51294"/>
    <w:rsid w:val="73C84175"/>
    <w:rsid w:val="73CB617F"/>
    <w:rsid w:val="73CE6661"/>
    <w:rsid w:val="73D2575F"/>
    <w:rsid w:val="73D50144"/>
    <w:rsid w:val="73D57518"/>
    <w:rsid w:val="73D65647"/>
    <w:rsid w:val="73E93983"/>
    <w:rsid w:val="73EB424A"/>
    <w:rsid w:val="73EC4A73"/>
    <w:rsid w:val="73EE5B89"/>
    <w:rsid w:val="73F90F3E"/>
    <w:rsid w:val="73F9347A"/>
    <w:rsid w:val="73FB4645"/>
    <w:rsid w:val="7400407A"/>
    <w:rsid w:val="74033E94"/>
    <w:rsid w:val="74057F1F"/>
    <w:rsid w:val="740A3056"/>
    <w:rsid w:val="741202F5"/>
    <w:rsid w:val="74197163"/>
    <w:rsid w:val="741C7164"/>
    <w:rsid w:val="741E09A4"/>
    <w:rsid w:val="741E1085"/>
    <w:rsid w:val="742130DE"/>
    <w:rsid w:val="742247AB"/>
    <w:rsid w:val="74290BD2"/>
    <w:rsid w:val="742F5ADF"/>
    <w:rsid w:val="74305E77"/>
    <w:rsid w:val="74387CB8"/>
    <w:rsid w:val="743B2FC5"/>
    <w:rsid w:val="743E2DF5"/>
    <w:rsid w:val="74411A20"/>
    <w:rsid w:val="74416441"/>
    <w:rsid w:val="74520377"/>
    <w:rsid w:val="7454197D"/>
    <w:rsid w:val="745E260E"/>
    <w:rsid w:val="746318AB"/>
    <w:rsid w:val="74647000"/>
    <w:rsid w:val="746C78D1"/>
    <w:rsid w:val="746C7A1A"/>
    <w:rsid w:val="74703A4E"/>
    <w:rsid w:val="7477154A"/>
    <w:rsid w:val="747933ED"/>
    <w:rsid w:val="74875B6F"/>
    <w:rsid w:val="748C606A"/>
    <w:rsid w:val="748D4D52"/>
    <w:rsid w:val="749312EC"/>
    <w:rsid w:val="74996569"/>
    <w:rsid w:val="74997B4C"/>
    <w:rsid w:val="749C05D3"/>
    <w:rsid w:val="749F7708"/>
    <w:rsid w:val="74AA5ECB"/>
    <w:rsid w:val="74B47D52"/>
    <w:rsid w:val="74B60BDD"/>
    <w:rsid w:val="74C2370E"/>
    <w:rsid w:val="74C71B28"/>
    <w:rsid w:val="74CA5419"/>
    <w:rsid w:val="74D177C5"/>
    <w:rsid w:val="74D20BB4"/>
    <w:rsid w:val="74D358E6"/>
    <w:rsid w:val="74DA2B1D"/>
    <w:rsid w:val="74DC04EC"/>
    <w:rsid w:val="74DC3900"/>
    <w:rsid w:val="74E03A67"/>
    <w:rsid w:val="74E92D60"/>
    <w:rsid w:val="74EF22BC"/>
    <w:rsid w:val="74F80125"/>
    <w:rsid w:val="74FD680C"/>
    <w:rsid w:val="75017485"/>
    <w:rsid w:val="7507768A"/>
    <w:rsid w:val="750A2CD7"/>
    <w:rsid w:val="750B57DD"/>
    <w:rsid w:val="751E5748"/>
    <w:rsid w:val="75280003"/>
    <w:rsid w:val="752A45A4"/>
    <w:rsid w:val="752B5127"/>
    <w:rsid w:val="75320665"/>
    <w:rsid w:val="75321E40"/>
    <w:rsid w:val="754A5259"/>
    <w:rsid w:val="754E350B"/>
    <w:rsid w:val="755050F7"/>
    <w:rsid w:val="7553467E"/>
    <w:rsid w:val="75563DE9"/>
    <w:rsid w:val="75583A48"/>
    <w:rsid w:val="7559615C"/>
    <w:rsid w:val="75644ADD"/>
    <w:rsid w:val="75691A63"/>
    <w:rsid w:val="756B594D"/>
    <w:rsid w:val="756D1BE3"/>
    <w:rsid w:val="75800C42"/>
    <w:rsid w:val="75844227"/>
    <w:rsid w:val="758B206A"/>
    <w:rsid w:val="758C6077"/>
    <w:rsid w:val="758D0F68"/>
    <w:rsid w:val="759151B6"/>
    <w:rsid w:val="75926E35"/>
    <w:rsid w:val="759848F7"/>
    <w:rsid w:val="759F0A67"/>
    <w:rsid w:val="75A650F5"/>
    <w:rsid w:val="75B1088F"/>
    <w:rsid w:val="75B12700"/>
    <w:rsid w:val="75B25F01"/>
    <w:rsid w:val="75B9402B"/>
    <w:rsid w:val="75D56095"/>
    <w:rsid w:val="75E24EF8"/>
    <w:rsid w:val="75E35A02"/>
    <w:rsid w:val="75E45215"/>
    <w:rsid w:val="75EF2EB1"/>
    <w:rsid w:val="75F5456E"/>
    <w:rsid w:val="75F833A9"/>
    <w:rsid w:val="75FC6CAF"/>
    <w:rsid w:val="76027906"/>
    <w:rsid w:val="76051101"/>
    <w:rsid w:val="760C27AC"/>
    <w:rsid w:val="76114604"/>
    <w:rsid w:val="76156E9B"/>
    <w:rsid w:val="761756AB"/>
    <w:rsid w:val="76191423"/>
    <w:rsid w:val="762240BC"/>
    <w:rsid w:val="762304F4"/>
    <w:rsid w:val="7623481D"/>
    <w:rsid w:val="762B7F3B"/>
    <w:rsid w:val="76300FC4"/>
    <w:rsid w:val="763429ED"/>
    <w:rsid w:val="76371E5E"/>
    <w:rsid w:val="763B583E"/>
    <w:rsid w:val="76404C02"/>
    <w:rsid w:val="76406A0F"/>
    <w:rsid w:val="764B3A26"/>
    <w:rsid w:val="764D08A4"/>
    <w:rsid w:val="764E0AEA"/>
    <w:rsid w:val="76556743"/>
    <w:rsid w:val="765A5B97"/>
    <w:rsid w:val="76642F6C"/>
    <w:rsid w:val="766572CD"/>
    <w:rsid w:val="766E5F5C"/>
    <w:rsid w:val="767045FB"/>
    <w:rsid w:val="767147EA"/>
    <w:rsid w:val="767952AF"/>
    <w:rsid w:val="76812545"/>
    <w:rsid w:val="76820265"/>
    <w:rsid w:val="76826786"/>
    <w:rsid w:val="768674F2"/>
    <w:rsid w:val="768A1219"/>
    <w:rsid w:val="768C78DA"/>
    <w:rsid w:val="769466F4"/>
    <w:rsid w:val="76962A74"/>
    <w:rsid w:val="76977460"/>
    <w:rsid w:val="769C6458"/>
    <w:rsid w:val="76A15E3E"/>
    <w:rsid w:val="76A33F8C"/>
    <w:rsid w:val="76A7720B"/>
    <w:rsid w:val="76AA3C96"/>
    <w:rsid w:val="76B26DB3"/>
    <w:rsid w:val="76B30493"/>
    <w:rsid w:val="76C006BA"/>
    <w:rsid w:val="76C577FD"/>
    <w:rsid w:val="76C7130C"/>
    <w:rsid w:val="76C71C25"/>
    <w:rsid w:val="76D43682"/>
    <w:rsid w:val="76D54606"/>
    <w:rsid w:val="76D809AC"/>
    <w:rsid w:val="76D816C8"/>
    <w:rsid w:val="76DA5057"/>
    <w:rsid w:val="76E365F3"/>
    <w:rsid w:val="76E969F9"/>
    <w:rsid w:val="76EB3DE7"/>
    <w:rsid w:val="76F025CF"/>
    <w:rsid w:val="76F30928"/>
    <w:rsid w:val="76F7005A"/>
    <w:rsid w:val="77073972"/>
    <w:rsid w:val="770E034B"/>
    <w:rsid w:val="772F5F2B"/>
    <w:rsid w:val="77336515"/>
    <w:rsid w:val="77352F6A"/>
    <w:rsid w:val="77364501"/>
    <w:rsid w:val="773666E2"/>
    <w:rsid w:val="773829D5"/>
    <w:rsid w:val="77406ACC"/>
    <w:rsid w:val="77426F7B"/>
    <w:rsid w:val="77470212"/>
    <w:rsid w:val="774B33C0"/>
    <w:rsid w:val="77526E0C"/>
    <w:rsid w:val="775467C8"/>
    <w:rsid w:val="77571E21"/>
    <w:rsid w:val="775F3014"/>
    <w:rsid w:val="77601C86"/>
    <w:rsid w:val="77623E61"/>
    <w:rsid w:val="77640748"/>
    <w:rsid w:val="77661C66"/>
    <w:rsid w:val="776841EE"/>
    <w:rsid w:val="777E35A3"/>
    <w:rsid w:val="777E63ED"/>
    <w:rsid w:val="777E65A3"/>
    <w:rsid w:val="777F64D6"/>
    <w:rsid w:val="77904FAC"/>
    <w:rsid w:val="77981C0D"/>
    <w:rsid w:val="779D16F7"/>
    <w:rsid w:val="77A606D8"/>
    <w:rsid w:val="77A84B54"/>
    <w:rsid w:val="77BC475C"/>
    <w:rsid w:val="77C0073E"/>
    <w:rsid w:val="77C37A44"/>
    <w:rsid w:val="77C475C3"/>
    <w:rsid w:val="77C63928"/>
    <w:rsid w:val="77C67389"/>
    <w:rsid w:val="77D31AA6"/>
    <w:rsid w:val="77DD1128"/>
    <w:rsid w:val="77E12EFB"/>
    <w:rsid w:val="78021921"/>
    <w:rsid w:val="78056103"/>
    <w:rsid w:val="780C0E8B"/>
    <w:rsid w:val="780D4235"/>
    <w:rsid w:val="7810328B"/>
    <w:rsid w:val="781F1006"/>
    <w:rsid w:val="7821025E"/>
    <w:rsid w:val="782A5F65"/>
    <w:rsid w:val="783B1029"/>
    <w:rsid w:val="783B5768"/>
    <w:rsid w:val="783C2C9E"/>
    <w:rsid w:val="783D6EFB"/>
    <w:rsid w:val="78447A5F"/>
    <w:rsid w:val="78477B1B"/>
    <w:rsid w:val="784B17E2"/>
    <w:rsid w:val="784C64D5"/>
    <w:rsid w:val="7856713D"/>
    <w:rsid w:val="78593CD1"/>
    <w:rsid w:val="785B1F91"/>
    <w:rsid w:val="785D6CA9"/>
    <w:rsid w:val="785E1CB7"/>
    <w:rsid w:val="7860158C"/>
    <w:rsid w:val="78617B3F"/>
    <w:rsid w:val="78674B47"/>
    <w:rsid w:val="7873666A"/>
    <w:rsid w:val="78743289"/>
    <w:rsid w:val="7875580A"/>
    <w:rsid w:val="78760DAF"/>
    <w:rsid w:val="7877059C"/>
    <w:rsid w:val="787815BE"/>
    <w:rsid w:val="787C7D52"/>
    <w:rsid w:val="787E69C5"/>
    <w:rsid w:val="788010A8"/>
    <w:rsid w:val="78827754"/>
    <w:rsid w:val="788423A7"/>
    <w:rsid w:val="788A77FE"/>
    <w:rsid w:val="788E0645"/>
    <w:rsid w:val="788E22F0"/>
    <w:rsid w:val="789314F2"/>
    <w:rsid w:val="789D2465"/>
    <w:rsid w:val="789F580C"/>
    <w:rsid w:val="78A328FA"/>
    <w:rsid w:val="78B86803"/>
    <w:rsid w:val="78BA084A"/>
    <w:rsid w:val="78BF0096"/>
    <w:rsid w:val="78C407F8"/>
    <w:rsid w:val="78C937B8"/>
    <w:rsid w:val="78CD0952"/>
    <w:rsid w:val="78DA7C32"/>
    <w:rsid w:val="78F571C9"/>
    <w:rsid w:val="79022643"/>
    <w:rsid w:val="790955C4"/>
    <w:rsid w:val="790D05A0"/>
    <w:rsid w:val="7919533D"/>
    <w:rsid w:val="7919551E"/>
    <w:rsid w:val="792E3438"/>
    <w:rsid w:val="792E44EE"/>
    <w:rsid w:val="79313673"/>
    <w:rsid w:val="793A6280"/>
    <w:rsid w:val="7949347B"/>
    <w:rsid w:val="794C2A66"/>
    <w:rsid w:val="794C7D62"/>
    <w:rsid w:val="7955517B"/>
    <w:rsid w:val="795D3D1D"/>
    <w:rsid w:val="795E6493"/>
    <w:rsid w:val="79657B4B"/>
    <w:rsid w:val="7969698A"/>
    <w:rsid w:val="796C581D"/>
    <w:rsid w:val="796C5D0E"/>
    <w:rsid w:val="79717F2E"/>
    <w:rsid w:val="797E64D7"/>
    <w:rsid w:val="79860A5D"/>
    <w:rsid w:val="79880B38"/>
    <w:rsid w:val="79893F57"/>
    <w:rsid w:val="79903625"/>
    <w:rsid w:val="799314ED"/>
    <w:rsid w:val="799452A9"/>
    <w:rsid w:val="799A5276"/>
    <w:rsid w:val="799C4845"/>
    <w:rsid w:val="79A63B17"/>
    <w:rsid w:val="79AC50C7"/>
    <w:rsid w:val="79B3393D"/>
    <w:rsid w:val="79BE628A"/>
    <w:rsid w:val="79D02741"/>
    <w:rsid w:val="79D7762B"/>
    <w:rsid w:val="79D81987"/>
    <w:rsid w:val="79DB3D4A"/>
    <w:rsid w:val="79DC7338"/>
    <w:rsid w:val="79E61514"/>
    <w:rsid w:val="79E62D81"/>
    <w:rsid w:val="79E820C1"/>
    <w:rsid w:val="79EC11CA"/>
    <w:rsid w:val="79EC423F"/>
    <w:rsid w:val="79F12AC3"/>
    <w:rsid w:val="79F226B7"/>
    <w:rsid w:val="79FB4286"/>
    <w:rsid w:val="79FC3536"/>
    <w:rsid w:val="79FF3026"/>
    <w:rsid w:val="7A010B4C"/>
    <w:rsid w:val="7A087945"/>
    <w:rsid w:val="7A0D129F"/>
    <w:rsid w:val="7A0F14BB"/>
    <w:rsid w:val="7A102B3D"/>
    <w:rsid w:val="7A2554E0"/>
    <w:rsid w:val="7A2B47E4"/>
    <w:rsid w:val="7A2C74A7"/>
    <w:rsid w:val="7A543FDE"/>
    <w:rsid w:val="7A571019"/>
    <w:rsid w:val="7A58173C"/>
    <w:rsid w:val="7A5C7B80"/>
    <w:rsid w:val="7A5D5F24"/>
    <w:rsid w:val="7A6B7769"/>
    <w:rsid w:val="7A700E98"/>
    <w:rsid w:val="7A731682"/>
    <w:rsid w:val="7A791F5F"/>
    <w:rsid w:val="7A7946E9"/>
    <w:rsid w:val="7A7B6F33"/>
    <w:rsid w:val="7A7D7BC5"/>
    <w:rsid w:val="7A7E1487"/>
    <w:rsid w:val="7A83565B"/>
    <w:rsid w:val="7A85352B"/>
    <w:rsid w:val="7A862E00"/>
    <w:rsid w:val="7A8F392B"/>
    <w:rsid w:val="7A94551C"/>
    <w:rsid w:val="7A98728D"/>
    <w:rsid w:val="7A996FD7"/>
    <w:rsid w:val="7AA14B9E"/>
    <w:rsid w:val="7AA86BFB"/>
    <w:rsid w:val="7AAA3A13"/>
    <w:rsid w:val="7AB160CE"/>
    <w:rsid w:val="7AB40828"/>
    <w:rsid w:val="7AB610F5"/>
    <w:rsid w:val="7ABF7674"/>
    <w:rsid w:val="7AC853F4"/>
    <w:rsid w:val="7AC95598"/>
    <w:rsid w:val="7AD86C5D"/>
    <w:rsid w:val="7ADD3F31"/>
    <w:rsid w:val="7ADE49EA"/>
    <w:rsid w:val="7AEC18BC"/>
    <w:rsid w:val="7AFE2A8E"/>
    <w:rsid w:val="7B064250"/>
    <w:rsid w:val="7B086BCF"/>
    <w:rsid w:val="7B151690"/>
    <w:rsid w:val="7B155913"/>
    <w:rsid w:val="7B193522"/>
    <w:rsid w:val="7B1C09E6"/>
    <w:rsid w:val="7B2033A2"/>
    <w:rsid w:val="7B2B4D24"/>
    <w:rsid w:val="7B2E7139"/>
    <w:rsid w:val="7B30793B"/>
    <w:rsid w:val="7B3479F2"/>
    <w:rsid w:val="7B365712"/>
    <w:rsid w:val="7B385647"/>
    <w:rsid w:val="7B4231CA"/>
    <w:rsid w:val="7B455999"/>
    <w:rsid w:val="7B560A24"/>
    <w:rsid w:val="7B570C65"/>
    <w:rsid w:val="7B587CDE"/>
    <w:rsid w:val="7B5B4B1B"/>
    <w:rsid w:val="7B5C26B1"/>
    <w:rsid w:val="7B6160E0"/>
    <w:rsid w:val="7B637FD9"/>
    <w:rsid w:val="7B643141"/>
    <w:rsid w:val="7B6467A2"/>
    <w:rsid w:val="7B6B31A1"/>
    <w:rsid w:val="7B6C0247"/>
    <w:rsid w:val="7B6E5D6D"/>
    <w:rsid w:val="7B774ACE"/>
    <w:rsid w:val="7B7A48AD"/>
    <w:rsid w:val="7B7C353B"/>
    <w:rsid w:val="7B7F54C5"/>
    <w:rsid w:val="7B7F61CD"/>
    <w:rsid w:val="7B89704B"/>
    <w:rsid w:val="7B8B2DC3"/>
    <w:rsid w:val="7B8D6BCE"/>
    <w:rsid w:val="7B932562"/>
    <w:rsid w:val="7B9559F0"/>
    <w:rsid w:val="7BA0193E"/>
    <w:rsid w:val="7BA05184"/>
    <w:rsid w:val="7BB02B00"/>
    <w:rsid w:val="7BB37C24"/>
    <w:rsid w:val="7BB57CD1"/>
    <w:rsid w:val="7BB971A8"/>
    <w:rsid w:val="7BBA5457"/>
    <w:rsid w:val="7BBD4C17"/>
    <w:rsid w:val="7BC41E31"/>
    <w:rsid w:val="7BD61B65"/>
    <w:rsid w:val="7BE349AD"/>
    <w:rsid w:val="7BE424D4"/>
    <w:rsid w:val="7BE44282"/>
    <w:rsid w:val="7BE701A1"/>
    <w:rsid w:val="7BEE0332"/>
    <w:rsid w:val="7BF53735"/>
    <w:rsid w:val="7BF53C5F"/>
    <w:rsid w:val="7BF551B6"/>
    <w:rsid w:val="7BFA5853"/>
    <w:rsid w:val="7C0645D6"/>
    <w:rsid w:val="7C0E57A2"/>
    <w:rsid w:val="7C127041"/>
    <w:rsid w:val="7C240B22"/>
    <w:rsid w:val="7C266B00"/>
    <w:rsid w:val="7C274BD5"/>
    <w:rsid w:val="7C2B3C5E"/>
    <w:rsid w:val="7C302B45"/>
    <w:rsid w:val="7C347AF0"/>
    <w:rsid w:val="7C38637B"/>
    <w:rsid w:val="7C435F12"/>
    <w:rsid w:val="7C454E41"/>
    <w:rsid w:val="7C5234E4"/>
    <w:rsid w:val="7C5C14E3"/>
    <w:rsid w:val="7C5C2039"/>
    <w:rsid w:val="7C5C4760"/>
    <w:rsid w:val="7C5D2C42"/>
    <w:rsid w:val="7C5D402D"/>
    <w:rsid w:val="7C625256"/>
    <w:rsid w:val="7C6A6350"/>
    <w:rsid w:val="7C7223BD"/>
    <w:rsid w:val="7C7A4BF0"/>
    <w:rsid w:val="7C7B3806"/>
    <w:rsid w:val="7C7D0AA0"/>
    <w:rsid w:val="7C7D2F74"/>
    <w:rsid w:val="7C7E1584"/>
    <w:rsid w:val="7C821F38"/>
    <w:rsid w:val="7C835849"/>
    <w:rsid w:val="7C8A307B"/>
    <w:rsid w:val="7C8B770E"/>
    <w:rsid w:val="7C91141F"/>
    <w:rsid w:val="7C960303"/>
    <w:rsid w:val="7CA11CF8"/>
    <w:rsid w:val="7CA27D0E"/>
    <w:rsid w:val="7CB746D9"/>
    <w:rsid w:val="7CCA16C9"/>
    <w:rsid w:val="7CCA5593"/>
    <w:rsid w:val="7CCD7E11"/>
    <w:rsid w:val="7CD21963"/>
    <w:rsid w:val="7CD30150"/>
    <w:rsid w:val="7CD51320"/>
    <w:rsid w:val="7CDA5C31"/>
    <w:rsid w:val="7CDA7DA0"/>
    <w:rsid w:val="7CDD7C66"/>
    <w:rsid w:val="7CDF683B"/>
    <w:rsid w:val="7CED5F04"/>
    <w:rsid w:val="7CF5012A"/>
    <w:rsid w:val="7CFC42A6"/>
    <w:rsid w:val="7CFF303E"/>
    <w:rsid w:val="7CFF5469"/>
    <w:rsid w:val="7D0072C8"/>
    <w:rsid w:val="7D0209B5"/>
    <w:rsid w:val="7D027750"/>
    <w:rsid w:val="7D0401AB"/>
    <w:rsid w:val="7D04385C"/>
    <w:rsid w:val="7D062C5F"/>
    <w:rsid w:val="7D0A7D18"/>
    <w:rsid w:val="7D1112E0"/>
    <w:rsid w:val="7D126BCC"/>
    <w:rsid w:val="7D140B97"/>
    <w:rsid w:val="7D15451D"/>
    <w:rsid w:val="7D1979E2"/>
    <w:rsid w:val="7D1E133E"/>
    <w:rsid w:val="7D270CBE"/>
    <w:rsid w:val="7D2B74AC"/>
    <w:rsid w:val="7D321A6F"/>
    <w:rsid w:val="7D3305A9"/>
    <w:rsid w:val="7D336401"/>
    <w:rsid w:val="7D375748"/>
    <w:rsid w:val="7D382AD7"/>
    <w:rsid w:val="7D3B093C"/>
    <w:rsid w:val="7D433490"/>
    <w:rsid w:val="7D4B1062"/>
    <w:rsid w:val="7D4B192B"/>
    <w:rsid w:val="7D510C5D"/>
    <w:rsid w:val="7D5D2301"/>
    <w:rsid w:val="7D792545"/>
    <w:rsid w:val="7D7D237A"/>
    <w:rsid w:val="7D7F5EE0"/>
    <w:rsid w:val="7D8306B2"/>
    <w:rsid w:val="7D845D1C"/>
    <w:rsid w:val="7D854787"/>
    <w:rsid w:val="7D9B3262"/>
    <w:rsid w:val="7D9C5C1A"/>
    <w:rsid w:val="7DA27AAD"/>
    <w:rsid w:val="7DA328E8"/>
    <w:rsid w:val="7DB119FE"/>
    <w:rsid w:val="7DB248FE"/>
    <w:rsid w:val="7DB70802"/>
    <w:rsid w:val="7DBE5814"/>
    <w:rsid w:val="7DC4436B"/>
    <w:rsid w:val="7DCC01A6"/>
    <w:rsid w:val="7DCC1471"/>
    <w:rsid w:val="7DCF6BFD"/>
    <w:rsid w:val="7DD24CD9"/>
    <w:rsid w:val="7DD37C4A"/>
    <w:rsid w:val="7DE2661C"/>
    <w:rsid w:val="7DE56C30"/>
    <w:rsid w:val="7DEC48A5"/>
    <w:rsid w:val="7DF161B8"/>
    <w:rsid w:val="7DF40A22"/>
    <w:rsid w:val="7E0A1248"/>
    <w:rsid w:val="7E0C66D8"/>
    <w:rsid w:val="7E0D07B1"/>
    <w:rsid w:val="7E1914F7"/>
    <w:rsid w:val="7E1E36D8"/>
    <w:rsid w:val="7E221667"/>
    <w:rsid w:val="7E227746"/>
    <w:rsid w:val="7E2968C4"/>
    <w:rsid w:val="7E2B1117"/>
    <w:rsid w:val="7E3239CA"/>
    <w:rsid w:val="7E356A19"/>
    <w:rsid w:val="7E3A287F"/>
    <w:rsid w:val="7E3F2C81"/>
    <w:rsid w:val="7E414658"/>
    <w:rsid w:val="7E4744A8"/>
    <w:rsid w:val="7E495EDD"/>
    <w:rsid w:val="7E4B4A8C"/>
    <w:rsid w:val="7E4F47F2"/>
    <w:rsid w:val="7E541536"/>
    <w:rsid w:val="7E553FD7"/>
    <w:rsid w:val="7E661B38"/>
    <w:rsid w:val="7E666333"/>
    <w:rsid w:val="7E6A51B1"/>
    <w:rsid w:val="7E6C595A"/>
    <w:rsid w:val="7E7104DE"/>
    <w:rsid w:val="7E715A01"/>
    <w:rsid w:val="7E7238B7"/>
    <w:rsid w:val="7E740BDE"/>
    <w:rsid w:val="7E7E7BD1"/>
    <w:rsid w:val="7E892FAD"/>
    <w:rsid w:val="7E9106DD"/>
    <w:rsid w:val="7E9810C3"/>
    <w:rsid w:val="7E98172B"/>
    <w:rsid w:val="7EA63A70"/>
    <w:rsid w:val="7EB03501"/>
    <w:rsid w:val="7EB405D2"/>
    <w:rsid w:val="7EB70948"/>
    <w:rsid w:val="7EB82E43"/>
    <w:rsid w:val="7EC5039A"/>
    <w:rsid w:val="7EE0570D"/>
    <w:rsid w:val="7EE41252"/>
    <w:rsid w:val="7EE64363"/>
    <w:rsid w:val="7EF07E3F"/>
    <w:rsid w:val="7EF1084D"/>
    <w:rsid w:val="7EF40C80"/>
    <w:rsid w:val="7EF47A93"/>
    <w:rsid w:val="7EFF7F59"/>
    <w:rsid w:val="7F0013D2"/>
    <w:rsid w:val="7F007C8E"/>
    <w:rsid w:val="7F0F1990"/>
    <w:rsid w:val="7F124C3A"/>
    <w:rsid w:val="7F1440ED"/>
    <w:rsid w:val="7F1C3D32"/>
    <w:rsid w:val="7F1C78E9"/>
    <w:rsid w:val="7F1D6B8B"/>
    <w:rsid w:val="7F2826D7"/>
    <w:rsid w:val="7F2A644F"/>
    <w:rsid w:val="7F3E156E"/>
    <w:rsid w:val="7F3E639F"/>
    <w:rsid w:val="7F3F07AA"/>
    <w:rsid w:val="7F5C26DF"/>
    <w:rsid w:val="7F5C5FBD"/>
    <w:rsid w:val="7F5E7928"/>
    <w:rsid w:val="7F6318C5"/>
    <w:rsid w:val="7F6776A3"/>
    <w:rsid w:val="7F755E40"/>
    <w:rsid w:val="7F7A1D59"/>
    <w:rsid w:val="7F886A0D"/>
    <w:rsid w:val="7F892F2A"/>
    <w:rsid w:val="7F89586C"/>
    <w:rsid w:val="7F945FBF"/>
    <w:rsid w:val="7F9F1199"/>
    <w:rsid w:val="7FA443A2"/>
    <w:rsid w:val="7FBB354B"/>
    <w:rsid w:val="7FC07F80"/>
    <w:rsid w:val="7FC276AC"/>
    <w:rsid w:val="7FC8211E"/>
    <w:rsid w:val="7FCE507C"/>
    <w:rsid w:val="7FCF06DC"/>
    <w:rsid w:val="7FD36AE7"/>
    <w:rsid w:val="7FD62735"/>
    <w:rsid w:val="7FDE6C04"/>
    <w:rsid w:val="7FDF36DE"/>
    <w:rsid w:val="7FE231CE"/>
    <w:rsid w:val="7FEA49E2"/>
    <w:rsid w:val="7FEA6EF5"/>
    <w:rsid w:val="7FED2159"/>
    <w:rsid w:val="7FF4414A"/>
    <w:rsid w:val="7FF932D3"/>
    <w:rsid w:val="7FFF78D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_x0000_s2054"/>
        <o:r id="V:Rule2" type="connector" idref="#_x0000_s2063"/>
        <o:r id="V:Rule3" type="connector" idref="#_x0000_s2064"/>
        <o:r id="V:Rule4" type="connector" idref="#_x0000_s2176"/>
        <o:r id="V:Rule5" type="connector" idref="#_x0000_s2310"/>
        <o:r id="V:Rule6" type="connector" idref="#_x0000_s2315"/>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0"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qFormat="1" w:unhideWhenUsed="0" w:uiPriority="0" w:semiHidden="0" w:name="footnote reference"/>
    <w:lsdException w:qFormat="1" w:unhideWhenUsed="0" w:uiPriority="0" w:name="annotation reference"/>
    <w:lsdException w:uiPriority="0" w:name="line number"/>
    <w:lsdException w:qFormat="1" w:unhideWhenUsed="0" w:uiPriority="0" w:semiHidden="0" w:name="page number"/>
    <w:lsdException w:uiPriority="0" w:name="endnote reference"/>
    <w:lsdException w:unhideWhenUsed="0" w:uiPriority="0" w:semiHidden="0" w:name="endnote text"/>
    <w:lsdException w:uiPriority="0" w:name="table of authorities"/>
    <w:lsdException w:uiPriority="0" w:name="macro"/>
    <w:lsdException w:unhideWhenUsed="0" w:uiPriority="0" w:semiHidden="0" w:name="toa heading"/>
    <w:lsdException w:unhideWhenUsed="0" w:uiPriority="0" w:semiHidden="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semiHidden="0" w:name="Default Paragraph Font"/>
    <w:lsdException w:qFormat="1" w:unhideWhenUsed="0" w:uiPriority="0" w:semiHidden="0" w:name="Body Text"/>
    <w:lsdException w:qFormat="1" w:uiPriority="99" w:semiHidden="0" w:name="Body Text Indent"/>
    <w:lsdException w:qFormat="1"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iPriority="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99" w:semiHidden="0" w:name="Body Text 2"/>
    <w:lsdException w:uiPriority="0" w:name="Body Text 3"/>
    <w:lsdException w:uiPriority="0" w:name="Body Text Indent 2"/>
    <w:lsdException w:uiPriority="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0" w:semiHidden="0" w:name="Normal (Web)"/>
    <w:lsdException w:qFormat="1" w:unhideWhenUsed="0" w:uiPriority="0" w:semiHidden="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59" w:semiHidden="0" w:name="Table Grid"/>
    <w:lsdException w:uiPriority="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360" w:lineRule="auto"/>
      <w:ind w:firstLine="560" w:firstLineChars="200"/>
      <w:jc w:val="both"/>
    </w:pPr>
    <w:rPr>
      <w:rFonts w:ascii="Times New Roman" w:hAnsi="Times New Roman" w:eastAsia="宋体" w:cs="Times New Roman"/>
      <w:kern w:val="2"/>
      <w:sz w:val="24"/>
      <w:szCs w:val="24"/>
      <w:lang w:val="en-US" w:eastAsia="zh-CN" w:bidi="ar-SA"/>
    </w:rPr>
  </w:style>
  <w:style w:type="paragraph" w:styleId="6">
    <w:name w:val="heading 1"/>
    <w:basedOn w:val="1"/>
    <w:next w:val="1"/>
    <w:link w:val="42"/>
    <w:qFormat/>
    <w:uiPriority w:val="9"/>
    <w:pPr>
      <w:keepNext/>
      <w:keepLines/>
      <w:widowControl/>
      <w:adjustRightInd w:val="0"/>
      <w:snapToGrid w:val="0"/>
      <w:spacing w:before="120" w:after="120" w:line="360" w:lineRule="auto"/>
      <w:ind w:firstLine="0" w:firstLineChars="0"/>
      <w:jc w:val="center"/>
      <w:outlineLvl w:val="0"/>
    </w:pPr>
    <w:rPr>
      <w:b/>
      <w:bCs/>
      <w:kern w:val="44"/>
      <w:sz w:val="32"/>
      <w:szCs w:val="36"/>
    </w:rPr>
  </w:style>
  <w:style w:type="paragraph" w:styleId="7">
    <w:name w:val="heading 2"/>
    <w:basedOn w:val="1"/>
    <w:next w:val="8"/>
    <w:link w:val="47"/>
    <w:qFormat/>
    <w:uiPriority w:val="0"/>
    <w:pPr>
      <w:keepNext/>
      <w:keepLines/>
      <w:adjustRightInd w:val="0"/>
      <w:snapToGrid w:val="0"/>
      <w:spacing w:before="120" w:after="120" w:line="360" w:lineRule="auto"/>
      <w:ind w:firstLine="0" w:firstLineChars="0"/>
      <w:outlineLvl w:val="1"/>
    </w:pPr>
    <w:rPr>
      <w:b/>
      <w:sz w:val="30"/>
      <w:szCs w:val="30"/>
    </w:rPr>
  </w:style>
  <w:style w:type="paragraph" w:styleId="9">
    <w:name w:val="heading 3"/>
    <w:basedOn w:val="1"/>
    <w:next w:val="8"/>
    <w:link w:val="43"/>
    <w:qFormat/>
    <w:uiPriority w:val="0"/>
    <w:pPr>
      <w:keepNext/>
      <w:keepLines/>
      <w:spacing w:before="120" w:after="120" w:line="240" w:lineRule="auto"/>
      <w:ind w:firstLine="280" w:firstLineChars="100"/>
      <w:outlineLvl w:val="2"/>
    </w:pPr>
    <w:rPr>
      <w:b/>
      <w:bCs/>
      <w:sz w:val="30"/>
      <w:szCs w:val="30"/>
    </w:rPr>
  </w:style>
  <w:style w:type="paragraph" w:styleId="10">
    <w:name w:val="heading 4"/>
    <w:basedOn w:val="1"/>
    <w:next w:val="1"/>
    <w:link w:val="174"/>
    <w:qFormat/>
    <w:uiPriority w:val="0"/>
    <w:pPr>
      <w:keepNext/>
      <w:numPr>
        <w:ilvl w:val="3"/>
        <w:numId w:val="0"/>
      </w:numPr>
      <w:spacing w:before="120" w:after="120" w:line="240" w:lineRule="auto"/>
      <w:ind w:left="0"/>
      <w:outlineLvl w:val="3"/>
    </w:pPr>
    <w:rPr>
      <w:b/>
      <w:snapToGrid w:val="0"/>
    </w:rPr>
  </w:style>
  <w:style w:type="paragraph" w:styleId="11">
    <w:name w:val="heading 5"/>
    <w:basedOn w:val="1"/>
    <w:next w:val="1"/>
    <w:qFormat/>
    <w:uiPriority w:val="0"/>
    <w:pPr>
      <w:keepNext/>
      <w:keepLines/>
      <w:numPr>
        <w:ilvl w:val="0"/>
        <w:numId w:val="1"/>
      </w:numPr>
      <w:tabs>
        <w:tab w:val="left" w:pos="480"/>
        <w:tab w:val="left" w:pos="600"/>
      </w:tabs>
      <w:spacing w:before="120" w:after="120"/>
      <w:ind w:left="150" w:leftChars="150" w:right="150" w:rightChars="150" w:firstLine="0"/>
      <w:jc w:val="left"/>
      <w:outlineLvl w:val="4"/>
    </w:pPr>
    <w:rPr>
      <w:rFonts w:eastAsia="方正小标宋简体"/>
      <w:b/>
    </w:rPr>
  </w:style>
  <w:style w:type="paragraph" w:styleId="12">
    <w:name w:val="heading 6"/>
    <w:basedOn w:val="1"/>
    <w:next w:val="1"/>
    <w:link w:val="155"/>
    <w:qFormat/>
    <w:uiPriority w:val="0"/>
    <w:pPr>
      <w:keepNext/>
      <w:keepLines/>
      <w:widowControl/>
      <w:spacing w:before="240" w:after="64" w:line="320" w:lineRule="auto"/>
      <w:jc w:val="center"/>
      <w:outlineLvl w:val="5"/>
    </w:pPr>
    <w:rPr>
      <w:rFonts w:ascii="Cambria" w:hAnsi="Cambria"/>
      <w:b/>
      <w:bCs/>
      <w:kern w:val="0"/>
    </w:rPr>
  </w:style>
  <w:style w:type="character" w:default="1" w:styleId="34">
    <w:name w:val="Default Paragraph Font"/>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0"/>
    <w:pPr>
      <w:ind w:firstLine="420"/>
    </w:pPr>
    <w:rPr>
      <w:sz w:val="28"/>
    </w:rPr>
  </w:style>
  <w:style w:type="paragraph" w:styleId="3">
    <w:name w:val="Body Text Indent"/>
    <w:basedOn w:val="1"/>
    <w:next w:val="4"/>
    <w:link w:val="171"/>
    <w:unhideWhenUsed/>
    <w:qFormat/>
    <w:uiPriority w:val="99"/>
    <w:pPr>
      <w:spacing w:after="120"/>
      <w:ind w:left="420" w:leftChars="200"/>
    </w:pPr>
    <w:rPr>
      <w:kern w:val="0"/>
      <w:szCs w:val="20"/>
    </w:rPr>
  </w:style>
  <w:style w:type="paragraph" w:styleId="4">
    <w:name w:val="Body Text"/>
    <w:basedOn w:val="1"/>
    <w:next w:val="5"/>
    <w:link w:val="50"/>
    <w:qFormat/>
    <w:uiPriority w:val="0"/>
    <w:pPr>
      <w:spacing w:after="120"/>
    </w:pPr>
    <w:rPr>
      <w:szCs w:val="20"/>
    </w:rPr>
  </w:style>
  <w:style w:type="paragraph" w:customStyle="1" w:styleId="5">
    <w:name w:val="xl27"/>
    <w:basedOn w:val="1"/>
    <w:qFormat/>
    <w:uiPriority w:val="0"/>
    <w:pPr>
      <w:widowControl/>
      <w:pBdr>
        <w:bottom w:val="single" w:color="auto" w:sz="12" w:space="0"/>
      </w:pBdr>
      <w:spacing w:before="100" w:after="100"/>
      <w:jc w:val="center"/>
    </w:pPr>
    <w:rPr>
      <w:rFonts w:ascii="宋体" w:hAnsi="宋体"/>
      <w:kern w:val="0"/>
      <w:szCs w:val="20"/>
    </w:rPr>
  </w:style>
  <w:style w:type="paragraph" w:customStyle="1" w:styleId="8">
    <w:name w:val="段落 Char Char"/>
    <w:basedOn w:val="1"/>
    <w:link w:val="152"/>
    <w:qFormat/>
    <w:uiPriority w:val="0"/>
    <w:pPr>
      <w:spacing w:line="500" w:lineRule="exact"/>
      <w:ind w:firstLine="578"/>
    </w:pPr>
    <w:rPr>
      <w:kern w:val="0"/>
      <w:sz w:val="28"/>
      <w:szCs w:val="28"/>
    </w:rPr>
  </w:style>
  <w:style w:type="paragraph" w:styleId="13">
    <w:name w:val="Normal Indent"/>
    <w:basedOn w:val="1"/>
    <w:next w:val="1"/>
    <w:link w:val="48"/>
    <w:qFormat/>
    <w:uiPriority w:val="0"/>
    <w:rPr>
      <w:sz w:val="28"/>
      <w:szCs w:val="20"/>
    </w:rPr>
  </w:style>
  <w:style w:type="paragraph" w:styleId="14">
    <w:name w:val="caption"/>
    <w:basedOn w:val="1"/>
    <w:next w:val="1"/>
    <w:qFormat/>
    <w:uiPriority w:val="0"/>
    <w:rPr>
      <w:rFonts w:ascii="Arial" w:hAnsi="Arial" w:eastAsia="黑体" w:cs="Arial"/>
      <w:sz w:val="20"/>
      <w:szCs w:val="20"/>
    </w:rPr>
  </w:style>
  <w:style w:type="paragraph" w:styleId="15">
    <w:name w:val="Document Map"/>
    <w:basedOn w:val="1"/>
    <w:link w:val="49"/>
    <w:qFormat/>
    <w:uiPriority w:val="0"/>
    <w:rPr>
      <w:rFonts w:ascii="宋体"/>
      <w:sz w:val="18"/>
      <w:szCs w:val="18"/>
    </w:rPr>
  </w:style>
  <w:style w:type="paragraph" w:styleId="16">
    <w:name w:val="annotation text"/>
    <w:basedOn w:val="1"/>
    <w:qFormat/>
    <w:uiPriority w:val="0"/>
    <w:pPr>
      <w:jc w:val="left"/>
    </w:pPr>
  </w:style>
  <w:style w:type="paragraph" w:styleId="17">
    <w:name w:val="List Continue"/>
    <w:basedOn w:val="1"/>
    <w:next w:val="4"/>
    <w:qFormat/>
    <w:uiPriority w:val="0"/>
    <w:pPr>
      <w:widowControl/>
      <w:spacing w:before="280" w:after="280"/>
      <w:ind w:firstLine="3584"/>
    </w:pPr>
    <w:rPr>
      <w:rFonts w:ascii="Calibri" w:hAnsi="Calibri"/>
    </w:rPr>
  </w:style>
  <w:style w:type="paragraph" w:styleId="18">
    <w:name w:val="Block Text"/>
    <w:basedOn w:val="1"/>
    <w:qFormat/>
    <w:uiPriority w:val="0"/>
    <w:pPr>
      <w:spacing w:after="120"/>
      <w:ind w:left="1440" w:leftChars="700" w:right="1440" w:rightChars="700"/>
    </w:pPr>
  </w:style>
  <w:style w:type="paragraph" w:styleId="19">
    <w:name w:val="toc 3"/>
    <w:basedOn w:val="1"/>
    <w:next w:val="1"/>
    <w:qFormat/>
    <w:uiPriority w:val="0"/>
    <w:pPr>
      <w:ind w:left="840" w:leftChars="400"/>
    </w:pPr>
  </w:style>
  <w:style w:type="paragraph" w:styleId="20">
    <w:name w:val="Plain Text"/>
    <w:basedOn w:val="1"/>
    <w:link w:val="53"/>
    <w:qFormat/>
    <w:uiPriority w:val="0"/>
    <w:pPr>
      <w:spacing w:line="460" w:lineRule="exact"/>
      <w:ind w:firstLine="560" w:firstLineChars="200"/>
    </w:pPr>
    <w:rPr>
      <w:rFonts w:ascii="宋体" w:hAnsi="Courier New"/>
      <w:sz w:val="28"/>
      <w:szCs w:val="20"/>
    </w:rPr>
  </w:style>
  <w:style w:type="paragraph" w:styleId="21">
    <w:name w:val="Date"/>
    <w:basedOn w:val="1"/>
    <w:next w:val="1"/>
    <w:link w:val="54"/>
    <w:qFormat/>
    <w:uiPriority w:val="0"/>
    <w:pPr>
      <w:adjustRightInd w:val="0"/>
      <w:spacing w:line="360" w:lineRule="atLeast"/>
      <w:ind w:left="100" w:leftChars="2500"/>
      <w:jc w:val="left"/>
      <w:textAlignment w:val="baseline"/>
    </w:pPr>
    <w:rPr>
      <w:rFonts w:ascii="宋体"/>
      <w:kern w:val="0"/>
      <w:szCs w:val="20"/>
    </w:rPr>
  </w:style>
  <w:style w:type="paragraph" w:styleId="22">
    <w:name w:val="Balloon Text"/>
    <w:basedOn w:val="1"/>
    <w:semiHidden/>
    <w:qFormat/>
    <w:uiPriority w:val="0"/>
    <w:rPr>
      <w:sz w:val="18"/>
      <w:szCs w:val="18"/>
    </w:rPr>
  </w:style>
  <w:style w:type="paragraph" w:styleId="23">
    <w:name w:val="footer"/>
    <w:basedOn w:val="1"/>
    <w:next w:val="17"/>
    <w:link w:val="52"/>
    <w:qFormat/>
    <w:uiPriority w:val="99"/>
    <w:pPr>
      <w:tabs>
        <w:tab w:val="center" w:pos="4153"/>
        <w:tab w:val="right" w:pos="8306"/>
      </w:tabs>
      <w:snapToGrid w:val="0"/>
      <w:jc w:val="left"/>
    </w:pPr>
    <w:rPr>
      <w:sz w:val="18"/>
      <w:szCs w:val="18"/>
    </w:rPr>
  </w:style>
  <w:style w:type="paragraph" w:styleId="24">
    <w:name w:val="header"/>
    <w:basedOn w:val="1"/>
    <w:link w:val="55"/>
    <w:qFormat/>
    <w:uiPriority w:val="0"/>
    <w:pPr>
      <w:pBdr>
        <w:bottom w:val="single" w:color="auto" w:sz="6" w:space="1"/>
      </w:pBdr>
      <w:tabs>
        <w:tab w:val="center" w:pos="4153"/>
        <w:tab w:val="right" w:pos="8306"/>
      </w:tabs>
      <w:snapToGrid w:val="0"/>
      <w:jc w:val="center"/>
    </w:pPr>
    <w:rPr>
      <w:sz w:val="18"/>
      <w:szCs w:val="18"/>
    </w:rPr>
  </w:style>
  <w:style w:type="paragraph" w:styleId="25">
    <w:name w:val="toc 1"/>
    <w:basedOn w:val="1"/>
    <w:next w:val="1"/>
    <w:qFormat/>
    <w:uiPriority w:val="39"/>
  </w:style>
  <w:style w:type="paragraph" w:styleId="26">
    <w:name w:val="toc 2"/>
    <w:basedOn w:val="1"/>
    <w:next w:val="1"/>
    <w:qFormat/>
    <w:uiPriority w:val="39"/>
    <w:pPr>
      <w:ind w:left="420" w:leftChars="200"/>
    </w:pPr>
  </w:style>
  <w:style w:type="paragraph" w:styleId="27">
    <w:name w:val="Body Text 2"/>
    <w:basedOn w:val="1"/>
    <w:next w:val="23"/>
    <w:link w:val="51"/>
    <w:qFormat/>
    <w:uiPriority w:val="99"/>
    <w:pPr>
      <w:spacing w:after="120" w:line="480" w:lineRule="auto"/>
    </w:pPr>
  </w:style>
  <w:style w:type="paragraph" w:styleId="28">
    <w:name w:val="Normal (Web)"/>
    <w:basedOn w:val="1"/>
    <w:link w:val="166"/>
    <w:qFormat/>
    <w:uiPriority w:val="0"/>
    <w:pPr>
      <w:widowControl/>
      <w:spacing w:before="100" w:beforeAutospacing="1" w:after="100" w:afterAutospacing="1"/>
      <w:jc w:val="left"/>
    </w:pPr>
    <w:rPr>
      <w:rFonts w:ascii="宋体" w:hAnsi="宋体"/>
      <w:kern w:val="0"/>
    </w:rPr>
  </w:style>
  <w:style w:type="paragraph" w:styleId="29">
    <w:name w:val="Title"/>
    <w:basedOn w:val="1"/>
    <w:next w:val="1"/>
    <w:link w:val="56"/>
    <w:qFormat/>
    <w:uiPriority w:val="10"/>
    <w:pPr>
      <w:tabs>
        <w:tab w:val="left" w:pos="2127"/>
      </w:tabs>
      <w:ind w:firstLine="800" w:firstLineChars="800"/>
      <w:jc w:val="left"/>
    </w:pPr>
    <w:rPr>
      <w:sz w:val="28"/>
      <w:lang w:val="pt-BR"/>
    </w:rPr>
  </w:style>
  <w:style w:type="paragraph" w:styleId="30">
    <w:name w:val="annotation subject"/>
    <w:basedOn w:val="16"/>
    <w:next w:val="16"/>
    <w:semiHidden/>
    <w:qFormat/>
    <w:uiPriority w:val="0"/>
    <w:rPr>
      <w:b/>
      <w:bCs/>
    </w:rPr>
  </w:style>
  <w:style w:type="paragraph" w:styleId="31">
    <w:name w:val="Body Text First Indent"/>
    <w:basedOn w:val="4"/>
    <w:next w:val="2"/>
    <w:link w:val="57"/>
    <w:qFormat/>
    <w:uiPriority w:val="0"/>
    <w:pPr>
      <w:ind w:firstLine="420" w:firstLineChars="100"/>
    </w:pPr>
    <w:rPr>
      <w:szCs w:val="24"/>
    </w:rPr>
  </w:style>
  <w:style w:type="table" w:styleId="33">
    <w:name w:val="Table Grid"/>
    <w:basedOn w:val="32"/>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qFormat/>
    <w:uiPriority w:val="0"/>
    <w:rPr>
      <w:b/>
      <w:bCs/>
    </w:rPr>
  </w:style>
  <w:style w:type="character" w:styleId="36">
    <w:name w:val="page number"/>
    <w:qFormat/>
    <w:uiPriority w:val="0"/>
  </w:style>
  <w:style w:type="character" w:styleId="37">
    <w:name w:val="FollowedHyperlink"/>
    <w:qFormat/>
    <w:uiPriority w:val="99"/>
    <w:rPr>
      <w:color w:val="800080"/>
      <w:u w:val="none"/>
    </w:rPr>
  </w:style>
  <w:style w:type="character" w:styleId="38">
    <w:name w:val="HTML Acronym"/>
    <w:qFormat/>
    <w:uiPriority w:val="0"/>
  </w:style>
  <w:style w:type="character" w:styleId="39">
    <w:name w:val="Hyperlink"/>
    <w:qFormat/>
    <w:uiPriority w:val="99"/>
    <w:rPr>
      <w:color w:val="0000FF"/>
      <w:u w:val="none"/>
    </w:rPr>
  </w:style>
  <w:style w:type="character" w:styleId="40">
    <w:name w:val="annotation reference"/>
    <w:semiHidden/>
    <w:qFormat/>
    <w:uiPriority w:val="0"/>
    <w:rPr>
      <w:sz w:val="21"/>
      <w:szCs w:val="21"/>
    </w:rPr>
  </w:style>
  <w:style w:type="character" w:styleId="41">
    <w:name w:val="footnote reference"/>
    <w:qFormat/>
    <w:uiPriority w:val="0"/>
    <w:rPr>
      <w:rFonts w:ascii="黑体" w:hAnsi="Arial" w:eastAsia="华文中宋" w:cs="宋体"/>
      <w:kern w:val="2"/>
      <w:sz w:val="44"/>
      <w:szCs w:val="44"/>
      <w:vertAlign w:val="superscript"/>
      <w:lang w:val="en-US" w:eastAsia="zh-CN" w:bidi="ar-SA"/>
    </w:rPr>
  </w:style>
  <w:style w:type="character" w:customStyle="1" w:styleId="42">
    <w:name w:val="标题 1 字符"/>
    <w:link w:val="6"/>
    <w:qFormat/>
    <w:uiPriority w:val="9"/>
    <w:rPr>
      <w:rFonts w:eastAsia="宋体"/>
      <w:b/>
      <w:bCs/>
      <w:kern w:val="44"/>
      <w:sz w:val="32"/>
      <w:szCs w:val="36"/>
    </w:rPr>
  </w:style>
  <w:style w:type="character" w:customStyle="1" w:styleId="43">
    <w:name w:val="标题 3 字符"/>
    <w:link w:val="9"/>
    <w:semiHidden/>
    <w:qFormat/>
    <w:uiPriority w:val="0"/>
    <w:rPr>
      <w:rFonts w:eastAsia="宋体"/>
      <w:b/>
      <w:bCs/>
      <w:kern w:val="2"/>
      <w:sz w:val="30"/>
      <w:szCs w:val="30"/>
    </w:rPr>
  </w:style>
  <w:style w:type="paragraph" w:customStyle="1" w:styleId="44">
    <w:name w:val="表格文字"/>
    <w:qFormat/>
    <w:uiPriority w:val="0"/>
    <w:pPr>
      <w:snapToGrid w:val="0"/>
      <w:spacing w:line="400" w:lineRule="exact"/>
      <w:jc w:val="both"/>
    </w:pPr>
    <w:rPr>
      <w:rFonts w:ascii="Arial" w:hAnsi="Arial" w:eastAsia="宋体" w:cs="Times New Roman"/>
      <w:kern w:val="21"/>
      <w:sz w:val="21"/>
      <w:szCs w:val="21"/>
      <w:lang w:val="en-US" w:eastAsia="zh-CN" w:bidi="ar-SA"/>
    </w:rPr>
  </w:style>
  <w:style w:type="paragraph" w:customStyle="1" w:styleId="45">
    <w:name w:val="正文（行首缩进2字）"/>
    <w:basedOn w:val="1"/>
    <w:next w:val="1"/>
    <w:qFormat/>
    <w:uiPriority w:val="0"/>
    <w:rPr>
      <w:sz w:val="28"/>
    </w:rPr>
  </w:style>
  <w:style w:type="paragraph" w:customStyle="1" w:styleId="46">
    <w:name w:val="样式 正文文本缩进 + 行距: 1.5 倍行距"/>
    <w:basedOn w:val="1"/>
    <w:qFormat/>
    <w:uiPriority w:val="0"/>
    <w:pPr>
      <w:spacing w:after="120"/>
      <w:ind w:left="90" w:leftChars="32" w:firstLine="560" w:firstLineChars="200"/>
    </w:pPr>
    <w:rPr>
      <w:rFonts w:cs="宋体"/>
    </w:rPr>
  </w:style>
  <w:style w:type="character" w:customStyle="1" w:styleId="47">
    <w:name w:val="标题 2 字符"/>
    <w:link w:val="7"/>
    <w:qFormat/>
    <w:uiPriority w:val="9"/>
    <w:rPr>
      <w:rFonts w:eastAsia="宋体"/>
      <w:b/>
      <w:kern w:val="2"/>
      <w:sz w:val="30"/>
      <w:szCs w:val="30"/>
      <w:lang w:val="en-US" w:eastAsia="zh-CN" w:bidi="ar-SA"/>
    </w:rPr>
  </w:style>
  <w:style w:type="character" w:customStyle="1" w:styleId="48">
    <w:name w:val="正文缩进 字符"/>
    <w:link w:val="13"/>
    <w:qFormat/>
    <w:uiPriority w:val="0"/>
    <w:rPr>
      <w:rFonts w:eastAsia="宋体"/>
      <w:kern w:val="2"/>
      <w:sz w:val="28"/>
      <w:lang w:val="en-US" w:eastAsia="zh-CN" w:bidi="ar-SA"/>
    </w:rPr>
  </w:style>
  <w:style w:type="character" w:customStyle="1" w:styleId="49">
    <w:name w:val="文档结构图 字符"/>
    <w:link w:val="15"/>
    <w:qFormat/>
    <w:uiPriority w:val="0"/>
    <w:rPr>
      <w:rFonts w:ascii="宋体"/>
      <w:kern w:val="2"/>
      <w:sz w:val="18"/>
      <w:szCs w:val="18"/>
    </w:rPr>
  </w:style>
  <w:style w:type="character" w:customStyle="1" w:styleId="50">
    <w:name w:val="正文文本 字符"/>
    <w:link w:val="4"/>
    <w:qFormat/>
    <w:uiPriority w:val="0"/>
    <w:rPr>
      <w:kern w:val="2"/>
      <w:sz w:val="21"/>
    </w:rPr>
  </w:style>
  <w:style w:type="character" w:customStyle="1" w:styleId="51">
    <w:name w:val="正文文本 2 字符"/>
    <w:link w:val="27"/>
    <w:qFormat/>
    <w:uiPriority w:val="0"/>
    <w:rPr>
      <w:kern w:val="2"/>
      <w:sz w:val="21"/>
      <w:szCs w:val="24"/>
    </w:rPr>
  </w:style>
  <w:style w:type="character" w:customStyle="1" w:styleId="52">
    <w:name w:val="页脚 字符"/>
    <w:link w:val="23"/>
    <w:qFormat/>
    <w:uiPriority w:val="99"/>
    <w:rPr>
      <w:kern w:val="2"/>
      <w:sz w:val="18"/>
      <w:szCs w:val="18"/>
    </w:rPr>
  </w:style>
  <w:style w:type="character" w:customStyle="1" w:styleId="53">
    <w:name w:val="纯文本 字符"/>
    <w:link w:val="20"/>
    <w:qFormat/>
    <w:uiPriority w:val="0"/>
    <w:rPr>
      <w:rFonts w:ascii="宋体" w:hAnsi="Courier New"/>
      <w:kern w:val="2"/>
      <w:sz w:val="28"/>
    </w:rPr>
  </w:style>
  <w:style w:type="character" w:customStyle="1" w:styleId="54">
    <w:name w:val="日期 字符"/>
    <w:link w:val="21"/>
    <w:qFormat/>
    <w:uiPriority w:val="0"/>
    <w:rPr>
      <w:rFonts w:ascii="宋体" w:eastAsia="宋体"/>
      <w:sz w:val="24"/>
      <w:lang w:val="en-US" w:eastAsia="zh-CN" w:bidi="ar-SA"/>
    </w:rPr>
  </w:style>
  <w:style w:type="character" w:customStyle="1" w:styleId="55">
    <w:name w:val="页眉 字符"/>
    <w:link w:val="24"/>
    <w:qFormat/>
    <w:uiPriority w:val="0"/>
    <w:rPr>
      <w:rFonts w:eastAsia="宋体"/>
      <w:kern w:val="2"/>
      <w:sz w:val="18"/>
      <w:szCs w:val="18"/>
      <w:lang w:val="en-US" w:eastAsia="zh-CN" w:bidi="ar-SA"/>
    </w:rPr>
  </w:style>
  <w:style w:type="character" w:customStyle="1" w:styleId="56">
    <w:name w:val="标题 字符"/>
    <w:link w:val="29"/>
    <w:qFormat/>
    <w:uiPriority w:val="10"/>
    <w:rPr>
      <w:rFonts w:ascii="Times New Roman" w:hAnsi="Times New Roman" w:eastAsia="宋体" w:cs="Times New Roman"/>
      <w:sz w:val="28"/>
      <w:lang w:val="pt-BR"/>
    </w:rPr>
  </w:style>
  <w:style w:type="character" w:customStyle="1" w:styleId="57">
    <w:name w:val="正文文本首行缩进 字符"/>
    <w:link w:val="31"/>
    <w:qFormat/>
    <w:uiPriority w:val="0"/>
    <w:rPr>
      <w:szCs w:val="24"/>
    </w:rPr>
  </w:style>
  <w:style w:type="paragraph" w:customStyle="1" w:styleId="58">
    <w:name w:val="Default"/>
    <w:next w:val="59"/>
    <w:qFormat/>
    <w:uiPriority w:val="0"/>
    <w:pPr>
      <w:widowControl w:val="0"/>
      <w:autoSpaceDE w:val="0"/>
      <w:autoSpaceDN w:val="0"/>
      <w:adjustRightInd w:val="0"/>
    </w:pPr>
    <w:rPr>
      <w:rFonts w:ascii="宋体" w:hAnsi="宋体" w:eastAsia="等线" w:cs="宋体"/>
      <w:color w:val="000000"/>
      <w:sz w:val="24"/>
      <w:szCs w:val="24"/>
      <w:lang w:val="en-US" w:eastAsia="zh-CN" w:bidi="ar-SA"/>
    </w:rPr>
  </w:style>
  <w:style w:type="paragraph" w:customStyle="1" w:styleId="59">
    <w:name w:val="样式35"/>
    <w:basedOn w:val="1"/>
    <w:next w:val="1"/>
    <w:qFormat/>
    <w:uiPriority w:val="0"/>
    <w:pPr>
      <w:spacing w:line="312" w:lineRule="auto"/>
      <w:ind w:firstLine="567"/>
    </w:pPr>
    <w:rPr>
      <w:rFonts w:ascii="宋体"/>
      <w:sz w:val="28"/>
    </w:rPr>
  </w:style>
  <w:style w:type="paragraph" w:customStyle="1" w:styleId="60">
    <w:name w:val="Heading1"/>
    <w:basedOn w:val="1"/>
    <w:next w:val="1"/>
    <w:qFormat/>
    <w:uiPriority w:val="0"/>
    <w:pPr>
      <w:keepNext/>
      <w:ind w:left="539" w:right="28"/>
      <w:textAlignment w:val="baseline"/>
    </w:pPr>
    <w:rPr>
      <w:b/>
    </w:rPr>
  </w:style>
  <w:style w:type="character" w:customStyle="1" w:styleId="61">
    <w:name w:val="words-outer-wrap"/>
    <w:qFormat/>
    <w:uiPriority w:val="0"/>
  </w:style>
  <w:style w:type="character" w:customStyle="1" w:styleId="62">
    <w:name w:val="font81"/>
    <w:qFormat/>
    <w:uiPriority w:val="0"/>
    <w:rPr>
      <w:rFonts w:hint="eastAsia" w:ascii="宋体" w:hAnsi="宋体" w:eastAsia="宋体" w:cs="宋体"/>
      <w:color w:val="000000"/>
      <w:sz w:val="16"/>
      <w:szCs w:val="16"/>
      <w:u w:val="none"/>
    </w:rPr>
  </w:style>
  <w:style w:type="character" w:customStyle="1" w:styleId="63">
    <w:name w:val="font21"/>
    <w:qFormat/>
    <w:uiPriority w:val="0"/>
    <w:rPr>
      <w:rFonts w:hint="eastAsia" w:ascii="宋体" w:hAnsi="宋体" w:eastAsia="宋体" w:cs="宋体"/>
      <w:color w:val="000000"/>
      <w:sz w:val="20"/>
      <w:szCs w:val="20"/>
      <w:u w:val="none"/>
    </w:rPr>
  </w:style>
  <w:style w:type="character" w:customStyle="1" w:styleId="64">
    <w:name w:val="font112"/>
    <w:qFormat/>
    <w:uiPriority w:val="0"/>
    <w:rPr>
      <w:rFonts w:hint="default" w:ascii="Calibri" w:hAnsi="Calibri" w:cs="Calibri"/>
      <w:color w:val="000000"/>
      <w:sz w:val="16"/>
      <w:szCs w:val="16"/>
      <w:u w:val="none"/>
    </w:rPr>
  </w:style>
  <w:style w:type="character" w:customStyle="1" w:styleId="65">
    <w:name w:val="font121"/>
    <w:qFormat/>
    <w:uiPriority w:val="0"/>
    <w:rPr>
      <w:rFonts w:hint="default" w:ascii="Calibri" w:hAnsi="Calibri" w:cs="Calibri"/>
      <w:color w:val="000000"/>
      <w:sz w:val="21"/>
      <w:szCs w:val="21"/>
      <w:u w:val="none"/>
    </w:rPr>
  </w:style>
  <w:style w:type="character" w:customStyle="1" w:styleId="66">
    <w:name w:val="tcss01"/>
    <w:qFormat/>
    <w:uiPriority w:val="0"/>
  </w:style>
  <w:style w:type="character" w:customStyle="1" w:styleId="67">
    <w:name w:val="font91"/>
    <w:qFormat/>
    <w:uiPriority w:val="0"/>
    <w:rPr>
      <w:rFonts w:hint="default" w:ascii="Calibri" w:hAnsi="Calibri" w:cs="Calibri"/>
      <w:color w:val="000000"/>
      <w:sz w:val="21"/>
      <w:szCs w:val="21"/>
      <w:u w:val="none"/>
    </w:rPr>
  </w:style>
  <w:style w:type="character" w:customStyle="1" w:styleId="68">
    <w:name w:val="apple-converted-space"/>
    <w:qFormat/>
    <w:uiPriority w:val="0"/>
  </w:style>
  <w:style w:type="character" w:customStyle="1" w:styleId="69">
    <w:name w:val="font41"/>
    <w:qFormat/>
    <w:uiPriority w:val="0"/>
    <w:rPr>
      <w:rFonts w:hint="eastAsia" w:ascii="宋体" w:hAnsi="宋体" w:eastAsia="宋体" w:cs="宋体"/>
      <w:color w:val="000000"/>
      <w:sz w:val="20"/>
      <w:szCs w:val="20"/>
      <w:u w:val="none"/>
    </w:rPr>
  </w:style>
  <w:style w:type="character" w:customStyle="1" w:styleId="70">
    <w:name w:val="font31"/>
    <w:qFormat/>
    <w:uiPriority w:val="0"/>
    <w:rPr>
      <w:rFonts w:hint="eastAsia" w:ascii="宋体" w:hAnsi="宋体" w:eastAsia="宋体" w:cs="宋体"/>
      <w:color w:val="000000"/>
      <w:sz w:val="21"/>
      <w:szCs w:val="21"/>
      <w:u w:val="none"/>
    </w:rPr>
  </w:style>
  <w:style w:type="character" w:customStyle="1" w:styleId="71">
    <w:name w:val="font131"/>
    <w:qFormat/>
    <w:uiPriority w:val="0"/>
    <w:rPr>
      <w:rFonts w:ascii="Calibri" w:hAnsi="Calibri" w:cs="Calibri"/>
      <w:color w:val="000000"/>
      <w:sz w:val="20"/>
      <w:szCs w:val="20"/>
      <w:u w:val="none"/>
    </w:rPr>
  </w:style>
  <w:style w:type="character" w:customStyle="1" w:styleId="72">
    <w:name w:val="split-word"/>
    <w:qFormat/>
    <w:uiPriority w:val="0"/>
  </w:style>
  <w:style w:type="character" w:customStyle="1" w:styleId="73">
    <w:name w:val="正文文本 Char"/>
    <w:qFormat/>
    <w:uiPriority w:val="0"/>
    <w:rPr>
      <w:kern w:val="2"/>
      <w:sz w:val="21"/>
      <w:szCs w:val="24"/>
    </w:rPr>
  </w:style>
  <w:style w:type="character" w:customStyle="1" w:styleId="74">
    <w:name w:val="font71"/>
    <w:qFormat/>
    <w:uiPriority w:val="0"/>
    <w:rPr>
      <w:rFonts w:hint="default" w:ascii="Calibri" w:hAnsi="Calibri" w:cs="Calibri"/>
      <w:color w:val="000000"/>
      <w:sz w:val="16"/>
      <w:szCs w:val="16"/>
      <w:u w:val="none"/>
    </w:rPr>
  </w:style>
  <w:style w:type="paragraph" w:customStyle="1" w:styleId="75">
    <w:name w:val="Char2"/>
    <w:basedOn w:val="1"/>
    <w:qFormat/>
    <w:uiPriority w:val="0"/>
    <w:rPr>
      <w:spacing w:val="-2"/>
      <w:kern w:val="0"/>
    </w:rPr>
  </w:style>
  <w:style w:type="paragraph" w:customStyle="1" w:styleId="76">
    <w:name w:val="Table Paragraph"/>
    <w:basedOn w:val="1"/>
    <w:qFormat/>
    <w:uiPriority w:val="1"/>
    <w:pPr>
      <w:jc w:val="center"/>
    </w:pPr>
    <w:rPr>
      <w:rFonts w:eastAsia="Times New Roman"/>
      <w:lang w:val="zh-CN" w:bidi="zh-CN"/>
    </w:rPr>
  </w:style>
  <w:style w:type="paragraph" w:customStyle="1" w:styleId="77">
    <w:name w:val="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78">
    <w:name w:val="WPSOffice手动目录 1"/>
    <w:qFormat/>
    <w:uiPriority w:val="0"/>
    <w:rPr>
      <w:rFonts w:ascii="Times New Roman" w:hAnsi="Times New Roman" w:eastAsia="宋体" w:cs="Times New Roman"/>
      <w:lang w:val="en-US" w:eastAsia="zh-CN" w:bidi="ar-SA"/>
    </w:rPr>
  </w:style>
  <w:style w:type="paragraph" w:customStyle="1" w:styleId="79">
    <w:name w:val="表格文字1"/>
    <w:basedOn w:val="1"/>
    <w:next w:val="1"/>
    <w:qFormat/>
    <w:uiPriority w:val="0"/>
    <w:pPr>
      <w:adjustRightInd w:val="0"/>
      <w:snapToGrid w:val="0"/>
      <w:jc w:val="center"/>
    </w:pPr>
  </w:style>
  <w:style w:type="paragraph" w:customStyle="1" w:styleId="80">
    <w:name w:val="Char Char Char Char"/>
    <w:basedOn w:val="1"/>
    <w:qFormat/>
    <w:uiPriority w:val="0"/>
    <w:pPr>
      <w:spacing w:beforeLines="20" w:line="440" w:lineRule="atLeast"/>
      <w:ind w:firstLine="200" w:firstLineChars="200"/>
    </w:pPr>
  </w:style>
  <w:style w:type="paragraph" w:customStyle="1" w:styleId="81">
    <w:name w:val="默认段落字体 Para Char Char Char Char Char Char Char Char Char Char"/>
    <w:basedOn w:val="9"/>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82">
    <w:name w:val="新标题样式"/>
    <w:basedOn w:val="1"/>
    <w:qFormat/>
    <w:uiPriority w:val="0"/>
    <w:pPr>
      <w:tabs>
        <w:tab w:val="left" w:pos="567"/>
      </w:tabs>
    </w:pPr>
    <w:rPr>
      <w:rFonts w:eastAsia="黑体"/>
      <w:b/>
      <w:spacing w:val="20"/>
      <w:szCs w:val="20"/>
    </w:rPr>
  </w:style>
  <w:style w:type="paragraph" w:customStyle="1" w:styleId="83">
    <w:name w:val="Char"/>
    <w:basedOn w:val="1"/>
    <w:qFormat/>
    <w:uiPriority w:val="0"/>
    <w:pPr>
      <w:ind w:firstLine="200" w:firstLineChars="200"/>
    </w:pPr>
    <w:rPr>
      <w:rFonts w:ascii="宋体" w:hAnsi="宋体" w:cs="宋体"/>
    </w:rPr>
  </w:style>
  <w:style w:type="paragraph" w:customStyle="1" w:styleId="84">
    <w:name w:val="Char Char1 Char Char Char Char Char Char Char Char Char Char Char Char Char Char Char Char"/>
    <w:basedOn w:val="1"/>
    <w:qFormat/>
    <w:uiPriority w:val="0"/>
    <w:pPr>
      <w:adjustRightInd w:val="0"/>
      <w:spacing w:line="360" w:lineRule="atLeast"/>
    </w:pPr>
    <w:rPr>
      <w:rFonts w:ascii="Calibri" w:hAnsi="Calibri"/>
      <w:szCs w:val="22"/>
    </w:rPr>
  </w:style>
  <w:style w:type="paragraph" w:customStyle="1" w:styleId="85">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86">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87">
    <w:name w:val="表格内容"/>
    <w:qFormat/>
    <w:uiPriority w:val="0"/>
    <w:pPr>
      <w:widowControl w:val="0"/>
      <w:autoSpaceDE w:val="0"/>
      <w:autoSpaceDN w:val="0"/>
      <w:adjustRightInd w:val="0"/>
      <w:snapToGrid w:val="0"/>
      <w:jc w:val="center"/>
      <w:textAlignment w:val="baseline"/>
    </w:pPr>
    <w:rPr>
      <w:rFonts w:ascii="Times New Roman" w:hAnsi="Times New Roman" w:eastAsia="宋体" w:cs="Times New Roman"/>
      <w:sz w:val="21"/>
      <w:szCs w:val="18"/>
      <w:lang w:val="en-US" w:eastAsia="zh-CN" w:bidi="ar-SA"/>
    </w:rPr>
  </w:style>
  <w:style w:type="paragraph" w:customStyle="1" w:styleId="88">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89">
    <w:name w:val="样式 四号 首行缩进:  2 字符"/>
    <w:basedOn w:val="1"/>
    <w:qFormat/>
    <w:uiPriority w:val="0"/>
    <w:pPr>
      <w:spacing w:line="480" w:lineRule="atLeast"/>
      <w:ind w:firstLine="200" w:firstLineChars="200"/>
    </w:pPr>
  </w:style>
  <w:style w:type="paragraph" w:styleId="90">
    <w:name w:val="List Paragraph"/>
    <w:basedOn w:val="1"/>
    <w:qFormat/>
    <w:uiPriority w:val="34"/>
    <w:pPr>
      <w:ind w:firstLine="420" w:firstLineChars="200"/>
    </w:pPr>
    <w:rPr>
      <w:rFonts w:ascii="Calibri" w:hAnsi="Calibri"/>
      <w:szCs w:val="22"/>
    </w:rPr>
  </w:style>
  <w:style w:type="paragraph" w:customStyle="1" w:styleId="91">
    <w:name w:val="表格"/>
    <w:basedOn w:val="1"/>
    <w:qFormat/>
    <w:uiPriority w:val="0"/>
    <w:pPr>
      <w:keepNext/>
      <w:spacing w:line="312" w:lineRule="atLeast"/>
      <w:jc w:val="center"/>
    </w:pPr>
    <w:rPr>
      <w:szCs w:val="20"/>
    </w:rPr>
  </w:style>
  <w:style w:type="paragraph" w:customStyle="1" w:styleId="92">
    <w:name w:val="鸿达表头"/>
    <w:basedOn w:val="1"/>
    <w:link w:val="175"/>
    <w:qFormat/>
    <w:uiPriority w:val="0"/>
    <w:pPr>
      <w:spacing w:beforeLines="50" w:afterLines="50" w:line="240" w:lineRule="auto"/>
    </w:pPr>
    <w:rPr>
      <w:b/>
    </w:rPr>
  </w:style>
  <w:style w:type="paragraph" w:customStyle="1" w:styleId="93">
    <w:name w:val="鸿达表加粗"/>
    <w:basedOn w:val="1"/>
    <w:qFormat/>
    <w:uiPriority w:val="0"/>
    <w:pPr>
      <w:spacing w:line="240" w:lineRule="auto"/>
      <w:jc w:val="center"/>
    </w:pPr>
    <w:rPr>
      <w:rFonts w:cs="宋体"/>
      <w:b/>
      <w:color w:val="000000"/>
      <w:sz w:val="21"/>
    </w:rPr>
  </w:style>
  <w:style w:type="paragraph" w:customStyle="1" w:styleId="94">
    <w:name w:val="鸿达表格文字"/>
    <w:basedOn w:val="1"/>
    <w:qFormat/>
    <w:uiPriority w:val="0"/>
    <w:pPr>
      <w:spacing w:line="240" w:lineRule="auto"/>
      <w:contextualSpacing/>
      <w:jc w:val="center"/>
    </w:pPr>
    <w:rPr>
      <w:sz w:val="21"/>
      <w:szCs w:val="21"/>
    </w:rPr>
  </w:style>
  <w:style w:type="paragraph" w:customStyle="1" w:styleId="95">
    <w:name w:val="段落"/>
    <w:basedOn w:val="1"/>
    <w:link w:val="151"/>
    <w:qFormat/>
    <w:uiPriority w:val="0"/>
    <w:pPr>
      <w:spacing w:line="500" w:lineRule="exact"/>
    </w:pPr>
    <w:rPr>
      <w:szCs w:val="20"/>
    </w:rPr>
  </w:style>
  <w:style w:type="paragraph" w:customStyle="1" w:styleId="96">
    <w:name w:val="正文1"/>
    <w:basedOn w:val="1"/>
    <w:link w:val="147"/>
    <w:qFormat/>
    <w:uiPriority w:val="0"/>
    <w:pPr>
      <w:jc w:val="center"/>
    </w:pPr>
    <w:rPr>
      <w:szCs w:val="21"/>
    </w:rPr>
  </w:style>
  <w:style w:type="paragraph" w:customStyle="1" w:styleId="97">
    <w:name w:val="表头 Char"/>
    <w:basedOn w:val="1"/>
    <w:link w:val="176"/>
    <w:qFormat/>
    <w:uiPriority w:val="0"/>
    <w:pPr>
      <w:spacing w:before="200" w:line="500" w:lineRule="exact"/>
    </w:pPr>
    <w:rPr>
      <w:rFonts w:ascii="黑体" w:eastAsia="黑体"/>
      <w:spacing w:val="20"/>
    </w:rPr>
  </w:style>
  <w:style w:type="paragraph" w:customStyle="1" w:styleId="98">
    <w:name w:val="表格字体居中"/>
    <w:basedOn w:val="1"/>
    <w:qFormat/>
    <w:uiPriority w:val="0"/>
    <w:pPr>
      <w:spacing w:line="320" w:lineRule="exact"/>
      <w:jc w:val="center"/>
    </w:pPr>
    <w:rPr>
      <w:rFonts w:cs="宋体"/>
      <w:szCs w:val="20"/>
    </w:rPr>
  </w:style>
  <w:style w:type="paragraph" w:customStyle="1" w:styleId="99">
    <w:name w:val="五号表格"/>
    <w:basedOn w:val="1"/>
    <w:qFormat/>
    <w:uiPriority w:val="0"/>
    <w:pPr>
      <w:jc w:val="center"/>
    </w:pPr>
    <w:rPr>
      <w:rFonts w:cs="宋体"/>
      <w:szCs w:val="20"/>
    </w:rPr>
  </w:style>
  <w:style w:type="paragraph" w:customStyle="1" w:styleId="100">
    <w:name w:val="表格字体"/>
    <w:basedOn w:val="96"/>
    <w:qFormat/>
    <w:uiPriority w:val="0"/>
    <w:pPr>
      <w:adjustRightInd w:val="0"/>
      <w:spacing w:line="300" w:lineRule="exact"/>
    </w:pPr>
    <w:rPr>
      <w:sz w:val="21"/>
    </w:rPr>
  </w:style>
  <w:style w:type="paragraph" w:customStyle="1" w:styleId="101">
    <w:name w:val="报告正文"/>
    <w:basedOn w:val="1"/>
    <w:qFormat/>
    <w:uiPriority w:val="0"/>
    <w:pPr>
      <w:spacing w:line="520" w:lineRule="exact"/>
      <w:ind w:firstLine="200" w:firstLineChars="200"/>
    </w:pPr>
    <w:rPr>
      <w:color w:val="000000"/>
    </w:rPr>
  </w:style>
  <w:style w:type="paragraph" w:customStyle="1" w:styleId="102">
    <w:name w:val="鸿达图标"/>
    <w:basedOn w:val="1"/>
    <w:qFormat/>
    <w:uiPriority w:val="0"/>
    <w:pPr>
      <w:spacing w:line="240" w:lineRule="auto"/>
      <w:jc w:val="center"/>
    </w:pPr>
    <w:rPr>
      <w:b/>
    </w:rPr>
  </w:style>
  <w:style w:type="paragraph" w:customStyle="1" w:styleId="103">
    <w:name w:val="表字加粗"/>
    <w:basedOn w:val="1"/>
    <w:qFormat/>
    <w:uiPriority w:val="0"/>
    <w:pPr>
      <w:jc w:val="center"/>
    </w:pPr>
    <w:rPr>
      <w:rFonts w:cs="宋体"/>
      <w:b/>
      <w:bCs/>
      <w:szCs w:val="20"/>
    </w:rPr>
  </w:style>
  <w:style w:type="paragraph" w:customStyle="1" w:styleId="104">
    <w:name w:val="鸿达正文"/>
    <w:basedOn w:val="1"/>
    <w:qFormat/>
    <w:uiPriority w:val="0"/>
    <w:pPr>
      <w:ind w:firstLine="480"/>
    </w:pPr>
    <w:rPr>
      <w:rFonts w:ascii="宋体" w:hAnsi="宋体" w:eastAsia="Times New Roman"/>
    </w:rPr>
  </w:style>
  <w:style w:type="paragraph" w:customStyle="1" w:styleId="105">
    <w:name w:val="鸿达表格段落"/>
    <w:basedOn w:val="1"/>
    <w:qFormat/>
    <w:uiPriority w:val="0"/>
    <w:pPr>
      <w:spacing w:line="240" w:lineRule="auto"/>
      <w:jc w:val="left"/>
    </w:pPr>
    <w:rPr>
      <w:sz w:val="21"/>
    </w:rPr>
  </w:style>
  <w:style w:type="paragraph" w:customStyle="1" w:styleId="106">
    <w:name w:val="正文鸿泰"/>
    <w:basedOn w:val="1"/>
    <w:qFormat/>
    <w:uiPriority w:val="0"/>
    <w:pPr>
      <w:spacing w:line="480" w:lineRule="exact"/>
      <w:ind w:firstLine="480" w:firstLineChars="200"/>
    </w:pPr>
  </w:style>
  <w:style w:type="paragraph" w:customStyle="1" w:styleId="107">
    <w:name w:val="图"/>
    <w:basedOn w:val="1"/>
    <w:qFormat/>
    <w:uiPriority w:val="0"/>
    <w:pPr>
      <w:jc w:val="center"/>
    </w:pPr>
    <w:rPr>
      <w:rFonts w:eastAsia="黑体"/>
    </w:rPr>
  </w:style>
  <w:style w:type="paragraph" w:customStyle="1" w:styleId="108">
    <w:name w:val="1.正文"/>
    <w:basedOn w:val="1"/>
    <w:qFormat/>
    <w:uiPriority w:val="0"/>
    <w:rPr>
      <w:rFonts w:cs="宋体"/>
    </w:rPr>
  </w:style>
  <w:style w:type="paragraph" w:customStyle="1" w:styleId="109">
    <w:name w:val="表头专用"/>
    <w:basedOn w:val="1"/>
    <w:qFormat/>
    <w:uiPriority w:val="0"/>
    <w:pPr>
      <w:numPr>
        <w:ilvl w:val="0"/>
        <w:numId w:val="2"/>
      </w:numPr>
      <w:spacing w:line="520" w:lineRule="exact"/>
      <w:jc w:val="center"/>
    </w:pPr>
    <w:rPr>
      <w:b/>
    </w:rPr>
  </w:style>
  <w:style w:type="paragraph" w:customStyle="1" w:styleId="110">
    <w:name w:val="样式 表格文字 + 居中1"/>
    <w:basedOn w:val="1"/>
    <w:qFormat/>
    <w:uiPriority w:val="0"/>
    <w:pPr>
      <w:adjustRightInd w:val="0"/>
      <w:snapToGrid w:val="0"/>
      <w:spacing w:line="400" w:lineRule="exact"/>
      <w:jc w:val="center"/>
    </w:pPr>
    <w:rPr>
      <w:rFonts w:cs="宋体"/>
      <w:sz w:val="21"/>
      <w:szCs w:val="20"/>
    </w:rPr>
  </w:style>
  <w:style w:type="paragraph" w:customStyle="1" w:styleId="111">
    <w:name w:val="表头1"/>
    <w:basedOn w:val="1"/>
    <w:qFormat/>
    <w:uiPriority w:val="34"/>
    <w:pPr>
      <w:adjustRightInd w:val="0"/>
      <w:snapToGrid w:val="0"/>
      <w:jc w:val="center"/>
    </w:pPr>
    <w:rPr>
      <w:b/>
      <w:sz w:val="21"/>
      <w:szCs w:val="22"/>
    </w:rPr>
  </w:style>
  <w:style w:type="paragraph" w:customStyle="1" w:styleId="112">
    <w:name w:val="样式12"/>
    <w:basedOn w:val="113"/>
    <w:qFormat/>
    <w:uiPriority w:val="0"/>
    <w:pPr>
      <w:spacing w:line="320" w:lineRule="exact"/>
    </w:pPr>
    <w:rPr>
      <w:rFonts w:ascii="Times New Roman"/>
      <w:sz w:val="21"/>
      <w:szCs w:val="21"/>
    </w:rPr>
  </w:style>
  <w:style w:type="paragraph" w:customStyle="1" w:styleId="113">
    <w:name w:val="表格正文"/>
    <w:basedOn w:val="13"/>
    <w:qFormat/>
    <w:uiPriority w:val="0"/>
    <w:pPr>
      <w:autoSpaceDE w:val="0"/>
      <w:autoSpaceDN w:val="0"/>
      <w:spacing w:line="360" w:lineRule="exact"/>
      <w:jc w:val="center"/>
      <w:textAlignment w:val="bottom"/>
    </w:pPr>
    <w:rPr>
      <w:rFonts w:ascii="宋体"/>
      <w:kern w:val="0"/>
      <w:sz w:val="24"/>
    </w:rPr>
  </w:style>
  <w:style w:type="paragraph" w:customStyle="1" w:styleId="114">
    <w:name w:val="xry表格文字"/>
    <w:basedOn w:val="1"/>
    <w:qFormat/>
    <w:uiPriority w:val="0"/>
    <w:pPr>
      <w:spacing w:line="240" w:lineRule="auto"/>
      <w:jc w:val="center"/>
    </w:pPr>
    <w:rPr>
      <w:kern w:val="0"/>
      <w:sz w:val="20"/>
      <w:lang w:val="zh-CN"/>
    </w:rPr>
  </w:style>
  <w:style w:type="paragraph" w:customStyle="1" w:styleId="115">
    <w:name w:val="正文22"/>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116">
    <w:name w:val="鸿达公式"/>
    <w:basedOn w:val="1"/>
    <w:qFormat/>
    <w:uiPriority w:val="0"/>
    <w:pPr>
      <w:spacing w:beforeLines="50" w:afterLines="50" w:line="240" w:lineRule="auto"/>
      <w:jc w:val="center"/>
    </w:pPr>
    <w:rPr>
      <w:szCs w:val="28"/>
    </w:rPr>
  </w:style>
  <w:style w:type="paragraph" w:customStyle="1" w:styleId="117">
    <w:name w:val="表格中文字"/>
    <w:basedOn w:val="1"/>
    <w:qFormat/>
    <w:uiPriority w:val="0"/>
    <w:pPr>
      <w:spacing w:line="240" w:lineRule="auto"/>
      <w:jc w:val="center"/>
    </w:pPr>
    <w:rPr>
      <w:kern w:val="0"/>
      <w:sz w:val="20"/>
      <w:lang w:val="zh-CN"/>
    </w:rPr>
  </w:style>
  <w:style w:type="character" w:customStyle="1" w:styleId="118">
    <w:name w:val="font51"/>
    <w:qFormat/>
    <w:uiPriority w:val="0"/>
    <w:rPr>
      <w:rFonts w:hint="default" w:ascii="Times New Roman" w:hAnsi="Times New Roman" w:cs="Times New Roman"/>
      <w:color w:val="000000"/>
      <w:sz w:val="22"/>
      <w:szCs w:val="22"/>
      <w:u w:val="none"/>
      <w:vertAlign w:val="superscript"/>
    </w:rPr>
  </w:style>
  <w:style w:type="character" w:customStyle="1" w:styleId="119">
    <w:name w:val="16"/>
    <w:qFormat/>
    <w:uiPriority w:val="0"/>
    <w:rPr>
      <w:rFonts w:hint="eastAsia" w:ascii="宋体" w:hAnsi="宋体" w:eastAsia="宋体" w:cs="宋体"/>
      <w:color w:val="000000"/>
      <w:sz w:val="20"/>
      <w:szCs w:val="20"/>
    </w:rPr>
  </w:style>
  <w:style w:type="paragraph" w:customStyle="1" w:styleId="120">
    <w:name w:val="Char Char1 Char"/>
    <w:basedOn w:val="1"/>
    <w:qFormat/>
    <w:uiPriority w:val="0"/>
    <w:pPr>
      <w:ind w:firstLine="200" w:firstLineChars="200"/>
    </w:pPr>
    <w:rPr>
      <w:rFonts w:ascii="宋体" w:hAnsi="宋体" w:cs="宋体"/>
    </w:rPr>
  </w:style>
  <w:style w:type="paragraph" w:customStyle="1" w:styleId="121">
    <w:name w:val="表格标题"/>
    <w:basedOn w:val="1"/>
    <w:next w:val="12"/>
    <w:qFormat/>
    <w:uiPriority w:val="0"/>
    <w:pPr>
      <w:spacing w:line="360" w:lineRule="auto"/>
      <w:ind w:firstLine="1120" w:firstLineChars="400"/>
      <w:jc w:val="left"/>
      <w:outlineLvl w:val="5"/>
    </w:pPr>
    <w:rPr>
      <w:b/>
      <w:bCs/>
      <w:sz w:val="24"/>
    </w:rPr>
  </w:style>
  <w:style w:type="character" w:customStyle="1" w:styleId="122">
    <w:name w:val="正文斜体 Char11"/>
    <w:qFormat/>
    <w:uiPriority w:val="0"/>
    <w:rPr>
      <w:rFonts w:ascii="宋体" w:hAnsi="宋体" w:eastAsia="宋体" w:cs="宋体"/>
      <w:i/>
      <w:iCs/>
      <w:kern w:val="2"/>
      <w:sz w:val="24"/>
      <w:szCs w:val="24"/>
      <w:lang w:val="en-US" w:eastAsia="zh-CN" w:bidi="ar-SA"/>
    </w:rPr>
  </w:style>
  <w:style w:type="character" w:customStyle="1" w:styleId="123">
    <w:name w:val="正文修改 Char171"/>
    <w:qFormat/>
    <w:uiPriority w:val="0"/>
    <w:rPr>
      <w:rFonts w:hAnsi="宋体"/>
      <w:color w:val="000000"/>
    </w:rPr>
  </w:style>
  <w:style w:type="character" w:customStyle="1" w:styleId="124">
    <w:name w:val="20"/>
    <w:qFormat/>
    <w:uiPriority w:val="0"/>
    <w:rPr>
      <w:rFonts w:hint="default" w:ascii="Times New Roman" w:hAnsi="Times New Roman" w:cs="Times New Roman"/>
      <w:color w:val="000000"/>
      <w:sz w:val="20"/>
      <w:szCs w:val="20"/>
    </w:rPr>
  </w:style>
  <w:style w:type="character" w:customStyle="1" w:styleId="125">
    <w:name w:val="21"/>
    <w:qFormat/>
    <w:uiPriority w:val="0"/>
    <w:rPr>
      <w:rFonts w:hint="default" w:ascii="Times New Roman" w:hAnsi="Times New Roman" w:cs="Times New Roman"/>
      <w:color w:val="000000"/>
      <w:sz w:val="21"/>
      <w:szCs w:val="21"/>
    </w:rPr>
  </w:style>
  <w:style w:type="character" w:customStyle="1" w:styleId="126">
    <w:name w:val="17"/>
    <w:qFormat/>
    <w:uiPriority w:val="0"/>
    <w:rPr>
      <w:rFonts w:hint="default" w:ascii="Times New Roman" w:hAnsi="Times New Roman" w:cs="Times New Roman"/>
      <w:color w:val="000000"/>
      <w:sz w:val="22"/>
      <w:szCs w:val="22"/>
      <w:vertAlign w:val="superscript"/>
    </w:rPr>
  </w:style>
  <w:style w:type="character" w:customStyle="1" w:styleId="127">
    <w:name w:val="18"/>
    <w:qFormat/>
    <w:uiPriority w:val="0"/>
    <w:rPr>
      <w:rFonts w:hint="eastAsia" w:ascii="宋体" w:hAnsi="宋体" w:eastAsia="宋体" w:cs="宋体"/>
      <w:color w:val="000000"/>
      <w:sz w:val="20"/>
      <w:szCs w:val="20"/>
    </w:rPr>
  </w:style>
  <w:style w:type="character" w:customStyle="1" w:styleId="128">
    <w:name w:val="19"/>
    <w:qFormat/>
    <w:uiPriority w:val="0"/>
    <w:rPr>
      <w:rFonts w:hint="default" w:ascii="Times New Roman" w:hAnsi="Times New Roman" w:cs="Times New Roman"/>
      <w:color w:val="000000"/>
      <w:sz w:val="20"/>
      <w:szCs w:val="20"/>
    </w:rPr>
  </w:style>
  <w:style w:type="paragraph" w:customStyle="1" w:styleId="129">
    <w:name w:val="A正文"/>
    <w:basedOn w:val="1"/>
    <w:qFormat/>
    <w:uiPriority w:val="0"/>
    <w:pPr>
      <w:widowControl/>
      <w:overflowPunct w:val="0"/>
      <w:autoSpaceDE w:val="0"/>
      <w:autoSpaceDN w:val="0"/>
      <w:adjustRightInd w:val="0"/>
      <w:jc w:val="left"/>
      <w:textAlignment w:val="baseline"/>
    </w:pPr>
    <w:rPr>
      <w:rFonts w:eastAsia="仿宋_GB2312"/>
      <w:kern w:val="0"/>
    </w:rPr>
  </w:style>
  <w:style w:type="character" w:customStyle="1" w:styleId="130">
    <w:name w:val="标题 1 Char"/>
    <w:qFormat/>
    <w:locked/>
    <w:uiPriority w:val="9"/>
    <w:rPr>
      <w:rFonts w:eastAsia="黑体"/>
      <w:bCs/>
      <w:kern w:val="44"/>
      <w:sz w:val="24"/>
      <w:szCs w:val="44"/>
    </w:rPr>
  </w:style>
  <w:style w:type="paragraph" w:customStyle="1" w:styleId="131">
    <w:name w:val="4"/>
    <w:basedOn w:val="1"/>
    <w:next w:val="31"/>
    <w:link w:val="132"/>
    <w:qFormat/>
    <w:uiPriority w:val="0"/>
    <w:pPr>
      <w:widowControl/>
      <w:spacing w:line="240" w:lineRule="auto"/>
      <w:ind w:firstLine="420" w:firstLineChars="100"/>
      <w:jc w:val="center"/>
    </w:pPr>
    <w:rPr>
      <w:rFonts w:ascii="Calibri" w:hAnsi="Calibri" w:cs="Calibri"/>
      <w:sz w:val="21"/>
    </w:rPr>
  </w:style>
  <w:style w:type="character" w:customStyle="1" w:styleId="132">
    <w:name w:val="正文首行缩进 Char"/>
    <w:link w:val="131"/>
    <w:qFormat/>
    <w:uiPriority w:val="0"/>
    <w:rPr>
      <w:rFonts w:ascii="Calibri" w:hAnsi="Calibri" w:cs="Calibri"/>
      <w:kern w:val="2"/>
      <w:sz w:val="21"/>
      <w:szCs w:val="24"/>
    </w:rPr>
  </w:style>
  <w:style w:type="paragraph" w:customStyle="1" w:styleId="133">
    <w:name w:val="标题三"/>
    <w:basedOn w:val="1"/>
    <w:link w:val="134"/>
    <w:qFormat/>
    <w:uiPriority w:val="0"/>
    <w:pPr>
      <w:widowControl/>
      <w:spacing w:line="240" w:lineRule="auto"/>
      <w:jc w:val="center"/>
    </w:pPr>
    <w:rPr>
      <w:rFonts w:ascii="Calibri" w:hAnsi="Calibri"/>
      <w:sz w:val="21"/>
    </w:rPr>
  </w:style>
  <w:style w:type="character" w:customStyle="1" w:styleId="134">
    <w:name w:val="标题三 Char"/>
    <w:link w:val="133"/>
    <w:qFormat/>
    <w:uiPriority w:val="0"/>
    <w:rPr>
      <w:rFonts w:ascii="Calibri" w:hAnsi="Calibri"/>
      <w:kern w:val="2"/>
      <w:sz w:val="21"/>
      <w:szCs w:val="24"/>
    </w:rPr>
  </w:style>
  <w:style w:type="paragraph" w:customStyle="1" w:styleId="135">
    <w:name w:val="15"/>
    <w:basedOn w:val="1"/>
    <w:qFormat/>
    <w:uiPriority w:val="0"/>
    <w:pPr>
      <w:widowControl/>
      <w:spacing w:before="100" w:beforeAutospacing="1" w:after="100" w:afterAutospacing="1"/>
      <w:ind w:firstLine="510"/>
    </w:pPr>
    <w:rPr>
      <w:spacing w:val="8"/>
      <w:kern w:val="0"/>
    </w:rPr>
  </w:style>
  <w:style w:type="paragraph" w:customStyle="1" w:styleId="136">
    <w:name w:val="默认 A"/>
    <w:qFormat/>
    <w:uiPriority w:val="0"/>
    <w:pPr>
      <w:jc w:val="center"/>
    </w:pPr>
    <w:rPr>
      <w:rFonts w:ascii="Helvetica" w:hAnsi="Helvetica" w:eastAsia="Arial Unicode MS" w:cs="Arial Unicode MS"/>
      <w:color w:val="000000"/>
      <w:sz w:val="22"/>
      <w:szCs w:val="22"/>
      <w:u w:color="000000"/>
      <w:lang w:val="en-US" w:eastAsia="zh-CN" w:bidi="ar-SA"/>
    </w:rPr>
  </w:style>
  <w:style w:type="paragraph" w:customStyle="1" w:styleId="137">
    <w:name w:val="3"/>
    <w:basedOn w:val="1"/>
    <w:next w:val="31"/>
    <w:qFormat/>
    <w:uiPriority w:val="0"/>
    <w:pPr>
      <w:widowControl/>
      <w:spacing w:line="240" w:lineRule="auto"/>
      <w:ind w:firstLine="420" w:firstLineChars="100"/>
      <w:jc w:val="center"/>
    </w:pPr>
    <w:rPr>
      <w:rFonts w:ascii="Calibri" w:hAnsi="Calibri" w:cs="Calibri"/>
      <w:sz w:val="21"/>
    </w:rPr>
  </w:style>
  <w:style w:type="paragraph" w:customStyle="1" w:styleId="138">
    <w:name w:val="表字体"/>
    <w:basedOn w:val="1"/>
    <w:next w:val="1"/>
    <w:link w:val="139"/>
    <w:qFormat/>
    <w:uiPriority w:val="0"/>
    <w:pPr>
      <w:widowControl/>
      <w:spacing w:line="240" w:lineRule="auto"/>
      <w:jc w:val="center"/>
    </w:pPr>
    <w:rPr>
      <w:kern w:val="0"/>
    </w:rPr>
  </w:style>
  <w:style w:type="character" w:customStyle="1" w:styleId="139">
    <w:name w:val="表字体 Char"/>
    <w:link w:val="138"/>
    <w:qFormat/>
    <w:uiPriority w:val="0"/>
    <w:rPr>
      <w:sz w:val="24"/>
      <w:szCs w:val="24"/>
    </w:rPr>
  </w:style>
  <w:style w:type="paragraph" w:customStyle="1" w:styleId="140">
    <w:name w:val="我的正文"/>
    <w:basedOn w:val="1"/>
    <w:link w:val="141"/>
    <w:qFormat/>
    <w:uiPriority w:val="0"/>
    <w:pPr>
      <w:spacing w:line="312" w:lineRule="auto"/>
      <w:ind w:firstLine="200" w:firstLineChars="200"/>
    </w:pPr>
    <w:rPr>
      <w:rFonts w:cs="宋体"/>
      <w:szCs w:val="20"/>
    </w:rPr>
  </w:style>
  <w:style w:type="character" w:customStyle="1" w:styleId="141">
    <w:name w:val="我的正文 Char"/>
    <w:link w:val="140"/>
    <w:qFormat/>
    <w:locked/>
    <w:uiPriority w:val="0"/>
    <w:rPr>
      <w:rFonts w:cs="宋体"/>
      <w:kern w:val="2"/>
      <w:sz w:val="24"/>
    </w:rPr>
  </w:style>
  <w:style w:type="paragraph" w:customStyle="1" w:styleId="142">
    <w:name w:val="样式 小四 黑色 行距: 1.5 倍行距 首行缩进:  2 字符1"/>
    <w:basedOn w:val="1"/>
    <w:qFormat/>
    <w:uiPriority w:val="0"/>
    <w:pPr>
      <w:spacing w:line="520" w:lineRule="exact"/>
      <w:ind w:firstLine="200" w:firstLineChars="200"/>
    </w:pPr>
    <w:rPr>
      <w:rFonts w:ascii="Calibri" w:hAnsi="Calibri" w:cs="宋体"/>
      <w:color w:val="000000"/>
      <w:szCs w:val="22"/>
    </w:rPr>
  </w:style>
  <w:style w:type="character" w:customStyle="1" w:styleId="143">
    <w:name w:val="表文字 Char"/>
    <w:link w:val="144"/>
    <w:qFormat/>
    <w:uiPriority w:val="0"/>
    <w:rPr>
      <w:sz w:val="24"/>
    </w:rPr>
  </w:style>
  <w:style w:type="paragraph" w:customStyle="1" w:styleId="144">
    <w:name w:val="表文字"/>
    <w:basedOn w:val="1"/>
    <w:link w:val="143"/>
    <w:qFormat/>
    <w:uiPriority w:val="0"/>
    <w:pPr>
      <w:widowControl/>
      <w:overflowPunct w:val="0"/>
      <w:autoSpaceDE w:val="0"/>
      <w:autoSpaceDN w:val="0"/>
      <w:adjustRightInd w:val="0"/>
      <w:spacing w:line="240" w:lineRule="atLeast"/>
      <w:jc w:val="center"/>
      <w:textAlignment w:val="baseline"/>
    </w:pPr>
    <w:rPr>
      <w:kern w:val="0"/>
      <w:szCs w:val="20"/>
    </w:rPr>
  </w:style>
  <w:style w:type="character" w:customStyle="1" w:styleId="145">
    <w:name w:val="表文字 Char Char"/>
    <w:qFormat/>
    <w:locked/>
    <w:uiPriority w:val="0"/>
    <w:rPr>
      <w:rFonts w:eastAsia="宋体"/>
      <w:sz w:val="24"/>
      <w:lang w:val="en-US" w:eastAsia="zh-CN" w:bidi="ar-SA"/>
    </w:rPr>
  </w:style>
  <w:style w:type="character" w:customStyle="1" w:styleId="146">
    <w:name w:val="标题 3 Char"/>
    <w:qFormat/>
    <w:uiPriority w:val="9"/>
    <w:rPr>
      <w:rFonts w:ascii="宋体" w:hAnsi="宋体" w:cs="宋体"/>
      <w:bCs/>
      <w:sz w:val="24"/>
      <w:szCs w:val="32"/>
    </w:rPr>
  </w:style>
  <w:style w:type="character" w:customStyle="1" w:styleId="147">
    <w:name w:val="正文1 Char"/>
    <w:link w:val="96"/>
    <w:qFormat/>
    <w:uiPriority w:val="0"/>
    <w:rPr>
      <w:kern w:val="2"/>
      <w:sz w:val="24"/>
      <w:szCs w:val="21"/>
    </w:rPr>
  </w:style>
  <w:style w:type="paragraph" w:customStyle="1" w:styleId="148">
    <w:name w:val="2"/>
    <w:basedOn w:val="1"/>
    <w:next w:val="31"/>
    <w:qFormat/>
    <w:uiPriority w:val="0"/>
    <w:pPr>
      <w:widowControl/>
      <w:spacing w:line="240" w:lineRule="auto"/>
      <w:ind w:firstLine="420" w:firstLineChars="100"/>
      <w:jc w:val="center"/>
    </w:pPr>
    <w:rPr>
      <w:rFonts w:ascii="Calibri" w:hAnsi="Calibri" w:cs="Calibri"/>
      <w:sz w:val="21"/>
    </w:rPr>
  </w:style>
  <w:style w:type="character" w:customStyle="1" w:styleId="149">
    <w:name w:val="标题二 Char"/>
    <w:link w:val="150"/>
    <w:qFormat/>
    <w:uiPriority w:val="0"/>
    <w:rPr>
      <w:kern w:val="2"/>
      <w:sz w:val="21"/>
      <w:szCs w:val="24"/>
    </w:rPr>
  </w:style>
  <w:style w:type="paragraph" w:customStyle="1" w:styleId="150">
    <w:name w:val="标题二"/>
    <w:basedOn w:val="1"/>
    <w:link w:val="149"/>
    <w:qFormat/>
    <w:uiPriority w:val="0"/>
    <w:pPr>
      <w:widowControl/>
      <w:spacing w:line="240" w:lineRule="auto"/>
      <w:jc w:val="center"/>
    </w:pPr>
    <w:rPr>
      <w:sz w:val="21"/>
    </w:rPr>
  </w:style>
  <w:style w:type="character" w:customStyle="1" w:styleId="151">
    <w:name w:val="段落 Char Char Char"/>
    <w:link w:val="95"/>
    <w:qFormat/>
    <w:uiPriority w:val="0"/>
    <w:rPr>
      <w:kern w:val="2"/>
      <w:sz w:val="24"/>
    </w:rPr>
  </w:style>
  <w:style w:type="character" w:customStyle="1" w:styleId="152">
    <w:name w:val="段落 Char Char Char Char"/>
    <w:link w:val="8"/>
    <w:qFormat/>
    <w:uiPriority w:val="0"/>
    <w:rPr>
      <w:sz w:val="28"/>
      <w:szCs w:val="28"/>
    </w:rPr>
  </w:style>
  <w:style w:type="paragraph" w:customStyle="1" w:styleId="153">
    <w:name w:val="1"/>
    <w:basedOn w:val="1"/>
    <w:next w:val="31"/>
    <w:qFormat/>
    <w:uiPriority w:val="0"/>
    <w:pPr>
      <w:widowControl/>
      <w:spacing w:line="240" w:lineRule="auto"/>
      <w:ind w:firstLine="420" w:firstLineChars="100"/>
      <w:jc w:val="center"/>
    </w:pPr>
    <w:rPr>
      <w:rFonts w:ascii="Calibri" w:hAnsi="Calibri" w:cs="Calibri"/>
      <w:sz w:val="21"/>
    </w:rPr>
  </w:style>
  <w:style w:type="character" w:customStyle="1" w:styleId="154">
    <w:name w:val="标题 6 字符"/>
    <w:basedOn w:val="34"/>
    <w:semiHidden/>
    <w:qFormat/>
    <w:uiPriority w:val="0"/>
    <w:rPr>
      <w:rFonts w:asciiTheme="majorHAnsi" w:hAnsiTheme="majorHAnsi" w:eastAsiaTheme="majorEastAsia" w:cstheme="majorBidi"/>
      <w:b/>
      <w:bCs/>
      <w:kern w:val="2"/>
      <w:sz w:val="24"/>
      <w:szCs w:val="24"/>
    </w:rPr>
  </w:style>
  <w:style w:type="character" w:customStyle="1" w:styleId="155">
    <w:name w:val="标题 6 字符1"/>
    <w:link w:val="12"/>
    <w:qFormat/>
    <w:uiPriority w:val="0"/>
    <w:rPr>
      <w:rFonts w:ascii="Cambria" w:hAnsi="Cambria"/>
      <w:b/>
      <w:bCs/>
      <w:sz w:val="24"/>
      <w:szCs w:val="24"/>
    </w:rPr>
  </w:style>
  <w:style w:type="paragraph" w:customStyle="1" w:styleId="156">
    <w:name w:val="表格填充1"/>
    <w:basedOn w:val="1"/>
    <w:qFormat/>
    <w:uiPriority w:val="0"/>
    <w:pPr>
      <w:adjustRightInd w:val="0"/>
      <w:snapToGrid w:val="0"/>
      <w:spacing w:line="330" w:lineRule="exact"/>
    </w:pPr>
    <w:rPr>
      <w:snapToGrid w:val="0"/>
      <w:sz w:val="21"/>
      <w:szCs w:val="18"/>
    </w:rPr>
  </w:style>
  <w:style w:type="character" w:customStyle="1" w:styleId="157">
    <w:name w:val="正文缩进 Char1"/>
    <w:qFormat/>
    <w:uiPriority w:val="0"/>
    <w:rPr>
      <w:rFonts w:ascii="Calibri" w:hAnsi="Calibri" w:eastAsia="宋体" w:cs="Times New Roman"/>
      <w:kern w:val="0"/>
    </w:rPr>
  </w:style>
  <w:style w:type="character" w:customStyle="1" w:styleId="158">
    <w:name w:val="纯文本 Char"/>
    <w:qFormat/>
    <w:uiPriority w:val="0"/>
    <w:rPr>
      <w:rFonts w:ascii="宋体" w:hAnsi="Courier New" w:eastAsia="宋体"/>
      <w:kern w:val="2"/>
      <w:sz w:val="21"/>
      <w:lang w:val="en-US" w:eastAsia="zh-CN" w:bidi="ar-SA"/>
    </w:rPr>
  </w:style>
  <w:style w:type="paragraph" w:customStyle="1" w:styleId="159">
    <w:name w:val="样式6"/>
    <w:basedOn w:val="1"/>
    <w:qFormat/>
    <w:uiPriority w:val="0"/>
    <w:pPr>
      <w:spacing w:line="240" w:lineRule="auto"/>
      <w:jc w:val="center"/>
    </w:pPr>
    <w:rPr>
      <w:rFonts w:ascii="Calibri" w:hAnsi="Calibri"/>
      <w:sz w:val="21"/>
    </w:rPr>
  </w:style>
  <w:style w:type="character" w:styleId="160">
    <w:name w:val="Placeholder Text"/>
    <w:basedOn w:val="34"/>
    <w:unhideWhenUsed/>
    <w:qFormat/>
    <w:uiPriority w:val="99"/>
    <w:rPr>
      <w:color w:val="808080"/>
    </w:rPr>
  </w:style>
  <w:style w:type="character" w:customStyle="1" w:styleId="161">
    <w:name w:val="font01"/>
    <w:qFormat/>
    <w:uiPriority w:val="0"/>
    <w:rPr>
      <w:rFonts w:hint="default" w:ascii="Times New Roman" w:hAnsi="Times New Roman" w:cs="Times New Roman"/>
      <w:color w:val="FF0000"/>
      <w:sz w:val="21"/>
      <w:szCs w:val="21"/>
      <w:u w:val="none"/>
    </w:rPr>
  </w:style>
  <w:style w:type="character" w:customStyle="1" w:styleId="162">
    <w:name w:val="font11"/>
    <w:qFormat/>
    <w:uiPriority w:val="0"/>
    <w:rPr>
      <w:rFonts w:hint="eastAsia" w:ascii="宋体" w:hAnsi="宋体" w:eastAsia="宋体" w:cs="宋体"/>
      <w:color w:val="0000FF"/>
      <w:sz w:val="21"/>
      <w:szCs w:val="21"/>
      <w:u w:val="none"/>
    </w:rPr>
  </w:style>
  <w:style w:type="character" w:customStyle="1" w:styleId="163">
    <w:name w:val="正文文本 2 Char"/>
    <w:qFormat/>
    <w:uiPriority w:val="99"/>
    <w:rPr>
      <w:rFonts w:cs="Times New Roman"/>
      <w:kern w:val="2"/>
      <w:sz w:val="21"/>
      <w:szCs w:val="22"/>
    </w:rPr>
  </w:style>
  <w:style w:type="paragraph" w:customStyle="1" w:styleId="164">
    <w:name w:val="样式 居中"/>
    <w:basedOn w:val="1"/>
    <w:qFormat/>
    <w:uiPriority w:val="0"/>
    <w:pPr>
      <w:adjustRightInd w:val="0"/>
      <w:snapToGrid w:val="0"/>
      <w:spacing w:line="240" w:lineRule="auto"/>
      <w:jc w:val="center"/>
    </w:pPr>
    <w:rPr>
      <w:rFonts w:hAnsi="宋体"/>
      <w:sz w:val="21"/>
      <w:szCs w:val="21"/>
    </w:rPr>
  </w:style>
  <w:style w:type="table" w:customStyle="1" w:styleId="165">
    <w:name w:val="Table Normal"/>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character" w:customStyle="1" w:styleId="166">
    <w:name w:val="普通(网站) 字符"/>
    <w:link w:val="28"/>
    <w:qFormat/>
    <w:locked/>
    <w:uiPriority w:val="0"/>
    <w:rPr>
      <w:rFonts w:ascii="宋体" w:hAnsi="宋体"/>
      <w:sz w:val="24"/>
      <w:szCs w:val="24"/>
    </w:rPr>
  </w:style>
  <w:style w:type="paragraph" w:customStyle="1" w:styleId="167">
    <w:name w:val="正文（me）"/>
    <w:basedOn w:val="1"/>
    <w:qFormat/>
    <w:uiPriority w:val="0"/>
    <w:pPr>
      <w:spacing w:before="100" w:beforeAutospacing="1" w:after="100" w:afterAutospacing="1"/>
      <w:ind w:left="200" w:leftChars="200"/>
    </w:pPr>
    <w:rPr>
      <w:sz w:val="28"/>
      <w:szCs w:val="28"/>
    </w:rPr>
  </w:style>
  <w:style w:type="character" w:customStyle="1" w:styleId="168">
    <w:name w:val="段落 Char1"/>
    <w:qFormat/>
    <w:locked/>
    <w:uiPriority w:val="0"/>
    <w:rPr>
      <w:rFonts w:ascii="宋体" w:hAnsi="宋体" w:eastAsia="宋体"/>
      <w:color w:val="000000"/>
      <w:kern w:val="24"/>
      <w:sz w:val="24"/>
      <w:lang w:val="en-US" w:eastAsia="zh-CN" w:bidi="ar-SA"/>
    </w:rPr>
  </w:style>
  <w:style w:type="character" w:customStyle="1" w:styleId="169">
    <w:name w:val="标题 3 Char2"/>
    <w:qFormat/>
    <w:uiPriority w:val="0"/>
    <w:rPr>
      <w:rFonts w:ascii="Times New Roman" w:hAnsi="Times New Roman" w:eastAsia="楷体_GB2312" w:cs="Times New Roman"/>
      <w:b/>
      <w:kern w:val="0"/>
      <w:sz w:val="30"/>
      <w:szCs w:val="30"/>
    </w:rPr>
  </w:style>
  <w:style w:type="character" w:customStyle="1" w:styleId="170">
    <w:name w:val="标题 3 Char1"/>
    <w:qFormat/>
    <w:uiPriority w:val="0"/>
    <w:rPr>
      <w:rFonts w:eastAsia="宋体"/>
      <w:b/>
      <w:bCs/>
      <w:kern w:val="2"/>
      <w:sz w:val="28"/>
      <w:szCs w:val="32"/>
      <w:lang w:val="en-US" w:eastAsia="zh-CN" w:bidi="ar-SA"/>
    </w:rPr>
  </w:style>
  <w:style w:type="character" w:customStyle="1" w:styleId="171">
    <w:name w:val="正文文本缩进 字符"/>
    <w:link w:val="3"/>
    <w:qFormat/>
    <w:uiPriority w:val="99"/>
    <w:rPr>
      <w:sz w:val="24"/>
    </w:rPr>
  </w:style>
  <w:style w:type="paragraph" w:customStyle="1" w:styleId="172">
    <w:name w:val="0正文"/>
    <w:basedOn w:val="1"/>
    <w:qFormat/>
    <w:uiPriority w:val="0"/>
    <w:pPr>
      <w:autoSpaceDE w:val="0"/>
      <w:autoSpaceDN w:val="0"/>
      <w:adjustRightInd w:val="0"/>
      <w:ind w:firstLine="200" w:firstLineChars="200"/>
      <w:jc w:val="left"/>
    </w:pPr>
    <w:rPr>
      <w:rFonts w:asciiTheme="minorHAnsi" w:hAnsiTheme="minorHAnsi" w:eastAsiaTheme="minorEastAsia" w:cstheme="minorBidi"/>
      <w:szCs w:val="22"/>
      <w:lang w:val="zh-CN"/>
    </w:rPr>
  </w:style>
  <w:style w:type="paragraph" w:customStyle="1" w:styleId="173">
    <w:name w:val="！正文"/>
    <w:basedOn w:val="1"/>
    <w:qFormat/>
    <w:uiPriority w:val="0"/>
    <w:pPr>
      <w:spacing w:line="520" w:lineRule="exact"/>
      <w:ind w:firstLine="200" w:firstLineChars="200"/>
    </w:pPr>
    <w:rPr>
      <w:rFonts w:asciiTheme="minorHAnsi" w:hAnsiTheme="minorHAnsi" w:eastAsiaTheme="minorEastAsia" w:cstheme="minorBidi"/>
      <w:szCs w:val="28"/>
    </w:rPr>
  </w:style>
  <w:style w:type="character" w:customStyle="1" w:styleId="174">
    <w:name w:val="标题 4 字符"/>
    <w:link w:val="10"/>
    <w:qFormat/>
    <w:uiPriority w:val="0"/>
    <w:rPr>
      <w:rFonts w:eastAsia="宋体"/>
      <w:b/>
      <w:snapToGrid w:val="0"/>
      <w:kern w:val="2"/>
      <w:sz w:val="24"/>
      <w:szCs w:val="24"/>
    </w:rPr>
  </w:style>
  <w:style w:type="character" w:customStyle="1" w:styleId="175">
    <w:name w:val="鸿达表头 Char"/>
    <w:link w:val="92"/>
    <w:qFormat/>
    <w:locked/>
    <w:uiPriority w:val="0"/>
    <w:rPr>
      <w:b/>
      <w:kern w:val="2"/>
      <w:sz w:val="24"/>
      <w:szCs w:val="24"/>
    </w:rPr>
  </w:style>
  <w:style w:type="character" w:customStyle="1" w:styleId="176">
    <w:name w:val="表头 Char Char"/>
    <w:link w:val="97"/>
    <w:qFormat/>
    <w:locked/>
    <w:uiPriority w:val="0"/>
    <w:rPr>
      <w:rFonts w:ascii="黑体" w:eastAsia="黑体"/>
      <w:spacing w:val="20"/>
      <w:kern w:val="2"/>
      <w:sz w:val="24"/>
      <w:szCs w:val="24"/>
    </w:rPr>
  </w:style>
  <w:style w:type="character" w:customStyle="1" w:styleId="177">
    <w:name w:val="标题 2 Char1"/>
    <w:qFormat/>
    <w:uiPriority w:val="0"/>
    <w:rPr>
      <w:rFonts w:ascii="Times New Roman" w:hAnsi="Times New Roman" w:eastAsia="黑体" w:cs="Times New Roman"/>
      <w:kern w:val="0"/>
      <w:sz w:val="30"/>
      <w:szCs w:val="20"/>
    </w:rPr>
  </w:style>
  <w:style w:type="character" w:customStyle="1" w:styleId="178">
    <w:name w:val="正文文本缩进 Char"/>
    <w:qFormat/>
    <w:uiPriority w:val="0"/>
    <w:rPr>
      <w:rFonts w:ascii="Times New Roman" w:hAnsi="Times New Roman" w:eastAsia="宋体" w:cs="Times New Roman"/>
      <w:sz w:val="28"/>
      <w:szCs w:val="20"/>
    </w:rPr>
  </w:style>
  <w:style w:type="character" w:customStyle="1" w:styleId="179">
    <w:name w:val="表头 Char1"/>
    <w:link w:val="180"/>
    <w:qFormat/>
    <w:uiPriority w:val="0"/>
    <w:rPr>
      <w:rFonts w:ascii="黑体" w:eastAsia="黑体"/>
      <w:spacing w:val="20"/>
      <w:sz w:val="24"/>
      <w:szCs w:val="24"/>
    </w:rPr>
  </w:style>
  <w:style w:type="paragraph" w:customStyle="1" w:styleId="180">
    <w:name w:val="表头"/>
    <w:basedOn w:val="1"/>
    <w:link w:val="179"/>
    <w:qFormat/>
    <w:uiPriority w:val="0"/>
    <w:pPr>
      <w:spacing w:before="200" w:line="500" w:lineRule="exact"/>
    </w:pPr>
    <w:rPr>
      <w:rFonts w:ascii="黑体" w:eastAsia="黑体"/>
      <w:spacing w:val="20"/>
      <w:kern w:val="0"/>
    </w:rPr>
  </w:style>
  <w:style w:type="paragraph" w:customStyle="1" w:styleId="181">
    <w:name w:val="图表标题"/>
    <w:basedOn w:val="1"/>
    <w:next w:val="1"/>
    <w:link w:val="184"/>
    <w:qFormat/>
    <w:uiPriority w:val="0"/>
    <w:pPr>
      <w:keepNext/>
      <w:keepLines/>
      <w:widowControl/>
      <w:spacing w:line="240" w:lineRule="auto"/>
      <w:ind w:firstLine="1120" w:firstLineChars="400"/>
      <w:jc w:val="both"/>
      <w:outlineLvl w:val="5"/>
    </w:pPr>
    <w:rPr>
      <w:rFonts w:ascii="Times New Roman" w:hAnsi="Times New Roman" w:eastAsia="宋体"/>
      <w:b/>
      <w:bCs/>
      <w:kern w:val="44"/>
    </w:rPr>
  </w:style>
  <w:style w:type="paragraph" w:customStyle="1" w:styleId="182">
    <w:name w:val="表字体2"/>
    <w:basedOn w:val="1"/>
    <w:qFormat/>
    <w:uiPriority w:val="0"/>
    <w:pPr>
      <w:spacing w:line="240" w:lineRule="auto"/>
      <w:ind w:firstLine="0" w:firstLineChars="0"/>
      <w:contextualSpacing/>
      <w:jc w:val="center"/>
    </w:pPr>
    <w:rPr>
      <w:rFonts w:ascii="Times New Roman" w:hAnsi="Times New Roman" w:eastAsia="宋体"/>
      <w:color w:val="000000" w:themeColor="text1"/>
      <w:sz w:val="21"/>
      <w:szCs w:val="21"/>
    </w:rPr>
  </w:style>
  <w:style w:type="paragraph" w:customStyle="1" w:styleId="183">
    <w:name w:val="样式2.11.1"/>
    <w:basedOn w:val="9"/>
    <w:next w:val="1"/>
    <w:qFormat/>
    <w:uiPriority w:val="0"/>
    <w:pPr>
      <w:numPr>
        <w:ilvl w:val="0"/>
        <w:numId w:val="3"/>
      </w:numPr>
      <w:tabs>
        <w:tab w:val="left" w:pos="360"/>
        <w:tab w:val="left" w:pos="1200"/>
        <w:tab w:val="left" w:pos="1571"/>
        <w:tab w:val="left" w:pos="1636"/>
        <w:tab w:val="left" w:pos="1680"/>
      </w:tabs>
      <w:adjustRightInd w:val="0"/>
      <w:snapToGrid w:val="0"/>
      <w:spacing w:before="100" w:beforeLines="100" w:after="50" w:afterLines="50" w:line="240" w:lineRule="auto"/>
      <w:ind w:left="0" w:firstLine="200" w:firstLineChars="200"/>
      <w:jc w:val="left"/>
      <w:textAlignment w:val="baseline"/>
    </w:pPr>
    <w:rPr>
      <w:rFonts w:eastAsia="楷体"/>
      <w:sz w:val="28"/>
      <w:szCs w:val="20"/>
      <w:lang w:val="en-US" w:eastAsia="zh-CN"/>
    </w:rPr>
  </w:style>
  <w:style w:type="character" w:customStyle="1" w:styleId="184">
    <w:name w:val="图表标题 Char"/>
    <w:link w:val="181"/>
    <w:qFormat/>
    <w:uiPriority w:val="0"/>
    <w:rPr>
      <w:rFonts w:ascii="Times New Roman" w:hAnsi="Times New Roman" w:eastAsia="宋体"/>
      <w:b/>
      <w:bCs/>
      <w:kern w:val="44"/>
      <w:sz w:val="24"/>
      <w:szCs w:val="24"/>
    </w:rPr>
  </w:style>
  <w:style w:type="paragraph" w:customStyle="1" w:styleId="185">
    <w:name w:val="标题2"/>
    <w:unhideWhenUsed/>
    <w:qFormat/>
    <w:uiPriority w:val="2"/>
    <w:pPr>
      <w:outlineLvl w:val="2"/>
    </w:pPr>
    <w:rPr>
      <w:rFonts w:asciiTheme="minorHAnsi" w:hAnsiTheme="minorHAnsi" w:eastAsiaTheme="minorEastAsia" w:cstheme="minorBidi"/>
      <w:sz w:val="21"/>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71.png"/><Relationship Id="rId98" Type="http://schemas.openxmlformats.org/officeDocument/2006/relationships/image" Target="media/image70.emf"/><Relationship Id="rId97" Type="http://schemas.openxmlformats.org/officeDocument/2006/relationships/oleObject" Target="embeddings/oleObject5.bin"/><Relationship Id="rId96" Type="http://schemas.openxmlformats.org/officeDocument/2006/relationships/image" Target="media/image69.emf"/><Relationship Id="rId95" Type="http://schemas.openxmlformats.org/officeDocument/2006/relationships/oleObject" Target="embeddings/oleObject4.bin"/><Relationship Id="rId94" Type="http://schemas.openxmlformats.org/officeDocument/2006/relationships/image" Target="media/image68.jpeg"/><Relationship Id="rId93" Type="http://schemas.openxmlformats.org/officeDocument/2006/relationships/image" Target="media/image67.jpeg"/><Relationship Id="rId92" Type="http://schemas.openxmlformats.org/officeDocument/2006/relationships/image" Target="media/image66.png"/><Relationship Id="rId91" Type="http://schemas.openxmlformats.org/officeDocument/2006/relationships/image" Target="media/image65.png"/><Relationship Id="rId90" Type="http://schemas.openxmlformats.org/officeDocument/2006/relationships/image" Target="media/image64.png"/><Relationship Id="rId9" Type="http://schemas.openxmlformats.org/officeDocument/2006/relationships/footer" Target="footer2.xml"/><Relationship Id="rId89" Type="http://schemas.openxmlformats.org/officeDocument/2006/relationships/image" Target="media/image63.png"/><Relationship Id="rId88" Type="http://schemas.openxmlformats.org/officeDocument/2006/relationships/image" Target="media/image62.jpeg"/><Relationship Id="rId87" Type="http://schemas.openxmlformats.org/officeDocument/2006/relationships/image" Target="media/image61.png"/><Relationship Id="rId86" Type="http://schemas.openxmlformats.org/officeDocument/2006/relationships/image" Target="media/image60.png"/><Relationship Id="rId85" Type="http://schemas.openxmlformats.org/officeDocument/2006/relationships/image" Target="media/image59.png"/><Relationship Id="rId84" Type="http://schemas.openxmlformats.org/officeDocument/2006/relationships/image" Target="media/image58.png"/><Relationship Id="rId83" Type="http://schemas.openxmlformats.org/officeDocument/2006/relationships/image" Target="media/image57.png"/><Relationship Id="rId82" Type="http://schemas.openxmlformats.org/officeDocument/2006/relationships/image" Target="media/image56.png"/><Relationship Id="rId81" Type="http://schemas.openxmlformats.org/officeDocument/2006/relationships/image" Target="media/image55.png"/><Relationship Id="rId80" Type="http://schemas.openxmlformats.org/officeDocument/2006/relationships/image" Target="media/image54.png"/><Relationship Id="rId8" Type="http://schemas.openxmlformats.org/officeDocument/2006/relationships/header" Target="header3.xml"/><Relationship Id="rId79" Type="http://schemas.openxmlformats.org/officeDocument/2006/relationships/image" Target="media/image53.png"/><Relationship Id="rId78" Type="http://schemas.openxmlformats.org/officeDocument/2006/relationships/image" Target="media/image52.png"/><Relationship Id="rId77" Type="http://schemas.openxmlformats.org/officeDocument/2006/relationships/image" Target="media/image51.png"/><Relationship Id="rId76" Type="http://schemas.openxmlformats.org/officeDocument/2006/relationships/image" Target="media/image50.png"/><Relationship Id="rId75" Type="http://schemas.openxmlformats.org/officeDocument/2006/relationships/image" Target="media/image49.jpeg"/><Relationship Id="rId74" Type="http://schemas.openxmlformats.org/officeDocument/2006/relationships/image" Target="media/image48.jpeg"/><Relationship Id="rId73" Type="http://schemas.openxmlformats.org/officeDocument/2006/relationships/image" Target="media/image47.png"/><Relationship Id="rId72" Type="http://schemas.openxmlformats.org/officeDocument/2006/relationships/image" Target="media/image46.png"/><Relationship Id="rId71" Type="http://schemas.openxmlformats.org/officeDocument/2006/relationships/image" Target="media/image45.png"/><Relationship Id="rId70" Type="http://schemas.openxmlformats.org/officeDocument/2006/relationships/image" Target="media/image44.png"/><Relationship Id="rId7" Type="http://schemas.openxmlformats.org/officeDocument/2006/relationships/footer" Target="footer1.xml"/><Relationship Id="rId69" Type="http://schemas.openxmlformats.org/officeDocument/2006/relationships/image" Target="media/image43.png"/><Relationship Id="rId68" Type="http://schemas.openxmlformats.org/officeDocument/2006/relationships/image" Target="media/image42.png"/><Relationship Id="rId67" Type="http://schemas.openxmlformats.org/officeDocument/2006/relationships/image" Target="media/image41.png"/><Relationship Id="rId66" Type="http://schemas.openxmlformats.org/officeDocument/2006/relationships/image" Target="media/image40.png"/><Relationship Id="rId65" Type="http://schemas.openxmlformats.org/officeDocument/2006/relationships/image" Target="media/image39.png"/><Relationship Id="rId64" Type="http://schemas.openxmlformats.org/officeDocument/2006/relationships/image" Target="media/image38.png"/><Relationship Id="rId63" Type="http://schemas.openxmlformats.org/officeDocument/2006/relationships/image" Target="media/image37.png"/><Relationship Id="rId62" Type="http://schemas.openxmlformats.org/officeDocument/2006/relationships/image" Target="media/image36.png"/><Relationship Id="rId61" Type="http://schemas.openxmlformats.org/officeDocument/2006/relationships/image" Target="media/image35.png"/><Relationship Id="rId60" Type="http://schemas.openxmlformats.org/officeDocument/2006/relationships/image" Target="media/image34.jpeg"/><Relationship Id="rId6" Type="http://schemas.openxmlformats.org/officeDocument/2006/relationships/header" Target="header2.xml"/><Relationship Id="rId59" Type="http://schemas.openxmlformats.org/officeDocument/2006/relationships/image" Target="media/image33.jpeg"/><Relationship Id="rId58" Type="http://schemas.openxmlformats.org/officeDocument/2006/relationships/image" Target="media/image32.png"/><Relationship Id="rId57" Type="http://schemas.openxmlformats.org/officeDocument/2006/relationships/image" Target="media/image31.png"/><Relationship Id="rId56" Type="http://schemas.openxmlformats.org/officeDocument/2006/relationships/oleObject" Target="embeddings/oleObject3.bin"/><Relationship Id="rId55" Type="http://schemas.openxmlformats.org/officeDocument/2006/relationships/image" Target="media/image30.png"/><Relationship Id="rId54" Type="http://schemas.openxmlformats.org/officeDocument/2006/relationships/oleObject" Target="embeddings/oleObject2.bin"/><Relationship Id="rId53" Type="http://schemas.openxmlformats.org/officeDocument/2006/relationships/image" Target="media/image29.png"/><Relationship Id="rId52" Type="http://schemas.openxmlformats.org/officeDocument/2006/relationships/oleObject" Target="embeddings/oleObject1.bin"/><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header" Target="header1.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jpeg"/><Relationship Id="rId36" Type="http://schemas.openxmlformats.org/officeDocument/2006/relationships/image" Target="media/image13.png"/><Relationship Id="rId35" Type="http://schemas.openxmlformats.org/officeDocument/2006/relationships/image" Target="media/image12.jpeg"/><Relationship Id="rId34" Type="http://schemas.openxmlformats.org/officeDocument/2006/relationships/image" Target="media/image11.png"/><Relationship Id="rId33" Type="http://schemas.openxmlformats.org/officeDocument/2006/relationships/image" Target="media/image10.jpe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jpeg"/><Relationship Id="rId26" Type="http://schemas.openxmlformats.org/officeDocument/2006/relationships/image" Target="media/image3.png"/><Relationship Id="rId25" Type="http://schemas.openxmlformats.org/officeDocument/2006/relationships/image" Target="media/image2.jpeg"/><Relationship Id="rId24" Type="http://schemas.openxmlformats.org/officeDocument/2006/relationships/image" Target="media/image1.jpeg"/><Relationship Id="rId23" Type="http://schemas.openxmlformats.org/officeDocument/2006/relationships/theme" Target="theme/theme1.xml"/><Relationship Id="rId226" Type="http://schemas.openxmlformats.org/officeDocument/2006/relationships/fontTable" Target="fontTable.xml"/><Relationship Id="rId225" Type="http://schemas.microsoft.com/office/2006/relationships/keyMapCustomizations" Target="customizations.xml"/><Relationship Id="rId224" Type="http://schemas.openxmlformats.org/officeDocument/2006/relationships/customXml" Target="../customXml/item2.xml"/><Relationship Id="rId223" Type="http://schemas.openxmlformats.org/officeDocument/2006/relationships/numbering" Target="numbering.xml"/><Relationship Id="rId222" Type="http://schemas.openxmlformats.org/officeDocument/2006/relationships/customXml" Target="../customXml/item1.xml"/><Relationship Id="rId221" Type="http://schemas.openxmlformats.org/officeDocument/2006/relationships/image" Target="media/image193.jpeg"/><Relationship Id="rId220" Type="http://schemas.openxmlformats.org/officeDocument/2006/relationships/image" Target="media/image192.jpeg"/><Relationship Id="rId22" Type="http://schemas.openxmlformats.org/officeDocument/2006/relationships/footer" Target="footer10.xml"/><Relationship Id="rId219" Type="http://schemas.openxmlformats.org/officeDocument/2006/relationships/image" Target="media/image191.jpeg"/><Relationship Id="rId218" Type="http://schemas.openxmlformats.org/officeDocument/2006/relationships/image" Target="media/image190.jpeg"/><Relationship Id="rId217" Type="http://schemas.openxmlformats.org/officeDocument/2006/relationships/image" Target="media/image189.jpeg"/><Relationship Id="rId216" Type="http://schemas.openxmlformats.org/officeDocument/2006/relationships/image" Target="media/image188.jpeg"/><Relationship Id="rId215" Type="http://schemas.openxmlformats.org/officeDocument/2006/relationships/image" Target="media/image187.jpeg"/><Relationship Id="rId214" Type="http://schemas.openxmlformats.org/officeDocument/2006/relationships/image" Target="media/image186.jpeg"/><Relationship Id="rId213" Type="http://schemas.openxmlformats.org/officeDocument/2006/relationships/image" Target="media/image185.jpeg"/><Relationship Id="rId212" Type="http://schemas.openxmlformats.org/officeDocument/2006/relationships/image" Target="media/image184.jpeg"/><Relationship Id="rId211" Type="http://schemas.openxmlformats.org/officeDocument/2006/relationships/image" Target="media/image183.jpeg"/><Relationship Id="rId210" Type="http://schemas.openxmlformats.org/officeDocument/2006/relationships/image" Target="media/image182.jpeg"/><Relationship Id="rId21" Type="http://schemas.openxmlformats.org/officeDocument/2006/relationships/footer" Target="footer9.xml"/><Relationship Id="rId209" Type="http://schemas.openxmlformats.org/officeDocument/2006/relationships/image" Target="media/image181.jpeg"/><Relationship Id="rId208" Type="http://schemas.openxmlformats.org/officeDocument/2006/relationships/image" Target="media/image180.jpeg"/><Relationship Id="rId207" Type="http://schemas.openxmlformats.org/officeDocument/2006/relationships/image" Target="media/image179.jpeg"/><Relationship Id="rId206" Type="http://schemas.openxmlformats.org/officeDocument/2006/relationships/image" Target="media/image178.jpeg"/><Relationship Id="rId205" Type="http://schemas.openxmlformats.org/officeDocument/2006/relationships/image" Target="media/image177.jpeg"/><Relationship Id="rId204" Type="http://schemas.openxmlformats.org/officeDocument/2006/relationships/image" Target="media/image176.jpeg"/><Relationship Id="rId203" Type="http://schemas.openxmlformats.org/officeDocument/2006/relationships/image" Target="media/image175.jpeg"/><Relationship Id="rId202" Type="http://schemas.openxmlformats.org/officeDocument/2006/relationships/image" Target="media/image174.jpeg"/><Relationship Id="rId201" Type="http://schemas.openxmlformats.org/officeDocument/2006/relationships/image" Target="media/image173.jpeg"/><Relationship Id="rId200" Type="http://schemas.openxmlformats.org/officeDocument/2006/relationships/image" Target="media/image172.jpeg"/><Relationship Id="rId20" Type="http://schemas.openxmlformats.org/officeDocument/2006/relationships/footer" Target="footer8.xml"/><Relationship Id="rId2" Type="http://schemas.openxmlformats.org/officeDocument/2006/relationships/settings" Target="settings.xml"/><Relationship Id="rId199" Type="http://schemas.openxmlformats.org/officeDocument/2006/relationships/image" Target="media/image171.jpeg"/><Relationship Id="rId198" Type="http://schemas.openxmlformats.org/officeDocument/2006/relationships/image" Target="media/image170.jpeg"/><Relationship Id="rId197" Type="http://schemas.openxmlformats.org/officeDocument/2006/relationships/image" Target="media/image169.jpeg"/><Relationship Id="rId196" Type="http://schemas.openxmlformats.org/officeDocument/2006/relationships/image" Target="media/image168.jpeg"/><Relationship Id="rId195" Type="http://schemas.openxmlformats.org/officeDocument/2006/relationships/image" Target="media/image167.jpeg"/><Relationship Id="rId194" Type="http://schemas.openxmlformats.org/officeDocument/2006/relationships/image" Target="media/image166.jpeg"/><Relationship Id="rId193" Type="http://schemas.openxmlformats.org/officeDocument/2006/relationships/image" Target="media/image165.jpeg"/><Relationship Id="rId192" Type="http://schemas.openxmlformats.org/officeDocument/2006/relationships/image" Target="media/image164.jpeg"/><Relationship Id="rId191" Type="http://schemas.openxmlformats.org/officeDocument/2006/relationships/image" Target="media/image163.jpeg"/><Relationship Id="rId190" Type="http://schemas.openxmlformats.org/officeDocument/2006/relationships/image" Target="media/image162.jpeg"/><Relationship Id="rId19" Type="http://schemas.openxmlformats.org/officeDocument/2006/relationships/header" Target="header8.xml"/><Relationship Id="rId189" Type="http://schemas.openxmlformats.org/officeDocument/2006/relationships/image" Target="media/image161.jpeg"/><Relationship Id="rId188" Type="http://schemas.openxmlformats.org/officeDocument/2006/relationships/image" Target="media/image160.jpeg"/><Relationship Id="rId187" Type="http://schemas.openxmlformats.org/officeDocument/2006/relationships/image" Target="media/image159.jpeg"/><Relationship Id="rId186" Type="http://schemas.openxmlformats.org/officeDocument/2006/relationships/image" Target="media/image158.jpeg"/><Relationship Id="rId185" Type="http://schemas.openxmlformats.org/officeDocument/2006/relationships/image" Target="media/image157.jpeg"/><Relationship Id="rId184" Type="http://schemas.openxmlformats.org/officeDocument/2006/relationships/image" Target="media/image156.jpeg"/><Relationship Id="rId183" Type="http://schemas.openxmlformats.org/officeDocument/2006/relationships/image" Target="media/image155.jpeg"/><Relationship Id="rId182" Type="http://schemas.openxmlformats.org/officeDocument/2006/relationships/image" Target="media/image154.jpeg"/><Relationship Id="rId181" Type="http://schemas.openxmlformats.org/officeDocument/2006/relationships/image" Target="media/image153.jpeg"/><Relationship Id="rId180" Type="http://schemas.openxmlformats.org/officeDocument/2006/relationships/image" Target="media/image152.jpeg"/><Relationship Id="rId18" Type="http://schemas.openxmlformats.org/officeDocument/2006/relationships/header" Target="header7.xml"/><Relationship Id="rId179" Type="http://schemas.openxmlformats.org/officeDocument/2006/relationships/image" Target="media/image151.jpeg"/><Relationship Id="rId178" Type="http://schemas.openxmlformats.org/officeDocument/2006/relationships/image" Target="media/image150.jpeg"/><Relationship Id="rId177" Type="http://schemas.openxmlformats.org/officeDocument/2006/relationships/image" Target="media/image149.jpeg"/><Relationship Id="rId176" Type="http://schemas.openxmlformats.org/officeDocument/2006/relationships/image" Target="media/image148.jpeg"/><Relationship Id="rId175" Type="http://schemas.openxmlformats.org/officeDocument/2006/relationships/image" Target="media/image147.jpeg"/><Relationship Id="rId174" Type="http://schemas.openxmlformats.org/officeDocument/2006/relationships/image" Target="media/image146.jpeg"/><Relationship Id="rId173" Type="http://schemas.openxmlformats.org/officeDocument/2006/relationships/image" Target="media/image145.jpeg"/><Relationship Id="rId172" Type="http://schemas.openxmlformats.org/officeDocument/2006/relationships/image" Target="media/image144.jpeg"/><Relationship Id="rId171" Type="http://schemas.openxmlformats.org/officeDocument/2006/relationships/image" Target="media/image143.jpeg"/><Relationship Id="rId170" Type="http://schemas.openxmlformats.org/officeDocument/2006/relationships/image" Target="media/image142.jpeg"/><Relationship Id="rId17" Type="http://schemas.openxmlformats.org/officeDocument/2006/relationships/footer" Target="footer7.xml"/><Relationship Id="rId169" Type="http://schemas.openxmlformats.org/officeDocument/2006/relationships/image" Target="media/image141.jpeg"/><Relationship Id="rId168" Type="http://schemas.openxmlformats.org/officeDocument/2006/relationships/image" Target="media/image140.jpeg"/><Relationship Id="rId167" Type="http://schemas.openxmlformats.org/officeDocument/2006/relationships/image" Target="media/image139.jpeg"/><Relationship Id="rId166" Type="http://schemas.openxmlformats.org/officeDocument/2006/relationships/image" Target="media/image138.jpeg"/><Relationship Id="rId165" Type="http://schemas.openxmlformats.org/officeDocument/2006/relationships/image" Target="media/image137.jpeg"/><Relationship Id="rId164" Type="http://schemas.openxmlformats.org/officeDocument/2006/relationships/image" Target="media/image136.jpeg"/><Relationship Id="rId163" Type="http://schemas.openxmlformats.org/officeDocument/2006/relationships/image" Target="media/image135.jpeg"/><Relationship Id="rId162" Type="http://schemas.openxmlformats.org/officeDocument/2006/relationships/image" Target="media/image134.jpeg"/><Relationship Id="rId161" Type="http://schemas.openxmlformats.org/officeDocument/2006/relationships/image" Target="media/image133.jpeg"/><Relationship Id="rId160" Type="http://schemas.openxmlformats.org/officeDocument/2006/relationships/image" Target="media/image132.jpeg"/><Relationship Id="rId16" Type="http://schemas.openxmlformats.org/officeDocument/2006/relationships/footer" Target="footer6.xml"/><Relationship Id="rId159" Type="http://schemas.openxmlformats.org/officeDocument/2006/relationships/image" Target="media/image131.jpeg"/><Relationship Id="rId158" Type="http://schemas.openxmlformats.org/officeDocument/2006/relationships/image" Target="media/image130.jpeg"/><Relationship Id="rId157" Type="http://schemas.openxmlformats.org/officeDocument/2006/relationships/image" Target="media/image129.jpeg"/><Relationship Id="rId156" Type="http://schemas.openxmlformats.org/officeDocument/2006/relationships/image" Target="media/image128.jpeg"/><Relationship Id="rId155" Type="http://schemas.openxmlformats.org/officeDocument/2006/relationships/image" Target="media/image127.jpeg"/><Relationship Id="rId154" Type="http://schemas.openxmlformats.org/officeDocument/2006/relationships/image" Target="media/image126.jpeg"/><Relationship Id="rId153" Type="http://schemas.openxmlformats.org/officeDocument/2006/relationships/image" Target="media/image125.jpeg"/><Relationship Id="rId152" Type="http://schemas.openxmlformats.org/officeDocument/2006/relationships/image" Target="media/image124.jpeg"/><Relationship Id="rId151" Type="http://schemas.openxmlformats.org/officeDocument/2006/relationships/image" Target="media/image123.jpeg"/><Relationship Id="rId150" Type="http://schemas.openxmlformats.org/officeDocument/2006/relationships/image" Target="media/image122.jpeg"/><Relationship Id="rId15" Type="http://schemas.openxmlformats.org/officeDocument/2006/relationships/footer" Target="footer5.xml"/><Relationship Id="rId149" Type="http://schemas.openxmlformats.org/officeDocument/2006/relationships/image" Target="media/image121.jpeg"/><Relationship Id="rId148" Type="http://schemas.openxmlformats.org/officeDocument/2006/relationships/image" Target="media/image120.jpeg"/><Relationship Id="rId147" Type="http://schemas.openxmlformats.org/officeDocument/2006/relationships/image" Target="media/image119.jpeg"/><Relationship Id="rId146" Type="http://schemas.openxmlformats.org/officeDocument/2006/relationships/image" Target="media/image118.jpeg"/><Relationship Id="rId145" Type="http://schemas.openxmlformats.org/officeDocument/2006/relationships/image" Target="media/image117.png"/><Relationship Id="rId144" Type="http://schemas.openxmlformats.org/officeDocument/2006/relationships/image" Target="media/image116.jpeg"/><Relationship Id="rId143" Type="http://schemas.openxmlformats.org/officeDocument/2006/relationships/image" Target="media/image115.jpeg"/><Relationship Id="rId142" Type="http://schemas.openxmlformats.org/officeDocument/2006/relationships/image" Target="media/image114.jpeg"/><Relationship Id="rId141" Type="http://schemas.openxmlformats.org/officeDocument/2006/relationships/image" Target="media/image113.jpeg"/><Relationship Id="rId140" Type="http://schemas.openxmlformats.org/officeDocument/2006/relationships/image" Target="media/image112.jpeg"/><Relationship Id="rId14" Type="http://schemas.openxmlformats.org/officeDocument/2006/relationships/footer" Target="footer4.xml"/><Relationship Id="rId139" Type="http://schemas.openxmlformats.org/officeDocument/2006/relationships/image" Target="media/image111.jpeg"/><Relationship Id="rId138" Type="http://schemas.openxmlformats.org/officeDocument/2006/relationships/image" Target="media/image110.jpeg"/><Relationship Id="rId137" Type="http://schemas.openxmlformats.org/officeDocument/2006/relationships/image" Target="media/image109.jpeg"/><Relationship Id="rId136" Type="http://schemas.openxmlformats.org/officeDocument/2006/relationships/image" Target="media/image108.jpeg"/><Relationship Id="rId135" Type="http://schemas.openxmlformats.org/officeDocument/2006/relationships/image" Target="media/image107.jpeg"/><Relationship Id="rId134" Type="http://schemas.openxmlformats.org/officeDocument/2006/relationships/image" Target="media/image106.jpeg"/><Relationship Id="rId133" Type="http://schemas.openxmlformats.org/officeDocument/2006/relationships/image" Target="media/image105.jpeg"/><Relationship Id="rId132" Type="http://schemas.openxmlformats.org/officeDocument/2006/relationships/image" Target="media/image104.jpeg"/><Relationship Id="rId131" Type="http://schemas.openxmlformats.org/officeDocument/2006/relationships/image" Target="media/image103.jpeg"/><Relationship Id="rId130" Type="http://schemas.openxmlformats.org/officeDocument/2006/relationships/image" Target="media/image102.jpeg"/><Relationship Id="rId13" Type="http://schemas.openxmlformats.org/officeDocument/2006/relationships/footer" Target="footer3.xml"/><Relationship Id="rId129" Type="http://schemas.openxmlformats.org/officeDocument/2006/relationships/image" Target="media/image101.jpeg"/><Relationship Id="rId128" Type="http://schemas.openxmlformats.org/officeDocument/2006/relationships/image" Target="media/image100.jpeg"/><Relationship Id="rId127" Type="http://schemas.openxmlformats.org/officeDocument/2006/relationships/image" Target="media/image99.jpeg"/><Relationship Id="rId126" Type="http://schemas.openxmlformats.org/officeDocument/2006/relationships/image" Target="media/image98.jpeg"/><Relationship Id="rId125" Type="http://schemas.openxmlformats.org/officeDocument/2006/relationships/image" Target="media/image97.jpeg"/><Relationship Id="rId124" Type="http://schemas.openxmlformats.org/officeDocument/2006/relationships/image" Target="media/image96.jpeg"/><Relationship Id="rId123" Type="http://schemas.openxmlformats.org/officeDocument/2006/relationships/image" Target="media/image95.jpeg"/><Relationship Id="rId122" Type="http://schemas.openxmlformats.org/officeDocument/2006/relationships/image" Target="media/image94.jpeg"/><Relationship Id="rId121" Type="http://schemas.openxmlformats.org/officeDocument/2006/relationships/image" Target="media/image93.jpeg"/><Relationship Id="rId120" Type="http://schemas.openxmlformats.org/officeDocument/2006/relationships/image" Target="media/image92.jpeg"/><Relationship Id="rId12" Type="http://schemas.openxmlformats.org/officeDocument/2006/relationships/header" Target="header6.xml"/><Relationship Id="rId119" Type="http://schemas.openxmlformats.org/officeDocument/2006/relationships/image" Target="media/image91.jpeg"/><Relationship Id="rId118" Type="http://schemas.openxmlformats.org/officeDocument/2006/relationships/image" Target="media/image90.jpeg"/><Relationship Id="rId117" Type="http://schemas.openxmlformats.org/officeDocument/2006/relationships/image" Target="media/image89.jpeg"/><Relationship Id="rId116" Type="http://schemas.openxmlformats.org/officeDocument/2006/relationships/image" Target="media/image88.jpeg"/><Relationship Id="rId115" Type="http://schemas.openxmlformats.org/officeDocument/2006/relationships/image" Target="media/image87.jpeg"/><Relationship Id="rId114" Type="http://schemas.openxmlformats.org/officeDocument/2006/relationships/image" Target="media/image86.jpeg"/><Relationship Id="rId113" Type="http://schemas.openxmlformats.org/officeDocument/2006/relationships/image" Target="media/image85.jpeg"/><Relationship Id="rId112" Type="http://schemas.openxmlformats.org/officeDocument/2006/relationships/image" Target="media/image84.jpeg"/><Relationship Id="rId111" Type="http://schemas.openxmlformats.org/officeDocument/2006/relationships/image" Target="media/image83.jpeg"/><Relationship Id="rId110" Type="http://schemas.openxmlformats.org/officeDocument/2006/relationships/image" Target="media/image82.png"/><Relationship Id="rId11" Type="http://schemas.openxmlformats.org/officeDocument/2006/relationships/header" Target="header5.xml"/><Relationship Id="rId109" Type="http://schemas.openxmlformats.org/officeDocument/2006/relationships/image" Target="media/image81.png"/><Relationship Id="rId108" Type="http://schemas.openxmlformats.org/officeDocument/2006/relationships/image" Target="media/image80.png"/><Relationship Id="rId107" Type="http://schemas.openxmlformats.org/officeDocument/2006/relationships/image" Target="media/image79.jpeg"/><Relationship Id="rId106" Type="http://schemas.openxmlformats.org/officeDocument/2006/relationships/image" Target="media/image78.jpeg"/><Relationship Id="rId105" Type="http://schemas.openxmlformats.org/officeDocument/2006/relationships/image" Target="media/image77.jpeg"/><Relationship Id="rId104" Type="http://schemas.openxmlformats.org/officeDocument/2006/relationships/image" Target="media/image76.jpeg"/><Relationship Id="rId103" Type="http://schemas.openxmlformats.org/officeDocument/2006/relationships/image" Target="media/image75.jpeg"/><Relationship Id="rId102" Type="http://schemas.openxmlformats.org/officeDocument/2006/relationships/image" Target="media/image74.jpeg"/><Relationship Id="rId101" Type="http://schemas.openxmlformats.org/officeDocument/2006/relationships/image" Target="media/image73.jpeg"/><Relationship Id="rId100" Type="http://schemas.openxmlformats.org/officeDocument/2006/relationships/image" Target="media/image72.jpe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8" textRotate="1"/>
    <customShpInfo spid="_x0000_s3079" textRotate="1"/>
    <customShpInfo spid="_x0000_s3080" textRotate="1"/>
    <customShpInfo spid="_x0000_s3081" textRotate="1"/>
    <customShpInfo spid="_x0000_s3082" textRotate="1"/>
    <customShpInfo spid="_x0000_s2050"/>
    <customShpInfo spid="_x0000_s2054"/>
    <customShpInfo spid="_x0000_s2176"/>
    <customShpInfo spid="_x0000_s2296"/>
    <customShpInfo spid="_x0000_s2297"/>
    <customShpInfo spid="_x0000_s2301"/>
    <customShpInfo spid="_x0000_s2300"/>
    <customShpInfo spid="_x0000_s2323"/>
    <customShpInfo spid="_x0000_s2053"/>
    <customShpInfo spid="_x0000_s2310"/>
    <customShpInfo spid="_x0000_s2318"/>
    <customShpInfo spid="_x0000_s2055"/>
    <customShpInfo spid="_x0000_s2056"/>
    <customShpInfo spid="_x0000_s2302"/>
    <customShpInfo spid="_x0000_s2303"/>
    <customShpInfo spid="_x0000_s2304"/>
    <customShpInfo spid="_x0000_s2305"/>
    <customShpInfo spid="_x0000_s2306"/>
    <customShpInfo spid="_x0000_s2307"/>
    <customShpInfo spid="_x0000_s2308"/>
    <customShpInfo spid="_x0000_s2309"/>
    <customShpInfo spid="_x0000_s2311"/>
    <customShpInfo spid="_x0000_s2312"/>
    <customShpInfo spid="_x0000_s2313"/>
    <customShpInfo spid="_x0000_s2314"/>
    <customShpInfo spid="_x0000_s2315"/>
    <customShpInfo spid="_x0000_s2316"/>
    <customShpInfo spid="_x0000_s2317"/>
    <customShpInfo spid="_x0000_s2319"/>
    <customShpInfo spid="_x0000_s2320"/>
    <customShpInfo spid="_x0000_s2321"/>
    <customShpInfo spid="_x0000_s2088"/>
    <customShpInfo spid="_x0000_s2063"/>
    <customShpInfo spid="_x0000_s2064"/>
    <customShpInfo spid="_x0000_s2066"/>
    <customShpInfo spid="_x0000_s2062"/>
    <customShpInfo spid="_x0000_s2065"/>
    <customShpInfo spid="_x0000_s2329"/>
    <customShpInfo spid="_x0000_s2330"/>
    <customShpInfo spid="_x0000_s2331"/>
    <customShpInfo spid="_x0000_s2332"/>
    <customShpInfo spid="_x0000_s2328"/>
    <customShpInfo spid="_x0000_s2333"/>
    <customShpInfo spid="_x0000_s2334"/>
    <customShpInfo spid="_x0000_s2335"/>
    <customShpInfo spid="_x0000_s2336"/>
    <customShpInfo spid="_x0000_s2337"/>
    <customShpInfo spid="_x0000_s2338"/>
    <customShpInfo spid="_x0000_s2325"/>
    <customShpInfo spid="_x0000_s2324"/>
    <customShpInfo spid="_x0000_s2327"/>
    <customShpInfo spid="_x0000_s23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10C807-AE1D-47B9-BC99-3B85526F63D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331</Pages>
  <Words>186919</Words>
  <Characters>231506</Characters>
  <Lines>1363</Lines>
  <Paragraphs>383</Paragraphs>
  <TotalTime>4</TotalTime>
  <ScaleCrop>false</ScaleCrop>
  <LinksUpToDate>false</LinksUpToDate>
  <CharactersWithSpaces>235171</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2022-10-25T15:33:00Z</dcterms:created>
  <dc:creator>xia</dc:creator>
  <cp:lastModifiedBy>希文</cp:lastModifiedBy>
  <cp:lastPrinted>2022-07-14T03:25:00Z</cp:lastPrinted>
  <dcterms:modified xsi:type="dcterms:W3CDTF">2023-05-08T06:43:09Z</dcterms:modified>
  <dc:title>工程分析</dc:title>
  <cp:revision>182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ED5E9D567A514D36931161022A130A3C</vt:lpwstr>
  </property>
</Properties>
</file>