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886" w:tblpY="735"/>
        <w:tblOverlap w:val="never"/>
        <w:tblW w:w="15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6"/>
        <w:gridCol w:w="1170"/>
        <w:gridCol w:w="1170"/>
        <w:gridCol w:w="1080"/>
        <w:gridCol w:w="990"/>
        <w:gridCol w:w="5595"/>
        <w:gridCol w:w="4485"/>
      </w:tblGrid>
      <w:tr>
        <w:tblPrEx>
          <w:tblLayout w:type="fixed"/>
        </w:tblPrEx>
        <w:trPr>
          <w:trHeight w:val="787" w:hRule="atLeast"/>
        </w:trPr>
        <w:tc>
          <w:tcPr>
            <w:tcW w:w="15046" w:type="dxa"/>
            <w:gridSpan w:val="7"/>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b/>
                <w:bCs/>
                <w:sz w:val="44"/>
                <w:szCs w:val="44"/>
                <w:lang w:val="en-US" w:eastAsia="zh-CN"/>
              </w:rPr>
            </w:pPr>
            <w:r>
              <w:rPr>
                <w:rFonts w:hint="eastAsia"/>
                <w:b/>
                <w:bCs/>
                <w:sz w:val="44"/>
                <w:szCs w:val="44"/>
                <w:lang w:val="en-US" w:eastAsia="zh-CN"/>
              </w:rPr>
              <w:t>经开区决定保留的政务服务证明事项清单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283" w:hRule="atLeast"/>
        </w:trPr>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lang w:eastAsia="zh-CN"/>
              </w:rPr>
            </w:pPr>
            <w:r>
              <w:rPr>
                <w:rFonts w:hint="eastAsia" w:ascii="仿宋" w:hAnsi="仿宋" w:eastAsia="仿宋" w:cs="仿宋"/>
                <w:b/>
                <w:bCs/>
                <w:i w:val="0"/>
                <w:iCs w:val="0"/>
                <w:color w:val="000000"/>
                <w:sz w:val="32"/>
                <w:szCs w:val="32"/>
                <w:u w:val="none"/>
                <w:lang w:eastAsia="zh-CN"/>
              </w:rPr>
              <w:t>序号</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32"/>
                <w:szCs w:val="32"/>
                <w:u w:val="none"/>
                <w:lang w:val="en-US" w:eastAsia="zh-CN" w:bidi="ar-SA"/>
              </w:rPr>
            </w:pPr>
            <w:r>
              <w:rPr>
                <w:rFonts w:hint="eastAsia" w:ascii="仿宋" w:hAnsi="仿宋" w:eastAsia="仿宋" w:cs="仿宋"/>
                <w:b/>
                <w:bCs/>
                <w:i w:val="0"/>
                <w:iCs w:val="0"/>
                <w:color w:val="000000"/>
                <w:kern w:val="0"/>
                <w:sz w:val="32"/>
                <w:szCs w:val="32"/>
                <w:u w:val="none"/>
                <w:lang w:val="en-US" w:eastAsia="zh-CN" w:bidi="ar"/>
              </w:rPr>
              <w:t>证明用途</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32"/>
                <w:szCs w:val="32"/>
                <w:u w:val="none"/>
                <w:lang w:val="en-US" w:eastAsia="zh-CN" w:bidi="ar-SA"/>
              </w:rPr>
            </w:pPr>
            <w:r>
              <w:rPr>
                <w:rFonts w:hint="eastAsia" w:ascii="仿宋" w:hAnsi="仿宋" w:eastAsia="仿宋" w:cs="仿宋"/>
                <w:b/>
                <w:bCs/>
                <w:i w:val="0"/>
                <w:iCs w:val="0"/>
                <w:color w:val="000000"/>
                <w:kern w:val="0"/>
                <w:sz w:val="32"/>
                <w:szCs w:val="32"/>
                <w:u w:val="none"/>
                <w:lang w:val="en-US" w:eastAsia="zh-CN" w:bidi="ar"/>
              </w:rPr>
              <w:t>证明名称</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索要</w:t>
            </w:r>
          </w:p>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lang w:val="en-US" w:eastAsia="zh-CN" w:bidi="ar"/>
              </w:rPr>
              <w:t>单位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开具单位</w:t>
            </w:r>
          </w:p>
        </w:tc>
        <w:tc>
          <w:tcPr>
            <w:tcW w:w="55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2"/>
                <w:szCs w:val="32"/>
                <w:u w:val="none"/>
                <w:lang w:eastAsia="zh-CN"/>
              </w:rPr>
            </w:pPr>
            <w:r>
              <w:rPr>
                <w:rFonts w:hint="eastAsia" w:ascii="仿宋" w:hAnsi="仿宋" w:eastAsia="仿宋" w:cs="仿宋"/>
                <w:b/>
                <w:bCs/>
                <w:i w:val="0"/>
                <w:iCs w:val="0"/>
                <w:color w:val="000000"/>
                <w:sz w:val="32"/>
                <w:szCs w:val="32"/>
                <w:u w:val="none"/>
                <w:lang w:eastAsia="zh-CN"/>
              </w:rPr>
              <w:t>设定依据</w:t>
            </w:r>
          </w:p>
        </w:tc>
        <w:tc>
          <w:tcPr>
            <w:tcW w:w="4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32"/>
                <w:szCs w:val="32"/>
                <w:u w:val="none"/>
                <w:lang w:val="en-US" w:eastAsia="zh-CN" w:bidi="ar"/>
              </w:rPr>
            </w:pPr>
            <w:r>
              <w:rPr>
                <w:rFonts w:hint="eastAsia" w:ascii="仿宋" w:hAnsi="仿宋" w:eastAsia="仿宋" w:cs="仿宋"/>
                <w:b/>
                <w:bCs/>
                <w:i w:val="0"/>
                <w:iCs w:val="0"/>
                <w:color w:val="000000"/>
                <w:kern w:val="0"/>
                <w:sz w:val="32"/>
                <w:szCs w:val="32"/>
                <w:u w:val="none"/>
                <w:lang w:val="en-US" w:eastAsia="zh-CN" w:bidi="ar"/>
              </w:rPr>
              <w:t>办理流程</w:t>
            </w:r>
          </w:p>
        </w:tc>
      </w:tr>
      <w:tr>
        <w:tblPrEx>
          <w:tblLayout w:type="fixed"/>
        </w:tblPrEx>
        <w:trPr>
          <w:trHeight w:val="4755" w:hRule="atLeast"/>
        </w:trPr>
        <w:tc>
          <w:tcPr>
            <w:tcW w:w="55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8"/>
                <w:szCs w:val="28"/>
                <w:u w:val="none"/>
                <w:lang w:val="en-US" w:eastAsia="zh-CN"/>
              </w:rPr>
              <w:t>1</w:t>
            </w:r>
          </w:p>
        </w:tc>
        <w:tc>
          <w:tcPr>
            <w:tcW w:w="117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kern w:val="2"/>
                <w:sz w:val="22"/>
                <w:szCs w:val="22"/>
                <w:u w:val="none"/>
                <w:lang w:val="en-US" w:eastAsia="zh-CN" w:bidi="ar-SA"/>
              </w:rPr>
            </w:pPr>
            <w:r>
              <w:rPr>
                <w:rFonts w:hint="eastAsia" w:ascii="黑体" w:hAnsi="黑体" w:eastAsia="黑体" w:cs="黑体"/>
                <w:i w:val="0"/>
                <w:iCs w:val="0"/>
                <w:color w:val="000000"/>
                <w:sz w:val="22"/>
                <w:szCs w:val="22"/>
                <w:u w:val="none"/>
                <w:lang w:val="en-US" w:eastAsia="zh-CN"/>
              </w:rPr>
              <w:t>办理人力资源服务许可审批</w:t>
            </w:r>
          </w:p>
        </w:tc>
        <w:tc>
          <w:tcPr>
            <w:tcW w:w="117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kern w:val="2"/>
                <w:sz w:val="22"/>
                <w:szCs w:val="22"/>
                <w:u w:val="none"/>
                <w:lang w:val="en-US" w:eastAsia="zh-CN" w:bidi="ar-SA"/>
              </w:rPr>
            </w:pPr>
            <w:r>
              <w:rPr>
                <w:rFonts w:hint="eastAsia" w:ascii="黑体" w:hAnsi="黑体" w:eastAsia="黑体" w:cs="黑体"/>
                <w:i w:val="0"/>
                <w:iCs w:val="0"/>
                <w:color w:val="000000"/>
                <w:sz w:val="22"/>
                <w:szCs w:val="22"/>
                <w:u w:val="none"/>
                <w:lang w:val="en-US" w:eastAsia="zh-CN"/>
              </w:rPr>
              <w:t>场所使用权证明（租赁协议、产权证明）</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eastAsia="zh-CN"/>
              </w:rPr>
              <w:t>组织和人力资源社会保障局</w:t>
            </w:r>
          </w:p>
        </w:tc>
        <w:tc>
          <w:tcPr>
            <w:tcW w:w="990"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eastAsia="zh-CN"/>
              </w:rPr>
              <w:t>住房和城市建设局</w:t>
            </w:r>
          </w:p>
        </w:tc>
        <w:tc>
          <w:tcPr>
            <w:tcW w:w="559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1.《中华人民共和国就业促进法》第四十条规定：设立职业中介机构应当在工商行政管理部门办理登记后，向劳动行政部门申请行政许可。未经依法许可和登记的机构，不得从事职业中介活动。</w:t>
            </w:r>
          </w:p>
          <w:p>
            <w:pPr>
              <w:jc w:val="left"/>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2.《人力资源市场暂行条例》（国务院令第700号）第十八条第一款规定：经营性人力资源服务机构从事职业中介活动的，应当依法向人力资源社会保障行政部门申请行政许可，取得人力资源服务许可证。</w:t>
            </w:r>
          </w:p>
        </w:tc>
        <w:tc>
          <w:tcPr>
            <w:tcW w:w="448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受理</w:t>
            </w:r>
          </w:p>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时限:当场办结</w:t>
            </w:r>
          </w:p>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办理结果：予以受理</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：收取申请材料，核查申请人递交材料是否完善。</w:t>
            </w:r>
          </w:p>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审核</w:t>
            </w:r>
          </w:p>
          <w:p>
            <w:pPr>
              <w:jc w:val="center"/>
              <w:rPr>
                <w:rFonts w:hint="default"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 10个工作日</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办理结果：审查意见</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审查申请人提交的申请材料是否齐全、是否符合法定形式，对申请材料的实质内容是否属实进行核实，确认申请人是否符合法定许可条件</w:t>
            </w:r>
          </w:p>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决定</w:t>
            </w:r>
          </w:p>
          <w:p>
            <w:pPr>
              <w:jc w:val="center"/>
              <w:rPr>
                <w:rFonts w:hint="default"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 5</w:t>
            </w:r>
            <w:r>
              <w:rPr>
                <w:rFonts w:hint="default" w:ascii="黑体" w:hAnsi="黑体" w:eastAsia="黑体" w:cs="黑体"/>
                <w:i w:val="0"/>
                <w:iCs w:val="0"/>
                <w:color w:val="000000"/>
                <w:sz w:val="22"/>
                <w:szCs w:val="22"/>
                <w:u w:val="none"/>
                <w:lang w:val="en-US" w:eastAsia="zh-CN"/>
              </w:rPr>
              <w:t>个工作日</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w:t>
            </w:r>
            <w:r>
              <w:rPr>
                <w:rFonts w:hint="eastAsia" w:ascii="黑体" w:hAnsi="黑体" w:eastAsia="黑体" w:cs="黑体"/>
                <w:i w:val="0"/>
                <w:iCs w:val="0"/>
                <w:color w:val="000000"/>
                <w:sz w:val="22"/>
                <w:szCs w:val="22"/>
                <w:u w:val="none"/>
                <w:lang w:val="en-US" w:eastAsia="zh-CN"/>
              </w:rPr>
              <w:t>准予许可决定书/不予许可决定书/【人力资源服务许可证】</w:t>
            </w:r>
          </w:p>
          <w:p>
            <w:pPr>
              <w:jc w:val="center"/>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：复核申请人的申请是否符合法定条件、标准，做出准予许可/不予许可的决定</w:t>
            </w:r>
          </w:p>
        </w:tc>
      </w:tr>
      <w:tr>
        <w:tblPrEx>
          <w:tblLayout w:type="fixed"/>
        </w:tblPrEx>
        <w:trPr>
          <w:trHeight w:val="3510"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8"/>
                <w:szCs w:val="28"/>
                <w:u w:val="none"/>
                <w:lang w:val="en-US" w:eastAsia="zh-CN"/>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办理劳务派遣经营许可</w:t>
            </w:r>
          </w:p>
          <w:p>
            <w:pPr>
              <w:jc w:val="center"/>
              <w:rPr>
                <w:rFonts w:hint="eastAsia" w:ascii="黑体" w:hAnsi="黑体" w:eastAsia="黑体" w:cs="黑体"/>
                <w:i w:val="0"/>
                <w:iCs w:val="0"/>
                <w:color w:val="000000"/>
                <w:kern w:val="2"/>
                <w:sz w:val="22"/>
                <w:szCs w:val="22"/>
                <w:u w:val="none"/>
                <w:lang w:val="en-US" w:eastAsia="zh-CN" w:bidi="ar-SA"/>
              </w:rPr>
            </w:pPr>
            <w:r>
              <w:rPr>
                <w:rFonts w:hint="eastAsia" w:ascii="黑体" w:hAnsi="黑体" w:eastAsia="黑体" w:cs="黑体"/>
                <w:i w:val="0"/>
                <w:iCs w:val="0"/>
                <w:color w:val="000000"/>
                <w:sz w:val="22"/>
                <w:szCs w:val="22"/>
                <w:u w:val="none"/>
                <w:lang w:val="en-US" w:eastAsia="zh-CN"/>
              </w:rPr>
              <w:t>（新办）</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kern w:val="2"/>
                <w:sz w:val="22"/>
                <w:szCs w:val="22"/>
                <w:u w:val="none"/>
                <w:lang w:val="en-US" w:eastAsia="zh-CN" w:bidi="ar-SA"/>
              </w:rPr>
            </w:pPr>
            <w:r>
              <w:rPr>
                <w:rFonts w:hint="eastAsia" w:ascii="黑体" w:hAnsi="黑体" w:eastAsia="黑体" w:cs="黑体"/>
                <w:i w:val="0"/>
                <w:iCs w:val="0"/>
                <w:color w:val="000000"/>
                <w:sz w:val="22"/>
                <w:szCs w:val="22"/>
                <w:u w:val="none"/>
                <w:lang w:val="en-US" w:eastAsia="zh-CN"/>
              </w:rPr>
              <w:t>场所使用权证明（租赁协议、产权证明）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eastAsia="zh-CN"/>
              </w:rPr>
              <w:t>组织和人力资源社会保障局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eastAsia="zh-CN"/>
              </w:rPr>
              <w:t>住房和城市建设局</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1.《中华人民共和国劳动合同法》（2007年6月29日主席令第65号，2012年12月28日予以修改）第五十七条 经营劳务派遣业务，应当向劳动行政部门依法申请行政许可；经许可的，依法办理相应的公司登记。未经许可，任何单位和个人不得经营劳务派遣业务。</w:t>
            </w:r>
          </w:p>
          <w:p>
            <w:pPr>
              <w:jc w:val="left"/>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2.《劳务派遣行政许可实施办法》（2013年6月20日人力资源和社会保障部令第19号）第二条：劳务派遣行政许可的申请受理、审查批准以及相关的监督检查等，适用本办法。第三条 县级以上地方人力资源社会保障行政部门按照省、自治区、直辖市人力资源社会保障行政部门确定的许可管辖分工，负责实施本行政区域内劳务派遣行政许可工作以及相应的监督检查。</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受理</w:t>
            </w:r>
          </w:p>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 当场办结</w:t>
            </w:r>
          </w:p>
          <w:p>
            <w:pPr>
              <w:jc w:val="both"/>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办理结果：1能当场受理，或通过当场补证达到受理条件的直接进入受理步骤，2根据一次性告知通知书，内容进行补证后达到受理条件的，出具决定受理通知书，3收件即日起五个工作日内，未收到一次性告知通知书的，从收件即日起即为受理。</w:t>
            </w:r>
          </w:p>
          <w:p>
            <w:pPr>
              <w:jc w:val="center"/>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：依法受理或不予受理。</w:t>
            </w:r>
          </w:p>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审核</w:t>
            </w:r>
          </w:p>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 5个工作日</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w:t>
            </w:r>
            <w:r>
              <w:rPr>
                <w:rFonts w:hint="eastAsia" w:ascii="黑体" w:hAnsi="黑体" w:eastAsia="黑体" w:cs="黑体"/>
                <w:i w:val="0"/>
                <w:iCs w:val="0"/>
                <w:color w:val="000000"/>
                <w:sz w:val="22"/>
                <w:szCs w:val="22"/>
                <w:u w:val="none"/>
                <w:lang w:val="en-US" w:eastAsia="zh-CN"/>
              </w:rPr>
              <w:t>转入决定步骤</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：根据法定条件和程序，申请材料受理后，行政许可机关应当指派两名以上工作人员，对申请材料的实质内容进行实地核查，申请材料不实，不符合法定条件的，行政许可机关出具《不予受理决定书》。</w:t>
            </w:r>
          </w:p>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决定</w:t>
            </w:r>
          </w:p>
          <w:p>
            <w:pPr>
              <w:jc w:val="center"/>
              <w:rPr>
                <w:rFonts w:hint="default"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 xml:space="preserve">时限: </w:t>
            </w:r>
            <w:r>
              <w:rPr>
                <w:rFonts w:hint="default" w:ascii="黑体" w:hAnsi="黑体" w:eastAsia="黑体" w:cs="黑体"/>
                <w:i w:val="0"/>
                <w:iCs w:val="0"/>
                <w:color w:val="000000"/>
                <w:sz w:val="22"/>
                <w:szCs w:val="22"/>
                <w:u w:val="none"/>
                <w:lang w:val="en-US" w:eastAsia="zh-CN"/>
              </w:rPr>
              <w:t>1个工作日</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w:t>
            </w:r>
            <w:r>
              <w:rPr>
                <w:rFonts w:hint="eastAsia" w:ascii="黑体" w:hAnsi="黑体" w:eastAsia="黑体" w:cs="黑体"/>
                <w:i w:val="0"/>
                <w:iCs w:val="0"/>
                <w:color w:val="000000"/>
                <w:sz w:val="22"/>
                <w:szCs w:val="22"/>
                <w:u w:val="none"/>
                <w:lang w:val="en-US" w:eastAsia="zh-CN"/>
              </w:rPr>
              <w:t>准予许可决定的通知申请人领取《劳务派遣经营许可证》</w:t>
            </w:r>
            <w:r>
              <w:rPr>
                <w:rFonts w:hint="default" w:ascii="黑体" w:hAnsi="黑体" w:eastAsia="黑体" w:cs="黑体"/>
                <w:i w:val="0"/>
                <w:iCs w:val="0"/>
                <w:color w:val="000000"/>
                <w:sz w:val="22"/>
                <w:szCs w:val="22"/>
                <w:u w:val="none"/>
                <w:lang w:val="en-US" w:eastAsia="zh-CN"/>
              </w:rPr>
              <w:t>。</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：申请材料符合法律条件，现场核查无误，许可机关填写行政许可决定审批表，经初审、复审、审定，依法作出准予行政许可的书面决定。</w:t>
            </w:r>
          </w:p>
        </w:tc>
      </w:tr>
      <w:tr>
        <w:tblPrEx>
          <w:tblLayout w:type="fixed"/>
        </w:tblPrEx>
        <w:trPr>
          <w:trHeight w:val="7743"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8"/>
                <w:szCs w:val="28"/>
                <w:u w:val="none"/>
                <w:lang w:val="en-US" w:eastAsia="zh-CN"/>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办理劳务派遣经营许可</w:t>
            </w:r>
          </w:p>
          <w:p>
            <w:pPr>
              <w:jc w:val="center"/>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val="en-US" w:eastAsia="zh-CN"/>
              </w:rPr>
              <w:t>（变更住所）</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val="en-US" w:eastAsia="zh-CN"/>
              </w:rPr>
              <w:t>场所使用权证明（租赁协议、产权证明）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eastAsia="zh-CN"/>
              </w:rPr>
              <w:t>组织和人力资源社会保障局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eastAsia="zh-CN"/>
              </w:rPr>
            </w:pPr>
            <w:r>
              <w:rPr>
                <w:rFonts w:hint="eastAsia" w:ascii="黑体" w:hAnsi="黑体" w:eastAsia="黑体" w:cs="黑体"/>
                <w:i w:val="0"/>
                <w:iCs w:val="0"/>
                <w:color w:val="000000"/>
                <w:sz w:val="22"/>
                <w:szCs w:val="22"/>
                <w:u w:val="none"/>
                <w:lang w:eastAsia="zh-CN"/>
              </w:rPr>
              <w:t>住房和城市建设局</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《劳务派遣行政许可实施办法》第十六条　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受理</w:t>
            </w:r>
          </w:p>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时限:当场办结</w:t>
            </w:r>
          </w:p>
          <w:p>
            <w:pPr>
              <w:jc w:val="left"/>
              <w:rPr>
                <w:rFonts w:hint="default"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办理结果：申请材料齐</w:t>
            </w:r>
            <w:r>
              <w:rPr>
                <w:rFonts w:hint="default" w:ascii="黑体" w:hAnsi="黑体" w:eastAsia="黑体" w:cs="黑体"/>
                <w:i w:val="0"/>
                <w:iCs w:val="0"/>
                <w:color w:val="000000"/>
                <w:sz w:val="22"/>
                <w:szCs w:val="22"/>
                <w:u w:val="none"/>
                <w:lang w:val="en-US" w:eastAsia="zh-CN"/>
              </w:rPr>
              <w:t>全、规范的，许可机关予以受理，出具受理通知书。申请材料不齐全的，应一次告知申请人需要补正的全部内容，出具行政许可申请材料补正告知书。</w:t>
            </w:r>
          </w:p>
          <w:p>
            <w:pPr>
              <w:jc w:val="left"/>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：许可机关对申请材料进行审查。</w:t>
            </w:r>
          </w:p>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审核</w:t>
            </w:r>
          </w:p>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 1个工作日</w:t>
            </w:r>
          </w:p>
          <w:p>
            <w:pPr>
              <w:jc w:val="left"/>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w:t>
            </w:r>
            <w:r>
              <w:rPr>
                <w:rFonts w:hint="eastAsia" w:ascii="黑体" w:hAnsi="黑体" w:eastAsia="黑体" w:cs="黑体"/>
                <w:i w:val="0"/>
                <w:iCs w:val="0"/>
                <w:color w:val="000000"/>
                <w:sz w:val="22"/>
                <w:szCs w:val="22"/>
                <w:u w:val="none"/>
                <w:lang w:val="en-US" w:eastAsia="zh-CN"/>
              </w:rPr>
              <w:t>申请材料不实、不符合法定条件的，行政</w:t>
            </w:r>
            <w:r>
              <w:rPr>
                <w:rFonts w:hint="default" w:ascii="黑体" w:hAnsi="黑体" w:eastAsia="黑体" w:cs="黑体"/>
                <w:i w:val="0"/>
                <w:iCs w:val="0"/>
                <w:color w:val="000000"/>
                <w:sz w:val="22"/>
                <w:szCs w:val="22"/>
                <w:u w:val="none"/>
                <w:lang w:val="en-US" w:eastAsia="zh-CN"/>
              </w:rPr>
              <w:t>许可机关出具不予受理决定书。</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：根据法定条件和程序，申请材料受理后，行</w:t>
            </w:r>
            <w:r>
              <w:rPr>
                <w:rFonts w:hint="default" w:ascii="黑体" w:hAnsi="黑体" w:eastAsia="黑体" w:cs="黑体"/>
                <w:i w:val="0"/>
                <w:iCs w:val="0"/>
                <w:color w:val="000000"/>
                <w:sz w:val="22"/>
                <w:szCs w:val="22"/>
                <w:u w:val="none"/>
                <w:lang w:val="en-US" w:eastAsia="zh-CN"/>
              </w:rPr>
              <w:t>政许可机关应当指派 2 名以上工作人员对申请材料的实质内容进行实地核查。</w:t>
            </w:r>
          </w:p>
          <w:p>
            <w:pPr>
              <w:jc w:val="center"/>
              <w:rPr>
                <w:rFonts w:hint="eastAsia" w:ascii="黑体" w:hAnsi="黑体" w:eastAsia="黑体" w:cs="黑体"/>
                <w:b/>
                <w:bCs/>
                <w:i w:val="0"/>
                <w:iCs w:val="0"/>
                <w:color w:val="000000"/>
                <w:sz w:val="22"/>
                <w:szCs w:val="22"/>
                <w:u w:val="none"/>
                <w:lang w:val="en-US" w:eastAsia="zh-CN"/>
              </w:rPr>
            </w:pPr>
            <w:r>
              <w:rPr>
                <w:rFonts w:hint="eastAsia" w:ascii="黑体" w:hAnsi="黑体" w:eastAsia="黑体" w:cs="黑体"/>
                <w:b/>
                <w:bCs/>
                <w:i w:val="0"/>
                <w:iCs w:val="0"/>
                <w:color w:val="000000"/>
                <w:sz w:val="22"/>
                <w:szCs w:val="22"/>
                <w:u w:val="none"/>
                <w:lang w:val="en-US" w:eastAsia="zh-CN"/>
              </w:rPr>
              <w:t>决定</w:t>
            </w:r>
          </w:p>
          <w:p>
            <w:pPr>
              <w:jc w:val="center"/>
              <w:rPr>
                <w:rFonts w:hint="default"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时限: 即时办结</w:t>
            </w:r>
          </w:p>
          <w:p>
            <w:pPr>
              <w:jc w:val="left"/>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w:t>
            </w:r>
            <w:r>
              <w:rPr>
                <w:rFonts w:hint="eastAsia" w:ascii="黑体" w:hAnsi="黑体" w:eastAsia="黑体" w:cs="黑体"/>
                <w:i w:val="0"/>
                <w:iCs w:val="0"/>
                <w:color w:val="000000"/>
                <w:sz w:val="22"/>
                <w:szCs w:val="22"/>
                <w:u w:val="none"/>
                <w:lang w:val="en-US" w:eastAsia="zh-CN"/>
              </w:rPr>
              <w:t>通知申请人换发新的《劳务派遣经营许可证》或者在原《劳务派遣经营许可证》注明。</w:t>
            </w:r>
          </w:p>
          <w:p>
            <w:pPr>
              <w:jc w:val="left"/>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：对符合变更要求的，</w:t>
            </w:r>
            <w:r>
              <w:rPr>
                <w:rFonts w:hint="eastAsia" w:ascii="黑体" w:hAnsi="黑体" w:eastAsia="黑体" w:cs="黑体"/>
                <w:i w:val="0"/>
                <w:iCs w:val="0"/>
                <w:color w:val="000000"/>
                <w:sz w:val="22"/>
                <w:szCs w:val="22"/>
                <w:u w:val="none"/>
                <w:lang w:val="en-US" w:eastAsia="zh-CN"/>
              </w:rPr>
              <w:t>依法作出准予变更住所的决定。</w:t>
            </w:r>
          </w:p>
        </w:tc>
      </w:tr>
      <w:tr>
        <w:tblPrEx>
          <w:tblLayout w:type="fixed"/>
        </w:tblPrEx>
        <w:trPr>
          <w:trHeight w:val="3829"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8"/>
                <w:szCs w:val="28"/>
                <w:u w:val="none"/>
                <w:lang w:val="en-US" w:eastAsia="zh-CN"/>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办理《药品经营许可证》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房屋产权或使用权证明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市场监管分局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不动产中心</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jc w:val="both"/>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《中华人民共和国药品管理法》(2019年8月26日)第五十一条第一款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numPr>
                <w:ilvl w:val="0"/>
                <w:numId w:val="1"/>
              </w:num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《中华人民共和国药品管理法实施条例》（中华人民共和国国务院令第709号）第十二条 开办药品零售企业，申办人应当向拟办企业所在地设区的市级药品监督管理机构或者省、自治区、直辖市人民政府药品监督管理部门直接设置的县级药品监督管理机构提出申请。受理申请的药品监督管理机构应当自收到申请之日起30个工作日内，依据国务院药品监督管理部门的规定，结合当地常住人口数量、地域、交通状况和实际需要进行审查，作出是否同意筹建的决定。申办人完成拟办企业筹建后，应当向原审批机构申请验收。原审批机构应当自收到申请之日起15个工作日内，依据《药品管理法》第十五条规定的开办条件组织验收；符合条件的，发给《药品经营许可证》。</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收件</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 xml:space="preserve">时限: </w:t>
            </w:r>
            <w:r>
              <w:rPr>
                <w:rFonts w:hint="eastAsia" w:ascii="黑体" w:hAnsi="黑体" w:eastAsia="黑体" w:cs="黑体"/>
                <w:i w:val="0"/>
                <w:iCs w:val="0"/>
                <w:color w:val="000000"/>
                <w:sz w:val="22"/>
                <w:szCs w:val="22"/>
                <w:u w:val="none"/>
                <w:lang w:val="en-US" w:eastAsia="zh-CN"/>
              </w:rPr>
              <w:t xml:space="preserve">即办  </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办理结果：即时收件</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查看</w:t>
            </w:r>
            <w:r>
              <w:rPr>
                <w:rFonts w:hint="eastAsia" w:ascii="黑体" w:hAnsi="黑体" w:eastAsia="黑体" w:cs="黑体"/>
                <w:i w:val="0"/>
                <w:iCs w:val="0"/>
                <w:color w:val="000000"/>
                <w:sz w:val="22"/>
                <w:szCs w:val="22"/>
                <w:u w:val="none"/>
                <w:lang w:val="en-US" w:eastAsia="zh-CN"/>
              </w:rPr>
              <w:t>申请材料</w:t>
            </w:r>
            <w:r>
              <w:rPr>
                <w:rFonts w:hint="default" w:ascii="黑体" w:hAnsi="黑体" w:eastAsia="黑体" w:cs="黑体"/>
                <w:i w:val="0"/>
                <w:iCs w:val="0"/>
                <w:color w:val="000000"/>
                <w:sz w:val="22"/>
                <w:szCs w:val="22"/>
                <w:u w:val="none"/>
                <w:lang w:val="en-US" w:eastAsia="zh-CN"/>
              </w:rPr>
              <w:t>是否齐全</w:t>
            </w:r>
          </w:p>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受理</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时限: 10个工作日</w:t>
            </w:r>
            <w:r>
              <w:rPr>
                <w:rFonts w:hint="eastAsia" w:ascii="黑体" w:hAnsi="黑体" w:eastAsia="黑体" w:cs="黑体"/>
                <w:i w:val="0"/>
                <w:iCs w:val="0"/>
                <w:color w:val="000000"/>
                <w:sz w:val="22"/>
                <w:szCs w:val="22"/>
                <w:u w:val="none"/>
                <w:lang w:val="en-US" w:eastAsia="zh-CN"/>
              </w:rPr>
              <w:t xml:space="preserve">  </w:t>
            </w:r>
          </w:p>
          <w:p>
            <w:pPr>
              <w:jc w:val="both"/>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办理结果：符合受理标准，出具受理通知书，不符合受理标准，出具不予受理通知书。</w:t>
            </w:r>
          </w:p>
          <w:p>
            <w:pPr>
              <w:jc w:val="both"/>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1、核对申请人是否符合申请条件；2、依据办事指南中材料清单逐一核对是否齐全；3、核对每个材料是否涵盖材料要求中涉及的内容和要素。</w:t>
            </w:r>
          </w:p>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决定</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时限: 5个工作日</w:t>
            </w:r>
            <w:r>
              <w:rPr>
                <w:rFonts w:hint="eastAsia" w:ascii="黑体" w:hAnsi="黑体" w:eastAsia="黑体" w:cs="黑体"/>
                <w:i w:val="0"/>
                <w:iCs w:val="0"/>
                <w:color w:val="000000"/>
                <w:sz w:val="22"/>
                <w:szCs w:val="22"/>
                <w:u w:val="none"/>
                <w:lang w:val="en-US" w:eastAsia="zh-CN"/>
              </w:rPr>
              <w:t xml:space="preserve">  </w:t>
            </w:r>
          </w:p>
          <w:p>
            <w:pPr>
              <w:jc w:val="both"/>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办理结果：符合审核标准，准予行政许可，不符合审核标准不准予行政许可。</w:t>
            </w:r>
          </w:p>
          <w:p>
            <w:pPr>
              <w:jc w:val="left"/>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1、核对申请人是否符合申请条件；2、依据办事指南中材料清单逐一核对是否齐全；3、核对每个材料是否涵盖材料要求中涉及的内容和要素。</w:t>
            </w:r>
          </w:p>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送达</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时限: 即办</w:t>
            </w:r>
          </w:p>
          <w:p>
            <w:pPr>
              <w:jc w:val="center"/>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办理结果：送达办理结果至申请人。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703" w:hRule="atLeast"/>
        </w:trPr>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8"/>
                <w:szCs w:val="28"/>
                <w:u w:val="none"/>
                <w:lang w:val="en-US" w:eastAsia="zh-CN"/>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办理《食品小经营店登记证》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接触直接入口食品从业人员</w:t>
            </w:r>
          </w:p>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有效健康证明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市场监管分局</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黑体" w:eastAsia="黑体" w:cs="黑体"/>
                <w:i w:val="0"/>
                <w:iCs w:val="0"/>
                <w:color w:val="000000"/>
                <w:sz w:val="22"/>
                <w:szCs w:val="22"/>
                <w:u w:val="none"/>
                <w:lang w:val="en-US" w:eastAsia="zh-CN"/>
              </w:rPr>
            </w:pPr>
            <w:r>
              <w:rPr>
                <w:rFonts w:hint="eastAsia" w:ascii="黑体" w:hAnsi="黑体" w:eastAsia="黑体" w:cs="黑体"/>
                <w:i w:val="0"/>
                <w:iCs w:val="0"/>
                <w:color w:val="000000"/>
                <w:sz w:val="22"/>
                <w:szCs w:val="22"/>
                <w:u w:val="none"/>
                <w:lang w:val="en-US" w:eastAsia="zh-CN"/>
              </w:rPr>
              <w:t>医院</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《河南省食品小作坊、小经营店和小摊点管理条例》第二十六条 小经营店实行登记管理。开办小经营店，应当具备下列条件：</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（一）有与经营的食品品种、数量相适应的固定场所；</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（二）有与经营的食品品种、数量相适应的设备和设施，以及处理废弃物的卫生防护设施；</w:t>
            </w:r>
          </w:p>
          <w:p>
            <w:pPr>
              <w:jc w:val="both"/>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（三）有保证食品安全的人员和制度。</w:t>
            </w:r>
          </w:p>
          <w:p>
            <w:pPr>
              <w:jc w:val="center"/>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w:t>
            </w:r>
          </w:p>
        </w:tc>
        <w:tc>
          <w:tcPr>
            <w:tcW w:w="4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收件</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 xml:space="preserve">时限: </w:t>
            </w:r>
            <w:r>
              <w:rPr>
                <w:rFonts w:hint="eastAsia" w:ascii="黑体" w:hAnsi="黑体" w:eastAsia="黑体" w:cs="黑体"/>
                <w:i w:val="0"/>
                <w:iCs w:val="0"/>
                <w:color w:val="000000"/>
                <w:sz w:val="22"/>
                <w:szCs w:val="22"/>
                <w:u w:val="none"/>
                <w:lang w:val="en-US" w:eastAsia="zh-CN"/>
              </w:rPr>
              <w:t>即办</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办理结果：即时收件</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查看证件是否齐全</w:t>
            </w:r>
          </w:p>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受理</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 xml:space="preserve">时限: </w:t>
            </w:r>
            <w:r>
              <w:rPr>
                <w:rFonts w:hint="eastAsia" w:ascii="黑体" w:hAnsi="黑体" w:eastAsia="黑体" w:cs="黑体"/>
                <w:i w:val="0"/>
                <w:iCs w:val="0"/>
                <w:color w:val="000000"/>
                <w:sz w:val="22"/>
                <w:szCs w:val="22"/>
                <w:u w:val="none"/>
                <w:lang w:val="en-US" w:eastAsia="zh-CN"/>
              </w:rPr>
              <w:t>即办</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办理结果：即时受理</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查看证件是否齐全</w:t>
            </w:r>
          </w:p>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审核</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 xml:space="preserve">时限: </w:t>
            </w:r>
            <w:r>
              <w:rPr>
                <w:rFonts w:hint="eastAsia" w:ascii="黑体" w:hAnsi="黑体" w:eastAsia="黑体" w:cs="黑体"/>
                <w:i w:val="0"/>
                <w:iCs w:val="0"/>
                <w:color w:val="000000"/>
                <w:sz w:val="22"/>
                <w:szCs w:val="22"/>
                <w:u w:val="none"/>
                <w:lang w:val="en-US" w:eastAsia="zh-CN"/>
              </w:rPr>
              <w:t>即办</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办理结果：即时审核</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查看证件是否齐全</w:t>
            </w:r>
          </w:p>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决定</w:t>
            </w:r>
          </w:p>
          <w:p>
            <w:pPr>
              <w:jc w:val="center"/>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 xml:space="preserve">时限: </w:t>
            </w:r>
            <w:r>
              <w:rPr>
                <w:rFonts w:hint="eastAsia" w:ascii="黑体" w:hAnsi="黑体" w:eastAsia="黑体" w:cs="黑体"/>
                <w:i w:val="0"/>
                <w:iCs w:val="0"/>
                <w:color w:val="000000"/>
                <w:sz w:val="22"/>
                <w:szCs w:val="22"/>
                <w:u w:val="none"/>
                <w:lang w:val="en-US" w:eastAsia="zh-CN"/>
              </w:rPr>
              <w:t>即办</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审批人: 商事登记窗口</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办理结果：即时决定</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w:t>
            </w:r>
            <w:r>
              <w:rPr>
                <w:rFonts w:hint="default" w:ascii="黑体" w:hAnsi="黑体" w:eastAsia="黑体" w:cs="黑体"/>
                <w:i w:val="0"/>
                <w:iCs w:val="0"/>
                <w:color w:val="000000"/>
                <w:sz w:val="22"/>
                <w:szCs w:val="22"/>
                <w:u w:val="none"/>
                <w:lang w:val="en-US" w:eastAsia="zh-CN"/>
              </w:rPr>
              <w:t>查看证件是否齐全</w:t>
            </w:r>
          </w:p>
          <w:p>
            <w:pPr>
              <w:jc w:val="center"/>
              <w:rPr>
                <w:rFonts w:hint="default" w:ascii="黑体" w:hAnsi="黑体" w:eastAsia="黑体" w:cs="黑体"/>
                <w:b/>
                <w:bCs/>
                <w:i w:val="0"/>
                <w:iCs w:val="0"/>
                <w:color w:val="000000"/>
                <w:sz w:val="22"/>
                <w:szCs w:val="22"/>
                <w:u w:val="none"/>
                <w:lang w:val="en-US" w:eastAsia="zh-CN"/>
              </w:rPr>
            </w:pPr>
            <w:r>
              <w:rPr>
                <w:rFonts w:hint="default" w:ascii="黑体" w:hAnsi="黑体" w:eastAsia="黑体" w:cs="黑体"/>
                <w:b/>
                <w:bCs/>
                <w:i w:val="0"/>
                <w:iCs w:val="0"/>
                <w:color w:val="000000"/>
                <w:sz w:val="22"/>
                <w:szCs w:val="22"/>
                <w:u w:val="none"/>
                <w:lang w:val="en-US" w:eastAsia="zh-CN"/>
              </w:rPr>
              <w:t>送达</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 xml:space="preserve">时限: </w:t>
            </w:r>
            <w:r>
              <w:rPr>
                <w:rFonts w:hint="eastAsia" w:ascii="黑体" w:hAnsi="黑体" w:eastAsia="黑体" w:cs="黑体"/>
                <w:i w:val="0"/>
                <w:iCs w:val="0"/>
                <w:color w:val="000000"/>
                <w:sz w:val="22"/>
                <w:szCs w:val="22"/>
                <w:u w:val="none"/>
                <w:lang w:val="en-US" w:eastAsia="zh-CN"/>
              </w:rPr>
              <w:t>即办</w:t>
            </w:r>
          </w:p>
          <w:p>
            <w:pPr>
              <w:jc w:val="center"/>
              <w:rPr>
                <w:rFonts w:hint="default"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办理结果：即时办结</w:t>
            </w:r>
          </w:p>
          <w:p>
            <w:pPr>
              <w:jc w:val="center"/>
              <w:rPr>
                <w:rFonts w:hint="eastAsia" w:ascii="黑体" w:hAnsi="黑体" w:eastAsia="黑体" w:cs="黑体"/>
                <w:i w:val="0"/>
                <w:iCs w:val="0"/>
                <w:color w:val="000000"/>
                <w:sz w:val="22"/>
                <w:szCs w:val="22"/>
                <w:u w:val="none"/>
                <w:lang w:val="en-US" w:eastAsia="zh-CN"/>
              </w:rPr>
            </w:pPr>
            <w:r>
              <w:rPr>
                <w:rFonts w:hint="default" w:ascii="黑体" w:hAnsi="黑体" w:eastAsia="黑体" w:cs="黑体"/>
                <w:i w:val="0"/>
                <w:iCs w:val="0"/>
                <w:color w:val="000000"/>
                <w:sz w:val="22"/>
                <w:szCs w:val="22"/>
                <w:u w:val="none"/>
                <w:lang w:val="en-US" w:eastAsia="zh-CN"/>
              </w:rPr>
              <w:t>审查标准</w:t>
            </w:r>
            <w:r>
              <w:rPr>
                <w:rFonts w:hint="eastAsia" w:ascii="黑体" w:hAnsi="黑体" w:eastAsia="黑体" w:cs="黑体"/>
                <w:i w:val="0"/>
                <w:iCs w:val="0"/>
                <w:color w:val="000000"/>
                <w:sz w:val="22"/>
                <w:szCs w:val="22"/>
                <w:u w:val="none"/>
                <w:lang w:val="en-US" w:eastAsia="zh-CN"/>
              </w:rPr>
              <w:t>：申请人到商事登记窗口领取</w:t>
            </w:r>
          </w:p>
        </w:tc>
      </w:tr>
    </w:tbl>
    <w:p>
      <w:pPr>
        <w:rPr>
          <w:rFonts w:hint="default"/>
          <w:lang w:val="en-US" w:eastAsia="zh-CN"/>
        </w:rPr>
      </w:pPr>
      <w:bookmarkStart w:id="0" w:name="_GoBack"/>
      <w:bookmarkEnd w:id="0"/>
    </w:p>
    <w:sectPr>
      <w:footerReference r:id="rId3" w:type="default"/>
      <w:pgSz w:w="16840" w:h="11910" w:orient="landscape"/>
      <w:pgMar w:top="1587" w:right="2154" w:bottom="1531" w:left="2098" w:header="850" w:footer="833" w:gutter="0"/>
      <w:pgNumType w:fmt="numberInDash"/>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000"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4"/>
                              <w:szCs w:val="40"/>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4"/>
                        <w:szCs w:val="40"/>
                      </w:rPr>
                    </w:pP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BAA4C1"/>
    <w:multiLevelType w:val="singleLevel"/>
    <w:tmpl w:val="BEBAA4C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8">
    <w:name w:val="Normal Table"/>
    <w:qFormat/>
    <w:uiPriority w:val="0"/>
    <w:tblPr>
      <w:tblLayout w:type="fixed"/>
      <w:tblCellMar>
        <w:top w:w="0" w:type="dxa"/>
        <w:left w:w="108" w:type="dxa"/>
        <w:bottom w:w="0" w:type="dxa"/>
        <w:right w:w="108" w:type="dxa"/>
      </w:tblCellMar>
    </w:tblPr>
  </w:style>
  <w:style w:type="paragraph" w:customStyle="1" w:styleId="2">
    <w:name w:val="FootnoteText"/>
    <w:basedOn w:val="1"/>
    <w:qFormat/>
    <w:uiPriority w:val="0"/>
    <w:pPr>
      <w:snapToGrid w:val="0"/>
      <w:spacing w:line="360" w:lineRule="auto"/>
      <w:ind w:firstLine="200" w:firstLineChars="200"/>
      <w:jc w:val="left"/>
      <w:textAlignment w:val="baseline"/>
    </w:p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2915</Words>
  <Characters>2956</Characters>
  <Lines>0</Lines>
  <Paragraphs>11</Paragraphs>
  <TotalTime>0</TotalTime>
  <ScaleCrop>false</ScaleCrop>
  <LinksUpToDate>false</LinksUpToDate>
  <CharactersWithSpaces>2987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悠然</cp:lastModifiedBy>
  <cp:lastPrinted>2021-05-10T11:28:00Z</cp:lastPrinted>
  <dcterms:modified xsi:type="dcterms:W3CDTF">2023-06-25T15:35:06Z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2052-11.37.8</vt:lpwstr>
  </property>
  <property fmtid="{D5CDD505-2E9C-101B-9397-08002B2CF9AE}" pid="3" name="ICV">
    <vt:lpwstr>808083F223FF4C4188E1790D52FACE5D</vt:lpwstr>
  </property>
</Properties>
</file>