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文星标宋" w:hAnsi="文星标宋" w:eastAsia="文星标宋" w:cs="文星标宋"/>
          <w:b w:val="0"/>
          <w:bCs w:val="0"/>
          <w:snapToGrid w:val="0"/>
          <w:color w:val="000000"/>
          <w:spacing w:val="0"/>
          <w:kern w:val="0"/>
          <w:sz w:val="42"/>
          <w:szCs w:val="4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napToGrid w:val="0"/>
          <w:color w:val="000000"/>
          <w:spacing w:val="0"/>
          <w:kern w:val="0"/>
          <w:sz w:val="42"/>
          <w:szCs w:val="42"/>
          <w:lang w:eastAsia="zh-CN"/>
        </w:rPr>
        <w:t>新乡经济技术开发区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文星标宋" w:hAnsi="文星标宋" w:eastAsia="文星标宋" w:cs="文星标宋"/>
          <w:b w:val="0"/>
          <w:bCs w:val="0"/>
          <w:snapToGrid w:val="0"/>
          <w:color w:val="000000"/>
          <w:spacing w:val="0"/>
          <w:kern w:val="0"/>
          <w:sz w:val="42"/>
          <w:szCs w:val="4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napToGrid w:val="0"/>
          <w:color w:val="000000"/>
          <w:spacing w:val="0"/>
          <w:kern w:val="0"/>
          <w:sz w:val="42"/>
          <w:szCs w:val="42"/>
          <w:lang w:eastAsia="zh-CN"/>
        </w:rPr>
        <w:t>生物经济产业专家顾问管理办法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21"/>
          <w:tab w:val="center" w:pos="42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  <w:t>总  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第一条 为充分发挥专家顾问的咨询参谋和智力支撑作用，推进政府科技管理决策规范化、科学化、民主化，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推进我区生物经济产业的发展。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经开区决定组建由专家、企业家等组成的专家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。为保障专家顾问的权利，规范专家顾问的管理，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根据《河南省省级财政科研项目专家咨询费管理办法》，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结合经开区实际，特制定本办法。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第二条 本办法中专家顾问是指符合经开区科学决策实际需要，来源于高校、科研院所、事业单位、企业、会计师事务所、社会团体等单位的专业人才。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hint="eastAsi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  <w:t>专家顾问的条件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10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公正诚信，具有良好的信用和职业道德；责任心强，能够以严谨的态度，科学、客观、公正提出专业化建议。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第四条 具有较高的专业学术水平和较强的分析判断能力，熟悉相关领域或行业的发展动态，熟悉相关法律法规、政策规范。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第五条 有一定的时间和精力满足服务经开区相关工作需求。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  <w:t>专家顾问的管理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按照“统一建设、科学分类、规范管理”的原则，建立专家顾问库。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第七条 专家顾问实行聘任制，聘期为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先进医学产业专班根据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工作需要提出聘任建议，报请管委会主任办公会审定后，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先进医学产业专班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统一制作“经开区专家顾问聘书”,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向受聘专家顾问发放。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先进医学产业专班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负责向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区属职能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公开专家顾问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智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库人才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信息和向专家顾问公开经开区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部门负责人以上人员信息。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区属职能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部门根据工作需要向专家顾问进行征询或提出尽调邀请等，原则上由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部门负责人以上级别人员与专家顾问进行联系。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区属职能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部门有责任和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义务保障专家顾问信息的安全。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 xml:space="preserve">第九条 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区属职能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向专家顾问提出项目尽调要求，应在项目尽调完成后，及时向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专家顾问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支付专家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咨询费，费用标准为：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正高级专业技术职称人员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2400元/人天（税后）；副高级专业技术职称人员2000元/人天（税后）；其他专业人员1500元/人天（税后）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本办法未尽事宜，参照《河南省省级财政科研项目专家咨询费管理办法》（豫财科﹝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﹞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14号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）执行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  <w:t>专家顾问的权利和义务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10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第十条 专家顾问的权利：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(一)以个人身份独立提出意见和建议，不受任何单位或个人干预；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(二)个人信息等应得到保护；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(三)随经开区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区属职能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出差及受邀到经开区现场咨询期间，享受公务人员相关差旅待遇(不含出差补助);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差旅费用由发出邀请的区属单位负责落实。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)有权拒绝参加自己不熟悉的专业技术领域的评价咨询活动，且不收取相关费用；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)有权放弃上述全部或部分权利，且不收取相关费用。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第十一条  专家顾问应履行以下义务：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(一)按照客观、公正、独立的原则，开展相关工作，提出专业意见；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(二)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保障相应的时间和精力接受经开区发出的尽调邀请；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(三)个人信息发生变动时，应及时向聘任单位报备并提供必要个人信息。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第十二条  专家顾问聘任期满前1个月内，由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先进医学产业专班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结合聘期内专家顾问的工作情况，提出续聘建议。续聘程序与首次聘请程序相同。聘任期满未续聘的，聘用关系自动解除，聘书自行作废。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3213" w:firstLineChars="1000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  <w:t xml:space="preserve"> 附  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我区主导产业、战略性新兴产业、未来产业等领域的专家顾问管理参照本办法执行。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spacing w:val="0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第十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本办法由新乡经开区管委会解释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</w:rPr>
        <w:t>自下发之日起生效实施。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68B4D"/>
    <w:multiLevelType w:val="singleLevel"/>
    <w:tmpl w:val="E6868B4D"/>
    <w:lvl w:ilvl="0" w:tentative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E305CE4"/>
    <w:multiLevelType w:val="singleLevel"/>
    <w:tmpl w:val="FE305CE4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OGU4MGUzMjM3MWQ0YWZlNDJkM2YzYzQ1ZmIzYjEifQ=="/>
  </w:docVars>
  <w:rsids>
    <w:rsidRoot w:val="02E538EC"/>
    <w:rsid w:val="000C3DA7"/>
    <w:rsid w:val="003577A2"/>
    <w:rsid w:val="00FA00A3"/>
    <w:rsid w:val="015E4AD6"/>
    <w:rsid w:val="01EE5E5A"/>
    <w:rsid w:val="02A12ECC"/>
    <w:rsid w:val="02E538EC"/>
    <w:rsid w:val="049A7BD3"/>
    <w:rsid w:val="055661F0"/>
    <w:rsid w:val="05685F23"/>
    <w:rsid w:val="088F5575"/>
    <w:rsid w:val="08B51480"/>
    <w:rsid w:val="0913264A"/>
    <w:rsid w:val="09232D91"/>
    <w:rsid w:val="09287EA3"/>
    <w:rsid w:val="09AD3DB5"/>
    <w:rsid w:val="09ED4C49"/>
    <w:rsid w:val="0A40121D"/>
    <w:rsid w:val="0AEF054D"/>
    <w:rsid w:val="0BBA0B5B"/>
    <w:rsid w:val="0BD22349"/>
    <w:rsid w:val="0CAA0BCF"/>
    <w:rsid w:val="0E1704E7"/>
    <w:rsid w:val="0E197DBB"/>
    <w:rsid w:val="13A22600"/>
    <w:rsid w:val="13F62CE4"/>
    <w:rsid w:val="148443FC"/>
    <w:rsid w:val="15311E8E"/>
    <w:rsid w:val="156404B5"/>
    <w:rsid w:val="156A35F2"/>
    <w:rsid w:val="15802E15"/>
    <w:rsid w:val="15B825AF"/>
    <w:rsid w:val="160D098F"/>
    <w:rsid w:val="17350CDA"/>
    <w:rsid w:val="17AD77C6"/>
    <w:rsid w:val="1853036D"/>
    <w:rsid w:val="18B708FC"/>
    <w:rsid w:val="191E6BCD"/>
    <w:rsid w:val="1A4E34E2"/>
    <w:rsid w:val="1ABD5F72"/>
    <w:rsid w:val="1B542D7A"/>
    <w:rsid w:val="1B577A36"/>
    <w:rsid w:val="1C424981"/>
    <w:rsid w:val="1C5D5C5E"/>
    <w:rsid w:val="1C7D3C0B"/>
    <w:rsid w:val="1CAC629E"/>
    <w:rsid w:val="1D8662A3"/>
    <w:rsid w:val="1E116D00"/>
    <w:rsid w:val="1E2D340E"/>
    <w:rsid w:val="1E391DB3"/>
    <w:rsid w:val="1E815393"/>
    <w:rsid w:val="1EB678A8"/>
    <w:rsid w:val="1F38206B"/>
    <w:rsid w:val="1F6115C2"/>
    <w:rsid w:val="222334A6"/>
    <w:rsid w:val="22B83BEE"/>
    <w:rsid w:val="23244DE0"/>
    <w:rsid w:val="2423778D"/>
    <w:rsid w:val="250C0222"/>
    <w:rsid w:val="25C603D0"/>
    <w:rsid w:val="26E8081A"/>
    <w:rsid w:val="26FD42C6"/>
    <w:rsid w:val="27054F28"/>
    <w:rsid w:val="293146FB"/>
    <w:rsid w:val="29EE600C"/>
    <w:rsid w:val="2A1536D4"/>
    <w:rsid w:val="2A952A67"/>
    <w:rsid w:val="2AA333D6"/>
    <w:rsid w:val="2B361B54"/>
    <w:rsid w:val="2C0B1233"/>
    <w:rsid w:val="2C3D33B6"/>
    <w:rsid w:val="2D3E2F42"/>
    <w:rsid w:val="2DF06932"/>
    <w:rsid w:val="2E19750B"/>
    <w:rsid w:val="2E294946"/>
    <w:rsid w:val="2E5C5D76"/>
    <w:rsid w:val="2EFE6E2D"/>
    <w:rsid w:val="30D140CD"/>
    <w:rsid w:val="315F16D9"/>
    <w:rsid w:val="332B21BB"/>
    <w:rsid w:val="33AD7074"/>
    <w:rsid w:val="33D740F0"/>
    <w:rsid w:val="33E34843"/>
    <w:rsid w:val="344A48C2"/>
    <w:rsid w:val="34545741"/>
    <w:rsid w:val="358838F4"/>
    <w:rsid w:val="358E506D"/>
    <w:rsid w:val="3667175C"/>
    <w:rsid w:val="36F01751"/>
    <w:rsid w:val="37A4253C"/>
    <w:rsid w:val="383E473E"/>
    <w:rsid w:val="39205BF2"/>
    <w:rsid w:val="39C12F31"/>
    <w:rsid w:val="3A6C5593"/>
    <w:rsid w:val="3B003F2D"/>
    <w:rsid w:val="3BA50630"/>
    <w:rsid w:val="3BBF5B96"/>
    <w:rsid w:val="3C236125"/>
    <w:rsid w:val="3D2E4D81"/>
    <w:rsid w:val="3D7D7AB7"/>
    <w:rsid w:val="3DCE0312"/>
    <w:rsid w:val="3E6D18D9"/>
    <w:rsid w:val="3E810205"/>
    <w:rsid w:val="3E94330A"/>
    <w:rsid w:val="3F762A0F"/>
    <w:rsid w:val="3FA937FE"/>
    <w:rsid w:val="3FD00372"/>
    <w:rsid w:val="40FE0F0E"/>
    <w:rsid w:val="43016A94"/>
    <w:rsid w:val="45D95AA6"/>
    <w:rsid w:val="465D0485"/>
    <w:rsid w:val="47AC3472"/>
    <w:rsid w:val="47DA4600"/>
    <w:rsid w:val="47F866B8"/>
    <w:rsid w:val="488B752C"/>
    <w:rsid w:val="48EB7FCA"/>
    <w:rsid w:val="4984282A"/>
    <w:rsid w:val="4AC46D25"/>
    <w:rsid w:val="4AF270BB"/>
    <w:rsid w:val="4CF338F1"/>
    <w:rsid w:val="4E165AE9"/>
    <w:rsid w:val="4E740A62"/>
    <w:rsid w:val="4F980BBD"/>
    <w:rsid w:val="4FBA06F6"/>
    <w:rsid w:val="4FBD3D43"/>
    <w:rsid w:val="4FE45773"/>
    <w:rsid w:val="4FE70DC0"/>
    <w:rsid w:val="503009B9"/>
    <w:rsid w:val="50A8054F"/>
    <w:rsid w:val="50B22E63"/>
    <w:rsid w:val="5144296E"/>
    <w:rsid w:val="517D5E7F"/>
    <w:rsid w:val="51AD1758"/>
    <w:rsid w:val="522B58DB"/>
    <w:rsid w:val="527252B8"/>
    <w:rsid w:val="528A2602"/>
    <w:rsid w:val="52D01724"/>
    <w:rsid w:val="52F83A10"/>
    <w:rsid w:val="53A63921"/>
    <w:rsid w:val="54EC75A4"/>
    <w:rsid w:val="55322ADD"/>
    <w:rsid w:val="55AD03B6"/>
    <w:rsid w:val="56C105BC"/>
    <w:rsid w:val="56DD2AEB"/>
    <w:rsid w:val="56F049FE"/>
    <w:rsid w:val="56F72230"/>
    <w:rsid w:val="59575208"/>
    <w:rsid w:val="59633BAD"/>
    <w:rsid w:val="59745DBA"/>
    <w:rsid w:val="5A04713E"/>
    <w:rsid w:val="5A3B0686"/>
    <w:rsid w:val="5B37709F"/>
    <w:rsid w:val="5C6A0DAE"/>
    <w:rsid w:val="5DDC7A8A"/>
    <w:rsid w:val="5DE11544"/>
    <w:rsid w:val="5DE132F2"/>
    <w:rsid w:val="5E1436C8"/>
    <w:rsid w:val="5EA7453C"/>
    <w:rsid w:val="5F812FDF"/>
    <w:rsid w:val="5F944AC0"/>
    <w:rsid w:val="604F6C39"/>
    <w:rsid w:val="60CC028A"/>
    <w:rsid w:val="60F31CBA"/>
    <w:rsid w:val="61412A26"/>
    <w:rsid w:val="61502C69"/>
    <w:rsid w:val="6162299C"/>
    <w:rsid w:val="6183303E"/>
    <w:rsid w:val="619F14FA"/>
    <w:rsid w:val="620D0B5A"/>
    <w:rsid w:val="62126170"/>
    <w:rsid w:val="62944560"/>
    <w:rsid w:val="62D6758C"/>
    <w:rsid w:val="647C5B23"/>
    <w:rsid w:val="64833355"/>
    <w:rsid w:val="649B41FB"/>
    <w:rsid w:val="64EC0EFA"/>
    <w:rsid w:val="669435F8"/>
    <w:rsid w:val="694F7CAA"/>
    <w:rsid w:val="698A0CE2"/>
    <w:rsid w:val="6A753740"/>
    <w:rsid w:val="6B225676"/>
    <w:rsid w:val="6BA37E39"/>
    <w:rsid w:val="6DF80910"/>
    <w:rsid w:val="6E62222D"/>
    <w:rsid w:val="6EC9405A"/>
    <w:rsid w:val="6EF54E4F"/>
    <w:rsid w:val="70651B61"/>
    <w:rsid w:val="718F6E95"/>
    <w:rsid w:val="71EF202A"/>
    <w:rsid w:val="729130E1"/>
    <w:rsid w:val="733B04FD"/>
    <w:rsid w:val="73840550"/>
    <w:rsid w:val="752E2E69"/>
    <w:rsid w:val="75A31161"/>
    <w:rsid w:val="76E2215D"/>
    <w:rsid w:val="77297D8C"/>
    <w:rsid w:val="775A1CF3"/>
    <w:rsid w:val="78B638A1"/>
    <w:rsid w:val="78E35D19"/>
    <w:rsid w:val="79905EA0"/>
    <w:rsid w:val="7B476A33"/>
    <w:rsid w:val="7B5B0730"/>
    <w:rsid w:val="7D010F6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1212</Characters>
  <Lines>0</Lines>
  <Paragraphs>0</Paragraphs>
  <TotalTime>14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2023-04-20T02:50:00Z</dcterms:created>
  <dc:creator>雨落长安</dc:creator>
  <cp:lastModifiedBy>掐住的咽喉</cp:lastModifiedBy>
  <cp:lastPrinted>2023-11-01T08:32:44Z</cp:lastPrinted>
  <dcterms:modified xsi:type="dcterms:W3CDTF">2023-11-01T08:34:15Z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03213D6E357B4F38A54F5D179E260C33_13</vt:lpwstr>
  </property>
</Properties>
</file>